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6374F">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宋体" w:hAnsi="宋体" w:eastAsia="宋体" w:cs="宋体"/>
          <w:sz w:val="44"/>
          <w:szCs w:val="44"/>
        </w:rPr>
      </w:pPr>
    </w:p>
    <w:p w14:paraId="2AA5855A">
      <w:pPr>
        <w:keepNext w:val="0"/>
        <w:keepLines w:val="0"/>
        <w:pageBreakBefore w:val="0"/>
        <w:widowControl w:val="0"/>
        <w:kinsoku/>
        <w:wordWrap/>
        <w:overflowPunct/>
        <w:topLinePunct w:val="0"/>
        <w:autoSpaceDE/>
        <w:autoSpaceDN/>
        <w:bidi w:val="0"/>
        <w:adjustRightInd/>
        <w:snapToGrid/>
        <w:spacing w:line="590" w:lineRule="exact"/>
        <w:jc w:val="center"/>
        <w:textAlignment w:val="auto"/>
        <w:outlineLvl w:val="0"/>
        <w:rPr>
          <w:rFonts w:hint="eastAsia" w:ascii="宋体" w:hAnsi="宋体" w:eastAsia="宋体" w:cs="宋体"/>
          <w:sz w:val="44"/>
          <w:szCs w:val="44"/>
        </w:rPr>
      </w:pPr>
      <w:r>
        <w:rPr>
          <w:rFonts w:hint="eastAsia" w:ascii="宋体" w:hAnsi="宋体" w:eastAsia="宋体" w:cs="宋体"/>
          <w:sz w:val="44"/>
          <w:szCs w:val="44"/>
        </w:rPr>
        <w:t>关于印发阜新市生态环境局审批环境影响评价文件的建设项目目录（2024年本）的通知</w:t>
      </w:r>
    </w:p>
    <w:p w14:paraId="7DFC5135">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14:paraId="3F340080">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r>
        <w:rPr>
          <w:rFonts w:hint="eastAsia" w:ascii="仿宋_GB2312" w:hAnsi="仿宋_GB2312" w:eastAsia="仿宋_GB2312" w:cs="仿宋_GB2312"/>
          <w:i w:val="0"/>
          <w:iCs w:val="0"/>
          <w:caps w:val="0"/>
          <w:color w:val="333333"/>
          <w:spacing w:val="0"/>
          <w:sz w:val="32"/>
          <w:szCs w:val="32"/>
          <w:shd w:val="clear" w:fill="FFFFFF"/>
        </w:rPr>
        <w:t>阜环发〔202</w:t>
      </w:r>
      <w:r>
        <w:rPr>
          <w:rFonts w:hint="eastAsia" w:ascii="仿宋_GB2312" w:hAnsi="仿宋_GB2312" w:eastAsia="仿宋_GB2312" w:cs="仿宋_GB2312"/>
          <w:i w:val="0"/>
          <w:iCs w:val="0"/>
          <w:caps w:val="0"/>
          <w:color w:val="333333"/>
          <w:spacing w:val="0"/>
          <w:sz w:val="32"/>
          <w:szCs w:val="32"/>
          <w:shd w:val="clear" w:fill="FFFFFF"/>
          <w:lang w:val="en-US" w:eastAsia="zh-CN"/>
        </w:rPr>
        <w:t>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6</w:t>
      </w:r>
      <w:r>
        <w:rPr>
          <w:rFonts w:hint="eastAsia" w:ascii="仿宋_GB2312" w:hAnsi="仿宋_GB2312" w:eastAsia="仿宋_GB2312" w:cs="仿宋_GB2312"/>
          <w:i w:val="0"/>
          <w:iCs w:val="0"/>
          <w:caps w:val="0"/>
          <w:color w:val="333333"/>
          <w:spacing w:val="0"/>
          <w:sz w:val="32"/>
          <w:szCs w:val="32"/>
          <w:shd w:val="clear" w:fill="FFFFFF"/>
        </w:rPr>
        <w:t>号</w:t>
      </w:r>
    </w:p>
    <w:p w14:paraId="47F9BFCF">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仿宋_GB2312" w:hAnsi="仿宋_GB2312" w:eastAsia="仿宋_GB2312" w:cs="仿宋_GB2312"/>
          <w:i w:val="0"/>
          <w:iCs w:val="0"/>
          <w:caps w:val="0"/>
          <w:color w:val="333333"/>
          <w:spacing w:val="0"/>
          <w:sz w:val="32"/>
          <w:szCs w:val="32"/>
          <w:shd w:val="clear" w:fill="FFFFFF"/>
        </w:rPr>
      </w:pPr>
    </w:p>
    <w:p w14:paraId="384B95E1">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各县区生态环境分局、相关单位：</w:t>
      </w:r>
    </w:p>
    <w:p w14:paraId="5002F9C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中华人民共和国环境影响评价法》、《建设项目环境保护管理条例》相关规定，按照生态环境部《关于进一步深化环境影响评价改革的通知》（环环评〔2024〕65号）要求，深化环境影响评价改革，强化环境影响评价源头预防作用，结合《建设项目环境影响评价分类管理名录》（2021年本）、《生态环境部审批环境影响评价文件的建设项目目录（2019年本）》和《辽宁省生态环境厅审批环境影响评价文件的建设项目目录（2024年本）》内容，市生态环境局对建设项目环评文件审批权限进行了调整，现印发全市执行，并就有关事项通知如下：</w:t>
      </w:r>
    </w:p>
    <w:p w14:paraId="03FA77A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除生态环境部和省生态环境厅负责审批环境影响评价文件的建设项目外，全部应编制环境影响报告书的建设项目、省生态环境厅下放至市级审批的项目和省生态环境厅明确不得下放至县区级审批的项目由市生态环境局负责审批；其他建设项目由各县、区生态环境局负责审批。</w:t>
      </w:r>
    </w:p>
    <w:p w14:paraId="4225951A">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已经赋予市级审批权限的高新技术开发区按照市政府文件执行。</w:t>
      </w:r>
    </w:p>
    <w:p w14:paraId="0C40B1BB">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各级生态环境部门应当以改善环境质量、优化经济发展为目标，严格规划环评与建设项目环境影响评价的联动机制，落实生态环境分区管控与污染物排放总量控制要求，做好环境影响评价制度与排污许可制度的有效衔接。坚持科学决策、民主决策、依法决策，规范环评审批程序，严格集体审议制度，持续提高环评文件质量，进一步强化建设项目环评事中事后监管。</w:t>
      </w:r>
    </w:p>
    <w:p w14:paraId="2634C59C">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三、建设项目环境影响评价文件审批后发生重大变动的，按照调整后的分级审批权限，重新报批建设项目环境影响评价文件，不属于重大变动的纳入竣工环境保护验收管理。</w:t>
      </w:r>
    </w:p>
    <w:p w14:paraId="75BB2D32">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四、各县区生态环境部门要认真落实深化环评改革的有关要求，进一步增强创新意识，提升服务质量，提前介入，主动帮扶，建立绿色通道，持续优化营商环境，全力助推我市经济社会高质量发展。</w:t>
      </w:r>
    </w:p>
    <w:p w14:paraId="7B6E266D">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五、本通知自发布之日起实施，《阜新市生态局审批环境影响评价文件的建设项目目录（2021年本）》同时废止，其他相关文件与本通知内容不一致的以本通知为准。</w:t>
      </w:r>
    </w:p>
    <w:p w14:paraId="25F84384">
      <w:pPr>
        <w:keepNext w:val="0"/>
        <w:keepLines w:val="0"/>
        <w:pageBreakBefore w:val="0"/>
        <w:widowControl w:val="0"/>
        <w:kinsoku/>
        <w:wordWrap/>
        <w:overflowPunct/>
        <w:topLinePunct w:val="0"/>
        <w:autoSpaceDE/>
        <w:autoSpaceDN/>
        <w:bidi w:val="0"/>
        <w:adjustRightInd/>
        <w:snapToGrid/>
        <w:spacing w:line="576" w:lineRule="exact"/>
        <w:ind w:right="420"/>
        <w:jc w:val="right"/>
        <w:textAlignment w:val="auto"/>
        <w:rPr>
          <w:rFonts w:hint="eastAsia" w:ascii="仿宋_GB2312" w:eastAsia="仿宋_GB2312"/>
          <w:color w:val="auto"/>
          <w:sz w:val="32"/>
          <w:szCs w:val="32"/>
        </w:rPr>
      </w:pPr>
      <w:r>
        <w:rPr>
          <w:rFonts w:hint="eastAsia" w:ascii="仿宋_GB2312" w:eastAsia="仿宋_GB2312"/>
          <w:color w:val="auto"/>
          <w:sz w:val="32"/>
          <w:szCs w:val="32"/>
        </w:rPr>
        <w:t>阜新市生态环境局</w:t>
      </w:r>
    </w:p>
    <w:p w14:paraId="488E4CC0">
      <w:pPr>
        <w:keepNext w:val="0"/>
        <w:keepLines w:val="0"/>
        <w:pageBreakBefore w:val="0"/>
        <w:widowControl w:val="0"/>
        <w:kinsoku/>
        <w:wordWrap/>
        <w:overflowPunct/>
        <w:topLinePunct w:val="0"/>
        <w:autoSpaceDE/>
        <w:autoSpaceDN/>
        <w:bidi w:val="0"/>
        <w:adjustRightInd/>
        <w:snapToGrid/>
        <w:spacing w:line="576" w:lineRule="exact"/>
        <w:ind w:right="420"/>
        <w:jc w:val="right"/>
        <w:textAlignment w:val="auto"/>
        <w:rPr>
          <w:rFonts w:hint="eastAsia" w:ascii="仿宋_GB2312" w:hAnsi="仿宋_GB2312" w:eastAsia="仿宋_GB2312" w:cs="仿宋_GB2312"/>
          <w:sz w:val="32"/>
          <w:szCs w:val="32"/>
          <w:lang w:val="en-US" w:eastAsia="zh-CN"/>
        </w:rPr>
      </w:pPr>
      <w:r>
        <w:rPr>
          <w:rFonts w:hint="eastAsia" w:ascii="仿宋_GB2312" w:eastAsia="仿宋_GB2312"/>
          <w:color w:val="auto"/>
          <w:sz w:val="32"/>
          <w:szCs w:val="32"/>
        </w:rPr>
        <w:t>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12</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2</w:t>
      </w:r>
      <w:r>
        <w:rPr>
          <w:rFonts w:hint="eastAsia" w:ascii="仿宋_GB2312" w:eastAsia="仿宋_GB2312"/>
          <w:color w:val="auto"/>
          <w:sz w:val="32"/>
          <w:szCs w:val="32"/>
        </w:rPr>
        <w:t>日</w:t>
      </w:r>
      <w:r>
        <w:rPr>
          <w:rFonts w:hint="eastAsia" w:ascii="仿宋_GB2312" w:eastAsia="仿宋_GB2312"/>
          <w:color w:val="auto"/>
          <w:sz w:val="32"/>
          <w:szCs w:val="32"/>
          <w:lang w:val="en-US" w:eastAsia="zh-CN"/>
        </w:rPr>
        <w:t xml:space="preserve"> </w:t>
      </w:r>
    </w:p>
    <w:p w14:paraId="04B1BC53">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sz w:val="32"/>
          <w:szCs w:val="32"/>
          <w:lang w:eastAsia="zh-CN"/>
        </w:rPr>
        <w:t>（此件公开发布）</w:t>
      </w:r>
    </w:p>
    <w:p w14:paraId="5EFDA856">
      <w:pPr>
        <w:keepNext w:val="0"/>
        <w:keepLines w:val="0"/>
        <w:pageBreakBefore w:val="0"/>
        <w:wordWrap/>
        <w:overflowPunct/>
        <w:topLinePunct w:val="0"/>
        <w:bidi w:val="0"/>
        <w:spacing w:line="576" w:lineRule="exact"/>
        <w:jc w:val="center"/>
        <w:outlineLvl w:val="0"/>
        <w:rPr>
          <w:rFonts w:hint="eastAsia" w:ascii="黑体" w:hAnsi="黑体" w:eastAsia="黑体" w:cs="黑体"/>
          <w:b w:val="0"/>
          <w:bCs w:val="0"/>
          <w:sz w:val="44"/>
          <w:szCs w:val="44"/>
          <w:lang w:eastAsia="zh-CN"/>
        </w:rPr>
      </w:pPr>
    </w:p>
    <w:p w14:paraId="0EE88632">
      <w:pPr>
        <w:keepNext w:val="0"/>
        <w:keepLines w:val="0"/>
        <w:pageBreakBefore w:val="0"/>
        <w:wordWrap/>
        <w:overflowPunct/>
        <w:topLinePunct w:val="0"/>
        <w:bidi w:val="0"/>
        <w:spacing w:line="576" w:lineRule="exact"/>
        <w:jc w:val="center"/>
        <w:outlineLvl w:val="0"/>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阜新市生态环境局审批</w:t>
      </w:r>
    </w:p>
    <w:p w14:paraId="18B4993F">
      <w:pPr>
        <w:keepNext w:val="0"/>
        <w:keepLines w:val="0"/>
        <w:pageBreakBefore w:val="0"/>
        <w:wordWrap/>
        <w:overflowPunct/>
        <w:topLinePunct w:val="0"/>
        <w:bidi w:val="0"/>
        <w:spacing w:line="576" w:lineRule="exact"/>
        <w:jc w:val="center"/>
        <w:outlineLvl w:val="0"/>
        <w:rPr>
          <w:rFonts w:hint="eastAsia" w:ascii="宋体" w:hAnsi="宋体" w:eastAsia="宋体" w:cs="宋体"/>
          <w:b w:val="0"/>
          <w:bCs w:val="0"/>
          <w:sz w:val="44"/>
          <w:szCs w:val="44"/>
          <w:lang w:eastAsia="zh-CN"/>
        </w:rPr>
      </w:pPr>
      <w:r>
        <w:rPr>
          <w:rFonts w:hint="eastAsia" w:ascii="宋体" w:hAnsi="宋体" w:eastAsia="宋体" w:cs="宋体"/>
          <w:b w:val="0"/>
          <w:bCs w:val="0"/>
          <w:sz w:val="44"/>
          <w:szCs w:val="44"/>
          <w:lang w:eastAsia="zh-CN"/>
        </w:rPr>
        <w:t>环境影响评价文件的建设项目目录</w:t>
      </w:r>
    </w:p>
    <w:p w14:paraId="02989531">
      <w:pPr>
        <w:keepNext w:val="0"/>
        <w:keepLines w:val="0"/>
        <w:pageBreakBefore w:val="0"/>
        <w:wordWrap/>
        <w:overflowPunct/>
        <w:topLinePunct w:val="0"/>
        <w:bidi w:val="0"/>
        <w:spacing w:line="576" w:lineRule="exact"/>
        <w:jc w:val="center"/>
        <w:outlineLvl w:val="0"/>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eastAsia="zh-CN"/>
        </w:rPr>
        <w:t>(2024年本)</w:t>
      </w:r>
      <w:bookmarkStart w:id="0" w:name="_GoBack"/>
      <w:bookmarkEnd w:id="0"/>
    </w:p>
    <w:p w14:paraId="1405951B">
      <w:pPr>
        <w:keepNext w:val="0"/>
        <w:keepLines w:val="0"/>
        <w:pageBreakBefore w:val="0"/>
        <w:wordWrap/>
        <w:overflowPunct/>
        <w:topLinePunct w:val="0"/>
        <w:bidi w:val="0"/>
        <w:spacing w:line="576" w:lineRule="exact"/>
        <w:jc w:val="center"/>
        <w:outlineLvl w:val="0"/>
        <w:rPr>
          <w:rFonts w:hint="eastAsia" w:ascii="仿宋_GB2312" w:hAnsi="仿宋_GB2312" w:eastAsia="仿宋_GB2312" w:cs="仿宋_GB2312"/>
          <w:b/>
          <w:bCs/>
          <w:sz w:val="32"/>
          <w:szCs w:val="32"/>
        </w:rPr>
      </w:pPr>
    </w:p>
    <w:p w14:paraId="50125D36">
      <w:pPr>
        <w:spacing w:line="560" w:lineRule="exact"/>
        <w:ind w:firstLine="640" w:firstLineChars="200"/>
        <w:rPr>
          <w:rFonts w:hint="eastAsia" w:ascii="Times New Roman" w:hAnsi="Times New Roman" w:eastAsia="仿宋_GB2312" w:cs="Times New Roman"/>
          <w:b/>
          <w:color w:val="auto"/>
          <w:sz w:val="32"/>
          <w:szCs w:val="32"/>
          <w:lang w:eastAsia="zh-CN"/>
        </w:rPr>
      </w:pPr>
      <w:r>
        <w:rPr>
          <w:rFonts w:hint="eastAsia" w:ascii="黑体" w:hAnsi="黑体" w:eastAsia="黑体" w:cs="黑体"/>
          <w:b w:val="0"/>
          <w:bCs/>
          <w:color w:val="auto"/>
          <w:sz w:val="32"/>
          <w:szCs w:val="32"/>
          <w:lang w:eastAsia="zh-CN"/>
        </w:rPr>
        <w:t>一、畜牧业</w:t>
      </w:r>
    </w:p>
    <w:p w14:paraId="223666EB">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应编制环境影响报告书的项目。</w:t>
      </w:r>
    </w:p>
    <w:p w14:paraId="433F49FF">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二、水利</w:t>
      </w:r>
    </w:p>
    <w:p w14:paraId="16C70CBE">
      <w:pPr>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eastAsia="zh-CN"/>
        </w:rPr>
        <w:t>水库</w:t>
      </w:r>
      <w:r>
        <w:rPr>
          <w:rFonts w:hint="eastAsia" w:eastAsia="仿宋_GB2312"/>
          <w:color w:val="auto"/>
          <w:sz w:val="32"/>
          <w:szCs w:val="32"/>
        </w:rPr>
        <w:t>：</w:t>
      </w:r>
      <w:r>
        <w:rPr>
          <w:rFonts w:hint="eastAsia" w:eastAsia="仿宋_GB2312"/>
          <w:color w:val="auto"/>
          <w:sz w:val="32"/>
          <w:szCs w:val="32"/>
          <w:lang w:eastAsia="zh-CN"/>
        </w:rPr>
        <w:t>除新建库容1000万立方米及以上外的项目。</w:t>
      </w:r>
    </w:p>
    <w:p w14:paraId="2B145C93">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灌区工程、河湖整治、地下水开采：应编制环境影响报告书的项目。</w:t>
      </w:r>
    </w:p>
    <w:p w14:paraId="7A8472C0">
      <w:pPr>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val="en-US" w:eastAsia="zh-CN"/>
        </w:rPr>
        <w:t>防洪除涝工程：全部项目。</w:t>
      </w:r>
    </w:p>
    <w:p w14:paraId="00EA6056">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三、能源和资源开发</w:t>
      </w:r>
    </w:p>
    <w:p w14:paraId="426AB612">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火力发电：燃气发电以及单纯利用余气发电的项目。</w:t>
      </w:r>
    </w:p>
    <w:p w14:paraId="2D47B984">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风电</w:t>
      </w:r>
      <w:r>
        <w:rPr>
          <w:rFonts w:hint="eastAsia" w:eastAsia="仿宋_GB2312"/>
          <w:color w:val="auto"/>
          <w:sz w:val="32"/>
          <w:szCs w:val="32"/>
          <w:lang w:eastAsia="zh-CN"/>
        </w:rPr>
        <w:t>、光伏电</w:t>
      </w:r>
      <w:r>
        <w:rPr>
          <w:rFonts w:hint="eastAsia" w:eastAsia="仿宋_GB2312"/>
          <w:color w:val="auto"/>
          <w:sz w:val="32"/>
          <w:szCs w:val="32"/>
        </w:rPr>
        <w:t xml:space="preserve">站: </w:t>
      </w:r>
      <w:r>
        <w:rPr>
          <w:rFonts w:hint="eastAsia" w:eastAsia="仿宋_GB2312"/>
          <w:color w:val="auto"/>
          <w:sz w:val="32"/>
          <w:szCs w:val="32"/>
          <w:lang w:eastAsia="zh-CN"/>
        </w:rPr>
        <w:t>全部</w:t>
      </w:r>
      <w:r>
        <w:rPr>
          <w:rFonts w:hint="eastAsia" w:eastAsia="仿宋_GB2312"/>
          <w:color w:val="auto"/>
          <w:sz w:val="32"/>
          <w:szCs w:val="32"/>
        </w:rPr>
        <w:t>项目</w:t>
      </w:r>
      <w:r>
        <w:rPr>
          <w:rFonts w:hint="eastAsia" w:eastAsia="仿宋_GB2312"/>
          <w:color w:val="auto"/>
          <w:sz w:val="32"/>
          <w:szCs w:val="32"/>
          <w:lang w:eastAsia="zh-CN"/>
        </w:rPr>
        <w:t>。</w:t>
      </w:r>
    </w:p>
    <w:p w14:paraId="224416C8">
      <w:pPr>
        <w:spacing w:line="560" w:lineRule="exact"/>
        <w:ind w:firstLine="640" w:firstLineChars="200"/>
        <w:rPr>
          <w:rFonts w:eastAsia="仿宋_GB2312"/>
          <w:color w:val="auto"/>
          <w:sz w:val="32"/>
          <w:szCs w:val="32"/>
        </w:rPr>
      </w:pPr>
      <w:r>
        <w:rPr>
          <w:rFonts w:hint="eastAsia" w:eastAsia="仿宋_GB2312"/>
          <w:color w:val="auto"/>
          <w:sz w:val="32"/>
          <w:szCs w:val="32"/>
        </w:rPr>
        <w:t>水电站：装机5万千瓦以下的改建、扩建常规水电站项目；装机30万千瓦以下且不涉及环境敏感区的抽水蓄能电站项目。</w:t>
      </w:r>
    </w:p>
    <w:p w14:paraId="7386C30A">
      <w:pPr>
        <w:spacing w:line="560" w:lineRule="exact"/>
        <w:ind w:firstLine="640" w:firstLineChars="200"/>
        <w:rPr>
          <w:rFonts w:eastAsia="仿宋_GB2312"/>
          <w:color w:val="auto"/>
          <w:sz w:val="32"/>
          <w:szCs w:val="32"/>
        </w:rPr>
      </w:pPr>
      <w:r>
        <w:rPr>
          <w:rFonts w:hint="eastAsia" w:eastAsia="仿宋_GB2312"/>
          <w:color w:val="auto"/>
          <w:sz w:val="32"/>
          <w:szCs w:val="32"/>
        </w:rPr>
        <w:t>生物质发电：</w:t>
      </w:r>
      <w:r>
        <w:rPr>
          <w:rFonts w:hint="eastAsia" w:eastAsia="仿宋_GB2312"/>
          <w:color w:val="auto"/>
          <w:sz w:val="32"/>
          <w:szCs w:val="32"/>
          <w:lang w:eastAsia="zh-CN"/>
        </w:rPr>
        <w:t>全部</w:t>
      </w:r>
      <w:r>
        <w:rPr>
          <w:rFonts w:hint="eastAsia" w:eastAsia="仿宋_GB2312"/>
          <w:color w:val="auto"/>
          <w:sz w:val="32"/>
          <w:szCs w:val="32"/>
        </w:rPr>
        <w:t>项目。</w:t>
      </w:r>
    </w:p>
    <w:p w14:paraId="36035B6F">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其他能源发电：</w:t>
      </w:r>
      <w:r>
        <w:rPr>
          <w:rFonts w:hint="eastAsia" w:eastAsia="仿宋_GB2312"/>
          <w:color w:val="auto"/>
          <w:sz w:val="32"/>
          <w:szCs w:val="32"/>
          <w:lang w:eastAsia="zh-CN"/>
        </w:rPr>
        <w:t>陆地利用地热、太阳能热等发电项目。</w:t>
      </w:r>
    </w:p>
    <w:p w14:paraId="60975052">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煤炭开采和洗选业:新增规模90万吨/年以下的新建、扩建煤炭开采项目；改建项目</w:t>
      </w:r>
      <w:r>
        <w:rPr>
          <w:rFonts w:hint="eastAsia" w:eastAsia="仿宋_GB2312"/>
          <w:color w:val="auto"/>
          <w:sz w:val="32"/>
          <w:szCs w:val="32"/>
          <w:lang w:eastAsia="zh-CN"/>
        </w:rPr>
        <w:t>；矿区修复治理工程项目。</w:t>
      </w:r>
    </w:p>
    <w:p w14:paraId="23CA00AC">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黑色金属矿采选业:新增规模30万吨/年以下的新建、扩建铁矿开采项目;</w:t>
      </w:r>
      <w:r>
        <w:rPr>
          <w:rFonts w:hint="eastAsia" w:eastAsia="仿宋_GB2312"/>
          <w:color w:val="auto"/>
          <w:sz w:val="32"/>
          <w:szCs w:val="32"/>
          <w:lang w:eastAsia="zh-CN"/>
        </w:rPr>
        <w:t>除铁矿开采的</w:t>
      </w:r>
      <w:r>
        <w:rPr>
          <w:rFonts w:hint="eastAsia" w:eastAsia="仿宋_GB2312"/>
          <w:color w:val="auto"/>
          <w:sz w:val="32"/>
          <w:szCs w:val="32"/>
        </w:rPr>
        <w:t>矿山采选项目</w:t>
      </w:r>
      <w:r>
        <w:rPr>
          <w:rFonts w:hint="eastAsia" w:eastAsia="仿宋_GB2312"/>
          <w:color w:val="auto"/>
          <w:sz w:val="32"/>
          <w:szCs w:val="32"/>
          <w:lang w:eastAsia="zh-CN"/>
        </w:rPr>
        <w:t>；矿区修复治理工程项目。</w:t>
      </w:r>
    </w:p>
    <w:p w14:paraId="7122A9D4">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有色金属矿采选业:稀土冶炼分离项目；稀土深加工项目；新增30万吨/年以下的有色金属矿开采项目和金矿采选项目；矿区修复治理工程项目。</w:t>
      </w:r>
    </w:p>
    <w:p w14:paraId="760B95D0">
      <w:pPr>
        <w:spacing w:line="560" w:lineRule="exact"/>
        <w:ind w:firstLine="640" w:firstLineChars="200"/>
        <w:rPr>
          <w:rFonts w:hint="eastAsia" w:eastAsia="仿宋_GB2312"/>
          <w:color w:val="auto"/>
          <w:sz w:val="32"/>
          <w:szCs w:val="32"/>
        </w:rPr>
      </w:pPr>
      <w:r>
        <w:rPr>
          <w:rFonts w:hint="eastAsia" w:eastAsia="仿宋_GB2312"/>
          <w:color w:val="auto"/>
          <w:sz w:val="32"/>
          <w:szCs w:val="32"/>
        </w:rPr>
        <w:t>陆地石油开采</w:t>
      </w:r>
      <w:r>
        <w:rPr>
          <w:rFonts w:hint="eastAsia" w:eastAsia="仿宋_GB2312"/>
          <w:color w:val="auto"/>
          <w:sz w:val="32"/>
          <w:szCs w:val="32"/>
          <w:lang w:eastAsia="zh-CN"/>
        </w:rPr>
        <w:t>、陆地天然气开采</w:t>
      </w:r>
      <w:r>
        <w:rPr>
          <w:rFonts w:hint="eastAsia" w:eastAsia="仿宋_GB2312"/>
          <w:color w:val="auto"/>
          <w:sz w:val="32"/>
          <w:szCs w:val="32"/>
        </w:rPr>
        <w:t>：应编制环境影响报告书的项目。</w:t>
      </w:r>
    </w:p>
    <w:p w14:paraId="1E30025D">
      <w:pPr>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eastAsia="zh-CN"/>
        </w:rPr>
        <w:t>非金属矿采选业：</w:t>
      </w:r>
      <w:r>
        <w:rPr>
          <w:rFonts w:hint="eastAsia" w:eastAsia="仿宋_GB2312"/>
          <w:color w:val="auto"/>
          <w:sz w:val="32"/>
          <w:szCs w:val="32"/>
        </w:rPr>
        <w:t>应编制环境影响报告书的项目</w:t>
      </w:r>
      <w:r>
        <w:rPr>
          <w:rFonts w:hint="eastAsia" w:eastAsia="仿宋_GB2312"/>
          <w:color w:val="auto"/>
          <w:sz w:val="32"/>
          <w:szCs w:val="32"/>
          <w:lang w:eastAsia="zh-CN"/>
        </w:rPr>
        <w:t>；矿区修复治理工程项目。</w:t>
      </w:r>
    </w:p>
    <w:p w14:paraId="7EBAF5BC">
      <w:pPr>
        <w:spacing w:line="560" w:lineRule="exact"/>
        <w:ind w:firstLine="640" w:firstLineChars="200"/>
        <w:rPr>
          <w:rFonts w:hint="eastAsia" w:eastAsia="仿宋_GB2312"/>
          <w:b/>
          <w:color w:val="auto"/>
          <w:sz w:val="32"/>
          <w:szCs w:val="32"/>
          <w:lang w:eastAsia="zh-CN"/>
        </w:rPr>
      </w:pPr>
      <w:r>
        <w:rPr>
          <w:rFonts w:hint="eastAsia" w:ascii="黑体" w:hAnsi="黑体" w:eastAsia="黑体" w:cs="黑体"/>
          <w:b w:val="0"/>
          <w:bCs/>
          <w:color w:val="auto"/>
          <w:sz w:val="32"/>
          <w:szCs w:val="32"/>
          <w:lang w:eastAsia="zh-CN"/>
        </w:rPr>
        <w:t>四、交通运输和管线运输、仓储</w:t>
      </w:r>
    </w:p>
    <w:p w14:paraId="7C534826">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交通运输：全部等级公路、城市道路、铁路、铁路枢纽、城市轨道交通、机场项目。</w:t>
      </w:r>
    </w:p>
    <w:p w14:paraId="75013487">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管线运输：应编制环境影响报告书的项目。</w:t>
      </w:r>
    </w:p>
    <w:p w14:paraId="187993E3">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油库、汽库：总容量</w:t>
      </w:r>
      <w:r>
        <w:rPr>
          <w:rFonts w:hint="eastAsia" w:eastAsia="仿宋_GB2312"/>
          <w:color w:val="auto"/>
          <w:sz w:val="32"/>
          <w:szCs w:val="32"/>
          <w:lang w:val="en-US" w:eastAsia="zh-CN"/>
        </w:rPr>
        <w:t>20万立方米及以上的油库项目；地下油库、地下汽库项目。</w:t>
      </w:r>
    </w:p>
    <w:p w14:paraId="0142A037">
      <w:pPr>
        <w:spacing w:line="560" w:lineRule="exact"/>
        <w:ind w:firstLine="640" w:firstLineChars="200"/>
        <w:rPr>
          <w:rFonts w:hint="eastAsia" w:eastAsia="仿宋_GB2312"/>
          <w:b/>
          <w:color w:val="auto"/>
          <w:sz w:val="32"/>
          <w:szCs w:val="32"/>
          <w:lang w:eastAsia="zh-CN"/>
        </w:rPr>
      </w:pPr>
      <w:r>
        <w:rPr>
          <w:rFonts w:hint="eastAsia" w:ascii="黑体" w:hAnsi="黑体" w:eastAsia="黑体" w:cs="黑体"/>
          <w:b w:val="0"/>
          <w:bCs/>
          <w:color w:val="auto"/>
          <w:sz w:val="32"/>
          <w:szCs w:val="32"/>
          <w:lang w:eastAsia="zh-CN"/>
        </w:rPr>
        <w:t>五、制造业</w:t>
      </w:r>
    </w:p>
    <w:p w14:paraId="3868CC65">
      <w:pPr>
        <w:spacing w:line="560" w:lineRule="exact"/>
        <w:ind w:firstLine="640" w:firstLineChars="200"/>
        <w:rPr>
          <w:rFonts w:hint="eastAsia" w:eastAsia="仿宋_GB2312"/>
          <w:color w:val="auto"/>
          <w:sz w:val="32"/>
          <w:szCs w:val="32"/>
        </w:rPr>
      </w:pPr>
      <w:r>
        <w:rPr>
          <w:rFonts w:hint="eastAsia" w:eastAsia="仿宋_GB2312"/>
          <w:color w:val="auto"/>
          <w:sz w:val="32"/>
          <w:szCs w:val="32"/>
          <w:lang w:eastAsia="zh-CN"/>
        </w:rPr>
        <w:t>石油、煤炭及其他燃料加工</w:t>
      </w:r>
      <w:r>
        <w:rPr>
          <w:rFonts w:hint="eastAsia" w:eastAsia="仿宋_GB2312"/>
          <w:color w:val="auto"/>
          <w:sz w:val="32"/>
          <w:szCs w:val="32"/>
        </w:rPr>
        <w:t>：除一次炼油</w:t>
      </w:r>
      <w:r>
        <w:rPr>
          <w:rFonts w:hint="eastAsia" w:eastAsia="仿宋_GB2312"/>
          <w:color w:val="auto"/>
          <w:sz w:val="32"/>
          <w:szCs w:val="32"/>
          <w:lang w:eastAsia="zh-CN"/>
        </w:rPr>
        <w:t>项目（沥青装置除外）、新建</w:t>
      </w:r>
      <w:r>
        <w:rPr>
          <w:rFonts w:hint="eastAsia" w:eastAsia="仿宋_GB2312"/>
          <w:color w:val="auto"/>
          <w:sz w:val="32"/>
          <w:szCs w:val="32"/>
        </w:rPr>
        <w:t>乙烯</w:t>
      </w:r>
      <w:r>
        <w:rPr>
          <w:rFonts w:hint="eastAsia" w:eastAsia="仿宋_GB2312"/>
          <w:color w:val="auto"/>
          <w:sz w:val="32"/>
          <w:szCs w:val="32"/>
          <w:lang w:eastAsia="zh-CN"/>
        </w:rPr>
        <w:t>项目</w:t>
      </w:r>
      <w:r>
        <w:rPr>
          <w:rFonts w:hint="eastAsia" w:eastAsia="仿宋_GB2312"/>
          <w:color w:val="auto"/>
          <w:sz w:val="32"/>
          <w:szCs w:val="32"/>
        </w:rPr>
        <w:t>、新建对二甲苯、二苯基甲烷二异氰酸酯</w:t>
      </w:r>
      <w:r>
        <w:rPr>
          <w:rFonts w:hint="eastAsia" w:eastAsia="仿宋_GB2312"/>
          <w:color w:val="auto"/>
          <w:sz w:val="32"/>
          <w:szCs w:val="32"/>
          <w:lang w:eastAsia="zh-CN"/>
        </w:rPr>
        <w:t>项目、煤化工（含煤制氮肥、低阶煤分质利用）以外的应编制环境影响报告书的项目。</w:t>
      </w:r>
    </w:p>
    <w:p w14:paraId="57964E31">
      <w:pPr>
        <w:spacing w:line="560" w:lineRule="exact"/>
        <w:ind w:firstLine="640" w:firstLineChars="200"/>
        <w:rPr>
          <w:rFonts w:hint="eastAsia" w:eastAsia="仿宋_GB2312"/>
          <w:color w:val="auto"/>
          <w:sz w:val="32"/>
          <w:szCs w:val="32"/>
        </w:rPr>
      </w:pPr>
      <w:r>
        <w:rPr>
          <w:rFonts w:hint="eastAsia" w:eastAsia="仿宋_GB2312"/>
          <w:color w:val="auto"/>
          <w:sz w:val="32"/>
          <w:szCs w:val="32"/>
          <w:lang w:eastAsia="zh-CN"/>
        </w:rPr>
        <w:t>化学原料和化学制品制造</w:t>
      </w:r>
      <w:r>
        <w:rPr>
          <w:rFonts w:hint="eastAsia" w:eastAsia="仿宋_GB2312"/>
          <w:color w:val="auto"/>
          <w:sz w:val="32"/>
          <w:szCs w:val="32"/>
        </w:rPr>
        <w:t>：全部项目。</w:t>
      </w:r>
    </w:p>
    <w:p w14:paraId="16C42532">
      <w:pPr>
        <w:spacing w:line="560" w:lineRule="exact"/>
        <w:ind w:firstLine="640" w:firstLineChars="200"/>
        <w:rPr>
          <w:rFonts w:hint="eastAsia" w:eastAsia="仿宋_GB2312"/>
          <w:color w:val="auto"/>
          <w:sz w:val="32"/>
          <w:szCs w:val="32"/>
        </w:rPr>
      </w:pPr>
      <w:r>
        <w:rPr>
          <w:rFonts w:hint="eastAsia" w:eastAsia="仿宋_GB2312"/>
          <w:color w:val="auto"/>
          <w:sz w:val="32"/>
          <w:szCs w:val="32"/>
        </w:rPr>
        <w:t>医药</w:t>
      </w:r>
      <w:r>
        <w:rPr>
          <w:rFonts w:hint="eastAsia" w:eastAsia="仿宋_GB2312"/>
          <w:color w:val="auto"/>
          <w:sz w:val="32"/>
          <w:szCs w:val="32"/>
          <w:lang w:eastAsia="zh-CN"/>
        </w:rPr>
        <w:t>、农药</w:t>
      </w:r>
      <w:r>
        <w:rPr>
          <w:rFonts w:hint="eastAsia" w:eastAsia="仿宋_GB2312"/>
          <w:color w:val="auto"/>
          <w:sz w:val="32"/>
          <w:szCs w:val="32"/>
        </w:rPr>
        <w:t>：</w:t>
      </w:r>
      <w:r>
        <w:rPr>
          <w:rFonts w:hint="eastAsia" w:eastAsia="仿宋_GB2312"/>
          <w:color w:val="auto"/>
          <w:sz w:val="32"/>
          <w:szCs w:val="32"/>
          <w:lang w:eastAsia="zh-CN"/>
        </w:rPr>
        <w:t>全部</w:t>
      </w:r>
      <w:r>
        <w:rPr>
          <w:rFonts w:hint="eastAsia" w:eastAsia="仿宋_GB2312"/>
          <w:color w:val="auto"/>
          <w:sz w:val="32"/>
          <w:szCs w:val="32"/>
        </w:rPr>
        <w:t>项目。</w:t>
      </w:r>
    </w:p>
    <w:p w14:paraId="420B51F6">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化学纤维、橡胶和塑料制品：应编制环境影响报告书的项目。</w:t>
      </w:r>
    </w:p>
    <w:p w14:paraId="082C67B1">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eastAsia="zh-CN"/>
        </w:rPr>
        <w:t>非金属矿物制品</w:t>
      </w:r>
      <w:r>
        <w:rPr>
          <w:rFonts w:hint="eastAsia" w:eastAsia="仿宋_GB2312"/>
          <w:color w:val="auto"/>
          <w:sz w:val="32"/>
          <w:szCs w:val="32"/>
          <w:lang w:val="en-US" w:eastAsia="zh-CN"/>
        </w:rPr>
        <w:t>：除水泥熟料和平板玻璃制造外应编制环境影响报告书的项目；镁质耐火材料制造（新建工业炉窑的）项目。</w:t>
      </w:r>
    </w:p>
    <w:p w14:paraId="5662F2BD">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钢铁：短流程炼钢项目；钢压延加工项目。</w:t>
      </w:r>
    </w:p>
    <w:p w14:paraId="5EEA05E2">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有色金属压延加工：全部项目。</w:t>
      </w:r>
    </w:p>
    <w:p w14:paraId="413E29A4">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汽车制造：全部项目。</w:t>
      </w:r>
    </w:p>
    <w:p w14:paraId="504435EB">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val="en-US" w:eastAsia="zh-CN"/>
        </w:rPr>
        <w:t>金属制品；</w:t>
      </w:r>
      <w:r>
        <w:rPr>
          <w:rFonts w:hint="eastAsia" w:eastAsia="仿宋_GB2312"/>
          <w:color w:val="auto"/>
          <w:sz w:val="32"/>
          <w:szCs w:val="32"/>
          <w:lang w:eastAsia="zh-CN"/>
        </w:rPr>
        <w:t>通用设备制造；专用设备制造；铁路、船舶、航空航天和其他运输设备制造；电器机械和器材制造；计算机、通信和其他电子设备制造；仪器仪表制造；其他制造；金属制品、机械和设备修理：应编制环境影响报告书的项目。</w:t>
      </w:r>
    </w:p>
    <w:p w14:paraId="70F0451C">
      <w:pPr>
        <w:numPr>
          <w:ilvl w:val="0"/>
          <w:numId w:val="0"/>
        </w:num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eastAsia="仿宋_GB2312"/>
          <w:b w:val="0"/>
          <w:bCs/>
          <w:color w:val="auto"/>
          <w:sz w:val="32"/>
          <w:szCs w:val="32"/>
          <w:lang w:eastAsia="zh-CN"/>
        </w:rPr>
        <w:t>废弃资源综合利用：</w:t>
      </w:r>
      <w:r>
        <w:rPr>
          <w:rFonts w:hint="eastAsia" w:ascii="Times New Roman" w:hAnsi="Times New Roman" w:eastAsia="仿宋_GB2312" w:cs="Times New Roman"/>
          <w:color w:val="auto"/>
          <w:sz w:val="32"/>
          <w:szCs w:val="32"/>
          <w:lang w:val="en-US" w:eastAsia="zh-CN"/>
        </w:rPr>
        <w:t>全部项目。</w:t>
      </w:r>
    </w:p>
    <w:p w14:paraId="08ECBFC3">
      <w:pPr>
        <w:spacing w:line="560" w:lineRule="exact"/>
        <w:ind w:firstLine="640" w:firstLineChars="200"/>
        <w:rPr>
          <w:rFonts w:hint="default" w:eastAsia="仿宋_GB2312"/>
          <w:color w:val="auto"/>
          <w:sz w:val="32"/>
          <w:szCs w:val="32"/>
          <w:highlight w:val="yellow"/>
          <w:lang w:val="en-US" w:eastAsia="zh-CN"/>
        </w:rPr>
      </w:pPr>
      <w:r>
        <w:rPr>
          <w:rFonts w:hint="eastAsia" w:eastAsia="仿宋_GB2312"/>
          <w:color w:val="auto"/>
          <w:sz w:val="32"/>
          <w:szCs w:val="32"/>
          <w:highlight w:val="none"/>
          <w:lang w:val="en-US" w:eastAsia="zh-CN"/>
        </w:rPr>
        <w:t>农副食品加工；食品制造；、酒、饮料制造；纺织；纺织服装、服饰；皮革、毛坯、羽毛及其制品和制鞋；木材加工和木、竹、藤、棕、草制品；家具制造；造纸和纸制品；印刷和记录媒介复制；文教、美工、体育和娱乐用品制造：</w:t>
      </w:r>
      <w:r>
        <w:rPr>
          <w:rFonts w:hint="eastAsia" w:eastAsia="仿宋_GB2312"/>
          <w:color w:val="auto"/>
          <w:sz w:val="32"/>
          <w:szCs w:val="32"/>
          <w:highlight w:val="none"/>
          <w:lang w:eastAsia="zh-CN"/>
        </w:rPr>
        <w:t>应编制环境影响报告书的项目。</w:t>
      </w:r>
    </w:p>
    <w:p w14:paraId="07D1FED1">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六、环境和公共设施</w:t>
      </w:r>
    </w:p>
    <w:p w14:paraId="284429A2">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热力生产和供应：</w:t>
      </w:r>
      <w:r>
        <w:rPr>
          <w:rFonts w:hint="eastAsia" w:eastAsia="仿宋_GB2312"/>
          <w:color w:val="auto"/>
          <w:sz w:val="32"/>
          <w:szCs w:val="32"/>
          <w:lang w:eastAsia="zh-CN"/>
        </w:rPr>
        <w:t>全部</w:t>
      </w:r>
      <w:r>
        <w:rPr>
          <w:rFonts w:hint="eastAsia" w:eastAsia="仿宋_GB2312"/>
          <w:color w:val="auto"/>
          <w:sz w:val="32"/>
          <w:szCs w:val="32"/>
        </w:rPr>
        <w:t>燃煤</w:t>
      </w:r>
      <w:r>
        <w:rPr>
          <w:rFonts w:hint="eastAsia" w:eastAsia="仿宋_GB2312"/>
          <w:color w:val="auto"/>
          <w:sz w:val="32"/>
          <w:szCs w:val="32"/>
          <w:lang w:eastAsia="zh-CN"/>
        </w:rPr>
        <w:t>锅炉项目；其他应编制环境影响报告书的项目。</w:t>
      </w:r>
    </w:p>
    <w:p w14:paraId="68462D85">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燃气生产和供应：应编制环境影响报告书的项目。</w:t>
      </w:r>
    </w:p>
    <w:p w14:paraId="7096871D">
      <w:pPr>
        <w:spacing w:line="560" w:lineRule="exact"/>
        <w:ind w:firstLine="640" w:firstLineChars="200"/>
        <w:rPr>
          <w:rFonts w:hint="eastAsia" w:eastAsia="仿宋_GB2312"/>
          <w:color w:val="auto"/>
          <w:sz w:val="32"/>
          <w:szCs w:val="32"/>
        </w:rPr>
      </w:pPr>
      <w:r>
        <w:rPr>
          <w:rFonts w:hint="eastAsia" w:eastAsia="仿宋_GB2312"/>
          <w:color w:val="auto"/>
          <w:sz w:val="32"/>
          <w:szCs w:val="32"/>
        </w:rPr>
        <w:t>污水处理</w:t>
      </w:r>
      <w:r>
        <w:rPr>
          <w:rFonts w:hint="eastAsia" w:eastAsia="仿宋_GB2312"/>
          <w:color w:val="auto"/>
          <w:sz w:val="32"/>
          <w:szCs w:val="32"/>
          <w:lang w:eastAsia="zh-CN"/>
        </w:rPr>
        <w:t>及其再生利用</w:t>
      </w:r>
      <w:r>
        <w:rPr>
          <w:rFonts w:hint="eastAsia" w:eastAsia="仿宋_GB2312"/>
          <w:color w:val="auto"/>
          <w:sz w:val="32"/>
          <w:szCs w:val="32"/>
        </w:rPr>
        <w:t>：应编制环境影响报告书的项目。</w:t>
      </w:r>
    </w:p>
    <w:p w14:paraId="74535CB3">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危险废物利用及处置：除省生态环境厅审批的项目以外的项目。</w:t>
      </w:r>
    </w:p>
    <w:p w14:paraId="42AEA4C0">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医疗废物处置、病死及病害动物无害化处理；一般工业固体废物、建筑施工废弃物处置及综合利用：应编制环境影响报告书的项目。</w:t>
      </w:r>
    </w:p>
    <w:p w14:paraId="500AA09E">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eastAsia="zh-CN"/>
        </w:rPr>
        <w:t>生活垃圾集中处置：应编制环境影响报告书的项目</w:t>
      </w:r>
      <w:r>
        <w:rPr>
          <w:rFonts w:hint="eastAsia" w:eastAsia="仿宋_GB2312"/>
          <w:color w:val="auto"/>
          <w:sz w:val="32"/>
          <w:szCs w:val="32"/>
          <w:lang w:val="en-US" w:eastAsia="zh-CN"/>
        </w:rPr>
        <w:t>。</w:t>
      </w:r>
    </w:p>
    <w:p w14:paraId="1091545B">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val="en-US" w:eastAsia="zh-CN"/>
        </w:rPr>
        <w:t>卫生、社会事业与服务业：应编制环境影响报告书的项目。</w:t>
      </w:r>
    </w:p>
    <w:p w14:paraId="04ECC8FB">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七、核与辐射</w:t>
      </w:r>
    </w:p>
    <w:p w14:paraId="3C0C0C7E">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lang w:eastAsia="zh-CN"/>
        </w:rPr>
        <w:t>射线装置：</w:t>
      </w:r>
      <w:r>
        <w:rPr>
          <w:rFonts w:hint="eastAsia" w:eastAsia="仿宋_GB2312"/>
          <w:color w:val="auto"/>
          <w:sz w:val="32"/>
          <w:szCs w:val="32"/>
        </w:rPr>
        <w:t>《射线装置分类》中的工业用X射线计算机断层扫描（CT）装置、工业用X射线探伤装置</w:t>
      </w:r>
      <w:r>
        <w:rPr>
          <w:rFonts w:hint="eastAsia" w:eastAsia="仿宋_GB2312"/>
          <w:color w:val="auto"/>
          <w:sz w:val="32"/>
          <w:szCs w:val="32"/>
          <w:lang w:eastAsia="zh-CN"/>
        </w:rPr>
        <w:t>项目。</w:t>
      </w:r>
    </w:p>
    <w:p w14:paraId="451EDDB9">
      <w:pPr>
        <w:spacing w:line="560" w:lineRule="exact"/>
        <w:ind w:firstLine="640" w:firstLineChars="200"/>
        <w:rPr>
          <w:rFonts w:hint="default" w:eastAsia="仿宋_GB2312"/>
          <w:color w:val="auto"/>
          <w:sz w:val="32"/>
          <w:szCs w:val="32"/>
          <w:lang w:val="en-US" w:eastAsia="zh-CN"/>
        </w:rPr>
      </w:pPr>
      <w:r>
        <w:rPr>
          <w:rFonts w:hint="eastAsia" w:eastAsia="仿宋_GB2312"/>
          <w:color w:val="auto"/>
          <w:sz w:val="32"/>
          <w:szCs w:val="32"/>
          <w:lang w:eastAsia="zh-CN"/>
        </w:rPr>
        <w:t>输变电工程：</w:t>
      </w:r>
      <w:r>
        <w:rPr>
          <w:rFonts w:hint="eastAsia" w:eastAsia="仿宋_GB2312"/>
          <w:color w:val="auto"/>
          <w:sz w:val="32"/>
          <w:szCs w:val="32"/>
          <w:lang w:val="en-US" w:eastAsia="zh-CN"/>
        </w:rPr>
        <w:t>500千伏以下的项目。</w:t>
      </w:r>
    </w:p>
    <w:p w14:paraId="5BC5538D">
      <w:pPr>
        <w:spacing w:line="560" w:lineRule="exact"/>
        <w:ind w:firstLine="640" w:firstLineChars="200"/>
        <w:rPr>
          <w:rFonts w:hint="eastAsia" w:eastAsia="仿宋_GB2312"/>
          <w:b/>
          <w:color w:val="auto"/>
          <w:sz w:val="32"/>
          <w:szCs w:val="32"/>
          <w:lang w:eastAsia="zh-CN"/>
        </w:rPr>
      </w:pPr>
      <w:r>
        <w:rPr>
          <w:rFonts w:hint="eastAsia" w:ascii="黑体" w:hAnsi="黑体" w:eastAsia="黑体" w:cs="黑体"/>
          <w:b w:val="0"/>
          <w:bCs/>
          <w:color w:val="auto"/>
          <w:sz w:val="32"/>
          <w:szCs w:val="32"/>
          <w:lang w:eastAsia="zh-CN"/>
        </w:rPr>
        <w:t>八、研究和试验发展</w:t>
      </w:r>
    </w:p>
    <w:p w14:paraId="4CA649DB">
      <w:pPr>
        <w:spacing w:line="560" w:lineRule="exact"/>
        <w:ind w:firstLine="640" w:firstLineChars="200"/>
        <w:rPr>
          <w:rFonts w:hint="eastAsia" w:eastAsia="仿宋_GB2312"/>
          <w:color w:val="auto"/>
          <w:sz w:val="32"/>
          <w:szCs w:val="32"/>
          <w:lang w:val="en-US" w:eastAsia="zh-CN"/>
        </w:rPr>
      </w:pPr>
      <w:r>
        <w:rPr>
          <w:rFonts w:hint="eastAsia" w:eastAsia="仿宋_GB2312"/>
          <w:color w:val="auto"/>
          <w:sz w:val="32"/>
          <w:szCs w:val="32"/>
          <w:lang w:eastAsia="zh-CN"/>
        </w:rPr>
        <w:t>全部</w:t>
      </w:r>
      <w:r>
        <w:rPr>
          <w:rFonts w:hint="eastAsia" w:eastAsia="仿宋_GB2312"/>
          <w:color w:val="auto"/>
          <w:sz w:val="32"/>
          <w:szCs w:val="32"/>
          <w:lang w:val="en-US" w:eastAsia="zh-CN"/>
        </w:rPr>
        <w:t>项目。</w:t>
      </w:r>
    </w:p>
    <w:p w14:paraId="1D40DAD4">
      <w:pPr>
        <w:spacing w:line="560" w:lineRule="exact"/>
        <w:ind w:firstLine="640" w:firstLineChars="200"/>
        <w:rPr>
          <w:rFonts w:hint="eastAsia" w:ascii="黑体" w:hAnsi="黑体" w:eastAsia="黑体" w:cs="黑体"/>
          <w:b w:val="0"/>
          <w:bCs/>
          <w:color w:val="auto"/>
          <w:sz w:val="32"/>
          <w:szCs w:val="32"/>
          <w:lang w:eastAsia="zh-CN"/>
        </w:rPr>
      </w:pPr>
      <w:r>
        <w:rPr>
          <w:rFonts w:hint="eastAsia" w:ascii="黑体" w:hAnsi="黑体" w:eastAsia="黑体" w:cs="黑体"/>
          <w:b w:val="0"/>
          <w:bCs/>
          <w:color w:val="auto"/>
          <w:sz w:val="32"/>
          <w:szCs w:val="32"/>
          <w:lang w:eastAsia="zh-CN"/>
        </w:rPr>
        <w:t>九、其他</w:t>
      </w:r>
    </w:p>
    <w:p w14:paraId="44BEEBB3">
      <w:pPr>
        <w:spacing w:line="560" w:lineRule="exact"/>
        <w:ind w:firstLine="640" w:firstLineChars="200"/>
        <w:rPr>
          <w:rFonts w:eastAsia="仿宋_GB2312"/>
          <w:color w:val="auto"/>
          <w:sz w:val="32"/>
          <w:szCs w:val="32"/>
        </w:rPr>
      </w:pPr>
      <w:r>
        <w:rPr>
          <w:rFonts w:hint="eastAsia" w:eastAsia="仿宋_GB2312"/>
          <w:color w:val="auto"/>
          <w:sz w:val="32"/>
          <w:szCs w:val="32"/>
        </w:rPr>
        <w:t>国家法律、法规、政策等规定由市级</w:t>
      </w:r>
      <w:r>
        <w:rPr>
          <w:rFonts w:hint="eastAsia" w:eastAsia="仿宋_GB2312"/>
          <w:color w:val="auto"/>
          <w:sz w:val="32"/>
          <w:szCs w:val="32"/>
          <w:lang w:eastAsia="zh-CN"/>
        </w:rPr>
        <w:t>生态环境</w:t>
      </w:r>
      <w:r>
        <w:rPr>
          <w:rFonts w:hint="eastAsia" w:eastAsia="仿宋_GB2312"/>
          <w:color w:val="auto"/>
          <w:sz w:val="32"/>
          <w:szCs w:val="32"/>
        </w:rPr>
        <w:t>部门审批环境影响评价文件的项目。</w:t>
      </w:r>
    </w:p>
    <w:p w14:paraId="10BBF053">
      <w:pPr>
        <w:spacing w:line="560" w:lineRule="exact"/>
        <w:ind w:firstLine="640" w:firstLineChars="200"/>
        <w:rPr>
          <w:rFonts w:hint="eastAsia" w:eastAsia="仿宋_GB2312"/>
          <w:color w:val="auto"/>
          <w:sz w:val="32"/>
          <w:szCs w:val="32"/>
          <w:lang w:eastAsia="zh-CN"/>
        </w:rPr>
      </w:pPr>
      <w:r>
        <w:rPr>
          <w:rFonts w:hint="eastAsia" w:eastAsia="仿宋_GB2312"/>
          <w:color w:val="auto"/>
          <w:sz w:val="32"/>
          <w:szCs w:val="32"/>
        </w:rPr>
        <w:t>市辖区内，跨区域的项目。</w:t>
      </w:r>
    </w:p>
    <w:p w14:paraId="6E5CC34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b w:val="0"/>
          <w:bCs/>
          <w:snapToGrid/>
          <w:color w:val="auto"/>
          <w:kern w:val="2"/>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E5D3A">
    <w:pPr>
      <w:pStyle w:val="10"/>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D92B3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66D92B3A">
                    <w:pPr>
                      <w:pStyle w:val="9"/>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740D884C">
    <w:pPr>
      <w:pStyle w:val="10"/>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阜新市生态环境局发布     </w:t>
    </w:r>
  </w:p>
  <w:p w14:paraId="04BF4EE3">
    <w:pPr>
      <w:pStyle w:val="10"/>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8CFC3">
    <w:pPr>
      <w:pStyle w:val="10"/>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2A32E2F6">
    <w:pPr>
      <w:pStyle w:val="10"/>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阜新市生态环境局规范性文件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0MmM2M2E5YTg5OGM1Y2I0NTc5NTM2MjVlZTQxYzgifQ=="/>
  </w:docVars>
  <w:rsids>
    <w:rsidRoot w:val="00172A27"/>
    <w:rsid w:val="019E71BD"/>
    <w:rsid w:val="04B679C3"/>
    <w:rsid w:val="05282CB1"/>
    <w:rsid w:val="07CF2E66"/>
    <w:rsid w:val="080F63D8"/>
    <w:rsid w:val="09341458"/>
    <w:rsid w:val="0B0912D7"/>
    <w:rsid w:val="152D2DCA"/>
    <w:rsid w:val="18154E0E"/>
    <w:rsid w:val="187F73B4"/>
    <w:rsid w:val="1DEC284C"/>
    <w:rsid w:val="1E6523AC"/>
    <w:rsid w:val="20CD32CA"/>
    <w:rsid w:val="22440422"/>
    <w:rsid w:val="228B2D81"/>
    <w:rsid w:val="271D6C56"/>
    <w:rsid w:val="27493457"/>
    <w:rsid w:val="30E67857"/>
    <w:rsid w:val="31A15F24"/>
    <w:rsid w:val="395347B5"/>
    <w:rsid w:val="39A232A0"/>
    <w:rsid w:val="39E745AA"/>
    <w:rsid w:val="3B5A6BBB"/>
    <w:rsid w:val="3D726E84"/>
    <w:rsid w:val="3DE06864"/>
    <w:rsid w:val="3EDA13A6"/>
    <w:rsid w:val="42F058B7"/>
    <w:rsid w:val="42F60207"/>
    <w:rsid w:val="436109F6"/>
    <w:rsid w:val="441A38D4"/>
    <w:rsid w:val="44CD3CE5"/>
    <w:rsid w:val="45E42407"/>
    <w:rsid w:val="45F547AC"/>
    <w:rsid w:val="4BC77339"/>
    <w:rsid w:val="4C9236C5"/>
    <w:rsid w:val="4E186935"/>
    <w:rsid w:val="505C172E"/>
    <w:rsid w:val="52F46F0B"/>
    <w:rsid w:val="53D8014D"/>
    <w:rsid w:val="54EF3C99"/>
    <w:rsid w:val="55E064E0"/>
    <w:rsid w:val="572C6D10"/>
    <w:rsid w:val="5A911549"/>
    <w:rsid w:val="5ABA756F"/>
    <w:rsid w:val="5DC34279"/>
    <w:rsid w:val="5FFFD760"/>
    <w:rsid w:val="608816D1"/>
    <w:rsid w:val="60EF4E7F"/>
    <w:rsid w:val="637361A6"/>
    <w:rsid w:val="64815887"/>
    <w:rsid w:val="649C3C82"/>
    <w:rsid w:val="665233C1"/>
    <w:rsid w:val="68107747"/>
    <w:rsid w:val="688E1F16"/>
    <w:rsid w:val="6AD9688B"/>
    <w:rsid w:val="6BE845A8"/>
    <w:rsid w:val="6D0E3F22"/>
    <w:rsid w:val="6FC2558A"/>
    <w:rsid w:val="73474994"/>
    <w:rsid w:val="76C15427"/>
    <w:rsid w:val="7A134F90"/>
    <w:rsid w:val="7C9011D9"/>
    <w:rsid w:val="7DC651C5"/>
    <w:rsid w:val="7E67130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qFormat/>
    <w:uiPriority w:val="1"/>
    <w:pPr>
      <w:spacing w:before="37"/>
      <w:ind w:left="1220"/>
      <w:outlineLvl w:val="3"/>
    </w:pPr>
    <w:rPr>
      <w:rFonts w:ascii="仿宋" w:hAnsi="仿宋" w:eastAsia="仿宋" w:cs="仿宋"/>
      <w:b/>
      <w:bCs/>
      <w:sz w:val="28"/>
      <w:szCs w:val="28"/>
      <w:lang w:val="zh-CN" w:eastAsia="zh-CN" w:bidi="zh-CN"/>
    </w:rPr>
  </w:style>
  <w:style w:type="character" w:default="1" w:styleId="16">
    <w:name w:val="Default Paragraph Font"/>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1"/>
    <w:rPr>
      <w:rFonts w:ascii="仿宋" w:hAnsi="仿宋" w:eastAsia="仿宋" w:cs="仿宋"/>
      <w:sz w:val="21"/>
      <w:szCs w:val="21"/>
      <w:lang w:val="zh-CN" w:eastAsia="zh-CN" w:bidi="zh-CN"/>
    </w:rPr>
  </w:style>
  <w:style w:type="paragraph" w:styleId="8">
    <w:name w:val="Body Text Indent"/>
    <w:basedOn w:val="1"/>
    <w:autoRedefine/>
    <w:qFormat/>
    <w:uiPriority w:val="0"/>
    <w:pPr>
      <w:spacing w:after="12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footnote text"/>
    <w:basedOn w:val="1"/>
    <w:unhideWhenUsed/>
    <w:qFormat/>
    <w:uiPriority w:val="99"/>
    <w:pPr>
      <w:widowControl w:val="0"/>
      <w:kinsoku/>
      <w:autoSpaceDE/>
      <w:autoSpaceDN/>
      <w:spacing w:line="576" w:lineRule="exact"/>
      <w:ind w:firstLine="640" w:firstLineChars="200"/>
      <w:textAlignment w:val="auto"/>
    </w:pPr>
    <w:rPr>
      <w:rFonts w:ascii="Times New Roman" w:hAnsi="Times New Roman" w:eastAsia="仿宋_GB2312" w:cs="宋体"/>
      <w:snapToGrid/>
      <w:color w:val="auto"/>
      <w:kern w:val="2"/>
      <w:sz w:val="18"/>
      <w:szCs w:val="24"/>
    </w:rPr>
  </w:style>
  <w:style w:type="paragraph" w:styleId="12">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3">
    <w:name w:val="Body Text First Indent 2"/>
    <w:basedOn w:val="8"/>
    <w:qFormat/>
    <w:uiPriority w:val="0"/>
    <w:pPr>
      <w:widowControl w:val="0"/>
      <w:kinsoku/>
      <w:autoSpaceDE/>
      <w:autoSpaceDN/>
      <w:adjustRightInd/>
      <w:snapToGrid/>
      <w:ind w:firstLine="420"/>
      <w:jc w:val="both"/>
      <w:textAlignment w:val="auto"/>
    </w:pPr>
    <w:rPr>
      <w:rFonts w:ascii="仿宋" w:hAnsi="仿宋" w:eastAsia="仿宋_GB2312" w:cs="仿宋"/>
      <w:snapToGrid/>
      <w:color w:val="auto"/>
      <w:szCs w:val="24"/>
      <w:lang w:eastAsia="en-U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basedOn w:val="16"/>
    <w:qFormat/>
    <w:uiPriority w:val="0"/>
    <w:rPr>
      <w:color w:val="0000FF"/>
      <w:u w:val="single"/>
    </w:rPr>
  </w:style>
  <w:style w:type="character" w:customStyle="1" w:styleId="18">
    <w:name w:val="font11"/>
    <w:basedOn w:val="16"/>
    <w:qFormat/>
    <w:uiPriority w:val="0"/>
    <w:rPr>
      <w:rFonts w:hint="eastAsia" w:ascii="宋体" w:hAnsi="宋体" w:eastAsia="宋体" w:cs="宋体"/>
      <w:color w:val="000000"/>
      <w:sz w:val="22"/>
      <w:szCs w:val="22"/>
      <w:u w:val="none"/>
    </w:rPr>
  </w:style>
  <w:style w:type="character" w:customStyle="1" w:styleId="19">
    <w:name w:val="font61"/>
    <w:basedOn w:val="16"/>
    <w:autoRedefine/>
    <w:qFormat/>
    <w:uiPriority w:val="0"/>
    <w:rPr>
      <w:rFonts w:ascii="Arial" w:hAnsi="Arial" w:cs="Arial"/>
      <w:color w:val="000000"/>
      <w:sz w:val="22"/>
      <w:szCs w:val="22"/>
      <w:u w:val="none"/>
    </w:rPr>
  </w:style>
  <w:style w:type="character" w:customStyle="1" w:styleId="20">
    <w:name w:val="font51"/>
    <w:basedOn w:val="16"/>
    <w:qFormat/>
    <w:uiPriority w:val="0"/>
    <w:rPr>
      <w:rFonts w:hint="eastAsia" w:ascii="宋体" w:hAnsi="宋体" w:eastAsia="宋体" w:cs="宋体"/>
      <w:color w:val="000000"/>
      <w:sz w:val="22"/>
      <w:szCs w:val="22"/>
      <w:u w:val="none"/>
    </w:rPr>
  </w:style>
  <w:style w:type="paragraph" w:customStyle="1" w:styleId="21">
    <w:name w:val="列出段落1"/>
    <w:basedOn w:val="1"/>
    <w:qFormat/>
    <w:uiPriority w:val="0"/>
    <w:pPr>
      <w:widowControl w:val="0"/>
      <w:kinsoku/>
      <w:autoSpaceDE/>
      <w:autoSpaceDN/>
      <w:adjustRightInd/>
      <w:snapToGrid/>
      <w:ind w:firstLine="420" w:firstLineChars="200"/>
      <w:jc w:val="both"/>
      <w:textAlignment w:val="auto"/>
    </w:pPr>
    <w:rPr>
      <w:rFonts w:ascii="Calibri" w:hAnsi="Calibri" w:eastAsia="宋体" w:cs="Calibri"/>
      <w:snapToGrid/>
      <w:color w:val="auto"/>
      <w:kern w:val="2"/>
    </w:rPr>
  </w:style>
  <w:style w:type="table" w:customStyle="1" w:styleId="22">
    <w:name w:val="Table Normal"/>
    <w:semiHidden/>
    <w:unhideWhenUsed/>
    <w:qFormat/>
    <w:uiPriority w:val="0"/>
    <w:tblPr>
      <w:tblCellMar>
        <w:top w:w="0" w:type="dxa"/>
        <w:left w:w="0" w:type="dxa"/>
        <w:bottom w:w="0" w:type="dxa"/>
        <w:right w:w="0" w:type="dxa"/>
      </w:tblCellMar>
    </w:tblPr>
  </w:style>
  <w:style w:type="character" w:customStyle="1" w:styleId="23">
    <w:name w:val="font01"/>
    <w:basedOn w:val="16"/>
    <w:qFormat/>
    <w:uiPriority w:val="0"/>
    <w:rPr>
      <w:rFonts w:hint="eastAsia" w:ascii="仿宋" w:hAnsi="仿宋" w:eastAsia="仿宋" w:cs="仿宋"/>
      <w:b/>
      <w:bCs/>
      <w:color w:val="000000"/>
      <w:sz w:val="20"/>
      <w:szCs w:val="20"/>
      <w:u w:val="none"/>
    </w:rPr>
  </w:style>
  <w:style w:type="character" w:customStyle="1" w:styleId="24">
    <w:name w:val="font31"/>
    <w:basedOn w:val="16"/>
    <w:qFormat/>
    <w:uiPriority w:val="0"/>
    <w:rPr>
      <w:rFonts w:hint="default" w:ascii="Times New Roman" w:hAnsi="Times New Roman" w:cs="Times New Roman"/>
      <w:color w:val="000000"/>
      <w:sz w:val="20"/>
      <w:szCs w:val="20"/>
      <w:u w:val="none"/>
    </w:rPr>
  </w:style>
  <w:style w:type="paragraph" w:customStyle="1" w:styleId="25">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2296</Words>
  <Characters>2337</Characters>
  <Lines>1</Lines>
  <Paragraphs>1</Paragraphs>
  <TotalTime>19</TotalTime>
  <ScaleCrop>false</ScaleCrop>
  <LinksUpToDate>false</LinksUpToDate>
  <CharactersWithSpaces>2341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我是个正经的人</cp:lastModifiedBy>
  <cp:lastPrinted>2021-10-26T11:30:00Z</cp:lastPrinted>
  <dcterms:modified xsi:type="dcterms:W3CDTF">2025-02-26T07:04:46Z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3F78C9926F0E47D29D3EF46CF779F83C_13</vt:lpwstr>
  </property>
  <property fmtid="{D5CDD505-2E9C-101B-9397-08002B2CF9AE}" pid="4" name="KSOTemplateDocerSaveRecord">
    <vt:lpwstr>eyJoZGlkIjoiZmU0MmM2M2E5YTg5OGM1Y2I0NTc5NTM2MjVlZTQxYzgiLCJ1c2VySWQiOiI5MjYyMTA5MTkifQ==</vt:lpwstr>
  </property>
</Properties>
</file>