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仿宋_GB2312" w:hAnsi="仿宋_GB2312" w:eastAsia="仿宋_GB2312" w:cs="仿宋_GB2312"/>
          <w:sz w:val="44"/>
          <w:szCs w:val="44"/>
        </w:rPr>
      </w:pPr>
    </w:p>
    <w:p>
      <w:pPr>
        <w:rPr>
          <w:rFonts w:ascii="仿宋_GB2312" w:hAnsi="仿宋_GB2312" w:eastAsia="仿宋_GB2312" w:cs="仿宋_GB2312"/>
          <w:sz w:val="28"/>
          <w:szCs w:val="28"/>
        </w:rPr>
      </w:pPr>
    </w:p>
    <w:p>
      <w:pPr>
        <w:jc w:val="center"/>
        <w:rPr>
          <w:rFonts w:ascii="仿宋_GB2312" w:hAnsi="仿宋_GB2312" w:eastAsia="仿宋_GB2312" w:cs="仿宋_GB2312"/>
          <w:color w:val="000000"/>
          <w:sz w:val="32"/>
        </w:rPr>
      </w:pPr>
      <w:r>
        <w:rPr>
          <w:rFonts w:hint="eastAsia" w:ascii="仿宋_GB2312" w:hAnsi="仿宋_GB2312" w:eastAsia="仿宋_GB2312" w:cs="仿宋_GB2312"/>
          <w:sz w:val="32"/>
        </w:rPr>
        <w:t xml:space="preserve">                            阜</w:t>
      </w:r>
      <w:r>
        <w:rPr>
          <w:rFonts w:hint="eastAsia" w:ascii="仿宋_GB2312" w:hAnsi="仿宋_GB2312" w:eastAsia="仿宋_GB2312" w:cs="仿宋_GB2312"/>
          <w:spacing w:val="-10"/>
          <w:sz w:val="32"/>
          <w:szCs w:val="32"/>
        </w:rPr>
        <w:t>环审〔202</w:t>
      </w:r>
      <w:r>
        <w:rPr>
          <w:rFonts w:hint="eastAsia" w:ascii="仿宋_GB2312" w:hAnsi="仿宋_GB2312" w:eastAsia="仿宋_GB2312" w:cs="仿宋_GB2312"/>
          <w:spacing w:val="-10"/>
          <w:sz w:val="32"/>
          <w:szCs w:val="32"/>
          <w:lang w:val="en-US" w:eastAsia="zh-CN"/>
        </w:rPr>
        <w:t>6</w:t>
      </w:r>
      <w:r>
        <w:rPr>
          <w:rFonts w:hint="eastAsia" w:ascii="仿宋_GB2312" w:hAnsi="仿宋_GB2312" w:eastAsia="仿宋_GB2312" w:cs="仿宋_GB2312"/>
          <w:spacing w:val="-10"/>
          <w:sz w:val="32"/>
          <w:szCs w:val="32"/>
        </w:rPr>
        <w:t>〕</w:t>
      </w:r>
      <w:r>
        <w:rPr>
          <w:rFonts w:hint="eastAsia" w:ascii="仿宋_GB2312" w:hAnsi="仿宋_GB2312" w:eastAsia="仿宋_GB2312" w:cs="仿宋_GB2312"/>
          <w:spacing w:val="-10"/>
          <w:sz w:val="32"/>
          <w:szCs w:val="32"/>
          <w:lang w:val="en-US" w:eastAsia="zh-CN"/>
        </w:rPr>
        <w:t>28</w:t>
      </w:r>
      <w:r>
        <w:rPr>
          <w:rFonts w:hint="eastAsia" w:ascii="仿宋_GB2312" w:hAnsi="仿宋_GB2312" w:eastAsia="仿宋_GB2312" w:cs="仿宋_GB2312"/>
          <w:spacing w:val="-10"/>
          <w:sz w:val="32"/>
          <w:szCs w:val="32"/>
        </w:rPr>
        <w:t>号</w:t>
      </w:r>
    </w:p>
    <w:p>
      <w:pPr>
        <w:spacing w:line="660" w:lineRule="exact"/>
        <w:jc w:val="center"/>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关于《阜新彰武丰田200兆瓦储能电站项目</w:t>
      </w:r>
    </w:p>
    <w:p>
      <w:pPr>
        <w:spacing w:line="660" w:lineRule="exact"/>
        <w:jc w:val="center"/>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220千伏送出工程生态环境影响</w:t>
      </w:r>
    </w:p>
    <w:p>
      <w:pPr>
        <w:spacing w:line="66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报告表》的批复</w:t>
      </w:r>
    </w:p>
    <w:p>
      <w:pPr>
        <w:jc w:val="center"/>
        <w:rPr>
          <w:rFonts w:ascii="宋体" w:hAnsi="宋体" w:eastAsia="宋体" w:cs="宋体"/>
          <w:sz w:val="32"/>
          <w:szCs w:val="32"/>
        </w:rPr>
      </w:pPr>
    </w:p>
    <w:p>
      <w:pPr>
        <w:keepNext w:val="0"/>
        <w:keepLines w:val="0"/>
        <w:pageBreakBefore w:val="0"/>
        <w:kinsoku/>
        <w:wordWrap/>
        <w:overflowPunct/>
        <w:topLinePunct w:val="0"/>
        <w:autoSpaceDE/>
        <w:autoSpaceDN/>
        <w:bidi w:val="0"/>
        <w:adjustRightInd/>
        <w:snapToGrid/>
        <w:spacing w:line="556" w:lineRule="exact"/>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国网辽宁省电力有限公司阜新供电公司 ：</w:t>
      </w:r>
    </w:p>
    <w:p>
      <w:pPr>
        <w:keepNext w:val="0"/>
        <w:keepLines w:val="0"/>
        <w:pageBreakBefore w:val="0"/>
        <w:tabs>
          <w:tab w:val="left" w:pos="3500"/>
        </w:tabs>
        <w:kinsoku/>
        <w:wordWrap/>
        <w:overflowPunct/>
        <w:topLinePunct w:val="0"/>
        <w:autoSpaceDE/>
        <w:autoSpaceDN/>
        <w:bidi w:val="0"/>
        <w:adjustRightInd/>
        <w:snapToGrid/>
        <w:spacing w:line="556" w:lineRule="exact"/>
        <w:ind w:firstLine="64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你单位报送的《阜新彰武丰田200兆瓦储能电站项目220千伏送出工程生态环境影响报告表》（以下简称《报告表》）及申请收悉，经我局建设项目审查委员会研究，批复如下：</w:t>
      </w:r>
    </w:p>
    <w:p>
      <w:pPr>
        <w:keepNext w:val="0"/>
        <w:keepLines w:val="0"/>
        <w:pageBreakBefore w:val="0"/>
        <w:numPr>
          <w:ilvl w:val="0"/>
          <w:numId w:val="1"/>
        </w:numPr>
        <w:kinsoku/>
        <w:wordWrap/>
        <w:overflowPunct/>
        <w:topLinePunct w:val="0"/>
        <w:autoSpaceDE/>
        <w:autoSpaceDN/>
        <w:bidi w:val="0"/>
        <w:adjustRightInd/>
        <w:snapToGrid/>
        <w:spacing w:line="556" w:lineRule="exact"/>
        <w:ind w:firstLine="600" w:firstLineChars="20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本项目线路位于阜新市彰武县丰田乡。本项目由拟建阜新彰武丰田200兆瓦储能电站新建1回220</w:t>
      </w:r>
      <w:r>
        <w:rPr>
          <w:rFonts w:hint="eastAsia" w:ascii="仿宋_GB2312" w:hAnsi="仿宋_GB2312" w:eastAsia="仿宋_GB2312" w:cs="仿宋_GB2312"/>
          <w:spacing w:val="-10"/>
          <w:sz w:val="32"/>
          <w:szCs w:val="32"/>
          <w:lang w:eastAsia="zh-CN"/>
        </w:rPr>
        <w:t>千伏</w:t>
      </w:r>
      <w:r>
        <w:rPr>
          <w:rFonts w:hint="eastAsia" w:ascii="仿宋_GB2312" w:hAnsi="仿宋_GB2312" w:eastAsia="仿宋_GB2312" w:cs="仿宋_GB2312"/>
          <w:spacing w:val="-10"/>
          <w:sz w:val="32"/>
          <w:szCs w:val="32"/>
        </w:rPr>
        <w:t>输电线路接入丰田500</w:t>
      </w:r>
      <w:r>
        <w:rPr>
          <w:rFonts w:hint="eastAsia" w:ascii="仿宋_GB2312" w:hAnsi="仿宋_GB2312" w:eastAsia="仿宋_GB2312" w:cs="仿宋_GB2312"/>
          <w:spacing w:val="-10"/>
          <w:sz w:val="32"/>
          <w:szCs w:val="32"/>
          <w:lang w:eastAsia="zh-CN"/>
        </w:rPr>
        <w:t>千伏</w:t>
      </w:r>
      <w:r>
        <w:rPr>
          <w:rFonts w:hint="eastAsia" w:ascii="仿宋_GB2312" w:hAnsi="仿宋_GB2312" w:eastAsia="仿宋_GB2312" w:cs="仿宋_GB2312"/>
          <w:spacing w:val="-10"/>
          <w:sz w:val="32"/>
          <w:szCs w:val="32"/>
        </w:rPr>
        <w:t>变电站，长度约为2.14</w:t>
      </w:r>
      <w:r>
        <w:rPr>
          <w:rFonts w:hint="eastAsia" w:ascii="仿宋_GB2312" w:hAnsi="仿宋_GB2312" w:eastAsia="仿宋_GB2312" w:cs="仿宋_GB2312"/>
          <w:spacing w:val="-10"/>
          <w:sz w:val="32"/>
          <w:szCs w:val="32"/>
          <w:lang w:eastAsia="zh-CN"/>
        </w:rPr>
        <w:t>千米，采用单回架设；丰田500千伏变电站预留场地内扩建1回220千伏出线间隔，不新增用地。</w:t>
      </w:r>
      <w:r>
        <w:rPr>
          <w:rFonts w:hint="eastAsia" w:ascii="仿宋_GB2312" w:hAnsi="仿宋_GB2312" w:eastAsia="仿宋_GB2312" w:cs="仿宋_GB2312"/>
          <w:spacing w:val="-10"/>
          <w:sz w:val="32"/>
          <w:szCs w:val="32"/>
        </w:rPr>
        <w:t>总投资1369万元，环保投资为33.5万元</w:t>
      </w:r>
      <w:r>
        <w:rPr>
          <w:rFonts w:hint="eastAsia" w:ascii="仿宋_GB2312" w:hAnsi="仿宋_GB2312" w:eastAsia="仿宋_GB2312" w:cs="仿宋_GB2312"/>
          <w:spacing w:val="-10"/>
          <w:sz w:val="32"/>
          <w:szCs w:val="32"/>
          <w:lang w:eastAsia="zh-CN"/>
        </w:rPr>
        <w:t>。</w:t>
      </w:r>
    </w:p>
    <w:p>
      <w:pPr>
        <w:keepNext w:val="0"/>
        <w:keepLines w:val="0"/>
        <w:pageBreakBefore w:val="0"/>
        <w:numPr>
          <w:ilvl w:val="0"/>
          <w:numId w:val="0"/>
        </w:numPr>
        <w:kinsoku/>
        <w:wordWrap/>
        <w:overflowPunct/>
        <w:topLinePunct w:val="0"/>
        <w:autoSpaceDE/>
        <w:autoSpaceDN/>
        <w:bidi w:val="0"/>
        <w:adjustRightInd/>
        <w:snapToGrid/>
        <w:spacing w:line="556" w:lineRule="exact"/>
        <w:ind w:firstLine="600" w:firstLineChars="20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color w:val="000000" w:themeColor="text1"/>
          <w:spacing w:val="-10"/>
          <w:sz w:val="32"/>
          <w:szCs w:val="32"/>
          <w14:textFill>
            <w14:solidFill>
              <w14:schemeClr w14:val="tx1"/>
            </w14:solidFill>
          </w14:textFill>
        </w:rPr>
        <w:t>二、</w:t>
      </w:r>
      <w:r>
        <w:rPr>
          <w:rFonts w:hint="eastAsia" w:ascii="仿宋_GB2312" w:hAnsi="仿宋_GB2312" w:eastAsia="仿宋_GB2312" w:cs="仿宋_GB2312"/>
          <w:spacing w:val="-10"/>
          <w:sz w:val="32"/>
          <w:szCs w:val="32"/>
        </w:rPr>
        <w:t>阜新市生态环境保护服务中心以《阜新彰武丰田200兆瓦储能电站项目220千伏送出工程生态环境影响报告表的评估意见》（阜环评估</w:t>
      </w:r>
      <w:r>
        <w:rPr>
          <w:rFonts w:hint="eastAsia" w:ascii="仿宋_GB2312" w:hAnsi="仿宋_GB2312" w:eastAsia="仿宋_GB2312" w:cs="仿宋_GB2312"/>
          <w:spacing w:val="-10"/>
          <w:sz w:val="32"/>
          <w:szCs w:val="32"/>
          <w:lang w:eastAsia="zh-CN"/>
        </w:rPr>
        <w:t>〔202</w:t>
      </w:r>
      <w:r>
        <w:rPr>
          <w:rFonts w:hint="eastAsia" w:ascii="仿宋_GB2312" w:hAnsi="仿宋_GB2312" w:eastAsia="仿宋_GB2312" w:cs="仿宋_GB2312"/>
          <w:spacing w:val="-10"/>
          <w:sz w:val="32"/>
          <w:szCs w:val="32"/>
          <w:lang w:val="en-US" w:eastAsia="zh-CN"/>
        </w:rPr>
        <w:t>6</w:t>
      </w:r>
      <w:r>
        <w:rPr>
          <w:rFonts w:hint="eastAsia" w:ascii="仿宋_GB2312" w:hAnsi="仿宋_GB2312" w:eastAsia="仿宋_GB2312" w:cs="仿宋_GB2312"/>
          <w:spacing w:val="-10"/>
          <w:sz w:val="32"/>
          <w:szCs w:val="32"/>
          <w:lang w:eastAsia="zh-CN"/>
        </w:rPr>
        <w:t>〕</w:t>
      </w:r>
      <w:r>
        <w:rPr>
          <w:rFonts w:hint="eastAsia" w:ascii="仿宋_GB2312" w:hAnsi="仿宋_GB2312" w:eastAsia="仿宋_GB2312" w:cs="仿宋_GB2312"/>
          <w:spacing w:val="-10"/>
          <w:sz w:val="32"/>
          <w:szCs w:val="32"/>
          <w:lang w:val="en-US" w:eastAsia="zh-CN"/>
        </w:rPr>
        <w:t>88</w:t>
      </w:r>
      <w:r>
        <w:rPr>
          <w:rFonts w:hint="eastAsia" w:ascii="仿宋_GB2312" w:hAnsi="仿宋_GB2312" w:eastAsia="仿宋_GB2312" w:cs="仿宋_GB2312"/>
          <w:spacing w:val="-10"/>
          <w:sz w:val="32"/>
          <w:szCs w:val="32"/>
          <w:lang w:eastAsia="zh-CN"/>
        </w:rPr>
        <w:t>号</w:t>
      </w:r>
      <w:r>
        <w:rPr>
          <w:rFonts w:hint="eastAsia" w:ascii="仿宋_GB2312" w:hAnsi="仿宋_GB2312" w:eastAsia="仿宋_GB2312" w:cs="仿宋_GB2312"/>
          <w:spacing w:val="-10"/>
          <w:sz w:val="32"/>
          <w:szCs w:val="32"/>
        </w:rPr>
        <w:t>）出具项目建设可行意见。项目符合国家产业政策，符合相关规划要求。经我局建设项目审查委员会研究，在严格落实各项环境保护措施，做到污染物</w:t>
      </w:r>
      <w:bookmarkStart w:id="0" w:name="_GoBack"/>
      <w:bookmarkEnd w:id="0"/>
      <w:r>
        <w:rPr>
          <w:rFonts w:hint="eastAsia" w:ascii="仿宋_GB2312" w:hAnsi="仿宋_GB2312" w:eastAsia="仿宋_GB2312" w:cs="仿宋_GB2312"/>
          <w:spacing w:val="-10"/>
          <w:sz w:val="32"/>
          <w:szCs w:val="32"/>
        </w:rPr>
        <w:t>达标排放、有效防控生态破坏的条件下，项目在环境保护方面是可行的。</w:t>
      </w:r>
    </w:p>
    <w:p>
      <w:pPr>
        <w:keepNext w:val="0"/>
        <w:keepLines w:val="0"/>
        <w:pageBreakBefore w:val="0"/>
        <w:kinsoku/>
        <w:wordWrap/>
        <w:overflowPunct/>
        <w:topLinePunct w:val="0"/>
        <w:autoSpaceDE/>
        <w:autoSpaceDN/>
        <w:bidi w:val="0"/>
        <w:adjustRightInd/>
        <w:snapToGrid/>
        <w:spacing w:line="556" w:lineRule="exact"/>
        <w:ind w:firstLine="600" w:firstLineChars="20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 xml:space="preserve">三、本项目应严格按照《报告表》提出的各项污染防治措施进行工程设计、建设与管理，严格执行环境保护“三同时”，应重点做好以下工作： </w:t>
      </w:r>
    </w:p>
    <w:p>
      <w:pPr>
        <w:keepNext w:val="0"/>
        <w:keepLines w:val="0"/>
        <w:pageBreakBefore w:val="0"/>
        <w:kinsoku/>
        <w:wordWrap/>
        <w:overflowPunct/>
        <w:topLinePunct w:val="0"/>
        <w:autoSpaceDE/>
        <w:autoSpaceDN/>
        <w:bidi w:val="0"/>
        <w:adjustRightInd/>
        <w:snapToGrid/>
        <w:spacing w:line="556" w:lineRule="exact"/>
        <w:ind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w:t>
      </w:r>
      <w:r>
        <w:rPr>
          <w:rFonts w:hint="eastAsia" w:ascii="仿宋_GB2312" w:hAnsi="仿宋_GB2312" w:eastAsia="仿宋_GB2312" w:cs="仿宋_GB2312"/>
          <w:spacing w:val="-10"/>
          <w:sz w:val="32"/>
          <w:szCs w:val="32"/>
        </w:rPr>
        <w:t xml:space="preserve">加强电磁污染防治。按照国家相应技术规范和设计要求进行建设，并严格落实防治工频电场、工频磁场辐射等环保措施，确保项目周边的工频电场强度、工频磁感应强度符合《电磁环境控制限值》（GB8702-2014）要求。 </w:t>
      </w:r>
    </w:p>
    <w:p>
      <w:pPr>
        <w:keepNext w:val="0"/>
        <w:keepLines w:val="0"/>
        <w:pageBreakBefore w:val="0"/>
        <w:kinsoku/>
        <w:wordWrap/>
        <w:overflowPunct/>
        <w:topLinePunct w:val="0"/>
        <w:autoSpaceDE/>
        <w:autoSpaceDN/>
        <w:bidi w:val="0"/>
        <w:adjustRightInd/>
        <w:snapToGrid/>
        <w:spacing w:line="556" w:lineRule="exact"/>
        <w:ind w:firstLine="64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z w:val="32"/>
          <w:szCs w:val="32"/>
        </w:rPr>
        <w:t>（二）</w:t>
      </w:r>
      <w:r>
        <w:rPr>
          <w:rFonts w:hint="eastAsia" w:ascii="仿宋_GB2312" w:hAnsi="仿宋_GB2312" w:eastAsia="仿宋_GB2312" w:cs="仿宋_GB2312"/>
          <w:spacing w:val="-10"/>
          <w:sz w:val="32"/>
          <w:szCs w:val="32"/>
        </w:rPr>
        <w:t>加强大气污染</w:t>
      </w:r>
      <w:r>
        <w:rPr>
          <w:rFonts w:hint="eastAsia" w:ascii="仿宋_GB2312" w:hAnsi="仿宋_GB2312" w:eastAsia="仿宋_GB2312" w:cs="仿宋_GB2312"/>
          <w:spacing w:val="-10"/>
          <w:sz w:val="32"/>
          <w:szCs w:val="32"/>
          <w:lang w:eastAsia="zh-CN"/>
        </w:rPr>
        <w:t>防治</w:t>
      </w:r>
      <w:r>
        <w:rPr>
          <w:rFonts w:hint="eastAsia" w:ascii="仿宋_GB2312" w:hAnsi="仿宋_GB2312" w:eastAsia="仿宋_GB2312" w:cs="仿宋_GB2312"/>
          <w:spacing w:val="-10"/>
          <w:sz w:val="32"/>
          <w:szCs w:val="32"/>
        </w:rPr>
        <w:t>。本项目施工场地应设置围挡，易产生扬尘的物料运输和堆放过程中应当采取</w:t>
      </w:r>
      <w:r>
        <w:rPr>
          <w:rFonts w:hint="eastAsia" w:ascii="仿宋_GB2312" w:hAnsi="仿宋_GB2312" w:eastAsia="仿宋_GB2312" w:cs="仿宋_GB2312"/>
          <w:spacing w:val="-10"/>
          <w:sz w:val="32"/>
          <w:szCs w:val="32"/>
          <w:lang w:eastAsia="zh-CN"/>
        </w:rPr>
        <w:t>苫盖、洒水等抑尘</w:t>
      </w:r>
      <w:r>
        <w:rPr>
          <w:rFonts w:hint="eastAsia" w:ascii="仿宋_GB2312" w:hAnsi="仿宋_GB2312" w:eastAsia="仿宋_GB2312" w:cs="仿宋_GB2312"/>
          <w:spacing w:val="-10"/>
          <w:sz w:val="32"/>
          <w:szCs w:val="32"/>
        </w:rPr>
        <w:t>措施。</w:t>
      </w:r>
    </w:p>
    <w:p>
      <w:pPr>
        <w:keepNext w:val="0"/>
        <w:keepLines w:val="0"/>
        <w:pageBreakBefore w:val="0"/>
        <w:kinsoku/>
        <w:wordWrap/>
        <w:overflowPunct/>
        <w:topLinePunct w:val="0"/>
        <w:autoSpaceDE/>
        <w:autoSpaceDN/>
        <w:bidi w:val="0"/>
        <w:adjustRightInd/>
        <w:snapToGrid/>
        <w:spacing w:line="556" w:lineRule="exact"/>
        <w:ind w:firstLine="64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z w:val="32"/>
          <w:szCs w:val="32"/>
        </w:rPr>
        <w:t>（三）</w:t>
      </w:r>
      <w:r>
        <w:rPr>
          <w:rFonts w:hint="eastAsia" w:ascii="仿宋_GB2312" w:hAnsi="仿宋_GB2312" w:eastAsia="仿宋_GB2312" w:cs="仿宋_GB2312"/>
          <w:spacing w:val="-10"/>
          <w:sz w:val="32"/>
          <w:szCs w:val="32"/>
        </w:rPr>
        <w:t>严格落实水污染防治措施。生活污水</w:t>
      </w:r>
      <w:r>
        <w:rPr>
          <w:rFonts w:hint="eastAsia" w:ascii="仿宋_GB2312" w:hAnsi="仿宋_GB2312" w:eastAsia="仿宋_GB2312" w:cs="仿宋_GB2312"/>
          <w:spacing w:val="-10"/>
          <w:sz w:val="32"/>
          <w:szCs w:val="32"/>
          <w:lang w:eastAsia="zh-CN"/>
        </w:rPr>
        <w:t>利用当地现有污水处理设施处理</w:t>
      </w:r>
      <w:r>
        <w:rPr>
          <w:rFonts w:hint="eastAsia" w:ascii="仿宋_GB2312" w:hAnsi="仿宋_GB2312" w:eastAsia="仿宋_GB2312" w:cs="仿宋_GB2312"/>
          <w:spacing w:val="-10"/>
          <w:sz w:val="32"/>
          <w:szCs w:val="32"/>
        </w:rPr>
        <w:t>，落实文明施工原则，不漫排施工废水。</w:t>
      </w:r>
    </w:p>
    <w:p>
      <w:pPr>
        <w:keepNext w:val="0"/>
        <w:keepLines w:val="0"/>
        <w:pageBreakBefore w:val="0"/>
        <w:kinsoku/>
        <w:wordWrap/>
        <w:overflowPunct/>
        <w:topLinePunct w:val="0"/>
        <w:autoSpaceDE/>
        <w:autoSpaceDN/>
        <w:bidi w:val="0"/>
        <w:adjustRightInd/>
        <w:snapToGrid/>
        <w:spacing w:line="556" w:lineRule="exact"/>
        <w:ind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（四）强化噪声污染防治。</w:t>
      </w:r>
      <w:r>
        <w:rPr>
          <w:rFonts w:hint="eastAsia" w:ascii="仿宋_GB2312" w:hAnsi="仿宋_GB2312" w:eastAsia="仿宋_GB2312" w:cs="仿宋_GB2312"/>
          <w:sz w:val="32"/>
          <w:szCs w:val="32"/>
          <w:lang w:eastAsia="zh-CN"/>
        </w:rPr>
        <w:t>施工期</w:t>
      </w:r>
      <w:r>
        <w:rPr>
          <w:rFonts w:hint="eastAsia" w:ascii="仿宋_GB2312" w:hAnsi="仿宋_GB2312" w:eastAsia="仿宋_GB2312" w:cs="仿宋_GB2312"/>
          <w:sz w:val="32"/>
          <w:szCs w:val="32"/>
        </w:rPr>
        <w:t>选用符合国家有关标准的低噪声施工机械和运输车辆</w:t>
      </w:r>
      <w:r>
        <w:rPr>
          <w:rFonts w:hint="eastAsia" w:ascii="仿宋_GB2312" w:hAnsi="仿宋_GB2312" w:eastAsia="仿宋_GB2312" w:cs="仿宋_GB2312"/>
          <w:sz w:val="32"/>
          <w:szCs w:val="32"/>
          <w:lang w:eastAsia="zh-CN"/>
        </w:rPr>
        <w:t>；运营期选用加工工艺水平高、表面光滑的导线减少电晕放电等措施后，丰田500千伏变电站厂界噪声满足《工业企业厂界环境噪声排放标准》（GB12348-2008）2类标准要求，输电线路运行产生的噪声满足《声环境质量标准》（GB3096-2008）中1类标准要求</w:t>
      </w:r>
      <w:r>
        <w:rPr>
          <w:rFonts w:hint="eastAsia" w:ascii="仿宋_GB2312" w:hAnsi="仿宋_GB2312" w:eastAsia="仿宋_GB2312" w:cs="仿宋_GB2312"/>
          <w:sz w:val="32"/>
          <w:szCs w:val="32"/>
        </w:rPr>
        <w:t>。</w:t>
      </w:r>
    </w:p>
    <w:p>
      <w:pPr>
        <w:keepNext w:val="0"/>
        <w:keepLines w:val="0"/>
        <w:pageBreakBefore w:val="0"/>
        <w:kinsoku/>
        <w:wordWrap/>
        <w:overflowPunct/>
        <w:topLinePunct w:val="0"/>
        <w:autoSpaceDE/>
        <w:autoSpaceDN/>
        <w:bidi w:val="0"/>
        <w:adjustRightInd/>
        <w:snapToGrid/>
        <w:spacing w:line="556" w:lineRule="exact"/>
        <w:ind w:firstLine="64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（五）生活垃圾收集后运送至环卫指定垃圾的存放地；建筑垃圾运送至指定地点处理</w:t>
      </w:r>
      <w:r>
        <w:rPr>
          <w:rFonts w:hint="eastAsia" w:ascii="仿宋_GB2312" w:hAnsi="仿宋_GB2312" w:eastAsia="仿宋_GB2312" w:cs="仿宋_GB2312"/>
          <w:sz w:val="32"/>
          <w:szCs w:val="32"/>
          <w:lang w:eastAsia="zh-CN"/>
        </w:rPr>
        <w:t>。</w:t>
      </w:r>
    </w:p>
    <w:p>
      <w:pPr>
        <w:keepNext w:val="0"/>
        <w:keepLines w:val="0"/>
        <w:pageBreakBefore w:val="0"/>
        <w:kinsoku/>
        <w:wordWrap/>
        <w:overflowPunct/>
        <w:topLinePunct w:val="0"/>
        <w:autoSpaceDE/>
        <w:autoSpaceDN/>
        <w:bidi w:val="0"/>
        <w:adjustRightInd/>
        <w:snapToGrid/>
        <w:spacing w:line="556"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（六）</w:t>
      </w:r>
      <w:r>
        <w:rPr>
          <w:rFonts w:hint="eastAsia" w:ascii="仿宋_GB2312" w:hAnsi="仿宋_GB2312" w:eastAsia="仿宋_GB2312" w:cs="仿宋_GB2312"/>
          <w:sz w:val="32"/>
          <w:szCs w:val="32"/>
          <w:lang w:val="en-US" w:eastAsia="zh-CN"/>
        </w:rPr>
        <w:t>严格落实生态保护措施，合理设计施工工期，削减施工土石方扰动量，及时恢复原有土地使用功能，有效防控生态破坏。</w:t>
      </w:r>
    </w:p>
    <w:p>
      <w:pPr>
        <w:keepNext w:val="0"/>
        <w:keepLines w:val="0"/>
        <w:pageBreakBefore w:val="0"/>
        <w:kinsoku/>
        <w:wordWrap/>
        <w:overflowPunct/>
        <w:topLinePunct w:val="0"/>
        <w:autoSpaceDE/>
        <w:autoSpaceDN/>
        <w:bidi w:val="0"/>
        <w:adjustRightInd/>
        <w:snapToGrid/>
        <w:spacing w:line="556" w:lineRule="exact"/>
        <w:ind w:firstLine="64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四、其他相关要求</w:t>
      </w:r>
    </w:p>
    <w:p>
      <w:pPr>
        <w:keepNext w:val="0"/>
        <w:keepLines w:val="0"/>
        <w:pageBreakBefore w:val="0"/>
        <w:kinsoku/>
        <w:wordWrap/>
        <w:overflowPunct/>
        <w:topLinePunct w:val="0"/>
        <w:autoSpaceDE/>
        <w:autoSpaceDN/>
        <w:bidi w:val="0"/>
        <w:adjustRightInd/>
        <w:snapToGrid/>
        <w:spacing w:line="556"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（一）</w:t>
      </w:r>
      <w:r>
        <w:rPr>
          <w:rFonts w:hint="eastAsia" w:ascii="仿宋_GB2312" w:hAnsi="仿宋_GB2312" w:eastAsia="仿宋_GB2312" w:cs="仿宋_GB2312"/>
          <w:sz w:val="32"/>
          <w:szCs w:val="32"/>
          <w:lang w:val="en-US" w:eastAsia="zh-CN"/>
        </w:rPr>
        <w:t>严格按照《报告表》所列建设内容进行建设，在建设地点、性质、规模、生产工艺、污染防治和生态保护等措施发生重大变动时需重新进行环境影响评价。</w:t>
      </w:r>
    </w:p>
    <w:p>
      <w:pPr>
        <w:keepNext w:val="0"/>
        <w:keepLines w:val="0"/>
        <w:pageBreakBefore w:val="0"/>
        <w:kinsoku/>
        <w:wordWrap/>
        <w:overflowPunct/>
        <w:topLinePunct w:val="0"/>
        <w:autoSpaceDE/>
        <w:autoSpaceDN/>
        <w:bidi w:val="0"/>
        <w:adjustRightInd/>
        <w:snapToGrid/>
        <w:spacing w:line="556"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sz w:val="32"/>
          <w:szCs w:val="32"/>
        </w:rPr>
        <w:t>（二）</w:t>
      </w:r>
      <w:r>
        <w:rPr>
          <w:rFonts w:hint="eastAsia" w:ascii="仿宋_GB2312" w:hAnsi="仿宋_GB2312" w:eastAsia="仿宋_GB2312" w:cs="仿宋_GB2312"/>
          <w:kern w:val="2"/>
          <w:sz w:val="32"/>
          <w:szCs w:val="32"/>
          <w:lang w:val="en-US" w:eastAsia="zh-CN" w:bidi="ar-SA"/>
        </w:rPr>
        <w:t>严格按照《电力设施保护条例》相关规定，落实电力线路保护措施。在工程输变电走廊电磁场影响范围内，禁止规划建设居民区等环境敏感项目。</w:t>
      </w:r>
    </w:p>
    <w:p>
      <w:pPr>
        <w:keepNext w:val="0"/>
        <w:keepLines w:val="0"/>
        <w:pageBreakBefore w:val="0"/>
        <w:kinsoku/>
        <w:wordWrap/>
        <w:overflowPunct/>
        <w:topLinePunct w:val="0"/>
        <w:autoSpaceDE/>
        <w:autoSpaceDN/>
        <w:bidi w:val="0"/>
        <w:adjustRightInd/>
        <w:snapToGrid/>
        <w:spacing w:line="556" w:lineRule="exact"/>
        <w:ind w:firstLine="64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w:t>
      </w:r>
      <w:r>
        <w:rPr>
          <w:rFonts w:hint="eastAsia" w:ascii="仿宋_GB2312" w:hAnsi="仿宋_GB2312" w:eastAsia="仿宋_GB2312" w:cs="仿宋_GB2312"/>
          <w:spacing w:val="-10"/>
          <w:sz w:val="32"/>
          <w:szCs w:val="32"/>
          <w:lang w:eastAsia="zh-CN"/>
        </w:rPr>
        <w:t>三</w:t>
      </w:r>
      <w:r>
        <w:rPr>
          <w:rFonts w:hint="eastAsia" w:ascii="仿宋_GB2312" w:hAnsi="仿宋_GB2312" w:eastAsia="仿宋_GB2312" w:cs="仿宋_GB2312"/>
          <w:spacing w:val="-10"/>
          <w:sz w:val="32"/>
          <w:szCs w:val="32"/>
        </w:rPr>
        <w:t>）</w:t>
      </w:r>
      <w:r>
        <w:rPr>
          <w:rFonts w:hint="eastAsia" w:ascii="仿宋_GB2312" w:hAnsi="仿宋_GB2312" w:eastAsia="仿宋_GB2312" w:cs="仿宋_GB2312"/>
          <w:sz w:val="32"/>
          <w:szCs w:val="32"/>
        </w:rPr>
        <w:t>在工程施工和运行过程中，需建立畅通的公众参与平台，及时解决公众担忧的环境问题，满足公众合理的环境诉求。定期发布环境信息，并主动接受社会监督。建设期和运营期若发生环境扰民投诉案件，你单位须积极配合地方政府妥善解决。</w:t>
      </w:r>
    </w:p>
    <w:p>
      <w:pPr>
        <w:keepNext w:val="0"/>
        <w:keepLines w:val="0"/>
        <w:pageBreakBefore w:val="0"/>
        <w:kinsoku/>
        <w:wordWrap/>
        <w:overflowPunct/>
        <w:topLinePunct w:val="0"/>
        <w:autoSpaceDE/>
        <w:autoSpaceDN/>
        <w:bidi w:val="0"/>
        <w:adjustRightInd/>
        <w:snapToGrid/>
        <w:spacing w:line="556"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color="auto" w:fill="FFFFFF"/>
        </w:rPr>
        <w:t>（</w:t>
      </w:r>
      <w:r>
        <w:rPr>
          <w:rFonts w:hint="eastAsia" w:ascii="仿宋_GB2312" w:hAnsi="仿宋_GB2312" w:eastAsia="仿宋_GB2312" w:cs="仿宋_GB2312"/>
          <w:sz w:val="32"/>
          <w:szCs w:val="32"/>
          <w:shd w:val="clear" w:color="auto" w:fill="FFFFFF"/>
          <w:lang w:eastAsia="zh-CN"/>
        </w:rPr>
        <w:t>四</w:t>
      </w:r>
      <w:r>
        <w:rPr>
          <w:rFonts w:hint="eastAsia" w:ascii="仿宋_GB2312" w:hAnsi="仿宋_GB2312" w:eastAsia="仿宋_GB2312" w:cs="仿宋_GB2312"/>
          <w:sz w:val="32"/>
          <w:szCs w:val="32"/>
          <w:shd w:val="clear" w:color="auto" w:fill="FFFFFF"/>
        </w:rPr>
        <w:t>）</w:t>
      </w:r>
      <w:r>
        <w:rPr>
          <w:rFonts w:hint="eastAsia" w:ascii="仿宋_GB2312" w:hAnsi="仿宋_GB2312" w:eastAsia="仿宋_GB2312" w:cs="仿宋_GB2312"/>
          <w:sz w:val="32"/>
          <w:szCs w:val="32"/>
        </w:rPr>
        <w:t>项目实施建设必须严格执行环境保护设施与主体工程同时设计、同时施工、同时投产使用的环境保护“三同时”制度，落实各项生态环境保护措施。项目建成后，应按规定程序实施竣工环境保护验收。</w:t>
      </w:r>
    </w:p>
    <w:p>
      <w:pPr>
        <w:pStyle w:val="5"/>
        <w:keepNext w:val="0"/>
        <w:keepLines w:val="0"/>
        <w:pageBreakBefore w:val="0"/>
        <w:widowControl/>
        <w:kinsoku/>
        <w:wordWrap/>
        <w:overflowPunct/>
        <w:topLinePunct w:val="0"/>
        <w:autoSpaceDE/>
        <w:autoSpaceDN/>
        <w:bidi w:val="0"/>
        <w:adjustRightInd/>
        <w:snapToGrid/>
        <w:spacing w:line="556" w:lineRule="exact"/>
        <w:ind w:firstLine="60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spacing w:val="-10"/>
          <w:sz w:val="32"/>
          <w:szCs w:val="32"/>
        </w:rPr>
        <w:t>五、</w:t>
      </w:r>
      <w:r>
        <w:rPr>
          <w:rFonts w:hint="eastAsia" w:ascii="仿宋_GB2312" w:hAnsi="仿宋_GB2312" w:eastAsia="仿宋_GB2312" w:cs="仿宋_GB2312"/>
          <w:color w:val="auto"/>
          <w:spacing w:val="-10"/>
          <w:sz w:val="32"/>
          <w:szCs w:val="32"/>
        </w:rPr>
        <w:t>彰武县生态环境部门负责该项目的环境保护“三同时”监督检查及管理工作。</w:t>
      </w:r>
    </w:p>
    <w:p>
      <w:pPr>
        <w:pStyle w:val="5"/>
        <w:keepNext w:val="0"/>
        <w:keepLines w:val="0"/>
        <w:pageBreakBefore w:val="0"/>
        <w:widowControl/>
        <w:kinsoku/>
        <w:wordWrap/>
        <w:overflowPunct/>
        <w:topLinePunct w:val="0"/>
        <w:autoSpaceDE/>
        <w:autoSpaceDN/>
        <w:bidi w:val="0"/>
        <w:adjustRightInd/>
        <w:snapToGrid/>
        <w:spacing w:line="556" w:lineRule="exact"/>
        <w:textAlignment w:val="auto"/>
        <w:rPr>
          <w:rFonts w:hint="eastAsia" w:ascii="仿宋_GB2312" w:hAnsi="仿宋_GB2312" w:eastAsia="仿宋_GB2312" w:cs="仿宋_GB2312"/>
          <w:spacing w:val="-10"/>
          <w:sz w:val="32"/>
          <w:szCs w:val="32"/>
        </w:rPr>
      </w:pPr>
    </w:p>
    <w:p>
      <w:pPr>
        <w:keepNext w:val="0"/>
        <w:keepLines w:val="0"/>
        <w:pageBreakBefore w:val="0"/>
        <w:kinsoku/>
        <w:wordWrap/>
        <w:overflowPunct/>
        <w:topLinePunct w:val="0"/>
        <w:autoSpaceDE/>
        <w:autoSpaceDN/>
        <w:bidi w:val="0"/>
        <w:adjustRightInd/>
        <w:snapToGrid/>
        <w:spacing w:line="556" w:lineRule="exact"/>
        <w:jc w:val="right"/>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阜新市生态环境局</w:t>
      </w:r>
      <w:r>
        <w:rPr>
          <w:rFonts w:hint="eastAsia" w:ascii="仿宋_GB2312" w:hAnsi="仿宋_GB2312" w:eastAsia="仿宋_GB2312" w:cs="仿宋_GB2312"/>
          <w:color w:val="FFFFFF" w:themeColor="background1"/>
          <w:spacing w:val="-10"/>
          <w:sz w:val="32"/>
          <w:szCs w:val="32"/>
          <w14:textFill>
            <w14:solidFill>
              <w14:schemeClr w14:val="bg1"/>
            </w14:solidFill>
          </w14:textFill>
        </w:rPr>
        <w:t>空空空空</w:t>
      </w:r>
    </w:p>
    <w:p>
      <w:pPr>
        <w:keepNext w:val="0"/>
        <w:keepLines w:val="0"/>
        <w:pageBreakBefore w:val="0"/>
        <w:kinsoku/>
        <w:wordWrap/>
        <w:overflowPunct/>
        <w:topLinePunct w:val="0"/>
        <w:autoSpaceDE/>
        <w:autoSpaceDN/>
        <w:bidi w:val="0"/>
        <w:adjustRightInd/>
        <w:snapToGrid/>
        <w:spacing w:line="556" w:lineRule="exact"/>
        <w:textAlignment w:val="auto"/>
        <w:rPr>
          <w:rFonts w:ascii="Times New Roman" w:hAnsi="Times New Roman" w:eastAsia="仿宋_GB2312" w:cs="Times New Roman"/>
          <w:sz w:val="32"/>
          <w:szCs w:val="32"/>
        </w:rPr>
      </w:pPr>
      <w:r>
        <w:rPr>
          <w:rFonts w:hint="eastAsia" w:ascii="仿宋_GB2312" w:hAnsi="仿宋_GB2312" w:eastAsia="仿宋_GB2312" w:cs="仿宋_GB2312"/>
          <w:sz w:val="32"/>
          <w:szCs w:val="32"/>
        </w:rPr>
        <w:t xml:space="preserve">                              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0"/>
    <w:family w:val="auto"/>
    <w:pitch w:val="default"/>
    <w:sig w:usb0="00000000" w:usb1="00000000" w:usb2="00000009" w:usb3="00000000" w:csb0="400001FF" w:csb1="FFFF0000"/>
  </w:font>
  <w:font w:name="宋体">
    <w:panose1 w:val="02010600030101010101"/>
    <w:charset w:val="0D"/>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TimesNewRomanPSMT">
    <w:altName w:val="DejaVu Sans"/>
    <w:panose1 w:val="00000000000000000000"/>
    <w:charset w:val="00"/>
    <w:family w:val="roman"/>
    <w:pitch w:val="default"/>
    <w:sig w:usb0="00000000" w:usb1="00000000" w:usb2="00000000" w:usb3="00000000" w:csb0="00000000" w:csb1="00000000"/>
  </w:font>
  <w:font w:name="方正小标宋简体">
    <w:panose1 w:val="02000000000000000000"/>
    <w:charset w:val="86"/>
    <w:family w:val="script"/>
    <w:pitch w:val="default"/>
    <w:sig w:usb0="A00002BF" w:usb1="184F6CFA" w:usb2="00000012" w:usb3="00000000" w:csb0="0004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3"/>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wps:txbx>
                    <wps:bodyPr wrap="none" lIns="0" tIns="0" rIns="0" bIns="0" upright="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WAAAAZHJzL1BLAQIU&#10;ABQAAAAIAIdO4kDOqXm5zwAAAAUBAAAPAAAAAAAAAAEAIAAAADgAAABkcnMvZG93bnJldi54bWxQ&#10;SwECFAAUAAAACACHTuJA0WrDzrEBAABRAwAADgAAAAAAAAABACAAAAA0AQAAZHJzL2Uyb0RvYy54&#10;bWxQSwUGAAAAAAYABgBZAQAAVwUAAAAA&#10;">
              <v:fill on="f" focussize="0,0"/>
              <v:stroke on="f"/>
              <v:imagedata o:title=""/>
              <o:lock v:ext="edit" aspectratio="f"/>
              <v:textbox inset="0mm,0mm,0mm,0mm" style="mso-fit-shape-to-text:t;">
                <w:txbxContent>
                  <w:p>
                    <w:pPr>
                      <w:pStyle w:val="3"/>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BD1F07"/>
    <w:multiLevelType w:val="singleLevel"/>
    <w:tmpl w:val="FBBD1F07"/>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0F54D5"/>
    <w:rsid w:val="000062D9"/>
    <w:rsid w:val="00007F22"/>
    <w:rsid w:val="00043BA5"/>
    <w:rsid w:val="0005407F"/>
    <w:rsid w:val="000623ED"/>
    <w:rsid w:val="00073BF7"/>
    <w:rsid w:val="000772DF"/>
    <w:rsid w:val="00077350"/>
    <w:rsid w:val="00077DE7"/>
    <w:rsid w:val="00087C75"/>
    <w:rsid w:val="00094132"/>
    <w:rsid w:val="0009609B"/>
    <w:rsid w:val="000B72A8"/>
    <w:rsid w:val="000E0F2A"/>
    <w:rsid w:val="000E2BE0"/>
    <w:rsid w:val="000F41D6"/>
    <w:rsid w:val="000F53C5"/>
    <w:rsid w:val="0010758B"/>
    <w:rsid w:val="00111C6F"/>
    <w:rsid w:val="00126122"/>
    <w:rsid w:val="00136E39"/>
    <w:rsid w:val="00140916"/>
    <w:rsid w:val="0014796A"/>
    <w:rsid w:val="00151995"/>
    <w:rsid w:val="00155F05"/>
    <w:rsid w:val="00171391"/>
    <w:rsid w:val="001731AA"/>
    <w:rsid w:val="00183E2C"/>
    <w:rsid w:val="0018776B"/>
    <w:rsid w:val="00191FDF"/>
    <w:rsid w:val="00194074"/>
    <w:rsid w:val="001A6C6B"/>
    <w:rsid w:val="001C2CCB"/>
    <w:rsid w:val="001C50A0"/>
    <w:rsid w:val="001E3942"/>
    <w:rsid w:val="00225D8D"/>
    <w:rsid w:val="00241147"/>
    <w:rsid w:val="002456ED"/>
    <w:rsid w:val="00251255"/>
    <w:rsid w:val="00261BD0"/>
    <w:rsid w:val="002653A2"/>
    <w:rsid w:val="00274C2A"/>
    <w:rsid w:val="002940A1"/>
    <w:rsid w:val="00294F26"/>
    <w:rsid w:val="002A0C67"/>
    <w:rsid w:val="002A47E0"/>
    <w:rsid w:val="002C739C"/>
    <w:rsid w:val="002D511A"/>
    <w:rsid w:val="002E7EE1"/>
    <w:rsid w:val="002F78E6"/>
    <w:rsid w:val="003348DE"/>
    <w:rsid w:val="0034667A"/>
    <w:rsid w:val="0038131F"/>
    <w:rsid w:val="003817C2"/>
    <w:rsid w:val="003A1ABB"/>
    <w:rsid w:val="003C2812"/>
    <w:rsid w:val="003E2C10"/>
    <w:rsid w:val="003F5744"/>
    <w:rsid w:val="0040137E"/>
    <w:rsid w:val="004020CD"/>
    <w:rsid w:val="00422223"/>
    <w:rsid w:val="00432132"/>
    <w:rsid w:val="00451962"/>
    <w:rsid w:val="004673DA"/>
    <w:rsid w:val="004936A2"/>
    <w:rsid w:val="004A1B68"/>
    <w:rsid w:val="004C0B50"/>
    <w:rsid w:val="004D0431"/>
    <w:rsid w:val="004E1A1D"/>
    <w:rsid w:val="00532829"/>
    <w:rsid w:val="0053649A"/>
    <w:rsid w:val="005465E0"/>
    <w:rsid w:val="00575605"/>
    <w:rsid w:val="005A0888"/>
    <w:rsid w:val="005A1518"/>
    <w:rsid w:val="005A5FBE"/>
    <w:rsid w:val="005C4072"/>
    <w:rsid w:val="005D0479"/>
    <w:rsid w:val="005D0F66"/>
    <w:rsid w:val="005F21FA"/>
    <w:rsid w:val="006037D7"/>
    <w:rsid w:val="00615B33"/>
    <w:rsid w:val="006310D1"/>
    <w:rsid w:val="00655A32"/>
    <w:rsid w:val="00662F6A"/>
    <w:rsid w:val="00664AB1"/>
    <w:rsid w:val="00671F04"/>
    <w:rsid w:val="00682423"/>
    <w:rsid w:val="00693153"/>
    <w:rsid w:val="006937DD"/>
    <w:rsid w:val="0069697F"/>
    <w:rsid w:val="006A35C1"/>
    <w:rsid w:val="006B2756"/>
    <w:rsid w:val="006C6436"/>
    <w:rsid w:val="006C753A"/>
    <w:rsid w:val="006E16EB"/>
    <w:rsid w:val="007109FE"/>
    <w:rsid w:val="0072384C"/>
    <w:rsid w:val="00740F46"/>
    <w:rsid w:val="00755A13"/>
    <w:rsid w:val="0076595C"/>
    <w:rsid w:val="0076661D"/>
    <w:rsid w:val="00791A8D"/>
    <w:rsid w:val="0079373D"/>
    <w:rsid w:val="007A4A4C"/>
    <w:rsid w:val="007A75A6"/>
    <w:rsid w:val="007B7BE4"/>
    <w:rsid w:val="007D2FB7"/>
    <w:rsid w:val="00811642"/>
    <w:rsid w:val="00820031"/>
    <w:rsid w:val="00831141"/>
    <w:rsid w:val="00892B01"/>
    <w:rsid w:val="008932AC"/>
    <w:rsid w:val="008A4530"/>
    <w:rsid w:val="008B7656"/>
    <w:rsid w:val="008D6311"/>
    <w:rsid w:val="008E2169"/>
    <w:rsid w:val="008F4787"/>
    <w:rsid w:val="00904FA0"/>
    <w:rsid w:val="009144D4"/>
    <w:rsid w:val="00930C45"/>
    <w:rsid w:val="00944C05"/>
    <w:rsid w:val="00952892"/>
    <w:rsid w:val="009614C2"/>
    <w:rsid w:val="00971968"/>
    <w:rsid w:val="00971CF8"/>
    <w:rsid w:val="00977B86"/>
    <w:rsid w:val="0098146A"/>
    <w:rsid w:val="0098294A"/>
    <w:rsid w:val="00997F8B"/>
    <w:rsid w:val="009A44ED"/>
    <w:rsid w:val="009C1C42"/>
    <w:rsid w:val="009C48EA"/>
    <w:rsid w:val="009E03AB"/>
    <w:rsid w:val="009E28AA"/>
    <w:rsid w:val="00A11FEC"/>
    <w:rsid w:val="00A20660"/>
    <w:rsid w:val="00A26E05"/>
    <w:rsid w:val="00A3220D"/>
    <w:rsid w:val="00A5305E"/>
    <w:rsid w:val="00A740DA"/>
    <w:rsid w:val="00A83971"/>
    <w:rsid w:val="00A94971"/>
    <w:rsid w:val="00AB136B"/>
    <w:rsid w:val="00AB1E2F"/>
    <w:rsid w:val="00AE7AE5"/>
    <w:rsid w:val="00AF3C50"/>
    <w:rsid w:val="00B04E5E"/>
    <w:rsid w:val="00B06557"/>
    <w:rsid w:val="00B155B3"/>
    <w:rsid w:val="00B37380"/>
    <w:rsid w:val="00B45AE3"/>
    <w:rsid w:val="00B72D92"/>
    <w:rsid w:val="00B74C9F"/>
    <w:rsid w:val="00B80099"/>
    <w:rsid w:val="00B8261A"/>
    <w:rsid w:val="00BB15E2"/>
    <w:rsid w:val="00BB64DD"/>
    <w:rsid w:val="00BC2061"/>
    <w:rsid w:val="00BE3D59"/>
    <w:rsid w:val="00C00DAF"/>
    <w:rsid w:val="00C11786"/>
    <w:rsid w:val="00C36D6C"/>
    <w:rsid w:val="00C422EA"/>
    <w:rsid w:val="00C4773E"/>
    <w:rsid w:val="00C50E21"/>
    <w:rsid w:val="00C544C6"/>
    <w:rsid w:val="00C56CCC"/>
    <w:rsid w:val="00C64E75"/>
    <w:rsid w:val="00C747E0"/>
    <w:rsid w:val="00C751B7"/>
    <w:rsid w:val="00C838C5"/>
    <w:rsid w:val="00C93F4B"/>
    <w:rsid w:val="00CA44E1"/>
    <w:rsid w:val="00CB7BED"/>
    <w:rsid w:val="00CC3361"/>
    <w:rsid w:val="00CC41EF"/>
    <w:rsid w:val="00CC64E4"/>
    <w:rsid w:val="00CE4BC1"/>
    <w:rsid w:val="00D14EC1"/>
    <w:rsid w:val="00D212D6"/>
    <w:rsid w:val="00D413D1"/>
    <w:rsid w:val="00D45FB1"/>
    <w:rsid w:val="00D52ECE"/>
    <w:rsid w:val="00D96AA6"/>
    <w:rsid w:val="00DA4D1A"/>
    <w:rsid w:val="00DB3A0C"/>
    <w:rsid w:val="00DC7288"/>
    <w:rsid w:val="00DD6305"/>
    <w:rsid w:val="00DE4724"/>
    <w:rsid w:val="00DF31E8"/>
    <w:rsid w:val="00DF3335"/>
    <w:rsid w:val="00E00AF7"/>
    <w:rsid w:val="00E01AC0"/>
    <w:rsid w:val="00E31E6E"/>
    <w:rsid w:val="00E3480C"/>
    <w:rsid w:val="00E419CF"/>
    <w:rsid w:val="00E43392"/>
    <w:rsid w:val="00E52B86"/>
    <w:rsid w:val="00E63467"/>
    <w:rsid w:val="00E74EEA"/>
    <w:rsid w:val="00E801DF"/>
    <w:rsid w:val="00E82E3C"/>
    <w:rsid w:val="00E87BDD"/>
    <w:rsid w:val="00EA2FDC"/>
    <w:rsid w:val="00EC40BD"/>
    <w:rsid w:val="00EE1422"/>
    <w:rsid w:val="00F078CD"/>
    <w:rsid w:val="00F21730"/>
    <w:rsid w:val="00F23B21"/>
    <w:rsid w:val="00F559CA"/>
    <w:rsid w:val="00F629DD"/>
    <w:rsid w:val="00F77694"/>
    <w:rsid w:val="00F872D2"/>
    <w:rsid w:val="00FA7471"/>
    <w:rsid w:val="00FB459C"/>
    <w:rsid w:val="00FB7EC7"/>
    <w:rsid w:val="00FC1639"/>
    <w:rsid w:val="00FD76A4"/>
    <w:rsid w:val="00FF642D"/>
    <w:rsid w:val="044811AB"/>
    <w:rsid w:val="15DA7390"/>
    <w:rsid w:val="170A3F1A"/>
    <w:rsid w:val="1A8D294F"/>
    <w:rsid w:val="1FDE241E"/>
    <w:rsid w:val="1FEF9279"/>
    <w:rsid w:val="24B5094F"/>
    <w:rsid w:val="25CE1675"/>
    <w:rsid w:val="29974297"/>
    <w:rsid w:val="2F9A5356"/>
    <w:rsid w:val="311331FC"/>
    <w:rsid w:val="380F54D5"/>
    <w:rsid w:val="3DF72D87"/>
    <w:rsid w:val="42BB1FD9"/>
    <w:rsid w:val="45C67A8C"/>
    <w:rsid w:val="5D463024"/>
    <w:rsid w:val="64A35F68"/>
    <w:rsid w:val="64F26DFF"/>
    <w:rsid w:val="6A4D3FA6"/>
    <w:rsid w:val="6CF95D08"/>
    <w:rsid w:val="6EDC837C"/>
    <w:rsid w:val="739754C2"/>
    <w:rsid w:val="76314207"/>
    <w:rsid w:val="79974DA2"/>
    <w:rsid w:val="7BB5D2F4"/>
    <w:rsid w:val="7DFBFEC9"/>
    <w:rsid w:val="A77F9B88"/>
    <w:rsid w:val="BCDF5D30"/>
    <w:rsid w:val="BFEF56B8"/>
    <w:rsid w:val="E7DF6848"/>
    <w:rsid w:val="EB0975AA"/>
    <w:rsid w:val="EEEF8FB7"/>
    <w:rsid w:val="F3EF0D10"/>
    <w:rsid w:val="FAFFFA59"/>
    <w:rsid w:val="FDDF2FAB"/>
    <w:rsid w:val="FEBF68C1"/>
    <w:rsid w:val="FFEA52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qFormat/>
    <w:uiPriority w:val="0"/>
    <w:pPr>
      <w:ind w:firstLine="640" w:firstLineChars="200"/>
    </w:pPr>
    <w:rPr>
      <w:rFonts w:ascii="仿宋_GB2312" w:hAnsi="Times New Roman" w:eastAsia="仿宋_GB2312" w:cs="Times New Roman"/>
      <w:sz w:val="32"/>
      <w:szCs w:val="24"/>
    </w:rPr>
  </w:style>
  <w:style w:type="paragraph" w:styleId="3">
    <w:name w:val="footer"/>
    <w:basedOn w:val="1"/>
    <w:link w:val="10"/>
    <w:qFormat/>
    <w:uiPriority w:val="0"/>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jc w:val="left"/>
    </w:pPr>
    <w:rPr>
      <w:rFonts w:cs="Times New Roman"/>
      <w:kern w:val="0"/>
      <w:sz w:val="16"/>
      <w:szCs w:val="16"/>
    </w:rPr>
  </w:style>
  <w:style w:type="character" w:styleId="8">
    <w:name w:val="Strong"/>
    <w:qFormat/>
    <w:uiPriority w:val="22"/>
    <w:rPr>
      <w:b/>
    </w:rPr>
  </w:style>
  <w:style w:type="character" w:customStyle="1" w:styleId="9">
    <w:name w:val="页眉 Char"/>
    <w:basedOn w:val="7"/>
    <w:link w:val="4"/>
    <w:qFormat/>
    <w:uiPriority w:val="0"/>
    <w:rPr>
      <w:kern w:val="2"/>
      <w:sz w:val="18"/>
      <w:szCs w:val="18"/>
    </w:rPr>
  </w:style>
  <w:style w:type="character" w:customStyle="1" w:styleId="10">
    <w:name w:val="页脚 Char"/>
    <w:basedOn w:val="7"/>
    <w:link w:val="3"/>
    <w:qFormat/>
    <w:uiPriority w:val="0"/>
    <w:rPr>
      <w:kern w:val="2"/>
      <w:sz w:val="18"/>
      <w:szCs w:val="18"/>
    </w:rPr>
  </w:style>
  <w:style w:type="character" w:customStyle="1" w:styleId="11">
    <w:name w:val="fontstyle01"/>
    <w:basedOn w:val="7"/>
    <w:qFormat/>
    <w:uiPriority w:val="0"/>
    <w:rPr>
      <w:rFonts w:hint="eastAsia" w:ascii="宋体" w:hAnsi="宋体" w:eastAsia="宋体"/>
      <w:color w:val="000000"/>
      <w:sz w:val="22"/>
      <w:szCs w:val="22"/>
    </w:rPr>
  </w:style>
  <w:style w:type="character" w:customStyle="1" w:styleId="12">
    <w:name w:val="fontstyle21"/>
    <w:basedOn w:val="7"/>
    <w:qFormat/>
    <w:uiPriority w:val="0"/>
    <w:rPr>
      <w:rFonts w:hint="default" w:ascii="TimesNewRomanPSMT" w:hAnsi="TimesNewRomanPSMT"/>
      <w:color w:val="000000"/>
      <w:sz w:val="22"/>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3</Pages>
  <Words>1388</Words>
  <Characters>1444</Characters>
  <Lines>9</Lines>
  <Paragraphs>2</Paragraphs>
  <TotalTime>12</TotalTime>
  <ScaleCrop>false</ScaleCrop>
  <LinksUpToDate>false</LinksUpToDate>
  <CharactersWithSpaces>1505</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2019-05-03T03:18:00Z</dcterms:created>
  <dc:creator>Administrator</dc:creator>
  <cp:lastModifiedBy>user</cp:lastModifiedBy>
  <cp:lastPrinted>2025-12-04T18:00:00Z</cp:lastPrinted>
  <dcterms:modified xsi:type="dcterms:W3CDTF">2026-10-12T09:02:39Z</dcterms:modified>
  <cp:revision>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A551413C3B274168AFA4F9FD97E8301C_13</vt:lpwstr>
  </property>
  <property fmtid="{D5CDD505-2E9C-101B-9397-08002B2CF9AE}" pid="4" name="KSOTemplateDocerSaveRecord">
    <vt:lpwstr>eyJoZGlkIjoiMTA2MTVjNmRhMGI2NTMwMjZlZjYxMjE1NWFlZWQ4YmIiLCJ1c2VySWQiOiIxNzMxOTA4NDg0In0=</vt:lpwstr>
  </property>
</Properties>
</file>