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hAnsi="仿宋_GB2312" w:eastAsia="仿宋_GB2312" w:cs="仿宋_GB2312"/>
          <w:sz w:val="36"/>
          <w:szCs w:val="36"/>
        </w:rPr>
      </w:pPr>
    </w:p>
    <w:p>
      <w:pPr>
        <w:rPr>
          <w:rFonts w:ascii="仿宋_GB2312" w:hAnsi="仿宋_GB2312" w:eastAsia="仿宋_GB2312" w:cs="仿宋_GB2312"/>
          <w:sz w:val="36"/>
          <w:szCs w:val="36"/>
        </w:rPr>
      </w:pPr>
    </w:p>
    <w:p>
      <w:pPr>
        <w:rPr>
          <w:rFonts w:ascii="仿宋_GB2312" w:hAnsi="仿宋_GB2312" w:eastAsia="仿宋_GB2312" w:cs="仿宋_GB2312"/>
          <w:sz w:val="36"/>
          <w:szCs w:val="36"/>
        </w:rPr>
      </w:pPr>
    </w:p>
    <w:p>
      <w:pPr>
        <w:rPr>
          <w:rFonts w:ascii="仿宋_GB2312" w:hAnsi="仿宋_GB2312" w:eastAsia="仿宋_GB2312" w:cs="仿宋_GB2312"/>
          <w:sz w:val="36"/>
          <w:szCs w:val="36"/>
        </w:rPr>
      </w:pPr>
    </w:p>
    <w:p>
      <w:pPr>
        <w:rPr>
          <w:rFonts w:hint="eastAsia" w:ascii="仿宋_GB2312" w:hAnsi="仿宋_GB2312" w:eastAsia="仿宋_GB2312" w:cs="仿宋_GB2312"/>
          <w:sz w:val="36"/>
          <w:szCs w:val="36"/>
        </w:rPr>
      </w:pPr>
    </w:p>
    <w:p>
      <w:pPr>
        <w:adjustRightInd w:val="0"/>
        <w:snapToGrid w:val="0"/>
        <w:jc w:val="center"/>
        <w:outlineLvl w:val="0"/>
        <w:rPr>
          <w:rFonts w:hint="eastAsia" w:ascii="方正小标宋_GBK" w:eastAsia="方正小标宋_GBK"/>
          <w:bCs/>
          <w:sz w:val="72"/>
          <w:szCs w:val="72"/>
        </w:rPr>
      </w:pPr>
      <w:r>
        <w:rPr>
          <w:rFonts w:hint="eastAsia" w:ascii="方正小标宋_GBK" w:eastAsia="方正小标宋_GBK"/>
          <w:bCs/>
          <w:spacing w:val="-17"/>
          <w:sz w:val="72"/>
          <w:szCs w:val="72"/>
        </w:rPr>
        <w:t>建设项目</w:t>
      </w:r>
      <w:r>
        <w:rPr>
          <w:rFonts w:hint="eastAsia" w:ascii="方正小标宋_GBK" w:eastAsia="方正小标宋_GBK"/>
          <w:bCs/>
          <w:spacing w:val="-17"/>
          <w:sz w:val="72"/>
          <w:szCs w:val="72"/>
          <w:lang w:val="en-US" w:eastAsia="zh-CN"/>
        </w:rPr>
        <w:t>生态</w:t>
      </w:r>
      <w:r>
        <w:rPr>
          <w:rFonts w:hint="eastAsia" w:ascii="方正小标宋_GBK" w:eastAsia="方正小标宋_GBK"/>
          <w:bCs/>
          <w:spacing w:val="-17"/>
          <w:sz w:val="72"/>
          <w:szCs w:val="72"/>
        </w:rPr>
        <w:t>环境影响报告表</w:t>
      </w:r>
    </w:p>
    <w:p>
      <w:pPr>
        <w:adjustRightInd w:val="0"/>
        <w:snapToGrid w:val="0"/>
        <w:spacing w:before="192" w:beforeLines="80"/>
        <w:jc w:val="center"/>
        <w:rPr>
          <w:rFonts w:hint="eastAsia" w:ascii="楷体_GB2312" w:eastAsia="楷体_GB2312"/>
          <w:bCs/>
          <w:sz w:val="48"/>
          <w:szCs w:val="48"/>
        </w:rPr>
      </w:pPr>
      <w:r>
        <w:rPr>
          <w:rFonts w:hint="eastAsia" w:ascii="楷体_GB2312" w:eastAsia="楷体_GB2312"/>
          <w:bCs/>
          <w:sz w:val="48"/>
          <w:szCs w:val="48"/>
        </w:rPr>
        <w:t>（污染影响类）</w:t>
      </w:r>
    </w:p>
    <w:p>
      <w:pPr>
        <w:adjustRightInd w:val="0"/>
        <w:snapToGrid w:val="0"/>
        <w:spacing w:line="288" w:lineRule="auto"/>
        <w:jc w:val="center"/>
        <w:outlineLvl w:val="0"/>
        <w:rPr>
          <w:rFonts w:ascii="华文仿宋" w:hAnsi="华文仿宋" w:eastAsia="华文仿宋" w:cs="华文仿宋"/>
          <w:color w:val="000000"/>
          <w:kern w:val="44"/>
          <w:sz w:val="44"/>
          <w:szCs w:val="44"/>
        </w:rPr>
      </w:pPr>
    </w:p>
    <w:p>
      <w:pPr>
        <w:jc w:val="center"/>
        <w:rPr>
          <w:rFonts w:eastAsia="仿宋"/>
          <w:sz w:val="52"/>
          <w:szCs w:val="52"/>
        </w:rPr>
      </w:pPr>
    </w:p>
    <w:p>
      <w:pPr>
        <w:ind w:firstLine="1040"/>
        <w:rPr>
          <w:rFonts w:eastAsia="仿宋"/>
          <w:sz w:val="44"/>
          <w:szCs w:val="44"/>
        </w:rPr>
      </w:pPr>
    </w:p>
    <w:p>
      <w:pPr>
        <w:ind w:firstLine="1040"/>
        <w:rPr>
          <w:rFonts w:eastAsia="仿宋"/>
          <w:sz w:val="44"/>
          <w:szCs w:val="44"/>
        </w:rPr>
      </w:pPr>
    </w:p>
    <w:p>
      <w:pPr>
        <w:ind w:firstLine="1040"/>
        <w:rPr>
          <w:rFonts w:eastAsia="仿宋"/>
          <w:sz w:val="44"/>
          <w:szCs w:val="44"/>
        </w:rPr>
      </w:pPr>
    </w:p>
    <w:p>
      <w:pPr>
        <w:ind w:firstLine="1040"/>
        <w:rPr>
          <w:rFonts w:eastAsia="仿宋"/>
          <w:sz w:val="44"/>
          <w:szCs w:val="44"/>
        </w:rPr>
      </w:pPr>
    </w:p>
    <w:p>
      <w:pPr>
        <w:adjustRightInd w:val="0"/>
        <w:snapToGrid w:val="0"/>
        <w:spacing w:line="288" w:lineRule="auto"/>
        <w:ind w:firstLine="1080" w:firstLineChars="300"/>
        <w:rPr>
          <w:rFonts w:hint="eastAsia" w:ascii="仿宋_GB2312" w:eastAsia="仿宋_GB2312"/>
          <w:sz w:val="36"/>
          <w:szCs w:val="36"/>
          <w:u w:val="single"/>
        </w:rPr>
      </w:pPr>
      <w:r>
        <w:rPr>
          <w:rFonts w:hint="eastAsia" w:ascii="仿宋_GB2312" w:eastAsia="仿宋_GB2312"/>
          <w:sz w:val="36"/>
          <w:szCs w:val="36"/>
        </w:rPr>
        <w:t>项目名称：</w:t>
      </w:r>
      <w:r>
        <w:rPr>
          <w:rFonts w:hint="eastAsia" w:ascii="仿宋_GB2312" w:eastAsia="仿宋_GB2312"/>
          <w:sz w:val="36"/>
          <w:szCs w:val="36"/>
          <w:u w:val="single"/>
          <w:lang w:val="en-US" w:eastAsia="zh-CN"/>
        </w:rPr>
        <w:t>阜矿集团海州公司</w:t>
      </w:r>
      <w:r>
        <w:rPr>
          <w:rFonts w:hint="eastAsia" w:ascii="Times New Roman" w:hAnsi="Times New Roman" w:eastAsia="仿宋_GB2312" w:cs="Times New Roman"/>
          <w:sz w:val="36"/>
          <w:szCs w:val="36"/>
          <w:u w:val="single"/>
          <w:lang w:val="en-US" w:eastAsia="zh-CN"/>
        </w:rPr>
        <w:t>10万吨中央储</w:t>
      </w:r>
      <w:r>
        <w:rPr>
          <w:rFonts w:hint="eastAsia" w:ascii="仿宋_GB2312" w:eastAsia="仿宋_GB2312"/>
          <w:sz w:val="36"/>
          <w:szCs w:val="36"/>
          <w:u w:val="single"/>
          <w:lang w:val="en-US" w:eastAsia="zh-CN"/>
        </w:rPr>
        <w:t>煤基地</w:t>
      </w:r>
      <w:r>
        <w:rPr>
          <w:rFonts w:hint="eastAsia" w:ascii="仿宋_GB2312" w:eastAsia="仿宋_GB2312"/>
          <w:sz w:val="36"/>
          <w:szCs w:val="36"/>
          <w:u w:val="single"/>
        </w:rPr>
        <w:t xml:space="preserve">                   </w:t>
      </w:r>
    </w:p>
    <w:p>
      <w:pPr>
        <w:adjustRightInd w:val="0"/>
        <w:snapToGrid w:val="0"/>
        <w:spacing w:line="288" w:lineRule="auto"/>
        <w:ind w:firstLine="1040"/>
        <w:rPr>
          <w:rFonts w:hint="eastAsia" w:ascii="仿宋_GB2312" w:eastAsia="仿宋_GB2312"/>
          <w:sz w:val="36"/>
          <w:szCs w:val="36"/>
          <w:u w:val="single"/>
          <w:lang w:val="en-US" w:eastAsia="zh-CN"/>
        </w:rPr>
      </w:pPr>
      <w:r>
        <w:rPr>
          <w:rFonts w:hint="eastAsia" w:ascii="仿宋_GB2312" w:eastAsia="仿宋_GB2312"/>
          <w:sz w:val="36"/>
          <w:szCs w:val="36"/>
        </w:rPr>
        <w:t>建设单位（盖章）：</w:t>
      </w:r>
      <w:r>
        <w:rPr>
          <w:rFonts w:hint="eastAsia" w:ascii="仿宋_GB2312" w:eastAsia="仿宋_GB2312"/>
          <w:sz w:val="36"/>
          <w:szCs w:val="36"/>
          <w:u w:val="single"/>
        </w:rPr>
        <w:t xml:space="preserve">辽宁海州露天矿业有限公司 </w:t>
      </w:r>
      <w:r>
        <w:rPr>
          <w:rFonts w:hint="eastAsia" w:ascii="仿宋_GB2312" w:eastAsia="仿宋_GB2312"/>
          <w:sz w:val="36"/>
          <w:szCs w:val="36"/>
          <w:u w:val="single"/>
          <w:lang w:val="en-US" w:eastAsia="zh-CN"/>
        </w:rPr>
        <w:t xml:space="preserve"> </w:t>
      </w:r>
    </w:p>
    <w:p>
      <w:pPr>
        <w:adjustRightInd w:val="0"/>
        <w:snapToGrid w:val="0"/>
        <w:spacing w:line="288" w:lineRule="auto"/>
        <w:ind w:firstLine="1040"/>
        <w:rPr>
          <w:rFonts w:hint="eastAsia" w:ascii="仿宋_GB2312" w:eastAsia="仿宋_GB2312"/>
          <w:sz w:val="36"/>
          <w:szCs w:val="36"/>
          <w:u w:val="single"/>
        </w:rPr>
      </w:pPr>
      <w:r>
        <w:rPr>
          <w:rFonts w:hint="eastAsia" w:ascii="仿宋_GB2312" w:eastAsia="仿宋_GB2312"/>
          <w:sz w:val="36"/>
          <w:szCs w:val="36"/>
        </w:rPr>
        <w:t>编制日期：</w:t>
      </w:r>
      <w:r>
        <w:rPr>
          <w:rFonts w:hint="eastAsia" w:ascii="仿宋_GB2312" w:hAnsi="Times New Roman" w:eastAsia="仿宋_GB2312" w:cs="Times New Roman"/>
          <w:sz w:val="36"/>
          <w:szCs w:val="36"/>
          <w:u w:val="single"/>
          <w:lang w:val="en-US" w:eastAsia="zh-CN"/>
        </w:rPr>
        <w:t xml:space="preserve">          </w:t>
      </w:r>
      <w:r>
        <w:rPr>
          <w:rFonts w:hint="eastAsia" w:ascii="Times New Roman" w:hAnsi="Times New Roman" w:eastAsia="仿宋_GB2312" w:cs="Times New Roman"/>
          <w:sz w:val="36"/>
          <w:szCs w:val="36"/>
          <w:u w:val="single"/>
          <w:lang w:val="en-US" w:eastAsia="zh-CN"/>
        </w:rPr>
        <w:t>2026年</w:t>
      </w:r>
      <w:r>
        <w:rPr>
          <w:rFonts w:hint="eastAsia" w:eastAsia="仿宋_GB2312" w:cs="Times New Roman"/>
          <w:sz w:val="36"/>
          <w:szCs w:val="36"/>
          <w:u w:val="single"/>
          <w:lang w:val="en-US" w:eastAsia="zh-CN"/>
        </w:rPr>
        <w:t>9</w:t>
      </w:r>
      <w:r>
        <w:rPr>
          <w:rFonts w:hint="eastAsia" w:ascii="Times New Roman" w:hAnsi="Times New Roman" w:eastAsia="仿宋_GB2312" w:cs="Times New Roman"/>
          <w:sz w:val="36"/>
          <w:szCs w:val="36"/>
          <w:u w:val="single"/>
          <w:lang w:val="en-US" w:eastAsia="zh-CN"/>
        </w:rPr>
        <w:t xml:space="preserve">月 </w:t>
      </w:r>
      <w:r>
        <w:rPr>
          <w:rFonts w:ascii="仿宋_GB2312" w:eastAsia="仿宋_GB2312"/>
          <w:sz w:val="36"/>
          <w:szCs w:val="36"/>
          <w:u w:val="single"/>
        </w:rPr>
        <w:t xml:space="preserve">          </w:t>
      </w:r>
      <w:r>
        <w:rPr>
          <w:rFonts w:hint="eastAsia" w:ascii="仿宋_GB2312" w:eastAsia="仿宋_GB2312"/>
          <w:sz w:val="36"/>
          <w:szCs w:val="36"/>
          <w:u w:val="single"/>
          <w:lang w:val="en-US" w:eastAsia="zh-CN"/>
        </w:rPr>
        <w:t xml:space="preserve"> </w:t>
      </w:r>
      <w:r>
        <w:rPr>
          <w:rFonts w:ascii="仿宋_GB2312" w:eastAsia="仿宋_GB2312"/>
          <w:sz w:val="36"/>
          <w:szCs w:val="36"/>
          <w:u w:val="single"/>
        </w:rPr>
        <w:t xml:space="preserve">  </w:t>
      </w:r>
    </w:p>
    <w:p>
      <w:pPr>
        <w:adjustRightInd w:val="0"/>
        <w:snapToGrid w:val="0"/>
        <w:spacing w:line="288" w:lineRule="auto"/>
        <w:ind w:firstLine="1040"/>
        <w:rPr>
          <w:rFonts w:ascii="仿宋_GB2312" w:eastAsia="仿宋_GB2312"/>
          <w:sz w:val="36"/>
          <w:szCs w:val="36"/>
          <w:u w:val="single"/>
        </w:rPr>
      </w:pPr>
      <w:bookmarkStart w:id="0" w:name="_Hlk57884087"/>
    </w:p>
    <w:p>
      <w:pPr>
        <w:adjustRightInd w:val="0"/>
        <w:snapToGrid w:val="0"/>
        <w:spacing w:line="288" w:lineRule="auto"/>
        <w:ind w:firstLine="1040"/>
        <w:rPr>
          <w:rFonts w:ascii="仿宋_GB2312" w:eastAsia="仿宋_GB2312"/>
          <w:sz w:val="36"/>
          <w:szCs w:val="36"/>
        </w:rPr>
      </w:pPr>
    </w:p>
    <w:p>
      <w:pPr>
        <w:adjustRightInd w:val="0"/>
        <w:snapToGrid w:val="0"/>
        <w:spacing w:line="288" w:lineRule="auto"/>
        <w:ind w:firstLine="1040"/>
        <w:rPr>
          <w:rFonts w:ascii="仿宋_GB2312" w:eastAsia="仿宋_GB2312"/>
          <w:sz w:val="36"/>
          <w:szCs w:val="36"/>
        </w:rPr>
      </w:pPr>
    </w:p>
    <w:p>
      <w:pPr>
        <w:adjustRightInd w:val="0"/>
        <w:snapToGrid w:val="0"/>
        <w:spacing w:line="288" w:lineRule="auto"/>
        <w:ind w:firstLine="1040"/>
        <w:rPr>
          <w:rFonts w:hint="eastAsia" w:ascii="仿宋_GB2312" w:eastAsia="仿宋_GB2312"/>
          <w:sz w:val="36"/>
          <w:szCs w:val="36"/>
        </w:rPr>
      </w:pPr>
    </w:p>
    <w:p>
      <w:pPr>
        <w:adjustRightInd w:val="0"/>
        <w:snapToGrid w:val="0"/>
        <w:spacing w:line="288" w:lineRule="auto"/>
        <w:ind w:firstLine="1040"/>
        <w:rPr>
          <w:rFonts w:hint="eastAsia" w:ascii="仿宋_GB2312" w:eastAsia="仿宋_GB2312"/>
          <w:sz w:val="36"/>
          <w:szCs w:val="36"/>
        </w:rPr>
      </w:pPr>
    </w:p>
    <w:bookmarkEnd w:id="0"/>
    <w:p>
      <w:pPr>
        <w:adjustRightInd w:val="0"/>
        <w:snapToGrid w:val="0"/>
        <w:spacing w:line="288" w:lineRule="auto"/>
        <w:jc w:val="center"/>
        <w:rPr>
          <w:rFonts w:hint="eastAsia" w:ascii="楷体_GB2312" w:eastAsia="楷体_GB2312"/>
          <w:sz w:val="36"/>
          <w:szCs w:val="36"/>
        </w:rPr>
      </w:pPr>
      <w:r>
        <w:rPr>
          <w:rFonts w:hint="eastAsia" w:ascii="楷体_GB2312" w:eastAsia="楷体_GB2312"/>
          <w:sz w:val="36"/>
          <w:szCs w:val="36"/>
        </w:rPr>
        <w:t>中华人民共和国生态环境部制</w:t>
      </w:r>
    </w:p>
    <w:p>
      <w:pPr>
        <w:adjustRightInd w:val="0"/>
        <w:snapToGrid w:val="0"/>
        <w:spacing w:line="288" w:lineRule="auto"/>
        <w:ind w:firstLine="1040"/>
        <w:rPr>
          <w:rFonts w:ascii="仿宋_GB2312" w:eastAsia="仿宋_GB2312"/>
          <w:sz w:val="36"/>
          <w:szCs w:val="36"/>
        </w:rPr>
        <w:sectPr>
          <w:headerReference r:id="rId3" w:type="default"/>
          <w:footerReference r:id="rId4" w:type="default"/>
          <w:footerReference r:id="rId5" w:type="even"/>
          <w:pgSz w:w="11906" w:h="16838"/>
          <w:pgMar w:top="1134" w:right="1417" w:bottom="1134" w:left="1417" w:header="851" w:footer="1077" w:gutter="0"/>
          <w:pgNumType w:fmt="decimal" w:start="3"/>
          <w:cols w:space="720" w:num="1"/>
          <w:docGrid w:linePitch="312" w:charSpace="0"/>
        </w:sectPr>
      </w:pPr>
    </w:p>
    <w:p>
      <w:pPr>
        <w:pStyle w:val="18"/>
        <w:jc w:val="center"/>
        <w:outlineLvl w:val="0"/>
        <w:rPr>
          <w:rFonts w:hint="eastAsia" w:ascii="黑体" w:hAnsi="黑体" w:eastAsia="黑体"/>
          <w:snapToGrid w:val="0"/>
          <w:sz w:val="30"/>
          <w:szCs w:val="30"/>
        </w:rPr>
      </w:pPr>
      <w:r>
        <w:drawing>
          <wp:inline distT="0" distB="0" distL="114300" distR="114300">
            <wp:extent cx="6301740" cy="8761095"/>
            <wp:effectExtent l="0" t="0" r="3810" b="1905"/>
            <wp:docPr id="6"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true"/>
                    </pic:cNvPicPr>
                  </pic:nvPicPr>
                  <pic:blipFill>
                    <a:blip r:embed="rId12"/>
                    <a:stretch>
                      <a:fillRect/>
                    </a:stretch>
                  </pic:blipFill>
                  <pic:spPr>
                    <a:xfrm>
                      <a:off x="0" y="0"/>
                      <a:ext cx="6301740" cy="8761095"/>
                    </a:xfrm>
                    <a:prstGeom prst="rect">
                      <a:avLst/>
                    </a:prstGeom>
                    <a:noFill/>
                    <a:ln>
                      <a:noFill/>
                    </a:ln>
                  </pic:spPr>
                </pic:pic>
              </a:graphicData>
            </a:graphic>
          </wp:inline>
        </w:drawing>
      </w:r>
    </w:p>
    <w:p>
      <w:pPr>
        <w:pStyle w:val="18"/>
        <w:jc w:val="center"/>
        <w:outlineLvl w:val="0"/>
        <w:rPr>
          <w:rFonts w:hint="eastAsia" w:ascii="黑体" w:hAnsi="黑体" w:eastAsia="黑体"/>
          <w:snapToGrid w:val="0"/>
          <w:sz w:val="30"/>
          <w:szCs w:val="30"/>
        </w:rPr>
        <w:sectPr>
          <w:footerReference r:id="rId6" w:type="default"/>
          <w:pgSz w:w="11906" w:h="16838"/>
          <w:pgMar w:top="1134" w:right="1417" w:bottom="1134" w:left="1417" w:header="851" w:footer="851" w:gutter="0"/>
          <w:pgBorders>
            <w:top w:val="none" w:sz="0" w:space="0"/>
            <w:left w:val="none" w:sz="0" w:space="0"/>
            <w:bottom w:val="none" w:sz="0" w:space="0"/>
            <w:right w:val="none" w:sz="0" w:space="0"/>
          </w:pgBorders>
          <w:pgNumType w:fmt="decimal" w:start="1"/>
          <w:cols w:space="720" w:num="1"/>
          <w:docGrid w:linePitch="312" w:charSpace="0"/>
        </w:sectPr>
      </w:pPr>
    </w:p>
    <w:p>
      <w:pPr>
        <w:pStyle w:val="18"/>
        <w:jc w:val="center"/>
        <w:outlineLvl w:val="0"/>
        <w:rPr>
          <w:rFonts w:hint="eastAsia" w:ascii="黑体" w:hAnsi="黑体" w:eastAsia="黑体"/>
          <w:snapToGrid w:val="0"/>
          <w:sz w:val="30"/>
          <w:szCs w:val="30"/>
        </w:rPr>
      </w:pPr>
      <w:r>
        <w:rPr>
          <w:rFonts w:hint="eastAsia" w:ascii="黑体" w:hAnsi="黑体" w:eastAsia="黑体"/>
          <w:snapToGrid w:val="0"/>
          <w:sz w:val="30"/>
          <w:szCs w:val="30"/>
        </w:rPr>
        <w:t>一、建设项目基本情况</w:t>
      </w:r>
    </w:p>
    <w:tbl>
      <w:tblPr>
        <w:tblStyle w:val="2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923"/>
        <w:gridCol w:w="2386"/>
        <w:gridCol w:w="2079"/>
        <w:gridCol w:w="248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建设项目名称</w:t>
            </w:r>
          </w:p>
        </w:tc>
        <w:tc>
          <w:tcPr>
            <w:tcW w:w="6947" w:type="dxa"/>
            <w:gridSpan w:val="3"/>
            <w:noWrap w:val="0"/>
            <w:vAlign w:val="center"/>
          </w:tcPr>
          <w:p>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阜矿集团海州公司10万吨中央储煤基地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项目代码</w:t>
            </w:r>
          </w:p>
        </w:tc>
        <w:tc>
          <w:tcPr>
            <w:tcW w:w="6947" w:type="dxa"/>
            <w:gridSpan w:val="3"/>
            <w:noWrap w:val="0"/>
            <w:vAlign w:val="center"/>
          </w:tcPr>
          <w:p>
            <w:pPr>
              <w:adjustRightInd w:val="0"/>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2609-210904-04-01-612253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rPr>
              <w:t>建设单位联系人</w:t>
            </w:r>
          </w:p>
        </w:tc>
        <w:tc>
          <w:tcPr>
            <w:tcW w:w="2386" w:type="dxa"/>
            <w:noWrap w:val="0"/>
            <w:vAlign w:val="center"/>
          </w:tcPr>
          <w:p>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吕华峰</w:t>
            </w:r>
          </w:p>
        </w:tc>
        <w:tc>
          <w:tcPr>
            <w:tcW w:w="2079" w:type="dxa"/>
            <w:noWrap w:val="0"/>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联系方式</w:t>
            </w:r>
          </w:p>
        </w:tc>
        <w:tc>
          <w:tcPr>
            <w:tcW w:w="2482" w:type="dxa"/>
            <w:noWrap w:val="0"/>
            <w:vAlign w:val="center"/>
          </w:tcPr>
          <w:p>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13841877744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建设地点</w:t>
            </w:r>
          </w:p>
        </w:tc>
        <w:tc>
          <w:tcPr>
            <w:tcW w:w="6947" w:type="dxa"/>
            <w:gridSpan w:val="3"/>
            <w:noWrap w:val="0"/>
            <w:vAlign w:val="center"/>
          </w:tcPr>
          <w:p>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szCs w:val="21"/>
                <w:highlight w:val="none"/>
                <w:u w:val="single"/>
                <w:lang w:val="en-US" w:eastAsia="zh-CN"/>
              </w:rPr>
              <w:t xml:space="preserve"> 辽宁</w:t>
            </w:r>
            <w:r>
              <w:rPr>
                <w:rFonts w:hint="default" w:ascii="Times New Roman" w:hAnsi="Times New Roman" w:cs="Times New Roman"/>
                <w:szCs w:val="21"/>
                <w:highlight w:val="none"/>
              </w:rPr>
              <w:t>省（自治区）</w:t>
            </w:r>
            <w:r>
              <w:rPr>
                <w:rFonts w:hint="default" w:ascii="Times New Roman" w:hAnsi="Times New Roman" w:cs="Times New Roman"/>
                <w:szCs w:val="21"/>
                <w:highlight w:val="none"/>
                <w:u w:val="single"/>
                <w:lang w:val="en-US" w:eastAsia="zh-CN"/>
              </w:rPr>
              <w:t xml:space="preserve">阜新 </w:t>
            </w:r>
            <w:r>
              <w:rPr>
                <w:rFonts w:hint="default" w:ascii="Times New Roman" w:hAnsi="Times New Roman" w:cs="Times New Roman"/>
                <w:szCs w:val="21"/>
                <w:highlight w:val="none"/>
              </w:rPr>
              <w:t>市</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u w:val="single"/>
                <w:lang w:val="en-US" w:eastAsia="zh-CN"/>
              </w:rPr>
              <w:t>太平</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区</w:t>
            </w:r>
            <w:r>
              <w:rPr>
                <w:rFonts w:hint="default" w:ascii="Times New Roman" w:hAnsi="Times New Roman" w:cs="Times New Roman"/>
                <w:szCs w:val="21"/>
                <w:highlight w:val="none"/>
                <w:u w:val="single"/>
              </w:rPr>
              <w:t xml:space="preserve"> </w:t>
            </w:r>
            <w:r>
              <w:rPr>
                <w:rFonts w:hint="eastAsia" w:cs="Times New Roman"/>
                <w:szCs w:val="21"/>
                <w:highlight w:val="none"/>
                <w:u w:val="single"/>
                <w:lang w:val="en-US" w:eastAsia="zh-CN"/>
              </w:rPr>
              <w:t>城南街道</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地理坐标</w:t>
            </w:r>
          </w:p>
        </w:tc>
        <w:tc>
          <w:tcPr>
            <w:tcW w:w="6947" w:type="dxa"/>
            <w:gridSpan w:val="3"/>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szCs w:val="21"/>
                <w:highlight w:val="none"/>
              </w:rPr>
              <w:t>（</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u w:val="single"/>
                <w:lang w:val="en-US" w:eastAsia="zh-CN"/>
              </w:rPr>
              <w:t>121</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度</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u w:val="single"/>
                <w:lang w:val="en-US" w:eastAsia="zh-CN"/>
              </w:rPr>
              <w:t>44</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分</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u w:val="single"/>
                <w:lang w:val="en-US" w:eastAsia="zh-CN"/>
              </w:rPr>
              <w:t>17.642</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秒，</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u w:val="single"/>
                <w:lang w:val="en-US" w:eastAsia="zh-CN"/>
              </w:rPr>
              <w:t>42</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度</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u w:val="single"/>
                <w:lang w:val="en-US" w:eastAsia="zh-CN"/>
              </w:rPr>
              <w:t>1</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分</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u w:val="single"/>
                <w:lang w:val="en-US" w:eastAsia="zh-CN"/>
              </w:rPr>
              <w:t>38.754</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082" w:hRule="atLeast"/>
          <w:jc w:val="center"/>
        </w:trPr>
        <w:tc>
          <w:tcPr>
            <w:tcW w:w="1923" w:type="dxa"/>
            <w:noWrap w:val="0"/>
            <w:tcMar>
              <w:top w:w="16" w:type="dxa"/>
              <w:left w:w="16" w:type="dxa"/>
              <w:right w:w="16" w:type="dxa"/>
            </w:tcMar>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rPr>
              <w:t>国民经济</w:t>
            </w:r>
          </w:p>
          <w:p>
            <w:pPr>
              <w:adjustRightInd w:val="0"/>
              <w:snapToGrid w:val="0"/>
              <w:jc w:val="center"/>
              <w:rPr>
                <w:rFonts w:hint="eastAsia" w:ascii="宋体" w:hAnsi="宋体" w:eastAsia="宋体" w:cs="宋体"/>
                <w:szCs w:val="21"/>
                <w:highlight w:val="none"/>
              </w:rPr>
            </w:pPr>
            <w:r>
              <w:rPr>
                <w:rFonts w:hint="eastAsia" w:ascii="宋体" w:hAnsi="宋体" w:cs="宋体"/>
                <w:szCs w:val="21"/>
                <w:highlight w:val="none"/>
              </w:rPr>
              <w:t>行业类别</w:t>
            </w:r>
          </w:p>
        </w:tc>
        <w:tc>
          <w:tcPr>
            <w:tcW w:w="2386" w:type="dxa"/>
            <w:noWrap w:val="0"/>
            <w:vAlign w:val="center"/>
          </w:tcPr>
          <w:p>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G5990其他仓储业</w:t>
            </w:r>
          </w:p>
        </w:tc>
        <w:tc>
          <w:tcPr>
            <w:tcW w:w="2079" w:type="dxa"/>
            <w:noWrap w:val="0"/>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建设项目</w:t>
            </w:r>
          </w:p>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行业类别</w:t>
            </w:r>
          </w:p>
        </w:tc>
        <w:tc>
          <w:tcPr>
            <w:tcW w:w="2482" w:type="dxa"/>
            <w:noWrap w:val="0"/>
            <w:vAlign w:val="center"/>
          </w:tcPr>
          <w:p>
            <w:pPr>
              <w:adjustRightInd w:val="0"/>
              <w:snapToGrid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四、煤炭开采和洗选业06、煤炭储存、集运</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923" w:type="dxa"/>
            <w:noWrap w:val="0"/>
            <w:tcMar>
              <w:top w:w="16" w:type="dxa"/>
              <w:left w:w="16" w:type="dxa"/>
              <w:right w:w="16" w:type="dxa"/>
            </w:tcMar>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建设性质</w:t>
            </w:r>
          </w:p>
        </w:tc>
        <w:tc>
          <w:tcPr>
            <w:tcW w:w="2386" w:type="dxa"/>
            <w:noWrap w:val="0"/>
            <w:vAlign w:val="center"/>
          </w:tcPr>
          <w:p>
            <w:pPr>
              <w:jc w:val="left"/>
              <w:rPr>
                <w:rFonts w:hint="default" w:ascii="Times New Roman" w:hAnsi="Times New Roman" w:cs="Times New Roman"/>
                <w:szCs w:val="21"/>
                <w:highlight w:val="none"/>
              </w:rPr>
            </w:pPr>
            <w:r>
              <w:rPr>
                <w:rFonts w:hint="default" w:ascii="Times New Roman" w:hAnsi="Times New Roman" w:cs="Times New Roman"/>
                <w:szCs w:val="21"/>
                <w:highlight w:val="none"/>
                <w:lang w:eastAsia="zh-CN"/>
              </w:rPr>
              <w:t>☑</w:t>
            </w:r>
            <w:r>
              <w:rPr>
                <w:rFonts w:hint="default" w:ascii="Times New Roman" w:hAnsi="Times New Roman" w:cs="Times New Roman"/>
                <w:szCs w:val="21"/>
                <w:highlight w:val="none"/>
              </w:rPr>
              <w:t>新建（迁建）</w:t>
            </w:r>
          </w:p>
          <w:p>
            <w:pPr>
              <w:jc w:val="left"/>
              <w:rPr>
                <w:rFonts w:hint="default" w:ascii="Times New Roman" w:hAnsi="Times New Roman" w:cs="Times New Roman"/>
                <w:szCs w:val="21"/>
                <w:highlight w:val="none"/>
              </w:rPr>
            </w:pPr>
            <w:r>
              <w:rPr>
                <w:rFonts w:hint="eastAsia" w:cs="Times New Roman"/>
                <w:szCs w:val="21"/>
                <w:highlight w:val="none"/>
                <w:lang w:eastAsia="zh-CN"/>
              </w:rPr>
              <w:t>□</w:t>
            </w:r>
            <w:r>
              <w:rPr>
                <w:rFonts w:hint="default" w:ascii="Times New Roman" w:hAnsi="Times New Roman" w:cs="Times New Roman"/>
                <w:szCs w:val="21"/>
                <w:highlight w:val="none"/>
              </w:rPr>
              <w:t>改建</w:t>
            </w:r>
          </w:p>
          <w:p>
            <w:pPr>
              <w:jc w:val="left"/>
              <w:rPr>
                <w:rFonts w:hint="default" w:ascii="Times New Roman" w:hAnsi="Times New Roman" w:cs="Times New Roman"/>
                <w:szCs w:val="21"/>
                <w:highlight w:val="none"/>
              </w:rPr>
            </w:pPr>
            <w:r>
              <w:rPr>
                <w:rFonts w:hint="eastAsia" w:cs="Times New Roman"/>
                <w:szCs w:val="21"/>
                <w:highlight w:val="none"/>
                <w:lang w:eastAsia="zh-CN"/>
              </w:rPr>
              <w:t>□</w:t>
            </w:r>
            <w:r>
              <w:rPr>
                <w:rFonts w:hint="default" w:ascii="Times New Roman" w:hAnsi="Times New Roman" w:cs="Times New Roman"/>
                <w:szCs w:val="21"/>
                <w:highlight w:val="none"/>
              </w:rPr>
              <w:t>扩建</w:t>
            </w:r>
          </w:p>
          <w:p>
            <w:pPr>
              <w:jc w:val="left"/>
              <w:rPr>
                <w:rFonts w:hint="default" w:ascii="Times New Roman" w:hAnsi="Times New Roman" w:cs="Times New Roman"/>
                <w:color w:val="auto"/>
                <w:szCs w:val="21"/>
                <w:highlight w:val="none"/>
              </w:rPr>
            </w:pPr>
            <w:r>
              <w:rPr>
                <w:rFonts w:hint="eastAsia" w:cs="Times New Roman"/>
                <w:szCs w:val="21"/>
                <w:highlight w:val="none"/>
                <w:lang w:eastAsia="zh-CN"/>
              </w:rPr>
              <w:t>□</w:t>
            </w:r>
            <w:r>
              <w:rPr>
                <w:rFonts w:hint="default" w:ascii="Times New Roman" w:hAnsi="Times New Roman" w:cs="Times New Roman"/>
                <w:szCs w:val="21"/>
                <w:highlight w:val="none"/>
              </w:rPr>
              <w:t>技术改造</w:t>
            </w:r>
          </w:p>
        </w:tc>
        <w:tc>
          <w:tcPr>
            <w:tcW w:w="2079" w:type="dxa"/>
            <w:noWrap w:val="0"/>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建设项目</w:t>
            </w:r>
          </w:p>
          <w:p>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szCs w:val="21"/>
                <w:highlight w:val="none"/>
              </w:rPr>
              <w:t>申报情形</w:t>
            </w:r>
          </w:p>
        </w:tc>
        <w:tc>
          <w:tcPr>
            <w:tcW w:w="2482" w:type="dxa"/>
            <w:noWrap w:val="0"/>
            <w:vAlign w:val="center"/>
          </w:tcPr>
          <w:p>
            <w:pPr>
              <w:jc w:val="left"/>
              <w:rPr>
                <w:rFonts w:hint="default" w:ascii="Times New Roman" w:hAnsi="Times New Roman" w:cs="Times New Roman"/>
                <w:szCs w:val="21"/>
                <w:highlight w:val="none"/>
              </w:rPr>
            </w:pPr>
            <w:r>
              <w:rPr>
                <w:rFonts w:hint="default" w:ascii="Times New Roman" w:hAnsi="Times New Roman" w:cs="Times New Roman"/>
                <w:szCs w:val="21"/>
                <w:highlight w:val="none"/>
              </w:rPr>
              <w:sym w:font="Wingdings 2" w:char="0052"/>
            </w:r>
            <w:r>
              <w:rPr>
                <w:rFonts w:hint="default" w:ascii="Times New Roman" w:hAnsi="Times New Roman" w:cs="Times New Roman"/>
                <w:szCs w:val="21"/>
                <w:highlight w:val="none"/>
              </w:rPr>
              <w:t xml:space="preserve">首次申报项目             </w:t>
            </w:r>
          </w:p>
          <w:p>
            <w:pPr>
              <w:jc w:val="left"/>
              <w:rPr>
                <w:rFonts w:hint="default" w:ascii="Times New Roman" w:hAnsi="Times New Roman" w:cs="Times New Roman"/>
                <w:szCs w:val="21"/>
                <w:highlight w:val="none"/>
              </w:rPr>
            </w:pPr>
            <w:r>
              <w:rPr>
                <w:rFonts w:hint="eastAsia" w:cs="Times New Roman"/>
                <w:szCs w:val="21"/>
                <w:highlight w:val="none"/>
                <w:lang w:eastAsia="zh-CN"/>
              </w:rPr>
              <w:t>□</w:t>
            </w:r>
            <w:r>
              <w:rPr>
                <w:rFonts w:hint="default" w:ascii="Times New Roman" w:hAnsi="Times New Roman" w:cs="Times New Roman"/>
                <w:szCs w:val="21"/>
                <w:highlight w:val="none"/>
              </w:rPr>
              <w:t>不予批准后再次申报项目</w:t>
            </w:r>
          </w:p>
          <w:p>
            <w:pPr>
              <w:jc w:val="left"/>
              <w:rPr>
                <w:rFonts w:hint="default" w:ascii="Times New Roman" w:hAnsi="Times New Roman" w:cs="Times New Roman"/>
                <w:szCs w:val="21"/>
                <w:highlight w:val="none"/>
              </w:rPr>
            </w:pPr>
            <w:r>
              <w:rPr>
                <w:rFonts w:hint="default" w:ascii="Times New Roman" w:hAnsi="Times New Roman" w:cs="Times New Roman"/>
                <w:szCs w:val="21"/>
                <w:highlight w:val="none"/>
              </w:rPr>
              <w:sym w:font="Wingdings 2" w:char="00A3"/>
            </w:r>
            <w:r>
              <w:rPr>
                <w:rFonts w:hint="default" w:ascii="Times New Roman" w:hAnsi="Times New Roman" w:cs="Times New Roman"/>
                <w:szCs w:val="21"/>
                <w:highlight w:val="none"/>
              </w:rPr>
              <w:t xml:space="preserve">超五年重新审核项目     </w:t>
            </w:r>
          </w:p>
          <w:p>
            <w:pPr>
              <w:jc w:val="left"/>
              <w:rPr>
                <w:rFonts w:hint="default" w:ascii="Times New Roman" w:hAnsi="Times New Roman" w:cs="Times New Roman"/>
                <w:color w:val="auto"/>
                <w:szCs w:val="21"/>
                <w:highlight w:val="none"/>
              </w:rPr>
            </w:pPr>
            <w:r>
              <w:rPr>
                <w:rFonts w:hint="eastAsia" w:cs="Times New Roman"/>
                <w:szCs w:val="21"/>
                <w:highlight w:val="none"/>
                <w:lang w:eastAsia="zh-CN"/>
              </w:rPr>
              <w:t>□</w:t>
            </w:r>
            <w:r>
              <w:rPr>
                <w:rFonts w:hint="default" w:ascii="Times New Roman" w:hAnsi="Times New Roman" w:cs="Times New Roman"/>
                <w:szCs w:val="21"/>
                <w:highlight w:val="none"/>
              </w:rPr>
              <w:t>重大变动重新报批项目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923" w:type="dxa"/>
            <w:noWrap w:val="0"/>
            <w:tcMar>
              <w:top w:w="16" w:type="dxa"/>
              <w:left w:w="16" w:type="dxa"/>
              <w:right w:w="16" w:type="dxa"/>
            </w:tcMar>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rPr>
              <w:t>项目审批（核准</w:t>
            </w:r>
            <w:r>
              <w:rPr>
                <w:rFonts w:ascii="宋体" w:hAnsi="宋体" w:cs="宋体"/>
                <w:szCs w:val="21"/>
                <w:highlight w:val="none"/>
              </w:rPr>
              <w:t>/</w:t>
            </w:r>
          </w:p>
          <w:p>
            <w:pPr>
              <w:adjustRightInd w:val="0"/>
              <w:snapToGrid w:val="0"/>
              <w:jc w:val="center"/>
              <w:rPr>
                <w:rFonts w:ascii="宋体" w:hAnsi="宋体" w:cs="宋体"/>
                <w:szCs w:val="21"/>
                <w:highlight w:val="none"/>
              </w:rPr>
            </w:pPr>
            <w:r>
              <w:rPr>
                <w:rFonts w:hint="eastAsia" w:ascii="宋体" w:hAnsi="宋体" w:cs="宋体"/>
                <w:szCs w:val="21"/>
                <w:highlight w:val="none"/>
              </w:rPr>
              <w:t>备案）部门（选填）</w:t>
            </w:r>
          </w:p>
        </w:tc>
        <w:tc>
          <w:tcPr>
            <w:tcW w:w="2386" w:type="dxa"/>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sz w:val="24"/>
                <w:szCs w:val="24"/>
                <w:highlight w:val="none"/>
                <w:lang w:val="en-US" w:eastAsia="zh-CN"/>
              </w:rPr>
              <w:t>阜新市太平区发展和改革局</w:t>
            </w:r>
          </w:p>
        </w:tc>
        <w:tc>
          <w:tcPr>
            <w:tcW w:w="2079" w:type="dxa"/>
            <w:noWrap w:val="0"/>
            <w:vAlign w:val="center"/>
          </w:tcPr>
          <w:p>
            <w:pPr>
              <w:adjustRightInd w:val="0"/>
              <w:snapToGrid w:val="0"/>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项目审批（核准/</w:t>
            </w:r>
          </w:p>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sz w:val="24"/>
                <w:szCs w:val="24"/>
                <w:highlight w:val="none"/>
              </w:rPr>
              <w:t>备案）文号（选填）</w:t>
            </w:r>
          </w:p>
        </w:tc>
        <w:tc>
          <w:tcPr>
            <w:tcW w:w="2482" w:type="dxa"/>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sz w:val="24"/>
                <w:szCs w:val="24"/>
                <w:highlight w:val="none"/>
                <w:lang w:val="en-US" w:eastAsia="zh-CN"/>
              </w:rPr>
              <w:t>阜太发改备(2026)63号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总投资（万元）</w:t>
            </w:r>
          </w:p>
        </w:tc>
        <w:tc>
          <w:tcPr>
            <w:tcW w:w="2386" w:type="dxa"/>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eastAsia="仿宋_GB2312" w:cs="Times New Roman"/>
                <w:b w:val="0"/>
                <w:bCs/>
                <w:sz w:val="24"/>
                <w:szCs w:val="24"/>
                <w:highlight w:val="none"/>
                <w:lang w:val="en-US" w:eastAsia="zh-CN"/>
              </w:rPr>
              <w:t>290.5</w:t>
            </w:r>
          </w:p>
        </w:tc>
        <w:tc>
          <w:tcPr>
            <w:tcW w:w="2079" w:type="dxa"/>
            <w:noWrap w:val="0"/>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sz w:val="24"/>
                <w:szCs w:val="24"/>
                <w:highlight w:val="none"/>
              </w:rPr>
              <w:t>环保投资（万元）</w:t>
            </w:r>
          </w:p>
        </w:tc>
        <w:tc>
          <w:tcPr>
            <w:tcW w:w="2482" w:type="dxa"/>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sz w:val="24"/>
                <w:szCs w:val="24"/>
                <w:highlight w:val="none"/>
                <w:lang w:val="en-US" w:eastAsia="zh-CN"/>
              </w:rPr>
              <w:t>75.1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环保投资占比（</w:t>
            </w:r>
            <w:r>
              <w:rPr>
                <w:rFonts w:ascii="宋体" w:hAnsi="宋体" w:cs="宋体"/>
                <w:szCs w:val="21"/>
                <w:highlight w:val="none"/>
              </w:rPr>
              <w:t>%</w:t>
            </w:r>
            <w:r>
              <w:rPr>
                <w:rFonts w:hint="eastAsia" w:ascii="宋体" w:hAnsi="宋体" w:cs="宋体"/>
                <w:szCs w:val="21"/>
                <w:highlight w:val="none"/>
              </w:rPr>
              <w:t>）</w:t>
            </w:r>
          </w:p>
        </w:tc>
        <w:tc>
          <w:tcPr>
            <w:tcW w:w="2386" w:type="dxa"/>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sz w:val="24"/>
                <w:szCs w:val="24"/>
                <w:highlight w:val="none"/>
                <w:lang w:val="en-US" w:eastAsia="zh-CN"/>
              </w:rPr>
              <w:t>25.8</w:t>
            </w:r>
          </w:p>
        </w:tc>
        <w:tc>
          <w:tcPr>
            <w:tcW w:w="2079" w:type="dxa"/>
            <w:noWrap w:val="0"/>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sz w:val="24"/>
                <w:szCs w:val="24"/>
                <w:highlight w:val="none"/>
              </w:rPr>
              <w:t>施工工期</w:t>
            </w:r>
          </w:p>
        </w:tc>
        <w:tc>
          <w:tcPr>
            <w:tcW w:w="2482" w:type="dxa"/>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sz w:val="24"/>
                <w:szCs w:val="24"/>
                <w:highlight w:val="none"/>
                <w:lang w:val="en-US" w:eastAsia="zh-CN"/>
              </w:rPr>
              <w:t>3</w:t>
            </w:r>
            <w:r>
              <w:rPr>
                <w:rFonts w:hint="default" w:ascii="Times New Roman" w:hAnsi="Times New Roman" w:cs="Times New Roman"/>
                <w:sz w:val="24"/>
                <w:szCs w:val="24"/>
                <w:highlight w:val="none"/>
                <w:lang w:val="en-US" w:eastAsia="zh-CN"/>
              </w:rPr>
              <w:t>个月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rPr>
              <w:t>是否开工建设</w:t>
            </w:r>
          </w:p>
        </w:tc>
        <w:tc>
          <w:tcPr>
            <w:tcW w:w="2386" w:type="dxa"/>
            <w:noWrap w:val="0"/>
            <w:vAlign w:val="center"/>
          </w:tcPr>
          <w:p>
            <w:pPr>
              <w:adjustRightInd w:val="0"/>
              <w:snapToGrid w:val="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sym w:font="Wingdings 2" w:char="0052"/>
            </w:r>
            <w:r>
              <w:rPr>
                <w:rFonts w:hint="default" w:ascii="Times New Roman" w:hAnsi="Times New Roman" w:cs="Times New Roman"/>
                <w:sz w:val="24"/>
                <w:szCs w:val="24"/>
                <w:highlight w:val="none"/>
              </w:rPr>
              <w:t>否</w:t>
            </w:r>
          </w:p>
          <w:p>
            <w:pPr>
              <w:adjustRightInd w:val="0"/>
              <w:snapToGrid w:val="0"/>
              <w:rPr>
                <w:rFonts w:hint="default" w:ascii="Times New Roman" w:hAnsi="Times New Roman" w:cs="Times New Roman"/>
                <w:color w:val="auto"/>
                <w:sz w:val="24"/>
                <w:szCs w:val="24"/>
                <w:highlight w:val="none"/>
              </w:rPr>
            </w:pPr>
            <w:r>
              <w:rPr>
                <w:rFonts w:hint="default" w:ascii="Times New Roman" w:hAnsi="Times New Roman" w:cs="Times New Roman"/>
                <w:sz w:val="24"/>
                <w:szCs w:val="24"/>
                <w:highlight w:val="none"/>
              </w:rPr>
              <w:sym w:font="Wingdings 2" w:char="00A3"/>
            </w:r>
            <w:r>
              <w:rPr>
                <w:rFonts w:hint="default" w:ascii="Times New Roman" w:hAnsi="Times New Roman" w:cs="Times New Roman"/>
                <w:sz w:val="24"/>
                <w:szCs w:val="24"/>
                <w:highlight w:val="none"/>
              </w:rPr>
              <w:t>是：</w:t>
            </w:r>
            <w:r>
              <w:rPr>
                <w:rFonts w:hint="default" w:ascii="Times New Roman" w:hAnsi="Times New Roman" w:cs="Times New Roman"/>
                <w:sz w:val="24"/>
                <w:szCs w:val="24"/>
                <w:highlight w:val="none"/>
                <w:u w:val="single"/>
              </w:rPr>
              <w:t xml:space="preserve">             </w:t>
            </w:r>
          </w:p>
        </w:tc>
        <w:tc>
          <w:tcPr>
            <w:tcW w:w="2079" w:type="dxa"/>
            <w:noWrap w:val="0"/>
            <w:tcMar>
              <w:top w:w="16" w:type="dxa"/>
              <w:left w:w="16" w:type="dxa"/>
              <w:right w:w="16" w:type="dxa"/>
            </w:tcMar>
            <w:vAlign w:val="center"/>
          </w:tcPr>
          <w:p>
            <w:pPr>
              <w:adjustRightInd w:val="0"/>
              <w:snapToGrid w:val="0"/>
              <w:jc w:val="center"/>
              <w:rPr>
                <w:rFonts w:hint="default" w:ascii="Times New Roman" w:hAnsi="Times New Roman" w:cs="Times New Roman"/>
                <w:spacing w:val="-6"/>
                <w:sz w:val="24"/>
                <w:szCs w:val="24"/>
                <w:highlight w:val="none"/>
              </w:rPr>
            </w:pPr>
            <w:r>
              <w:rPr>
                <w:rFonts w:hint="default" w:ascii="Times New Roman" w:hAnsi="Times New Roman" w:cs="Times New Roman"/>
                <w:spacing w:val="-6"/>
                <w:sz w:val="24"/>
                <w:szCs w:val="24"/>
                <w:highlight w:val="none"/>
              </w:rPr>
              <w:t>用地（用海）</w:t>
            </w:r>
          </w:p>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spacing w:val="-6"/>
                <w:sz w:val="24"/>
                <w:szCs w:val="24"/>
                <w:highlight w:val="none"/>
              </w:rPr>
              <w:t>面积（m</w:t>
            </w:r>
            <w:r>
              <w:rPr>
                <w:rFonts w:hint="default" w:ascii="Times New Roman" w:hAnsi="Times New Roman" w:cs="Times New Roman"/>
                <w:spacing w:val="-6"/>
                <w:sz w:val="24"/>
                <w:szCs w:val="24"/>
                <w:highlight w:val="none"/>
                <w:vertAlign w:val="superscript"/>
              </w:rPr>
              <w:t>2</w:t>
            </w:r>
            <w:r>
              <w:rPr>
                <w:rFonts w:hint="default" w:ascii="Times New Roman" w:hAnsi="Times New Roman" w:cs="Times New Roman"/>
                <w:spacing w:val="-6"/>
                <w:sz w:val="24"/>
                <w:szCs w:val="24"/>
                <w:highlight w:val="none"/>
              </w:rPr>
              <w:t>）</w:t>
            </w:r>
          </w:p>
        </w:tc>
        <w:tc>
          <w:tcPr>
            <w:tcW w:w="2482" w:type="dxa"/>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84848.45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923" w:type="dxa"/>
            <w:noWrap w:val="0"/>
            <w:vAlign w:val="center"/>
          </w:tcPr>
          <w:p>
            <w:pPr>
              <w:autoSpaceDE w:val="0"/>
              <w:autoSpaceDN w:val="0"/>
              <w:adjustRightInd w:val="0"/>
              <w:snapToGrid w:val="0"/>
              <w:jc w:val="center"/>
              <w:rPr>
                <w:rFonts w:ascii="宋体" w:hAnsi="宋体" w:cs="宋体"/>
                <w:kern w:val="0"/>
                <w:szCs w:val="21"/>
                <w:highlight w:val="none"/>
              </w:rPr>
            </w:pPr>
            <w:r>
              <w:rPr>
                <w:rFonts w:hint="eastAsia" w:ascii="宋体" w:hAnsi="宋体" w:cs="宋体"/>
                <w:kern w:val="0"/>
                <w:szCs w:val="21"/>
                <w:highlight w:val="none"/>
              </w:rPr>
              <w:t>专项评价设置情况</w:t>
            </w:r>
          </w:p>
        </w:tc>
        <w:tc>
          <w:tcPr>
            <w:tcW w:w="6947" w:type="dxa"/>
            <w:gridSpan w:val="3"/>
            <w:noWrap w:val="0"/>
            <w:vAlign w:val="center"/>
          </w:tcPr>
          <w:p>
            <w:pPr>
              <w:bidi w:val="0"/>
              <w:spacing w:line="360" w:lineRule="auto"/>
              <w:ind w:firstLine="480" w:firstLineChars="200"/>
              <w:rPr>
                <w:rFonts w:hint="eastAsia"/>
                <w:highlight w:val="none"/>
              </w:rPr>
            </w:pPr>
            <w:r>
              <w:rPr>
                <w:rFonts w:hint="eastAsia"/>
                <w:highlight w:val="none"/>
              </w:rPr>
              <w:t>对照《建设项目环境影响报告表编制技术指南（污染影响类）（试行）》专项评价设置原则表，详见表1-1。</w:t>
            </w:r>
          </w:p>
          <w:p>
            <w:pPr>
              <w:bidi w:val="0"/>
              <w:spacing w:line="360" w:lineRule="auto"/>
              <w:ind w:firstLine="480" w:firstLineChars="200"/>
              <w:rPr>
                <w:highlight w:val="none"/>
              </w:rPr>
            </w:pPr>
            <w:r>
              <w:rPr>
                <w:rFonts w:hint="eastAsia"/>
                <w:highlight w:val="none"/>
              </w:rPr>
              <w:t>对照《建设项目环境影响报告表编制技术指南（污染影响类）（试行）》中 “表1专项评价设置原则表”，本项目土壤、声环境不开展专项评价，大气、地表水、环境风险、生态、海洋以及地下水是否开展专项评价情况见下表1-1。</w:t>
            </w:r>
          </w:p>
          <w:p>
            <w:pPr>
              <w:pStyle w:val="60"/>
              <w:rPr>
                <w:rFonts w:cs="Times New Roman"/>
                <w:color w:val="auto"/>
                <w:kern w:val="0"/>
                <w:szCs w:val="20"/>
                <w:highlight w:val="none"/>
              </w:rPr>
            </w:pPr>
            <w:r>
              <w:rPr>
                <w:rFonts w:hint="eastAsia" w:cs="Times New Roman"/>
                <w:color w:val="auto"/>
                <w:kern w:val="0"/>
                <w:szCs w:val="20"/>
                <w:highlight w:val="none"/>
              </w:rPr>
              <w:t>表1-1专项评价设置原则表</w:t>
            </w:r>
          </w:p>
          <w:tbl>
            <w:tblPr>
              <w:tblStyle w:val="22"/>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3950"/>
              <w:gridCol w:w="157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96"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专项评价的类别</w:t>
                  </w:r>
                </w:p>
              </w:tc>
              <w:tc>
                <w:tcPr>
                  <w:tcW w:w="2934"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专项评价设置原则表</w:t>
                  </w:r>
                </w:p>
              </w:tc>
              <w:tc>
                <w:tcPr>
                  <w:tcW w:w="1169"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本项目情况</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96"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大气</w:t>
                  </w:r>
                </w:p>
              </w:tc>
              <w:tc>
                <w:tcPr>
                  <w:tcW w:w="2934"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排放废气含有毒有害污染物</w:t>
                  </w:r>
                  <w:r>
                    <w:rPr>
                      <w:rFonts w:hint="eastAsia" w:cs="Times New Roman"/>
                      <w:color w:val="auto"/>
                      <w:kern w:val="0"/>
                      <w:szCs w:val="20"/>
                      <w:highlight w:val="none"/>
                      <w:vertAlign w:val="superscript"/>
                    </w:rPr>
                    <w:t>①</w:t>
                  </w:r>
                  <w:r>
                    <w:rPr>
                      <w:rFonts w:hint="eastAsia" w:cs="Times New Roman"/>
                      <w:color w:val="auto"/>
                      <w:kern w:val="0"/>
                      <w:szCs w:val="20"/>
                      <w:highlight w:val="none"/>
                    </w:rPr>
                    <w:t>、二</w:t>
                  </w:r>
                  <w:r>
                    <w:rPr>
                      <w:rFonts w:hint="eastAsia" w:cs="Times New Roman"/>
                      <w:color w:val="auto"/>
                      <w:kern w:val="0"/>
                      <w:szCs w:val="20"/>
                      <w:highlight w:val="none"/>
                      <w:lang w:eastAsia="zh-CN"/>
                    </w:rPr>
                    <w:t>噁</w:t>
                  </w:r>
                  <w:r>
                    <w:rPr>
                      <w:rFonts w:hint="eastAsia" w:cs="Times New Roman"/>
                      <w:color w:val="auto"/>
                      <w:kern w:val="0"/>
                      <w:szCs w:val="20"/>
                      <w:highlight w:val="none"/>
                    </w:rPr>
                    <w:t>英、苯并[a]芘、氰化物、氯气且厂界外500米范围内有环境空气保护目标</w:t>
                  </w:r>
                  <w:r>
                    <w:rPr>
                      <w:rFonts w:hint="eastAsia" w:cs="Times New Roman"/>
                      <w:color w:val="auto"/>
                      <w:kern w:val="0"/>
                      <w:szCs w:val="20"/>
                      <w:highlight w:val="none"/>
                      <w:vertAlign w:val="superscript"/>
                    </w:rPr>
                    <w:t>②</w:t>
                  </w:r>
                  <w:r>
                    <w:rPr>
                      <w:rFonts w:hint="eastAsia" w:cs="Times New Roman"/>
                      <w:color w:val="auto"/>
                      <w:kern w:val="0"/>
                      <w:szCs w:val="20"/>
                      <w:highlight w:val="none"/>
                    </w:rPr>
                    <w:t>的建设项目</w:t>
                  </w:r>
                </w:p>
              </w:tc>
              <w:tc>
                <w:tcPr>
                  <w:tcW w:w="1169"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本项目不涉及有毒有害大气污染物</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96"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地表水</w:t>
                  </w:r>
                </w:p>
              </w:tc>
              <w:tc>
                <w:tcPr>
                  <w:tcW w:w="2934"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新增工业废水直排建设项目(槽罐车外送污水处理厂的除外)；新增废水直排的污水集中处理厂</w:t>
                  </w:r>
                </w:p>
              </w:tc>
              <w:tc>
                <w:tcPr>
                  <w:tcW w:w="1169" w:type="pct"/>
                  <w:noWrap w:val="0"/>
                  <w:vAlign w:val="center"/>
                </w:tcPr>
                <w:p>
                  <w:pPr>
                    <w:pStyle w:val="61"/>
                    <w:rPr>
                      <w:rFonts w:hint="default" w:eastAsia="宋体" w:cs="Times New Roman"/>
                      <w:color w:val="auto"/>
                      <w:kern w:val="0"/>
                      <w:szCs w:val="20"/>
                      <w:highlight w:val="none"/>
                      <w:lang w:val="en-US" w:eastAsia="zh-CN"/>
                    </w:rPr>
                  </w:pPr>
                  <w:r>
                    <w:rPr>
                      <w:rFonts w:hint="eastAsia" w:cs="Times New Roman"/>
                      <w:color w:val="auto"/>
                      <w:kern w:val="0"/>
                      <w:szCs w:val="20"/>
                      <w:highlight w:val="none"/>
                      <w:lang w:val="en-US" w:eastAsia="zh-CN"/>
                    </w:rPr>
                    <w:t>本项目无生产废水产生</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jc w:val="center"/>
              </w:trPr>
              <w:tc>
                <w:tcPr>
                  <w:tcW w:w="896"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环境风险</w:t>
                  </w:r>
                </w:p>
              </w:tc>
              <w:tc>
                <w:tcPr>
                  <w:tcW w:w="2934"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有毒有害和易燃易爆危险物质存储量超过临界量</w:t>
                  </w:r>
                  <w:r>
                    <w:rPr>
                      <w:rFonts w:hint="eastAsia" w:cs="Times New Roman"/>
                      <w:color w:val="auto"/>
                      <w:kern w:val="0"/>
                      <w:szCs w:val="20"/>
                      <w:highlight w:val="none"/>
                      <w:vertAlign w:val="superscript"/>
                    </w:rPr>
                    <w:t>③</w:t>
                  </w:r>
                  <w:r>
                    <w:rPr>
                      <w:rFonts w:hint="eastAsia" w:cs="Times New Roman"/>
                      <w:color w:val="auto"/>
                      <w:kern w:val="0"/>
                      <w:szCs w:val="20"/>
                      <w:highlight w:val="none"/>
                    </w:rPr>
                    <w:t>的建设项目</w:t>
                  </w:r>
                </w:p>
              </w:tc>
              <w:tc>
                <w:tcPr>
                  <w:tcW w:w="1169" w:type="pct"/>
                  <w:noWrap w:val="0"/>
                  <w:vAlign w:val="center"/>
                </w:tcPr>
                <w:p>
                  <w:pPr>
                    <w:pStyle w:val="61"/>
                    <w:rPr>
                      <w:rFonts w:hint="default" w:eastAsia="宋体" w:cs="Times New Roman"/>
                      <w:color w:val="auto"/>
                      <w:kern w:val="0"/>
                      <w:szCs w:val="20"/>
                      <w:highlight w:val="none"/>
                      <w:lang w:val="en-US" w:eastAsia="zh-CN"/>
                    </w:rPr>
                  </w:pPr>
                  <w:r>
                    <w:rPr>
                      <w:rFonts w:hint="eastAsia"/>
                      <w:highlight w:val="none"/>
                      <w:lang w:val="en-US" w:eastAsia="zh-CN"/>
                    </w:rPr>
                    <w:t>本项目不涉及风险物质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96"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生态</w:t>
                  </w:r>
                </w:p>
              </w:tc>
              <w:tc>
                <w:tcPr>
                  <w:tcW w:w="2934"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取水</w:t>
                  </w:r>
                  <w:r>
                    <w:rPr>
                      <w:rFonts w:ascii="Segoe UI Symbol" w:hAnsi="Segoe UI Symbol" w:cs="Segoe UI Symbol"/>
                      <w:color w:val="auto"/>
                      <w:kern w:val="0"/>
                      <w:szCs w:val="20"/>
                      <w:highlight w:val="none"/>
                    </w:rPr>
                    <w:t>☐</w:t>
                  </w:r>
                  <w:r>
                    <w:rPr>
                      <w:rFonts w:hint="eastAsia" w:cs="Times New Roman"/>
                      <w:color w:val="auto"/>
                      <w:kern w:val="0"/>
                      <w:szCs w:val="20"/>
                      <w:highlight w:val="none"/>
                    </w:rPr>
                    <w:t>下游</w:t>
                  </w:r>
                  <w:r>
                    <w:rPr>
                      <w:rFonts w:cs="Times New Roman"/>
                      <w:color w:val="auto"/>
                      <w:kern w:val="0"/>
                      <w:szCs w:val="20"/>
                      <w:highlight w:val="none"/>
                    </w:rPr>
                    <w:t>500</w:t>
                  </w:r>
                  <w:r>
                    <w:rPr>
                      <w:rFonts w:hint="eastAsia" w:cs="Times New Roman"/>
                      <w:color w:val="auto"/>
                      <w:kern w:val="0"/>
                      <w:szCs w:val="20"/>
                      <w:highlight w:val="none"/>
                    </w:rPr>
                    <w:t>米范围内有重要水生生物的自然产卵场、索饵场、越冬场和洄游通道的新增河道取水的污染类建设项目</w:t>
                  </w:r>
                </w:p>
              </w:tc>
              <w:tc>
                <w:tcPr>
                  <w:tcW w:w="1169"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不涉及</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96"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海洋</w:t>
                  </w:r>
                </w:p>
              </w:tc>
              <w:tc>
                <w:tcPr>
                  <w:tcW w:w="2934"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直接向海排放污染物的海洋工程建设项目</w:t>
                  </w:r>
                </w:p>
              </w:tc>
              <w:tc>
                <w:tcPr>
                  <w:tcW w:w="1169" w:type="pct"/>
                  <w:noWrap w:val="0"/>
                  <w:vAlign w:val="center"/>
                </w:tcPr>
                <w:p>
                  <w:pPr>
                    <w:pStyle w:val="61"/>
                    <w:rPr>
                      <w:rFonts w:cs="Times New Roman"/>
                      <w:color w:val="auto"/>
                      <w:kern w:val="0"/>
                      <w:szCs w:val="20"/>
                      <w:highlight w:val="none"/>
                    </w:rPr>
                  </w:pPr>
                  <w:r>
                    <w:rPr>
                      <w:rFonts w:hint="eastAsia" w:cs="Times New Roman"/>
                      <w:color w:val="auto"/>
                      <w:kern w:val="0"/>
                      <w:szCs w:val="20"/>
                      <w:highlight w:val="none"/>
                    </w:rPr>
                    <w:t>不涉及</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5000" w:type="pct"/>
                  <w:gridSpan w:val="3"/>
                  <w:noWrap w:val="0"/>
                  <w:vAlign w:val="center"/>
                </w:tcPr>
                <w:p>
                  <w:pPr>
                    <w:pStyle w:val="61"/>
                    <w:jc w:val="left"/>
                    <w:rPr>
                      <w:rFonts w:cs="Times New Roman"/>
                      <w:color w:val="auto"/>
                      <w:kern w:val="0"/>
                      <w:sz w:val="18"/>
                      <w:szCs w:val="18"/>
                      <w:highlight w:val="none"/>
                    </w:rPr>
                  </w:pPr>
                  <w:r>
                    <w:rPr>
                      <w:rFonts w:hint="eastAsia" w:cs="Times New Roman"/>
                      <w:color w:val="auto"/>
                      <w:kern w:val="0"/>
                      <w:sz w:val="18"/>
                      <w:szCs w:val="18"/>
                      <w:highlight w:val="none"/>
                    </w:rPr>
                    <w:t>注：①废气中有毒有害污染物指纳入《有毒有害大气污染物名录》的污染物（不包括无排放标准的污染物）。</w:t>
                  </w:r>
                </w:p>
                <w:p>
                  <w:pPr>
                    <w:pStyle w:val="61"/>
                    <w:jc w:val="left"/>
                    <w:rPr>
                      <w:rFonts w:cs="Times New Roman"/>
                      <w:color w:val="auto"/>
                      <w:kern w:val="0"/>
                      <w:sz w:val="18"/>
                      <w:szCs w:val="18"/>
                      <w:highlight w:val="none"/>
                    </w:rPr>
                  </w:pPr>
                  <w:r>
                    <w:rPr>
                      <w:rFonts w:hint="eastAsia" w:cs="Times New Roman"/>
                      <w:color w:val="auto"/>
                      <w:kern w:val="0"/>
                      <w:sz w:val="18"/>
                      <w:szCs w:val="18"/>
                      <w:highlight w:val="none"/>
                    </w:rPr>
                    <w:t>②环境空气保护目标指自然保护区、风景名胜区、居住区、文化区和农村地区中人群较集中的区域。</w:t>
                  </w:r>
                </w:p>
                <w:p>
                  <w:pPr>
                    <w:pStyle w:val="61"/>
                    <w:jc w:val="left"/>
                    <w:rPr>
                      <w:rFonts w:cs="Times New Roman"/>
                      <w:color w:val="auto"/>
                      <w:kern w:val="0"/>
                      <w:szCs w:val="20"/>
                      <w:highlight w:val="none"/>
                    </w:rPr>
                  </w:pPr>
                  <w:r>
                    <w:rPr>
                      <w:rFonts w:hint="eastAsia" w:cs="Times New Roman"/>
                      <w:color w:val="auto"/>
                      <w:kern w:val="0"/>
                      <w:sz w:val="18"/>
                      <w:szCs w:val="18"/>
                      <w:highlight w:val="none"/>
                    </w:rPr>
                    <w:t>③临界量及其计算方法可参考《建设项目环境风险评价技术导则》（HJ 169）附录B、附录C。</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center"/>
              <w:textAlignment w:val="auto"/>
              <w:rPr>
                <w:rFonts w:hint="default"/>
                <w:color w:val="auto"/>
                <w:highlight w:val="none"/>
                <w:lang w:val="en-US" w:eastAsia="zh-CN"/>
              </w:rPr>
            </w:pPr>
            <w:r>
              <w:rPr>
                <w:rFonts w:cs="Times New Roman"/>
                <w:color w:val="auto"/>
                <w:kern w:val="0"/>
                <w:szCs w:val="20"/>
                <w:highlight w:val="none"/>
              </w:rPr>
              <w:t>由上表可知，本项目</w:t>
            </w:r>
            <w:r>
              <w:rPr>
                <w:rFonts w:hint="eastAsia" w:cs="Times New Roman"/>
                <w:color w:val="auto"/>
                <w:kern w:val="0"/>
                <w:szCs w:val="20"/>
                <w:highlight w:val="none"/>
                <w:lang w:val="en-US" w:eastAsia="zh-CN"/>
              </w:rPr>
              <w:t>不</w:t>
            </w:r>
            <w:r>
              <w:rPr>
                <w:rFonts w:hint="eastAsia" w:cs="Times New Roman"/>
                <w:color w:val="auto"/>
                <w:kern w:val="0"/>
                <w:szCs w:val="20"/>
                <w:highlight w:val="none"/>
              </w:rPr>
              <w:t>设置</w:t>
            </w:r>
            <w:r>
              <w:rPr>
                <w:rFonts w:cs="Times New Roman"/>
                <w:color w:val="auto"/>
                <w:kern w:val="0"/>
                <w:szCs w:val="20"/>
                <w:highlight w:val="none"/>
              </w:rPr>
              <w:t>专项评价。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923" w:type="dxa"/>
            <w:noWrap w:val="0"/>
            <w:vAlign w:val="center"/>
          </w:tcPr>
          <w:p>
            <w:pPr>
              <w:autoSpaceDE w:val="0"/>
              <w:autoSpaceDN w:val="0"/>
              <w:adjustRightInd w:val="0"/>
              <w:snapToGrid w:val="0"/>
              <w:jc w:val="center"/>
              <w:rPr>
                <w:rFonts w:hint="eastAsia" w:ascii="宋体" w:hAnsi="宋体" w:cs="宋体"/>
                <w:kern w:val="0"/>
                <w:szCs w:val="21"/>
                <w:highlight w:val="none"/>
              </w:rPr>
            </w:pPr>
            <w:r>
              <w:rPr>
                <w:rFonts w:hint="eastAsia" w:ascii="宋体" w:hAnsi="宋体" w:cs="宋体"/>
                <w:szCs w:val="21"/>
                <w:highlight w:val="none"/>
              </w:rPr>
              <w:t>规划情况</w:t>
            </w:r>
          </w:p>
        </w:tc>
        <w:tc>
          <w:tcPr>
            <w:tcW w:w="6947" w:type="dxa"/>
            <w:gridSpan w:val="3"/>
            <w:noWrap w:val="0"/>
            <w:vAlign w:val="center"/>
          </w:tcPr>
          <w:p>
            <w:pPr>
              <w:autoSpaceDE w:val="0"/>
              <w:autoSpaceDN w:val="0"/>
              <w:adjustRightInd w:val="0"/>
              <w:snapToGrid w:val="0"/>
              <w:spacing w:line="360" w:lineRule="auto"/>
              <w:jc w:val="left"/>
              <w:rPr>
                <w:rFonts w:hint="default" w:ascii="Times New Roman" w:hAnsi="Times New Roman"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lang w:val="en-US" w:eastAsia="zh-CN"/>
              </w:rPr>
              <w:t>规划名称：阜新市新型材料产业基地规划</w:t>
            </w:r>
          </w:p>
          <w:p>
            <w:pPr>
              <w:autoSpaceDE w:val="0"/>
              <w:autoSpaceDN w:val="0"/>
              <w:adjustRightInd w:val="0"/>
              <w:snapToGrid w:val="0"/>
              <w:spacing w:line="360" w:lineRule="auto"/>
              <w:jc w:val="left"/>
              <w:rPr>
                <w:rFonts w:hint="default" w:ascii="Times New Roman" w:hAnsi="Times New Roman"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lang w:val="en-US" w:eastAsia="zh-CN"/>
              </w:rPr>
              <w:t>审批机关：阜新市人民政府</w:t>
            </w:r>
          </w:p>
          <w:p>
            <w:pPr>
              <w:autoSpaceDE w:val="0"/>
              <w:autoSpaceDN w:val="0"/>
              <w:adjustRightInd w:val="0"/>
              <w:snapToGrid w:val="0"/>
              <w:spacing w:line="360" w:lineRule="auto"/>
              <w:rPr>
                <w:rFonts w:hint="default" w:ascii="宋体" w:hAnsi="宋体" w:eastAsia="宋体" w:cs="宋体"/>
                <w:color w:val="auto"/>
                <w:kern w:val="0"/>
                <w:szCs w:val="21"/>
                <w:highlight w:val="none"/>
                <w:lang w:val="en-US" w:eastAsia="zh-CN"/>
              </w:rPr>
            </w:pPr>
            <w:r>
              <w:rPr>
                <w:rFonts w:hint="default" w:ascii="Times New Roman" w:hAnsi="Times New Roman" w:cs="Times New Roman"/>
                <w:color w:val="auto"/>
                <w:kern w:val="0"/>
                <w:sz w:val="24"/>
                <w:szCs w:val="24"/>
                <w:highlight w:val="none"/>
                <w:lang w:val="en-US" w:eastAsia="zh-CN"/>
              </w:rPr>
              <w:t>审批文件名称及审批文号：《关于同意设立阜新市新型材料产业基地的批复》，阜政〔2009〕209号。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1923" w:type="dxa"/>
            <w:noWrap w:val="0"/>
            <w:vAlign w:val="center"/>
          </w:tcPr>
          <w:p>
            <w:pPr>
              <w:adjustRightInd w:val="0"/>
              <w:snapToGrid w:val="0"/>
              <w:jc w:val="center"/>
              <w:rPr>
                <w:rFonts w:hint="eastAsia" w:ascii="宋体" w:hAnsi="宋体" w:cs="宋体"/>
                <w:kern w:val="0"/>
                <w:szCs w:val="21"/>
                <w:highlight w:val="none"/>
              </w:rPr>
            </w:pPr>
            <w:r>
              <w:rPr>
                <w:rFonts w:hint="eastAsia" w:ascii="宋体" w:hAnsi="宋体" w:cs="宋体"/>
                <w:szCs w:val="21"/>
                <w:highlight w:val="none"/>
              </w:rPr>
              <w:t>规划</w:t>
            </w:r>
            <w:r>
              <w:rPr>
                <w:rFonts w:hint="eastAsia" w:ascii="宋体" w:hAnsi="宋体" w:cs="宋体"/>
                <w:szCs w:val="21"/>
                <w:highlight w:val="none"/>
                <w:lang w:val="en-US" w:eastAsia="zh-CN"/>
              </w:rPr>
              <w:t>生态</w:t>
            </w:r>
            <w:r>
              <w:rPr>
                <w:rFonts w:hint="eastAsia" w:ascii="宋体" w:hAnsi="宋体" w:cs="宋体"/>
                <w:szCs w:val="21"/>
                <w:highlight w:val="none"/>
              </w:rPr>
              <w:t>环境影响评价情况</w:t>
            </w:r>
          </w:p>
        </w:tc>
        <w:tc>
          <w:tcPr>
            <w:tcW w:w="6947" w:type="dxa"/>
            <w:gridSpan w:val="3"/>
            <w:noWrap w:val="0"/>
            <w:vAlign w:val="center"/>
          </w:tcPr>
          <w:p>
            <w:pPr>
              <w:autoSpaceDE w:val="0"/>
              <w:autoSpaceDN w:val="0"/>
              <w:adjustRightInd w:val="0"/>
              <w:snapToGrid w:val="0"/>
              <w:spacing w:line="360" w:lineRule="auto"/>
              <w:jc w:val="both"/>
              <w:rPr>
                <w:rFonts w:hint="eastAsia" w:ascii="Times New Roman" w:hAnsi="Times New Roman"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规划生态环</w:t>
            </w:r>
            <w:r>
              <w:rPr>
                <w:rFonts w:hint="eastAsia" w:ascii="Times New Roman" w:hAnsi="Times New Roman" w:cs="Times New Roman"/>
                <w:color w:val="auto"/>
                <w:kern w:val="0"/>
                <w:sz w:val="24"/>
                <w:szCs w:val="24"/>
                <w:highlight w:val="none"/>
                <w:lang w:val="en-US" w:eastAsia="zh-CN"/>
              </w:rPr>
              <w:t>境影响评价文件名称：《阜新市新型材料产业基地规划（2011~2020）环境影响报告书》</w:t>
            </w:r>
          </w:p>
          <w:p>
            <w:pPr>
              <w:autoSpaceDE w:val="0"/>
              <w:autoSpaceDN w:val="0"/>
              <w:adjustRightInd w:val="0"/>
              <w:snapToGrid w:val="0"/>
              <w:spacing w:line="360" w:lineRule="auto"/>
              <w:jc w:val="left"/>
              <w:rPr>
                <w:rFonts w:hint="eastAsia"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审查部门：阜新市环境保护局</w:t>
            </w:r>
          </w:p>
          <w:p>
            <w:pPr>
              <w:autoSpaceDE w:val="0"/>
              <w:autoSpaceDN w:val="0"/>
              <w:adjustRightInd w:val="0"/>
              <w:snapToGrid w:val="0"/>
              <w:spacing w:line="360" w:lineRule="auto"/>
              <w:rPr>
                <w:rFonts w:hint="eastAsia" w:ascii="宋体" w:hAnsi="宋体" w:eastAsia="宋体" w:cs="宋体"/>
                <w:color w:val="auto"/>
                <w:kern w:val="0"/>
                <w:szCs w:val="21"/>
                <w:highlight w:val="none"/>
                <w:lang w:val="en-US" w:eastAsia="zh-CN"/>
              </w:rPr>
            </w:pPr>
            <w:r>
              <w:rPr>
                <w:rFonts w:hint="eastAsia" w:ascii="Times New Roman" w:hAnsi="Times New Roman" w:cs="Times New Roman"/>
                <w:color w:val="auto"/>
                <w:kern w:val="0"/>
                <w:sz w:val="24"/>
                <w:szCs w:val="24"/>
                <w:highlight w:val="none"/>
                <w:lang w:val="en-US" w:eastAsia="zh-CN"/>
              </w:rPr>
              <w:t>审查文件名称及文号：《关于阜新市新型材料产业基地规划（2011~2020）环境影响报告书的审查意见》，阜环</w:t>
            </w:r>
            <w:r>
              <w:rPr>
                <w:rFonts w:hint="eastAsia" w:cs="Times New Roman"/>
                <w:color w:val="auto"/>
                <w:kern w:val="0"/>
                <w:sz w:val="24"/>
                <w:szCs w:val="24"/>
                <w:highlight w:val="none"/>
                <w:lang w:val="en-US" w:eastAsia="zh-CN"/>
              </w:rPr>
              <w:t>函〔2014〕53号。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923" w:type="dxa"/>
            <w:noWrap w:val="0"/>
            <w:vAlign w:val="center"/>
          </w:tcPr>
          <w:p>
            <w:pPr>
              <w:autoSpaceDE w:val="0"/>
              <w:autoSpaceDN w:val="0"/>
              <w:adjustRightInd w:val="0"/>
              <w:snapToGrid w:val="0"/>
              <w:jc w:val="center"/>
              <w:rPr>
                <w:rFonts w:ascii="宋体" w:hAnsi="宋体" w:cs="宋体"/>
                <w:kern w:val="0"/>
                <w:szCs w:val="21"/>
                <w:highlight w:val="none"/>
              </w:rPr>
            </w:pPr>
            <w:r>
              <w:rPr>
                <w:rFonts w:hint="eastAsia" w:ascii="宋体" w:hAnsi="宋体" w:cs="宋体"/>
                <w:kern w:val="0"/>
                <w:szCs w:val="21"/>
                <w:highlight w:val="none"/>
              </w:rPr>
              <w:t>规划及规划</w:t>
            </w:r>
            <w:r>
              <w:rPr>
                <w:rFonts w:hint="eastAsia" w:ascii="宋体" w:hAnsi="宋体" w:cs="宋体"/>
                <w:kern w:val="0"/>
                <w:szCs w:val="21"/>
                <w:highlight w:val="none"/>
                <w:lang w:val="en-US" w:eastAsia="zh-CN"/>
              </w:rPr>
              <w:t>生态</w:t>
            </w:r>
            <w:r>
              <w:rPr>
                <w:rFonts w:hint="eastAsia" w:ascii="宋体" w:hAnsi="宋体" w:cs="宋体"/>
                <w:kern w:val="0"/>
                <w:szCs w:val="21"/>
                <w:highlight w:val="none"/>
              </w:rPr>
              <w:t>环境影响评价符合性分析</w:t>
            </w:r>
          </w:p>
        </w:tc>
        <w:tc>
          <w:tcPr>
            <w:tcW w:w="6947" w:type="dxa"/>
            <w:gridSpan w:val="3"/>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rPr>
              <w:t>因《阜新市新型材料产业基地</w:t>
            </w:r>
            <w:r>
              <w:rPr>
                <w:rFonts w:hint="eastAsia" w:cs="Times New Roman"/>
                <w:color w:val="auto"/>
                <w:sz w:val="24"/>
                <w:szCs w:val="24"/>
                <w:highlight w:val="none"/>
                <w:lang w:eastAsia="zh-CN"/>
              </w:rPr>
              <w:t>规划和</w:t>
            </w:r>
            <w:r>
              <w:rPr>
                <w:rFonts w:hint="default" w:ascii="Times New Roman" w:hAnsi="Times New Roman" w:cs="Times New Roman"/>
                <w:color w:val="auto"/>
                <w:sz w:val="24"/>
                <w:szCs w:val="24"/>
                <w:highlight w:val="none"/>
              </w:rPr>
              <w:t>规划环境影响报告书》（2011~2020年）已过期，且阜新市新型材料产业基地</w:t>
            </w:r>
            <w:r>
              <w:rPr>
                <w:rFonts w:hint="eastAsia" w:cs="Times New Roman"/>
                <w:color w:val="auto"/>
                <w:sz w:val="24"/>
                <w:szCs w:val="24"/>
                <w:highlight w:val="none"/>
                <w:lang w:eastAsia="zh-CN"/>
              </w:rPr>
              <w:t>新规划（</w:t>
            </w:r>
            <w:r>
              <w:rPr>
                <w:rFonts w:hint="eastAsia" w:cs="Times New Roman"/>
                <w:color w:val="auto"/>
                <w:sz w:val="24"/>
                <w:szCs w:val="24"/>
                <w:highlight w:val="none"/>
                <w:lang w:val="en-US" w:eastAsia="zh-CN"/>
              </w:rPr>
              <w:t>2021-2035年</w:t>
            </w:r>
            <w:r>
              <w:rPr>
                <w:rFonts w:hint="eastAsia" w:cs="Times New Roman"/>
                <w:color w:val="auto"/>
                <w:sz w:val="24"/>
                <w:szCs w:val="24"/>
                <w:highlight w:val="none"/>
                <w:lang w:eastAsia="zh-CN"/>
              </w:rPr>
              <w:t>）和规划环评尚未批复。阜新</w:t>
            </w:r>
            <w:r>
              <w:rPr>
                <w:rFonts w:hint="eastAsia" w:cs="Times New Roman"/>
                <w:color w:val="auto"/>
                <w:sz w:val="24"/>
                <w:szCs w:val="24"/>
                <w:highlight w:val="none"/>
                <w:lang w:val="en-US" w:eastAsia="zh-CN"/>
              </w:rPr>
              <w:t>市太平区人民政府出具了关于</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eastAsia="zh-CN"/>
              </w:rPr>
              <w:t>阜矿集团海州公司10万吨中央储煤基地</w:t>
            </w:r>
            <w:r>
              <w:rPr>
                <w:rFonts w:hint="default" w:ascii="Times New Roman" w:hAnsi="Times New Roman" w:cs="Times New Roman"/>
                <w:color w:val="auto"/>
                <w:sz w:val="24"/>
                <w:szCs w:val="24"/>
                <w:highlight w:val="none"/>
              </w:rPr>
              <w:t>项目》</w:t>
            </w:r>
            <w:r>
              <w:rPr>
                <w:rFonts w:hint="eastAsia" w:cs="Times New Roman"/>
                <w:color w:val="auto"/>
                <w:sz w:val="24"/>
                <w:szCs w:val="24"/>
                <w:highlight w:val="none"/>
                <w:lang w:eastAsia="zh-CN"/>
              </w:rPr>
              <w:t>（以下简称“本项目”）用地规划符合</w:t>
            </w:r>
            <w:r>
              <w:rPr>
                <w:rFonts w:hint="eastAsia" w:cs="Times New Roman"/>
                <w:color w:val="auto"/>
                <w:sz w:val="24"/>
                <w:szCs w:val="24"/>
                <w:highlight w:val="none"/>
                <w:lang w:val="en-US" w:eastAsia="zh-CN"/>
              </w:rPr>
              <w:t>性说明（见附件3），本项目地块现有用地性质为工业用地（见附件6），符合阜新新型材料产业开发区相关规划要求。</w:t>
            </w:r>
          </w:p>
          <w:p>
            <w:pPr>
              <w:pStyle w:val="39"/>
              <w:ind w:firstLine="421" w:firstLineChars="200"/>
              <w:jc w:val="center"/>
              <w:rPr>
                <w:rFonts w:hint="eastAsia" w:ascii="宋体" w:hAnsi="宋体" w:eastAsia="宋体" w:cs="宋体"/>
                <w:b/>
                <w:bCs/>
                <w:color w:val="auto"/>
                <w:highlight w:val="none"/>
                <w:lang w:eastAsia="zh-CN"/>
              </w:rPr>
            </w:pPr>
            <w:r>
              <w:rPr>
                <w:rFonts w:hint="eastAsia" w:ascii="宋体" w:hAnsi="宋体" w:eastAsia="宋体" w:cs="宋体"/>
                <w:b/>
                <w:bCs/>
                <w:color w:val="auto"/>
                <w:sz w:val="21"/>
                <w:szCs w:val="21"/>
                <w:highlight w:val="none"/>
                <w:lang w:eastAsia="zh-CN"/>
              </w:rPr>
              <w:t>表</w:t>
            </w:r>
            <w:r>
              <w:rPr>
                <w:rFonts w:hint="default" w:ascii="Times New Roman" w:hAnsi="Times New Roman" w:eastAsia="宋体" w:cs="Times New Roman"/>
                <w:b/>
                <w:bCs/>
                <w:color w:val="auto"/>
                <w:sz w:val="21"/>
                <w:szCs w:val="21"/>
                <w:highlight w:val="none"/>
                <w:lang w:eastAsia="zh-CN"/>
              </w:rPr>
              <w:t>1-</w:t>
            </w:r>
            <w:r>
              <w:rPr>
                <w:rFonts w:hint="eastAsia" w:eastAsia="宋体" w:cs="Times New Roman"/>
                <w:b/>
                <w:bCs/>
                <w:color w:val="auto"/>
                <w:sz w:val="21"/>
                <w:szCs w:val="21"/>
                <w:highlight w:val="none"/>
                <w:lang w:val="en-US" w:eastAsia="zh-CN"/>
              </w:rPr>
              <w:t>2</w:t>
            </w:r>
            <w:r>
              <w:rPr>
                <w:rFonts w:hint="eastAsia" w:ascii="宋体" w:hAnsi="宋体" w:eastAsia="宋体" w:cs="宋体"/>
                <w:b/>
                <w:bCs/>
                <w:color w:val="auto"/>
                <w:sz w:val="21"/>
                <w:szCs w:val="21"/>
                <w:highlight w:val="none"/>
                <w:lang w:eastAsia="zh-CN"/>
              </w:rPr>
              <w:t xml:space="preserve">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规划环评负面清单相符性分析</w:t>
            </w:r>
          </w:p>
          <w:tbl>
            <w:tblPr>
              <w:tblStyle w:val="21"/>
              <w:tblW w:w="4997"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06"/>
              <w:gridCol w:w="2702"/>
              <w:gridCol w:w="2359"/>
              <w:gridCol w:w="1060"/>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2458"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b/>
                      <w:bCs/>
                      <w:color w:val="auto"/>
                      <w:sz w:val="21"/>
                      <w:szCs w:val="21"/>
                      <w:highlight w:val="none"/>
                    </w:rPr>
                  </w:pPr>
                  <w:r>
                    <w:rPr>
                      <w:rFonts w:hint="eastAsia"/>
                      <w:b/>
                      <w:bCs/>
                      <w:color w:val="auto"/>
                      <w:sz w:val="21"/>
                      <w:szCs w:val="21"/>
                      <w:highlight w:val="none"/>
                    </w:rPr>
                    <w:t>负面清单</w:t>
                  </w:r>
                </w:p>
              </w:tc>
              <w:tc>
                <w:tcPr>
                  <w:tcW w:w="1753"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b/>
                      <w:bCs/>
                      <w:color w:val="auto"/>
                      <w:sz w:val="21"/>
                      <w:szCs w:val="21"/>
                      <w:highlight w:val="none"/>
                    </w:rPr>
                  </w:pPr>
                  <w:r>
                    <w:rPr>
                      <w:b/>
                      <w:bCs/>
                      <w:color w:val="auto"/>
                      <w:sz w:val="21"/>
                      <w:szCs w:val="21"/>
                      <w:highlight w:val="none"/>
                    </w:rPr>
                    <w:t>本项目建设情况</w:t>
                  </w:r>
                </w:p>
              </w:tc>
              <w:tc>
                <w:tcPr>
                  <w:tcW w:w="7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b/>
                      <w:bCs/>
                      <w:color w:val="auto"/>
                      <w:sz w:val="21"/>
                      <w:szCs w:val="21"/>
                      <w:highlight w:val="none"/>
                    </w:rPr>
                  </w:pPr>
                  <w:r>
                    <w:rPr>
                      <w:b/>
                      <w:bCs/>
                      <w:color w:val="auto"/>
                      <w:sz w:val="21"/>
                      <w:szCs w:val="21"/>
                      <w:highlight w:val="none"/>
                    </w:rPr>
                    <w:t>符合情况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lang w:eastAsia="zh-CN"/>
                    </w:rPr>
                  </w:pPr>
                  <w:r>
                    <w:rPr>
                      <w:rFonts w:hint="eastAsia"/>
                      <w:color w:val="auto"/>
                      <w:sz w:val="21"/>
                      <w:szCs w:val="21"/>
                      <w:highlight w:val="none"/>
                      <w:lang w:val="en-US" w:eastAsia="zh-CN"/>
                    </w:rPr>
                    <w:t>阜新市新型材料产业基地</w:t>
                  </w:r>
                </w:p>
              </w:tc>
              <w:tc>
                <w:tcPr>
                  <w:tcW w:w="200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rFonts w:hint="eastAsia"/>
                      <w:color w:val="auto"/>
                      <w:sz w:val="21"/>
                      <w:szCs w:val="21"/>
                      <w:highlight w:val="none"/>
                    </w:rPr>
                    <w:t>严禁违反国家产业政策、发展规划、行业准入条件和与基地产业类型、规划不相符的建设项目入驻；严禁“高能耗、高水耗、高风险、高污染”项目入驻。</w:t>
                  </w:r>
                </w:p>
              </w:tc>
              <w:tc>
                <w:tcPr>
                  <w:tcW w:w="1753"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rFonts w:hint="eastAsia"/>
                      <w:color w:val="auto"/>
                      <w:sz w:val="21"/>
                      <w:szCs w:val="21"/>
                      <w:highlight w:val="none"/>
                    </w:rPr>
                    <w:t>本项目</w:t>
                  </w:r>
                  <w:r>
                    <w:rPr>
                      <w:rFonts w:hint="eastAsia"/>
                      <w:color w:val="auto"/>
                      <w:sz w:val="21"/>
                      <w:szCs w:val="21"/>
                      <w:highlight w:val="none"/>
                      <w:lang w:val="en-US" w:eastAsia="zh-CN"/>
                    </w:rPr>
                    <w:t>为煤炭及制品批发业和其他仓储业</w:t>
                  </w:r>
                  <w:r>
                    <w:rPr>
                      <w:rFonts w:hint="eastAsia"/>
                      <w:color w:val="auto"/>
                      <w:sz w:val="21"/>
                      <w:szCs w:val="21"/>
                      <w:highlight w:val="none"/>
                      <w:lang w:eastAsia="zh-CN"/>
                    </w:rPr>
                    <w:t>，属于</w:t>
                  </w:r>
                  <w:r>
                    <w:rPr>
                      <w:rFonts w:hint="eastAsia"/>
                      <w:color w:val="auto"/>
                      <w:sz w:val="21"/>
                      <w:szCs w:val="21"/>
                      <w:highlight w:val="none"/>
                      <w:lang w:val="en-US" w:eastAsia="zh-CN"/>
                    </w:rPr>
                    <w:t>仓储物流</w:t>
                  </w:r>
                  <w:r>
                    <w:rPr>
                      <w:rFonts w:hint="eastAsia"/>
                      <w:color w:val="auto"/>
                      <w:sz w:val="21"/>
                      <w:szCs w:val="21"/>
                      <w:highlight w:val="none"/>
                    </w:rPr>
                    <w:t>，不</w:t>
                  </w:r>
                  <w:r>
                    <w:rPr>
                      <w:rFonts w:hint="eastAsia"/>
                      <w:color w:val="auto"/>
                      <w:sz w:val="21"/>
                      <w:szCs w:val="21"/>
                      <w:highlight w:val="none"/>
                      <w:lang w:eastAsia="zh-CN"/>
                    </w:rPr>
                    <w:t>属于高耗能、高污染的建设项目，不属于</w:t>
                  </w:r>
                  <w:r>
                    <w:rPr>
                      <w:rFonts w:hint="eastAsia"/>
                      <w:color w:val="auto"/>
                      <w:sz w:val="21"/>
                      <w:szCs w:val="21"/>
                      <w:highlight w:val="none"/>
                    </w:rPr>
                    <w:t>国家产业政策限制类和淘汰类的建设项目。</w:t>
                  </w:r>
                </w:p>
              </w:tc>
              <w:tc>
                <w:tcPr>
                  <w:tcW w:w="7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rFonts w:hint="eastAsia"/>
                      <w:color w:val="auto"/>
                      <w:sz w:val="21"/>
                      <w:szCs w:val="21"/>
                      <w:highlight w:val="none"/>
                    </w:rPr>
                    <w:t>符合</w:t>
                  </w:r>
                </w:p>
              </w:tc>
            </w:tr>
          </w:tbl>
          <w:p>
            <w:pPr>
              <w:pStyle w:val="2"/>
              <w:rPr>
                <w:sz w:val="13"/>
                <w:szCs w:val="6"/>
                <w:highlight w:val="none"/>
              </w:rPr>
            </w:pPr>
          </w:p>
          <w:p>
            <w:pPr>
              <w:pStyle w:val="39"/>
              <w:ind w:firstLine="421" w:firstLineChars="200"/>
              <w:jc w:val="center"/>
              <w:rPr>
                <w:rFonts w:hint="eastAsia" w:ascii="宋体" w:hAnsi="宋体" w:eastAsia="宋体" w:cs="宋体"/>
                <w:b/>
                <w:bCs/>
                <w:color w:val="auto"/>
                <w:highlight w:val="none"/>
                <w:lang w:eastAsia="zh-CN"/>
              </w:rPr>
            </w:pPr>
            <w:r>
              <w:rPr>
                <w:rFonts w:hint="eastAsia" w:ascii="宋体" w:hAnsi="宋体" w:eastAsia="宋体" w:cs="宋体"/>
                <w:b/>
                <w:bCs/>
                <w:color w:val="auto"/>
                <w:sz w:val="21"/>
                <w:szCs w:val="21"/>
                <w:highlight w:val="none"/>
                <w:lang w:eastAsia="zh-CN"/>
              </w:rPr>
              <w:t>表</w:t>
            </w:r>
            <w:r>
              <w:rPr>
                <w:rFonts w:hint="default" w:ascii="Times New Roman" w:hAnsi="Times New Roman" w:eastAsia="宋体" w:cs="Times New Roman"/>
                <w:b/>
                <w:bCs/>
                <w:color w:val="auto"/>
                <w:sz w:val="21"/>
                <w:szCs w:val="21"/>
                <w:highlight w:val="none"/>
                <w:lang w:eastAsia="zh-CN"/>
              </w:rPr>
              <w:t>1-</w:t>
            </w:r>
            <w:r>
              <w:rPr>
                <w:rFonts w:hint="eastAsia" w:eastAsia="宋体" w:cs="Times New Roman"/>
                <w:b/>
                <w:bCs/>
                <w:color w:val="auto"/>
                <w:sz w:val="21"/>
                <w:szCs w:val="21"/>
                <w:highlight w:val="none"/>
                <w:lang w:val="en-US" w:eastAsia="zh-CN"/>
              </w:rPr>
              <w:t>3</w:t>
            </w:r>
            <w:r>
              <w:rPr>
                <w:rFonts w:hint="eastAsia" w:ascii="宋体" w:hAnsi="宋体" w:eastAsia="宋体" w:cs="宋体"/>
                <w:b/>
                <w:bCs/>
                <w:color w:val="auto"/>
                <w:sz w:val="21"/>
                <w:szCs w:val="21"/>
                <w:highlight w:val="none"/>
                <w:lang w:eastAsia="zh-CN"/>
              </w:rPr>
              <w:t xml:space="preserve">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与规划</w:t>
            </w:r>
            <w:r>
              <w:rPr>
                <w:rFonts w:hint="eastAsia" w:ascii="宋体" w:hAnsi="宋体" w:eastAsia="宋体" w:cs="宋体"/>
                <w:b/>
                <w:bCs/>
                <w:color w:val="auto"/>
                <w:sz w:val="21"/>
                <w:szCs w:val="21"/>
                <w:highlight w:val="none"/>
                <w:lang w:val="en-US" w:eastAsia="zh-CN"/>
              </w:rPr>
              <w:t>生态</w:t>
            </w:r>
            <w:r>
              <w:rPr>
                <w:rFonts w:hint="eastAsia" w:ascii="宋体" w:hAnsi="宋体" w:eastAsia="宋体" w:cs="宋体"/>
                <w:b/>
                <w:bCs/>
                <w:color w:val="auto"/>
                <w:sz w:val="21"/>
                <w:szCs w:val="21"/>
                <w:highlight w:val="none"/>
                <w:lang w:eastAsia="zh-CN"/>
              </w:rPr>
              <w:t>环境影响评价结论符合性分析</w:t>
            </w:r>
          </w:p>
          <w:tbl>
            <w:tblPr>
              <w:tblStyle w:val="22"/>
              <w:tblW w:w="6502"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005"/>
              <w:gridCol w:w="2340"/>
              <w:gridCol w:w="1157"/>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00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color w:val="auto"/>
                      <w:sz w:val="21"/>
                      <w:szCs w:val="21"/>
                      <w:highlight w:val="none"/>
                      <w:lang w:val="en-US" w:eastAsia="zh-CN"/>
                    </w:rPr>
                  </w:pPr>
                  <w:r>
                    <w:rPr>
                      <w:rFonts w:hint="default"/>
                      <w:b/>
                      <w:bCs/>
                      <w:color w:val="auto"/>
                      <w:sz w:val="21"/>
                      <w:szCs w:val="21"/>
                      <w:highlight w:val="none"/>
                      <w:lang w:val="en-US" w:eastAsia="zh-CN"/>
                    </w:rPr>
                    <w:t>规划</w:t>
                  </w:r>
                  <w:r>
                    <w:rPr>
                      <w:rFonts w:hint="eastAsia"/>
                      <w:b/>
                      <w:bCs/>
                      <w:color w:val="auto"/>
                      <w:sz w:val="21"/>
                      <w:szCs w:val="21"/>
                      <w:highlight w:val="none"/>
                      <w:lang w:val="en-US" w:eastAsia="zh-CN"/>
                    </w:rPr>
                    <w:t>生态</w:t>
                  </w:r>
                  <w:r>
                    <w:rPr>
                      <w:rFonts w:hint="default"/>
                      <w:b/>
                      <w:bCs/>
                      <w:color w:val="auto"/>
                      <w:sz w:val="21"/>
                      <w:szCs w:val="21"/>
                      <w:highlight w:val="none"/>
                      <w:lang w:val="en-US" w:eastAsia="zh-CN"/>
                    </w:rPr>
                    <w:t>环境影响评价结论</w:t>
                  </w:r>
                </w:p>
              </w:tc>
              <w:tc>
                <w:tcPr>
                  <w:tcW w:w="234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color w:val="auto"/>
                      <w:sz w:val="21"/>
                      <w:szCs w:val="21"/>
                      <w:highlight w:val="none"/>
                      <w:lang w:val="en-US" w:eastAsia="zh-CN"/>
                    </w:rPr>
                  </w:pPr>
                  <w:r>
                    <w:rPr>
                      <w:rFonts w:hint="default"/>
                      <w:b/>
                      <w:bCs/>
                      <w:color w:val="auto"/>
                      <w:sz w:val="21"/>
                      <w:szCs w:val="21"/>
                      <w:highlight w:val="none"/>
                      <w:lang w:val="en-US" w:eastAsia="zh-CN"/>
                    </w:rPr>
                    <w:t>本项目建设情况</w:t>
                  </w:r>
                </w:p>
              </w:tc>
              <w:tc>
                <w:tcPr>
                  <w:tcW w:w="11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color w:val="auto"/>
                      <w:sz w:val="21"/>
                      <w:szCs w:val="21"/>
                      <w:highlight w:val="none"/>
                      <w:lang w:val="en-US" w:eastAsia="zh-CN"/>
                    </w:rPr>
                  </w:pPr>
                  <w:r>
                    <w:rPr>
                      <w:rFonts w:hint="default"/>
                      <w:b/>
                      <w:bCs/>
                      <w:color w:val="auto"/>
                      <w:sz w:val="21"/>
                      <w:szCs w:val="21"/>
                      <w:highlight w:val="none"/>
                      <w:lang w:val="en-US" w:eastAsia="zh-CN"/>
                    </w:rPr>
                    <w:t>符合情况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00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rPr>
                    <w:t>优化产业结构，严格控制入区项目的条件。优先引进污染轻、技术先进、生产规模大的项目，对大气污染严重、经治理后也难以达标的项目严禁入区。</w:t>
                  </w:r>
                </w:p>
              </w:tc>
              <w:tc>
                <w:tcPr>
                  <w:tcW w:w="2340" w:type="dxa"/>
                  <w:tcBorders>
                    <w:tl2br w:val="nil"/>
                    <w:tr2bl w:val="nil"/>
                  </w:tcBorders>
                  <w:noWrap w:val="0"/>
                  <w:vAlign w:val="center"/>
                </w:tcPr>
                <w:p>
                  <w:pPr>
                    <w:pStyle w:val="6"/>
                    <w:jc w:val="center"/>
                    <w:rPr>
                      <w:rFonts w:hint="default"/>
                      <w:color w:val="auto"/>
                      <w:sz w:val="21"/>
                      <w:szCs w:val="21"/>
                      <w:highlight w:val="none"/>
                      <w:lang w:val="en-US" w:eastAsia="zh-CN"/>
                    </w:rPr>
                  </w:pPr>
                  <w:r>
                    <w:rPr>
                      <w:rFonts w:hint="default"/>
                      <w:color w:val="auto"/>
                      <w:sz w:val="21"/>
                      <w:szCs w:val="21"/>
                      <w:highlight w:val="none"/>
                      <w:lang w:val="en-US" w:eastAsia="zh-CN"/>
                    </w:rPr>
                    <w:t>本项目运行后，会产生少量</w:t>
                  </w:r>
                  <w:r>
                    <w:rPr>
                      <w:rFonts w:hint="eastAsia"/>
                      <w:color w:val="auto"/>
                      <w:sz w:val="21"/>
                      <w:szCs w:val="21"/>
                      <w:highlight w:val="none"/>
                      <w:lang w:val="en-US" w:eastAsia="zh-CN"/>
                    </w:rPr>
                    <w:t>的颗粒物</w:t>
                  </w:r>
                  <w:r>
                    <w:rPr>
                      <w:rFonts w:hint="default"/>
                      <w:color w:val="auto"/>
                      <w:sz w:val="21"/>
                      <w:szCs w:val="21"/>
                      <w:highlight w:val="none"/>
                      <w:lang w:val="en-US" w:eastAsia="zh-CN"/>
                    </w:rPr>
                    <w:t>，在采取有效的处理后，</w:t>
                  </w:r>
                  <w:r>
                    <w:rPr>
                      <w:rFonts w:hint="eastAsia"/>
                      <w:color w:val="auto"/>
                      <w:sz w:val="21"/>
                      <w:szCs w:val="21"/>
                      <w:highlight w:val="none"/>
                      <w:lang w:val="en-US" w:eastAsia="zh-CN"/>
                    </w:rPr>
                    <w:t>对周围生态环境影响较小。</w:t>
                  </w:r>
                </w:p>
              </w:tc>
              <w:tc>
                <w:tcPr>
                  <w:tcW w:w="11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00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rPr>
                    <w:t>入区企业排放的大气污染物，必须实现达标排放</w:t>
                  </w:r>
                  <w:r>
                    <w:rPr>
                      <w:rFonts w:hint="default"/>
                      <w:color w:val="auto"/>
                      <w:sz w:val="21"/>
                      <w:szCs w:val="21"/>
                      <w:highlight w:val="none"/>
                      <w:lang w:eastAsia="zh-CN"/>
                    </w:rPr>
                    <w:t>。</w:t>
                  </w:r>
                </w:p>
              </w:tc>
              <w:tc>
                <w:tcPr>
                  <w:tcW w:w="234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本项目排放的大气污染物，在采取措施后能够实现达标排放。</w:t>
                  </w:r>
                </w:p>
              </w:tc>
              <w:tc>
                <w:tcPr>
                  <w:tcW w:w="11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PrEx>
              <w:trPr>
                <w:jc w:val="center"/>
              </w:trPr>
              <w:tc>
                <w:tcPr>
                  <w:tcW w:w="300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color w:val="auto"/>
                      <w:sz w:val="21"/>
                      <w:szCs w:val="21"/>
                      <w:highlight w:val="none"/>
                      <w:lang w:val="en-US" w:eastAsia="zh-CN"/>
                    </w:rPr>
                  </w:pPr>
                  <w:r>
                    <w:rPr>
                      <w:rFonts w:hint="default"/>
                      <w:color w:val="auto"/>
                      <w:sz w:val="21"/>
                      <w:szCs w:val="21"/>
                      <w:highlight w:val="none"/>
                      <w:lang w:val="zh-CN" w:eastAsia="zh-CN"/>
                    </w:rPr>
                    <w:t>应加快基地污水处理厂建设，与基地发展保持同步，保证基地内的污水得到有效的处理，达标排放；落实污水处理中水回用系统，逐步实现基地生产废水综合利用，最大程度减少废水外排量。</w:t>
                  </w:r>
                </w:p>
              </w:tc>
              <w:tc>
                <w:tcPr>
                  <w:tcW w:w="234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本项目</w:t>
                  </w:r>
                  <w:r>
                    <w:rPr>
                      <w:rFonts w:hint="default"/>
                      <w:color w:val="auto"/>
                      <w:sz w:val="21"/>
                      <w:szCs w:val="21"/>
                      <w:highlight w:val="none"/>
                      <w:lang w:val="en-US" w:eastAsia="zh-CN"/>
                    </w:rPr>
                    <w:t>产生的生活污水量小，并且水质相对简单，生活污水排入防渗</w:t>
                  </w:r>
                  <w:r>
                    <w:rPr>
                      <w:rFonts w:hint="eastAsia"/>
                      <w:color w:val="auto"/>
                      <w:sz w:val="21"/>
                      <w:szCs w:val="21"/>
                      <w:highlight w:val="none"/>
                      <w:lang w:val="en-US" w:eastAsia="zh-CN"/>
                    </w:rPr>
                    <w:t>化粪池</w:t>
                  </w:r>
                  <w:r>
                    <w:rPr>
                      <w:rFonts w:hint="default"/>
                      <w:color w:val="auto"/>
                      <w:sz w:val="21"/>
                      <w:szCs w:val="21"/>
                      <w:highlight w:val="none"/>
                      <w:lang w:val="en-US" w:eastAsia="zh-CN"/>
                    </w:rPr>
                    <w:t>，定期清掏</w:t>
                  </w:r>
                  <w:r>
                    <w:rPr>
                      <w:rFonts w:hint="eastAsia"/>
                      <w:color w:val="auto"/>
                      <w:sz w:val="21"/>
                      <w:szCs w:val="21"/>
                      <w:highlight w:val="none"/>
                      <w:lang w:val="en-US" w:eastAsia="zh-CN"/>
                    </w:rPr>
                    <w:t>，</w:t>
                  </w:r>
                  <w:r>
                    <w:rPr>
                      <w:rFonts w:hint="default"/>
                      <w:color w:val="auto"/>
                      <w:sz w:val="21"/>
                      <w:szCs w:val="21"/>
                      <w:highlight w:val="none"/>
                      <w:lang w:val="en-US" w:eastAsia="zh-CN"/>
                    </w:rPr>
                    <w:t>不外排。</w:t>
                  </w:r>
                  <w:r>
                    <w:rPr>
                      <w:rFonts w:hint="eastAsia"/>
                      <w:color w:val="auto"/>
                      <w:sz w:val="21"/>
                      <w:szCs w:val="21"/>
                      <w:highlight w:val="none"/>
                      <w:lang w:val="en-US" w:eastAsia="zh-CN"/>
                    </w:rPr>
                    <w:t>生产废水经沉淀池处理后回用，不外排。</w:t>
                  </w:r>
                </w:p>
              </w:tc>
              <w:tc>
                <w:tcPr>
                  <w:tcW w:w="11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300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lang w:eastAsia="zh-CN"/>
                    </w:rPr>
                  </w:pPr>
                  <w:r>
                    <w:rPr>
                      <w:rFonts w:hint="default"/>
                      <w:color w:val="auto"/>
                      <w:sz w:val="21"/>
                      <w:szCs w:val="21"/>
                      <w:highlight w:val="none"/>
                    </w:rPr>
                    <w:t>进驻企业在建设过程中应充分注意地下水污染防护设施的落实</w:t>
                  </w:r>
                  <w:r>
                    <w:rPr>
                      <w:rFonts w:hint="eastAsia"/>
                      <w:color w:val="auto"/>
                      <w:sz w:val="21"/>
                      <w:szCs w:val="21"/>
                      <w:highlight w:val="none"/>
                      <w:lang w:eastAsia="zh-CN"/>
                    </w:rPr>
                    <w:t>，以</w:t>
                  </w:r>
                  <w:r>
                    <w:rPr>
                      <w:rFonts w:hint="default"/>
                      <w:color w:val="auto"/>
                      <w:sz w:val="21"/>
                      <w:szCs w:val="21"/>
                      <w:highlight w:val="none"/>
                    </w:rPr>
                    <w:t>预防为主。</w:t>
                  </w:r>
                </w:p>
              </w:tc>
              <w:tc>
                <w:tcPr>
                  <w:tcW w:w="234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本项目</w:t>
                  </w:r>
                  <w:r>
                    <w:rPr>
                      <w:rFonts w:hint="eastAsia"/>
                      <w:color w:val="auto"/>
                      <w:sz w:val="21"/>
                      <w:szCs w:val="21"/>
                      <w:highlight w:val="none"/>
                      <w:lang w:val="en-US" w:eastAsia="zh-CN"/>
                    </w:rPr>
                    <w:t>地下水池、储煤库等均</w:t>
                  </w:r>
                  <w:r>
                    <w:rPr>
                      <w:rFonts w:hint="default"/>
                      <w:color w:val="auto"/>
                      <w:sz w:val="21"/>
                      <w:szCs w:val="21"/>
                      <w:highlight w:val="none"/>
                      <w:lang w:val="en-US" w:eastAsia="zh-CN"/>
                    </w:rPr>
                    <w:t>进行防渗处理。</w:t>
                  </w:r>
                </w:p>
              </w:tc>
              <w:tc>
                <w:tcPr>
                  <w:tcW w:w="11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51" w:hRule="atLeast"/>
                <w:jc w:val="center"/>
              </w:trPr>
              <w:tc>
                <w:tcPr>
                  <w:tcW w:w="300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rPr>
                  </w:pPr>
                  <w:r>
                    <w:rPr>
                      <w:rFonts w:hint="default"/>
                      <w:color w:val="auto"/>
                      <w:sz w:val="21"/>
                      <w:szCs w:val="21"/>
                      <w:highlight w:val="none"/>
                    </w:rPr>
                    <w:t>入区项目必须确保厂界噪声达标。对各种工业噪声源分别采用隔声、吸声和消声等措施，必要时应增加设置隔声罩、隔声屏障等措施，降低噪声源强，减少对周围环境的影响；</w:t>
                  </w:r>
                </w:p>
              </w:tc>
              <w:tc>
                <w:tcPr>
                  <w:tcW w:w="234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本项目采用低噪声设备，采取厂房隔音等降噪措施，对主要产噪设备进行操作管理。</w:t>
                  </w:r>
                </w:p>
              </w:tc>
              <w:tc>
                <w:tcPr>
                  <w:tcW w:w="11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26" w:hRule="atLeast"/>
                <w:jc w:val="center"/>
              </w:trPr>
              <w:tc>
                <w:tcPr>
                  <w:tcW w:w="300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rPr>
                  </w:pPr>
                  <w:r>
                    <w:rPr>
                      <w:rFonts w:hint="default"/>
                      <w:color w:val="auto"/>
                      <w:sz w:val="21"/>
                      <w:szCs w:val="21"/>
                      <w:highlight w:val="none"/>
                    </w:rPr>
                    <w:t>一般工业固体废物应分类堆存，可回收利用的要回收综合利用，不能回收的，应定期进行安全处理。危险废物的控制应遵循全过程管理，分类收集、强制处置和集中处理的原则,对危险固体废物应采用无害化处理。</w:t>
                  </w:r>
                </w:p>
              </w:tc>
              <w:tc>
                <w:tcPr>
                  <w:tcW w:w="234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eastAsia="宋体"/>
                      <w:color w:val="auto"/>
                      <w:sz w:val="21"/>
                      <w:szCs w:val="21"/>
                      <w:highlight w:val="none"/>
                      <w:lang w:val="en-US" w:eastAsia="zh-CN"/>
                    </w:rPr>
                  </w:pPr>
                  <w:r>
                    <w:rPr>
                      <w:rFonts w:hint="eastAsia"/>
                      <w:color w:val="auto"/>
                      <w:sz w:val="21"/>
                      <w:szCs w:val="21"/>
                      <w:highlight w:val="none"/>
                    </w:rPr>
                    <w:t>本项目</w:t>
                  </w:r>
                  <w:r>
                    <w:rPr>
                      <w:rFonts w:hint="eastAsia"/>
                      <w:color w:val="auto"/>
                      <w:sz w:val="21"/>
                      <w:szCs w:val="21"/>
                      <w:highlight w:val="none"/>
                      <w:lang w:eastAsia="zh-CN"/>
                    </w:rPr>
                    <w:t>无危废产生，</w:t>
                  </w:r>
                  <w:r>
                    <w:rPr>
                      <w:rFonts w:hint="eastAsia"/>
                      <w:color w:val="auto"/>
                      <w:sz w:val="21"/>
                      <w:szCs w:val="21"/>
                      <w:highlight w:val="none"/>
                    </w:rPr>
                    <w:t>一般固体废物均能做到合理处置</w:t>
                  </w:r>
                  <w:r>
                    <w:rPr>
                      <w:rFonts w:hint="eastAsia"/>
                      <w:color w:val="auto"/>
                      <w:sz w:val="21"/>
                      <w:szCs w:val="21"/>
                      <w:highlight w:val="none"/>
                      <w:lang w:eastAsia="zh-CN"/>
                    </w:rPr>
                    <w:t>。</w:t>
                  </w:r>
                </w:p>
              </w:tc>
              <w:tc>
                <w:tcPr>
                  <w:tcW w:w="115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符合</w:t>
                  </w:r>
                </w:p>
              </w:tc>
            </w:tr>
          </w:tbl>
          <w:p>
            <w:pPr>
              <w:jc w:val="center"/>
              <w:rPr>
                <w:rFonts w:hint="eastAsia"/>
                <w:color w:val="auto"/>
                <w:highlight w:val="none"/>
                <w:lang w:eastAsia="zh-CN"/>
              </w:rPr>
            </w:pPr>
          </w:p>
          <w:p>
            <w:pPr>
              <w:pStyle w:val="2"/>
              <w:rPr>
                <w:rFonts w:hint="eastAsia"/>
                <w:color w:val="auto"/>
                <w:highlight w:val="none"/>
                <w:lang w:eastAsia="zh-CN"/>
              </w:rPr>
            </w:pPr>
          </w:p>
          <w:p>
            <w:pPr>
              <w:pStyle w:val="20"/>
              <w:rPr>
                <w:rFonts w:hint="eastAsia"/>
                <w:color w:val="auto"/>
                <w:highlight w:val="none"/>
                <w:lang w:eastAsia="zh-CN"/>
              </w:rPr>
            </w:pPr>
          </w:p>
          <w:p>
            <w:pPr>
              <w:pStyle w:val="20"/>
              <w:rPr>
                <w:rFonts w:hint="eastAsia"/>
                <w:color w:val="auto"/>
                <w:highlight w:val="none"/>
                <w:lang w:eastAsia="zh-CN"/>
              </w:rPr>
            </w:pPr>
          </w:p>
          <w:p>
            <w:pPr>
              <w:pStyle w:val="20"/>
              <w:rPr>
                <w:rFonts w:hint="eastAsia"/>
                <w:color w:val="auto"/>
                <w:highlight w:val="none"/>
                <w:lang w:eastAsia="zh-CN"/>
              </w:rPr>
            </w:pPr>
          </w:p>
          <w:p>
            <w:pPr>
              <w:pStyle w:val="20"/>
              <w:rPr>
                <w:rFonts w:hint="eastAsia"/>
                <w:color w:val="auto"/>
                <w:highlight w:val="none"/>
                <w:lang w:eastAsia="zh-CN"/>
              </w:rPr>
            </w:pPr>
          </w:p>
          <w:p>
            <w:pPr>
              <w:pStyle w:val="20"/>
              <w:rPr>
                <w:rFonts w:hint="eastAsia"/>
                <w:color w:val="auto"/>
                <w:highlight w:val="none"/>
                <w:lang w:eastAsia="zh-CN"/>
              </w:rPr>
            </w:pPr>
          </w:p>
          <w:p>
            <w:pPr>
              <w:pStyle w:val="20"/>
              <w:rPr>
                <w:rFonts w:hint="eastAsia"/>
                <w:color w:val="auto"/>
                <w:highlight w:val="none"/>
                <w:lang w:eastAsia="zh-CN"/>
              </w:rPr>
            </w:pPr>
          </w:p>
          <w:p>
            <w:pPr>
              <w:pStyle w:val="39"/>
              <w:ind w:firstLine="421" w:firstLineChars="200"/>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sz w:val="21"/>
                <w:szCs w:val="21"/>
                <w:highlight w:val="none"/>
                <w:lang w:eastAsia="zh-CN"/>
              </w:rPr>
              <w:t>表</w:t>
            </w:r>
            <w:r>
              <w:rPr>
                <w:rFonts w:hint="default" w:ascii="Times New Roman" w:hAnsi="Times New Roman" w:eastAsia="宋体" w:cs="Times New Roman"/>
                <w:b/>
                <w:bCs/>
                <w:color w:val="auto"/>
                <w:sz w:val="21"/>
                <w:szCs w:val="21"/>
                <w:highlight w:val="none"/>
                <w:lang w:val="en-US" w:eastAsia="zh-CN"/>
              </w:rPr>
              <w:t>1-</w:t>
            </w:r>
            <w:r>
              <w:rPr>
                <w:rFonts w:hint="eastAsia" w:eastAsia="宋体" w:cs="Times New Roman"/>
                <w:b/>
                <w:bCs/>
                <w:color w:val="auto"/>
                <w:sz w:val="21"/>
                <w:szCs w:val="21"/>
                <w:highlight w:val="none"/>
                <w:lang w:val="en-US" w:eastAsia="zh-CN"/>
              </w:rPr>
              <w:t>4</w:t>
            </w:r>
            <w:r>
              <w:rPr>
                <w:rFonts w:hint="eastAsia" w:ascii="宋体" w:hAnsi="宋体" w:eastAsia="宋体" w:cs="宋体"/>
                <w:b/>
                <w:bCs/>
                <w:color w:val="auto"/>
                <w:sz w:val="21"/>
                <w:szCs w:val="21"/>
                <w:highlight w:val="none"/>
                <w:lang w:val="en-US" w:eastAsia="zh-CN"/>
              </w:rPr>
              <w:t xml:space="preserve">         规划环评审查意见相符性分析</w:t>
            </w:r>
          </w:p>
          <w:tbl>
            <w:tblPr>
              <w:tblStyle w:val="22"/>
              <w:tblW w:w="4999"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001"/>
              <w:gridCol w:w="2532"/>
              <w:gridCol w:w="1197"/>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29" w:type="pct"/>
                  <w:tcBorders>
                    <w:tl2br w:val="nil"/>
                    <w:tr2bl w:val="nil"/>
                  </w:tcBorders>
                  <w:noWrap w:val="0"/>
                  <w:vAlign w:val="center"/>
                </w:tcPr>
                <w:p>
                  <w:pPr>
                    <w:jc w:val="center"/>
                    <w:rPr>
                      <w:rFonts w:hint="eastAsia"/>
                      <w:b/>
                      <w:bCs/>
                      <w:color w:val="auto"/>
                      <w:sz w:val="21"/>
                      <w:szCs w:val="21"/>
                      <w:highlight w:val="none"/>
                      <w:lang w:val="en-US" w:eastAsia="zh-CN"/>
                    </w:rPr>
                  </w:pPr>
                  <w:r>
                    <w:rPr>
                      <w:b/>
                      <w:bCs/>
                      <w:color w:val="auto"/>
                      <w:sz w:val="21"/>
                      <w:szCs w:val="21"/>
                      <w:highlight w:val="none"/>
                    </w:rPr>
                    <w:t>审查意见</w:t>
                  </w:r>
                </w:p>
              </w:tc>
              <w:tc>
                <w:tcPr>
                  <w:tcW w:w="1880" w:type="pct"/>
                  <w:tcBorders>
                    <w:tl2br w:val="nil"/>
                    <w:tr2bl w:val="nil"/>
                  </w:tcBorders>
                  <w:noWrap w:val="0"/>
                  <w:vAlign w:val="center"/>
                </w:tcPr>
                <w:p>
                  <w:pPr>
                    <w:jc w:val="center"/>
                    <w:rPr>
                      <w:rFonts w:hint="eastAsia"/>
                      <w:b/>
                      <w:bCs/>
                      <w:color w:val="auto"/>
                      <w:sz w:val="21"/>
                      <w:szCs w:val="21"/>
                      <w:highlight w:val="none"/>
                      <w:lang w:val="en-US" w:eastAsia="zh-CN"/>
                    </w:rPr>
                  </w:pPr>
                  <w:r>
                    <w:rPr>
                      <w:b/>
                      <w:bCs/>
                      <w:color w:val="auto"/>
                      <w:sz w:val="21"/>
                      <w:szCs w:val="21"/>
                      <w:highlight w:val="none"/>
                    </w:rPr>
                    <w:t>本项目建设情况</w:t>
                  </w:r>
                </w:p>
              </w:tc>
              <w:tc>
                <w:tcPr>
                  <w:tcW w:w="889" w:type="pct"/>
                  <w:tcBorders>
                    <w:tl2br w:val="nil"/>
                    <w:tr2bl w:val="nil"/>
                  </w:tcBorders>
                  <w:noWrap w:val="0"/>
                  <w:vAlign w:val="center"/>
                </w:tcPr>
                <w:p>
                  <w:pPr>
                    <w:jc w:val="center"/>
                    <w:rPr>
                      <w:rFonts w:hint="eastAsia"/>
                      <w:b/>
                      <w:bCs/>
                      <w:color w:val="auto"/>
                      <w:sz w:val="21"/>
                      <w:szCs w:val="21"/>
                      <w:highlight w:val="none"/>
                      <w:lang w:val="en-US" w:eastAsia="zh-CN"/>
                    </w:rPr>
                  </w:pPr>
                  <w:r>
                    <w:rPr>
                      <w:b/>
                      <w:bCs/>
                      <w:color w:val="auto"/>
                      <w:sz w:val="21"/>
                      <w:szCs w:val="21"/>
                      <w:highlight w:val="none"/>
                    </w:rPr>
                    <w:t>符合情况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25" w:hRule="atLeast"/>
              </w:trPr>
              <w:tc>
                <w:tcPr>
                  <w:tcW w:w="2229" w:type="pct"/>
                  <w:tcBorders>
                    <w:tl2br w:val="nil"/>
                    <w:tr2bl w:val="nil"/>
                  </w:tcBorders>
                  <w:noWrap w:val="0"/>
                  <w:vAlign w:val="center"/>
                </w:tcPr>
                <w:p>
                  <w:pPr>
                    <w:jc w:val="center"/>
                    <w:rPr>
                      <w:rFonts w:hint="eastAsia"/>
                      <w:color w:val="auto"/>
                      <w:sz w:val="21"/>
                      <w:szCs w:val="21"/>
                      <w:highlight w:val="none"/>
                      <w:lang w:val="en-US" w:eastAsia="zh-CN"/>
                    </w:rPr>
                  </w:pPr>
                  <w:r>
                    <w:rPr>
                      <w:rFonts w:hint="eastAsia"/>
                      <w:color w:val="auto"/>
                      <w:sz w:val="21"/>
                      <w:szCs w:val="21"/>
                      <w:highlight w:val="none"/>
                    </w:rPr>
                    <w:t>严格入驻基地项目的环保准入，按照《综合类生态工业园区标准（试行）》实施规划。严禁违反国家产业政策、发展规划、行业准入条件和与基地产业类型、规划不相符的建设项目入驻；严禁“高能耗、高水耗、高风险、高污染”项目入驻。入驻项目全面提高清洁生产水平，加大清洁能源比重，提高资源利用率，减少污染物排放量，实行污染物总量控制，建立健全环境管理机构，完善相关环境管理制度、风险防控制度和环境监测体系，保证基地环境质量.</w:t>
                  </w:r>
                </w:p>
              </w:tc>
              <w:tc>
                <w:tcPr>
                  <w:tcW w:w="1880" w:type="pct"/>
                  <w:tcBorders>
                    <w:tl2br w:val="nil"/>
                    <w:tr2bl w:val="nil"/>
                  </w:tcBorders>
                  <w:noWrap w:val="0"/>
                  <w:vAlign w:val="center"/>
                </w:tcPr>
                <w:p>
                  <w:pPr>
                    <w:adjustRightInd w:val="0"/>
                    <w:snapToGrid w:val="0"/>
                    <w:jc w:val="center"/>
                    <w:rPr>
                      <w:rFonts w:hint="eastAsia"/>
                      <w:color w:val="auto"/>
                      <w:sz w:val="21"/>
                      <w:szCs w:val="21"/>
                      <w:highlight w:val="none"/>
                      <w:lang w:val="en-US" w:eastAsia="zh-CN"/>
                    </w:rPr>
                  </w:pPr>
                  <w:r>
                    <w:rPr>
                      <w:rFonts w:hint="eastAsia"/>
                      <w:color w:val="auto"/>
                      <w:sz w:val="21"/>
                      <w:szCs w:val="21"/>
                      <w:highlight w:val="none"/>
                    </w:rPr>
                    <w:t>本项目为</w:t>
                  </w:r>
                  <w:r>
                    <w:rPr>
                      <w:rFonts w:hint="eastAsia"/>
                      <w:color w:val="auto"/>
                      <w:sz w:val="21"/>
                      <w:szCs w:val="21"/>
                      <w:highlight w:val="none"/>
                      <w:lang w:val="en-US" w:eastAsia="zh-CN"/>
                    </w:rPr>
                    <w:t>煤炭及制品批发业和其他仓储业</w:t>
                  </w:r>
                  <w:r>
                    <w:rPr>
                      <w:rFonts w:hint="eastAsia"/>
                      <w:color w:val="auto"/>
                      <w:sz w:val="21"/>
                      <w:szCs w:val="21"/>
                      <w:highlight w:val="none"/>
                    </w:rPr>
                    <w:t>，</w:t>
                  </w:r>
                  <w:r>
                    <w:rPr>
                      <w:rFonts w:hint="eastAsia"/>
                      <w:color w:val="auto"/>
                      <w:sz w:val="21"/>
                      <w:szCs w:val="21"/>
                      <w:highlight w:val="none"/>
                      <w:lang w:eastAsia="zh-CN"/>
                    </w:rPr>
                    <w:t>建设</w:t>
                  </w:r>
                  <w:r>
                    <w:rPr>
                      <w:rFonts w:hint="eastAsia"/>
                      <w:color w:val="auto"/>
                      <w:sz w:val="21"/>
                      <w:szCs w:val="21"/>
                      <w:highlight w:val="none"/>
                      <w:lang w:val="en-US" w:eastAsia="zh-CN"/>
                    </w:rPr>
                    <w:t>3座</w:t>
                  </w:r>
                  <w:r>
                    <w:rPr>
                      <w:rFonts w:hint="eastAsia"/>
                      <w:color w:val="auto"/>
                      <w:sz w:val="21"/>
                      <w:szCs w:val="21"/>
                      <w:highlight w:val="none"/>
                      <w:lang w:eastAsia="zh-CN"/>
                    </w:rPr>
                    <w:t>全封闭储煤</w:t>
                  </w:r>
                  <w:r>
                    <w:rPr>
                      <w:rFonts w:hint="eastAsia"/>
                      <w:color w:val="auto"/>
                      <w:sz w:val="21"/>
                      <w:szCs w:val="21"/>
                      <w:highlight w:val="none"/>
                      <w:lang w:val="en-US" w:eastAsia="zh-CN"/>
                    </w:rPr>
                    <w:t>库</w:t>
                  </w:r>
                  <w:r>
                    <w:rPr>
                      <w:rFonts w:hint="eastAsia"/>
                      <w:color w:val="auto"/>
                      <w:sz w:val="21"/>
                      <w:szCs w:val="21"/>
                      <w:highlight w:val="none"/>
                      <w:lang w:eastAsia="zh-CN"/>
                    </w:rPr>
                    <w:t>，</w:t>
                  </w:r>
                  <w:r>
                    <w:rPr>
                      <w:rFonts w:hint="eastAsia"/>
                      <w:color w:val="auto"/>
                      <w:sz w:val="21"/>
                      <w:szCs w:val="21"/>
                      <w:highlight w:val="none"/>
                      <w:lang w:val="en-US" w:eastAsia="zh-CN"/>
                    </w:rPr>
                    <w:t>库</w:t>
                  </w:r>
                  <w:r>
                    <w:rPr>
                      <w:rFonts w:hint="eastAsia"/>
                      <w:color w:val="auto"/>
                      <w:sz w:val="21"/>
                      <w:szCs w:val="21"/>
                      <w:highlight w:val="none"/>
                    </w:rPr>
                    <w:t>内</w:t>
                  </w:r>
                  <w:r>
                    <w:rPr>
                      <w:rFonts w:hint="eastAsia"/>
                      <w:color w:val="auto"/>
                      <w:sz w:val="21"/>
                      <w:szCs w:val="21"/>
                      <w:highlight w:val="none"/>
                      <w:lang w:val="en-US" w:eastAsia="zh-CN"/>
                    </w:rPr>
                    <w:t>采用洒水车、雾炮机</w:t>
                  </w:r>
                  <w:r>
                    <w:rPr>
                      <w:color w:val="auto"/>
                      <w:sz w:val="21"/>
                      <w:szCs w:val="21"/>
                      <w:highlight w:val="none"/>
                    </w:rPr>
                    <w:t>进行洒水降尘；</w:t>
                  </w:r>
                  <w:r>
                    <w:rPr>
                      <w:rFonts w:hint="eastAsia"/>
                      <w:color w:val="auto"/>
                      <w:sz w:val="21"/>
                      <w:szCs w:val="21"/>
                      <w:highlight w:val="none"/>
                      <w:lang w:val="en-US" w:eastAsia="zh-CN"/>
                    </w:rPr>
                    <w:t>采用雾炮机对</w:t>
                  </w:r>
                  <w:r>
                    <w:rPr>
                      <w:color w:val="auto"/>
                      <w:sz w:val="21"/>
                      <w:szCs w:val="21"/>
                      <w:highlight w:val="none"/>
                    </w:rPr>
                    <w:t>厂区煤炭装卸料过</w:t>
                  </w:r>
                  <w:r>
                    <w:rPr>
                      <w:rFonts w:hint="eastAsia"/>
                      <w:color w:val="auto"/>
                      <w:sz w:val="21"/>
                      <w:szCs w:val="21"/>
                      <w:highlight w:val="none"/>
                      <w:lang w:eastAsia="zh-CN"/>
                    </w:rPr>
                    <w:t>程</w:t>
                  </w:r>
                  <w:r>
                    <w:rPr>
                      <w:color w:val="auto"/>
                      <w:sz w:val="21"/>
                      <w:szCs w:val="21"/>
                      <w:highlight w:val="none"/>
                    </w:rPr>
                    <w:t>进行洒水降尘</w:t>
                  </w:r>
                  <w:r>
                    <w:rPr>
                      <w:rFonts w:hint="eastAsia"/>
                      <w:color w:val="auto"/>
                      <w:sz w:val="21"/>
                      <w:szCs w:val="21"/>
                      <w:highlight w:val="none"/>
                      <w:lang w:eastAsia="zh-CN"/>
                    </w:rPr>
                    <w:t>，</w:t>
                  </w:r>
                  <w:r>
                    <w:rPr>
                      <w:rFonts w:hint="eastAsia"/>
                      <w:color w:val="auto"/>
                      <w:sz w:val="21"/>
                      <w:szCs w:val="21"/>
                      <w:highlight w:val="none"/>
                      <w:lang w:val="en-US" w:eastAsia="zh-CN"/>
                    </w:rPr>
                    <w:t>半封闭卸料口和密闭传送带减少粉尘外逸</w:t>
                  </w:r>
                  <w:r>
                    <w:rPr>
                      <w:color w:val="auto"/>
                      <w:sz w:val="21"/>
                      <w:szCs w:val="21"/>
                      <w:highlight w:val="none"/>
                    </w:rPr>
                    <w:t>；厂区内</w:t>
                  </w:r>
                  <w:r>
                    <w:rPr>
                      <w:rFonts w:hint="eastAsia"/>
                      <w:color w:val="auto"/>
                      <w:sz w:val="21"/>
                      <w:szCs w:val="21"/>
                      <w:highlight w:val="none"/>
                      <w:lang w:val="en-US" w:eastAsia="zh-CN"/>
                    </w:rPr>
                    <w:t>道路</w:t>
                  </w:r>
                  <w:r>
                    <w:rPr>
                      <w:color w:val="auto"/>
                      <w:sz w:val="21"/>
                      <w:szCs w:val="21"/>
                      <w:highlight w:val="none"/>
                    </w:rPr>
                    <w:t>采用洒水车进行洒水降尘；</w:t>
                  </w:r>
                  <w:r>
                    <w:rPr>
                      <w:rFonts w:hint="eastAsia"/>
                      <w:color w:val="auto"/>
                      <w:sz w:val="21"/>
                      <w:szCs w:val="21"/>
                      <w:highlight w:val="none"/>
                      <w:lang w:eastAsia="zh-CN"/>
                    </w:rPr>
                    <w:t>储煤库</w:t>
                  </w:r>
                  <w:r>
                    <w:rPr>
                      <w:color w:val="auto"/>
                      <w:sz w:val="21"/>
                      <w:szCs w:val="21"/>
                      <w:highlight w:val="none"/>
                    </w:rPr>
                    <w:t>地面、厂内及进出</w:t>
                  </w:r>
                  <w:r>
                    <w:rPr>
                      <w:rFonts w:hint="eastAsia"/>
                      <w:color w:val="auto"/>
                      <w:sz w:val="21"/>
                      <w:szCs w:val="21"/>
                      <w:highlight w:val="none"/>
                    </w:rPr>
                    <w:t>厂</w:t>
                  </w:r>
                  <w:r>
                    <w:rPr>
                      <w:color w:val="auto"/>
                      <w:sz w:val="21"/>
                      <w:szCs w:val="21"/>
                      <w:highlight w:val="none"/>
                    </w:rPr>
                    <w:t>道路全部进行硬化</w:t>
                  </w:r>
                  <w:r>
                    <w:rPr>
                      <w:rFonts w:hint="eastAsia"/>
                      <w:color w:val="auto"/>
                      <w:sz w:val="21"/>
                      <w:szCs w:val="21"/>
                      <w:highlight w:val="none"/>
                      <w:lang w:eastAsia="zh-CN"/>
                    </w:rPr>
                    <w:t>，可减少污染物的排放。</w:t>
                  </w:r>
                </w:p>
              </w:tc>
              <w:tc>
                <w:tcPr>
                  <w:tcW w:w="88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lang w:val="en-US" w:eastAsia="zh-CN"/>
                    </w:rPr>
                  </w:pPr>
                  <w:r>
                    <w:rPr>
                      <w:color w:val="auto"/>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18" w:hRule="atLeast"/>
              </w:trPr>
              <w:tc>
                <w:tcPr>
                  <w:tcW w:w="2229" w:type="pct"/>
                  <w:tcBorders>
                    <w:tl2br w:val="nil"/>
                    <w:tr2bl w:val="nil"/>
                  </w:tcBorders>
                  <w:noWrap w:val="0"/>
                  <w:vAlign w:val="center"/>
                </w:tcPr>
                <w:p>
                  <w:pPr>
                    <w:jc w:val="center"/>
                    <w:rPr>
                      <w:rFonts w:hint="eastAsia"/>
                      <w:color w:val="auto"/>
                      <w:sz w:val="21"/>
                      <w:szCs w:val="21"/>
                      <w:highlight w:val="none"/>
                      <w:lang w:val="en-US" w:eastAsia="zh-CN"/>
                    </w:rPr>
                  </w:pPr>
                  <w:r>
                    <w:rPr>
                      <w:rFonts w:hint="eastAsia"/>
                      <w:color w:val="auto"/>
                      <w:sz w:val="21"/>
                      <w:szCs w:val="21"/>
                      <w:highlight w:val="none"/>
                    </w:rPr>
                    <w:t>合理规划排水方案。基地排水系统按照“雨污分流、清污分流、污污分流”原则设计，管网建设符合防腐、防渗等技术要求。</w:t>
                  </w:r>
                </w:p>
              </w:tc>
              <w:tc>
                <w:tcPr>
                  <w:tcW w:w="1880" w:type="pct"/>
                  <w:tcBorders>
                    <w:tl2br w:val="nil"/>
                    <w:tr2bl w:val="nil"/>
                  </w:tcBorders>
                  <w:noWrap w:val="0"/>
                  <w:vAlign w:val="center"/>
                </w:tcPr>
                <w:p>
                  <w:pPr>
                    <w:jc w:val="center"/>
                    <w:rPr>
                      <w:rFonts w:hint="default"/>
                      <w:color w:val="auto"/>
                      <w:sz w:val="21"/>
                      <w:szCs w:val="21"/>
                      <w:highlight w:val="none"/>
                      <w:lang w:val="en-US" w:eastAsia="zh-CN"/>
                    </w:rPr>
                  </w:pPr>
                  <w:r>
                    <w:rPr>
                      <w:rFonts w:hint="default"/>
                      <w:color w:val="auto"/>
                      <w:sz w:val="21"/>
                      <w:szCs w:val="21"/>
                      <w:highlight w:val="none"/>
                      <w:lang w:val="en-US" w:eastAsia="zh-CN"/>
                    </w:rPr>
                    <w:t>本项目</w:t>
                  </w:r>
                  <w:r>
                    <w:rPr>
                      <w:rFonts w:hint="eastAsia"/>
                      <w:color w:val="auto"/>
                      <w:sz w:val="21"/>
                      <w:szCs w:val="21"/>
                      <w:highlight w:val="none"/>
                      <w:lang w:val="en-US" w:eastAsia="zh-CN"/>
                    </w:rPr>
                    <w:t>采取雨污分流，</w:t>
                  </w:r>
                  <w:r>
                    <w:rPr>
                      <w:rFonts w:hint="default"/>
                      <w:color w:val="auto"/>
                      <w:sz w:val="21"/>
                      <w:szCs w:val="21"/>
                      <w:highlight w:val="none"/>
                      <w:lang w:val="en-US" w:eastAsia="zh-CN"/>
                    </w:rPr>
                    <w:t>生活污水排入防渗</w:t>
                  </w:r>
                  <w:r>
                    <w:rPr>
                      <w:rFonts w:hint="eastAsia"/>
                      <w:color w:val="auto"/>
                      <w:sz w:val="21"/>
                      <w:szCs w:val="21"/>
                      <w:highlight w:val="none"/>
                      <w:lang w:val="en-US" w:eastAsia="zh-CN"/>
                    </w:rPr>
                    <w:t>化粪池</w:t>
                  </w:r>
                  <w:r>
                    <w:rPr>
                      <w:rFonts w:hint="default"/>
                      <w:color w:val="auto"/>
                      <w:sz w:val="21"/>
                      <w:szCs w:val="21"/>
                      <w:highlight w:val="none"/>
                      <w:lang w:val="en-US" w:eastAsia="zh-CN"/>
                    </w:rPr>
                    <w:t>，定期清掏</w:t>
                  </w:r>
                  <w:r>
                    <w:rPr>
                      <w:rFonts w:hint="eastAsia"/>
                      <w:color w:val="auto"/>
                      <w:sz w:val="21"/>
                      <w:szCs w:val="21"/>
                      <w:highlight w:val="none"/>
                      <w:lang w:val="en-US" w:eastAsia="zh-CN"/>
                    </w:rPr>
                    <w:t>，</w:t>
                  </w:r>
                  <w:r>
                    <w:rPr>
                      <w:rFonts w:hint="default"/>
                      <w:color w:val="auto"/>
                      <w:sz w:val="21"/>
                      <w:szCs w:val="21"/>
                      <w:highlight w:val="none"/>
                      <w:lang w:val="en-US" w:eastAsia="zh-CN"/>
                    </w:rPr>
                    <w:t>不外排。</w:t>
                  </w:r>
                  <w:r>
                    <w:rPr>
                      <w:rFonts w:hint="eastAsia"/>
                      <w:color w:val="auto"/>
                      <w:sz w:val="21"/>
                      <w:szCs w:val="21"/>
                      <w:highlight w:val="none"/>
                      <w:lang w:val="en-US" w:eastAsia="zh-CN"/>
                    </w:rPr>
                    <w:t>化粪池采取的防渗措施，满足相关防渗要求。</w:t>
                  </w:r>
                </w:p>
              </w:tc>
              <w:tc>
                <w:tcPr>
                  <w:tcW w:w="889" w:type="pct"/>
                  <w:tcBorders>
                    <w:tl2br w:val="nil"/>
                    <w:tr2bl w:val="nil"/>
                  </w:tcBorders>
                  <w:noWrap w:val="0"/>
                  <w:vAlign w:val="center"/>
                </w:tcPr>
                <w:p>
                  <w:pPr>
                    <w:jc w:val="center"/>
                    <w:rPr>
                      <w:rFonts w:hint="eastAsia"/>
                      <w:color w:val="auto"/>
                      <w:sz w:val="21"/>
                      <w:szCs w:val="21"/>
                      <w:highlight w:val="none"/>
                      <w:lang w:val="en-US" w:eastAsia="zh-CN"/>
                    </w:rPr>
                  </w:pPr>
                  <w:r>
                    <w:rPr>
                      <w:rFonts w:hint="eastAsia"/>
                      <w:color w:val="auto"/>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08" w:hRule="atLeast"/>
              </w:trPr>
              <w:tc>
                <w:tcPr>
                  <w:tcW w:w="222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一般固体废物可以进行资源化综合利用或依托阜新市生活垃圾填埋场集中处理；危险废物应严格按照国家有关危险废物处理处置要求委托有危险废物处置资质的单位进行安全处置。</w:t>
                  </w:r>
                </w:p>
              </w:tc>
              <w:tc>
                <w:tcPr>
                  <w:tcW w:w="188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highlight w:val="none"/>
                      <w:lang w:eastAsia="zh-CN"/>
                    </w:rPr>
                  </w:pPr>
                  <w:r>
                    <w:rPr>
                      <w:rFonts w:hint="eastAsia"/>
                      <w:color w:val="auto"/>
                      <w:sz w:val="21"/>
                      <w:szCs w:val="21"/>
                      <w:highlight w:val="none"/>
                      <w:lang w:val="en-US" w:eastAsia="zh-CN"/>
                    </w:rPr>
                    <w:t>本项目运营期无危险废物产生，固体废物分类收集处理，一般固体废物均能做到合理处置。</w:t>
                  </w:r>
                </w:p>
              </w:tc>
              <w:tc>
                <w:tcPr>
                  <w:tcW w:w="88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color w:val="auto"/>
                      <w:sz w:val="21"/>
                      <w:szCs w:val="21"/>
                      <w:highlight w:val="none"/>
                    </w:rPr>
                    <w:t>符合</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pPr>
              <w:pStyle w:val="2"/>
              <w:rPr>
                <w:rFonts w:hint="eastAsia" w:ascii="宋体" w:hAnsi="宋体" w:eastAsia="宋体" w:cs="宋体"/>
                <w:color w:val="auto"/>
                <w:sz w:val="24"/>
                <w:szCs w:val="24"/>
                <w:highlight w:val="none"/>
                <w:lang w:val="en-US" w:eastAsia="zh-CN"/>
              </w:rPr>
            </w:pPr>
          </w:p>
          <w:p>
            <w:pPr>
              <w:pStyle w:val="20"/>
              <w:rPr>
                <w:rFonts w:hint="eastAsia" w:ascii="宋体" w:hAnsi="宋体" w:eastAsia="宋体" w:cs="宋体"/>
                <w:color w:val="auto"/>
                <w:sz w:val="24"/>
                <w:szCs w:val="24"/>
                <w:highlight w:val="none"/>
                <w:lang w:val="en-US" w:eastAsia="zh-CN"/>
              </w:rPr>
            </w:pPr>
          </w:p>
          <w:p>
            <w:pPr>
              <w:pStyle w:val="20"/>
              <w:rPr>
                <w:rFonts w:hint="eastAsia" w:ascii="宋体" w:hAnsi="宋体" w:eastAsia="宋体" w:cs="宋体"/>
                <w:color w:val="auto"/>
                <w:sz w:val="24"/>
                <w:szCs w:val="24"/>
                <w:highlight w:val="none"/>
                <w:lang w:val="en-US" w:eastAsia="zh-CN"/>
              </w:rPr>
            </w:pPr>
          </w:p>
          <w:p>
            <w:pPr>
              <w:pStyle w:val="20"/>
              <w:rPr>
                <w:rFonts w:hint="eastAsia" w:ascii="宋体" w:hAnsi="宋体" w:eastAsia="宋体" w:cs="宋体"/>
                <w:color w:val="auto"/>
                <w:sz w:val="24"/>
                <w:szCs w:val="24"/>
                <w:highlight w:val="none"/>
                <w:lang w:val="en-US" w:eastAsia="zh-CN"/>
              </w:rPr>
            </w:pPr>
          </w:p>
          <w:p>
            <w:pPr>
              <w:pStyle w:val="20"/>
              <w:rPr>
                <w:rFonts w:hint="eastAsia" w:ascii="宋体" w:hAnsi="宋体" w:eastAsia="宋体" w:cs="宋体"/>
                <w:color w:val="auto"/>
                <w:sz w:val="24"/>
                <w:szCs w:val="24"/>
                <w:highlight w:val="none"/>
                <w:lang w:val="en-US" w:eastAsia="zh-CN"/>
              </w:rPr>
            </w:pPr>
          </w:p>
          <w:p>
            <w:pPr>
              <w:rPr>
                <w:rFonts w:hint="eastAsia" w:ascii="宋体" w:hAnsi="宋体" w:eastAsia="宋体" w:cs="宋体"/>
                <w:color w:val="auto"/>
                <w:sz w:val="24"/>
                <w:szCs w:val="24"/>
                <w:highlight w:val="none"/>
                <w:lang w:val="en-US" w:eastAsia="zh-CN"/>
              </w:rPr>
            </w:pPr>
          </w:p>
          <w:p>
            <w:pPr>
              <w:pStyle w:val="2"/>
              <w:ind w:left="0" w:leftChars="0" w:firstLine="0" w:firstLineChars="0"/>
              <w:rPr>
                <w:rFonts w:hint="eastAsia" w:ascii="宋体" w:hAnsi="宋体" w:eastAsia="宋体" w:cs="宋体"/>
                <w:color w:val="auto"/>
                <w:sz w:val="24"/>
                <w:szCs w:val="24"/>
                <w:highlight w:val="none"/>
                <w:lang w:val="en-US" w:eastAsia="zh-CN"/>
              </w:rPr>
            </w:pPr>
          </w:p>
          <w:p>
            <w:pPr>
              <w:rPr>
                <w:rFonts w:hint="eastAsia" w:ascii="宋体" w:hAnsi="宋体" w:eastAsia="宋体" w:cs="宋体"/>
                <w:color w:val="auto"/>
                <w:sz w:val="24"/>
                <w:szCs w:val="24"/>
                <w:highlight w:val="none"/>
                <w:lang w:val="en-US" w:eastAsia="zh-CN"/>
              </w:rPr>
            </w:pPr>
          </w:p>
          <w:p>
            <w:pPr>
              <w:pStyle w:val="2"/>
              <w:rPr>
                <w:rFonts w:hint="eastAsia" w:ascii="宋体" w:hAnsi="宋体" w:eastAsia="宋体" w:cs="宋体"/>
                <w:color w:val="auto"/>
                <w:sz w:val="24"/>
                <w:szCs w:val="24"/>
                <w:highlight w:val="none"/>
                <w:lang w:val="en-US" w:eastAsia="zh-CN"/>
              </w:rPr>
            </w:pPr>
          </w:p>
          <w:p>
            <w:pPr>
              <w:autoSpaceDE w:val="0"/>
              <w:autoSpaceDN w:val="0"/>
              <w:adjustRightInd w:val="0"/>
              <w:snapToGrid w:val="0"/>
              <w:jc w:val="both"/>
              <w:rPr>
                <w:rFonts w:hint="eastAsia" w:cs="Times New Roman"/>
                <w:color w:val="auto"/>
                <w:sz w:val="24"/>
                <w:szCs w:val="24"/>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070" w:hRule="atLeast"/>
          <w:jc w:val="center"/>
        </w:trPr>
        <w:tc>
          <w:tcPr>
            <w:tcW w:w="1923" w:type="dxa"/>
            <w:noWrap w:val="0"/>
            <w:vAlign w:val="center"/>
          </w:tcPr>
          <w:p>
            <w:pPr>
              <w:autoSpaceDE w:val="0"/>
              <w:autoSpaceDN w:val="0"/>
              <w:adjustRightInd w:val="0"/>
              <w:snapToGrid w:val="0"/>
              <w:jc w:val="center"/>
              <w:rPr>
                <w:rFonts w:hint="eastAsia" w:ascii="宋体" w:hAnsi="宋体" w:cs="宋体"/>
                <w:color w:val="auto"/>
                <w:kern w:val="0"/>
                <w:szCs w:val="21"/>
                <w:highlight w:val="none"/>
              </w:rPr>
            </w:pPr>
            <w:r>
              <w:rPr>
                <w:rFonts w:hint="eastAsia" w:ascii="宋体" w:hAnsi="宋体" w:cs="宋体"/>
                <w:kern w:val="0"/>
                <w:szCs w:val="21"/>
                <w:highlight w:val="none"/>
              </w:rPr>
              <w:t>其他符合性分析</w:t>
            </w:r>
          </w:p>
        </w:tc>
        <w:tc>
          <w:tcPr>
            <w:tcW w:w="6947"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1、与生态环境准入清单符合性分析</w:t>
            </w:r>
          </w:p>
          <w:p>
            <w:pPr>
              <w:keepNext w:val="0"/>
              <w:keepLines w:val="0"/>
              <w:widowControl/>
              <w:suppressLineNumbers w:val="0"/>
              <w:spacing w:line="360" w:lineRule="auto"/>
              <w:ind w:firstLine="480" w:firstLineChars="200"/>
              <w:jc w:val="left"/>
              <w:rPr>
                <w:sz w:val="24"/>
                <w:szCs w:val="24"/>
                <w:highlight w:val="none"/>
              </w:rPr>
            </w:pPr>
            <w:r>
              <w:rPr>
                <w:rFonts w:hint="eastAsia" w:ascii="宋体" w:hAnsi="宋体" w:eastAsia="宋体" w:cs="宋体"/>
                <w:color w:val="auto"/>
                <w:sz w:val="24"/>
                <w:szCs w:val="24"/>
                <w:highlight w:val="none"/>
                <w:lang w:val="en-US" w:eastAsia="zh-CN"/>
              </w:rPr>
              <w:t>本项目为煤炭及制品批发业，属于煤炭储存、集运建设项目。根据国家发展</w:t>
            </w:r>
            <w:bookmarkStart w:id="5" w:name="_GoBack"/>
            <w:bookmarkEnd w:id="5"/>
            <w:r>
              <w:rPr>
                <w:rFonts w:hint="eastAsia" w:ascii="宋体" w:hAnsi="宋体" w:eastAsia="宋体" w:cs="宋体"/>
                <w:color w:val="auto"/>
                <w:sz w:val="24"/>
                <w:szCs w:val="24"/>
                <w:highlight w:val="none"/>
                <w:lang w:val="en-US" w:eastAsia="zh-CN"/>
              </w:rPr>
              <w:t>改革委公布的《产业结构调整指导目录（2024年本）》，本项目属于鼓励类中第三条“煤炭”中第1项“</w:t>
            </w:r>
            <w:r>
              <w:rPr>
                <w:rFonts w:hint="eastAsia" w:ascii="宋体" w:hAnsi="宋体" w:eastAsia="宋体" w:cs="宋体"/>
                <w:color w:val="000000"/>
                <w:kern w:val="0"/>
                <w:sz w:val="24"/>
                <w:szCs w:val="24"/>
                <w:highlight w:val="none"/>
                <w:lang w:val="en-US" w:eastAsia="zh-CN" w:bidi="ar"/>
              </w:rPr>
              <w:t>煤炭跨区域运输通道和集疏运体系：大型煤炭储运中心、煤炭交易市场建设，储煤设施建设</w:t>
            </w:r>
            <w:r>
              <w:rPr>
                <w:rFonts w:hint="eastAsia"/>
                <w:color w:val="auto"/>
                <w:sz w:val="24"/>
                <w:szCs w:val="24"/>
                <w:highlight w:val="none"/>
                <w:lang w:val="en-US" w:eastAsia="zh-CN"/>
              </w:rPr>
              <w:t>”，且使用的生产设备、生产的产品及采用的工艺不属于淘汰类、限制类，因此，本项目的建设符合国家产业政策。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2、与生态环境准入清单符合性分析</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eastAsia"/>
                <w:color w:val="auto"/>
                <w:highlight w:val="none"/>
                <w:lang w:val="en-US" w:eastAsia="zh-CN"/>
              </w:rPr>
            </w:pPr>
            <w:r>
              <w:rPr>
                <w:rFonts w:hint="default" w:ascii="Times New Roman" w:hAnsi="Times New Roman" w:eastAsia="宋体" w:cs="Times New Roman"/>
                <w:color w:val="auto"/>
                <w:sz w:val="24"/>
                <w:szCs w:val="24"/>
                <w:highlight w:val="none"/>
                <w:lang w:val="en-US" w:eastAsia="zh-CN"/>
              </w:rPr>
              <w:t>本项目所在地为阜新市新型材料产业基地内，根据《阜新市生态环境准入清单》（2023版）及《阜新市生态环境分区管控动态更新成果说明》（阜环发2024.12），本项目所在地区属于重点管控单元，环境管控单元编码为ZH21090420006，符合各生态环境分区、生态环境准入清单要求。具体分析内容见表1-5。</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421" w:firstLineChars="200"/>
              <w:jc w:val="center"/>
              <w:textAlignment w:val="auto"/>
              <w:outlineLvl w:val="9"/>
              <w:rPr>
                <w:rFonts w:hint="eastAsia" w:cs="Times New Roman"/>
                <w:b/>
                <w:bCs/>
                <w:color w:val="auto"/>
                <w:highlight w:val="none"/>
                <w:lang w:eastAsia="zh-CN"/>
              </w:rPr>
            </w:pPr>
            <w:r>
              <w:rPr>
                <w:rFonts w:hint="eastAsia" w:cs="Times New Roman"/>
                <w:b/>
                <w:bCs/>
                <w:color w:val="auto"/>
                <w:sz w:val="21"/>
                <w:szCs w:val="21"/>
                <w:highlight w:val="none"/>
              </w:rPr>
              <w:t>表</w:t>
            </w:r>
            <w:r>
              <w:rPr>
                <w:rFonts w:hint="eastAsia" w:cs="Times New Roman"/>
                <w:b/>
                <w:bCs/>
                <w:color w:val="auto"/>
                <w:sz w:val="21"/>
                <w:szCs w:val="21"/>
                <w:highlight w:val="none"/>
                <w:lang w:val="en-US" w:eastAsia="zh-CN"/>
              </w:rPr>
              <w:t xml:space="preserve">1-5 </w:t>
            </w:r>
            <w:r>
              <w:rPr>
                <w:rFonts w:hint="eastAsia" w:cs="Times New Roman"/>
                <w:b/>
                <w:bCs/>
                <w:color w:val="auto"/>
                <w:sz w:val="21"/>
                <w:szCs w:val="21"/>
                <w:highlight w:val="none"/>
                <w:lang w:eastAsia="zh-CN"/>
              </w:rPr>
              <w:t>与生态环境分区管控动态更新成果相符性分析</w:t>
            </w:r>
          </w:p>
          <w:tbl>
            <w:tblPr>
              <w:tblStyle w:val="22"/>
              <w:tblW w:w="4953"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94"/>
              <w:gridCol w:w="484"/>
              <w:gridCol w:w="434"/>
              <w:gridCol w:w="387"/>
              <w:gridCol w:w="2177"/>
              <w:gridCol w:w="1599"/>
              <w:gridCol w:w="893"/>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520"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b/>
                      <w:bCs/>
                      <w:color w:val="auto"/>
                      <w:sz w:val="21"/>
                      <w:szCs w:val="21"/>
                      <w:highlight w:val="none"/>
                      <w:lang w:val="en-US" w:eastAsia="zh-CN"/>
                    </w:rPr>
                  </w:pPr>
                  <w:r>
                    <w:rPr>
                      <w:rFonts w:hint="eastAsia"/>
                      <w:b/>
                      <w:bCs/>
                      <w:color w:val="auto"/>
                      <w:sz w:val="21"/>
                      <w:szCs w:val="21"/>
                      <w:highlight w:val="none"/>
                      <w:lang w:val="en-US" w:eastAsia="zh-CN"/>
                    </w:rPr>
                    <w:t>管控单元编码</w:t>
                  </w:r>
                </w:p>
              </w:tc>
              <w:tc>
                <w:tcPr>
                  <w:tcW w:w="363"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b/>
                      <w:bCs/>
                      <w:color w:val="auto"/>
                      <w:sz w:val="21"/>
                      <w:szCs w:val="21"/>
                      <w:highlight w:val="none"/>
                      <w:lang w:val="en-US" w:eastAsia="zh-CN"/>
                    </w:rPr>
                  </w:pPr>
                  <w:r>
                    <w:rPr>
                      <w:rFonts w:hint="eastAsia"/>
                      <w:b/>
                      <w:bCs/>
                      <w:color w:val="auto"/>
                      <w:sz w:val="21"/>
                      <w:szCs w:val="21"/>
                      <w:highlight w:val="none"/>
                      <w:lang w:val="en-US" w:eastAsia="zh-CN"/>
                    </w:rPr>
                    <w:t>名称</w:t>
                  </w:r>
                </w:p>
              </w:tc>
              <w:tc>
                <w:tcPr>
                  <w:tcW w:w="325"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b/>
                      <w:bCs/>
                      <w:color w:val="auto"/>
                      <w:sz w:val="21"/>
                      <w:szCs w:val="21"/>
                      <w:highlight w:val="none"/>
                      <w:lang w:val="en-US" w:eastAsia="zh-CN"/>
                    </w:rPr>
                  </w:pPr>
                  <w:r>
                    <w:rPr>
                      <w:rFonts w:hint="eastAsia"/>
                      <w:b/>
                      <w:bCs/>
                      <w:color w:val="auto"/>
                      <w:sz w:val="21"/>
                      <w:szCs w:val="21"/>
                      <w:highlight w:val="none"/>
                      <w:lang w:val="en-US" w:eastAsia="zh-CN"/>
                    </w:rPr>
                    <w:t>类别</w:t>
                  </w:r>
                </w:p>
              </w:tc>
              <w:tc>
                <w:tcPr>
                  <w:tcW w:w="1921" w:type="pct"/>
                  <w:gridSpan w:val="2"/>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b/>
                      <w:bCs/>
                      <w:color w:val="auto"/>
                      <w:sz w:val="21"/>
                      <w:szCs w:val="21"/>
                      <w:highlight w:val="none"/>
                      <w:lang w:val="en-US" w:eastAsia="zh-CN"/>
                    </w:rPr>
                  </w:pPr>
                  <w:r>
                    <w:rPr>
                      <w:rFonts w:hint="eastAsia"/>
                      <w:b/>
                      <w:bCs/>
                      <w:color w:val="auto"/>
                      <w:sz w:val="21"/>
                      <w:szCs w:val="21"/>
                      <w:highlight w:val="none"/>
                      <w:lang w:val="en-US" w:eastAsia="zh-CN"/>
                    </w:rPr>
                    <w:t>管控要求</w:t>
                  </w:r>
                </w:p>
              </w:tc>
              <w:tc>
                <w:tcPr>
                  <w:tcW w:w="1198"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b/>
                      <w:bCs/>
                      <w:color w:val="auto"/>
                      <w:sz w:val="21"/>
                      <w:szCs w:val="21"/>
                      <w:highlight w:val="none"/>
                      <w:lang w:val="en-US" w:eastAsia="zh-CN"/>
                    </w:rPr>
                  </w:pPr>
                  <w:r>
                    <w:rPr>
                      <w:rFonts w:hint="eastAsia"/>
                      <w:b/>
                      <w:bCs/>
                      <w:color w:val="auto"/>
                      <w:sz w:val="21"/>
                      <w:szCs w:val="21"/>
                      <w:highlight w:val="none"/>
                      <w:lang w:val="en-US" w:eastAsia="zh-CN"/>
                    </w:rPr>
                    <w:t>符合性分析</w:t>
                  </w:r>
                </w:p>
              </w:tc>
              <w:tc>
                <w:tcPr>
                  <w:tcW w:w="669"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ind w:firstLine="0" w:firstLineChars="0"/>
                    <w:jc w:val="center"/>
                    <w:textAlignment w:val="auto"/>
                    <w:rPr>
                      <w:rFonts w:hint="default"/>
                      <w:b/>
                      <w:bCs/>
                      <w:color w:val="auto"/>
                      <w:sz w:val="21"/>
                      <w:szCs w:val="21"/>
                      <w:highlight w:val="none"/>
                      <w:lang w:val="en-US" w:eastAsia="zh-CN"/>
                    </w:rPr>
                  </w:pPr>
                  <w:r>
                    <w:rPr>
                      <w:rFonts w:hint="eastAsia"/>
                      <w:b/>
                      <w:color w:val="auto"/>
                      <w:kern w:val="0"/>
                      <w:sz w:val="21"/>
                      <w:szCs w:val="21"/>
                      <w:highlight w:val="none"/>
                      <w:lang w:eastAsia="zh-CN"/>
                    </w:rPr>
                    <w:t>相符性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0" w:type="pct"/>
                  <w:vMerge w:val="restar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highlight w:val="none"/>
                      <w:lang w:val="en-US" w:eastAsia="zh-CN"/>
                    </w:rPr>
                  </w:pPr>
                  <w:r>
                    <w:rPr>
                      <w:rFonts w:hint="eastAsia"/>
                      <w:color w:val="auto"/>
                      <w:kern w:val="2"/>
                      <w:sz w:val="21"/>
                      <w:szCs w:val="21"/>
                      <w:highlight w:val="none"/>
                      <w:lang w:eastAsia="zh-CN"/>
                    </w:rPr>
                    <w:t>ZH2109</w:t>
                  </w:r>
                  <w:r>
                    <w:rPr>
                      <w:rFonts w:hint="eastAsia"/>
                      <w:color w:val="auto"/>
                      <w:kern w:val="2"/>
                      <w:sz w:val="21"/>
                      <w:szCs w:val="21"/>
                      <w:highlight w:val="none"/>
                      <w:lang w:val="en-US" w:eastAsia="zh-CN"/>
                    </w:rPr>
                    <w:t>0420006</w:t>
                  </w:r>
                </w:p>
              </w:tc>
              <w:tc>
                <w:tcPr>
                  <w:tcW w:w="363" w:type="pct"/>
                  <w:vMerge w:val="restart"/>
                  <w:tcBorders>
                    <w:tl2br w:val="nil"/>
                    <w:tr2bl w:val="nil"/>
                  </w:tcBorders>
                  <w:noWrap w:val="0"/>
                  <w:vAlign w:val="center"/>
                </w:tcPr>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阜新</w:t>
                  </w:r>
                </w:p>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新型</w:t>
                  </w:r>
                </w:p>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材料</w:t>
                  </w:r>
                </w:p>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产业</w:t>
                  </w:r>
                </w:p>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开发</w:t>
                  </w:r>
                </w:p>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区</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highlight w:val="none"/>
                      <w:lang w:val="en-US" w:eastAsia="zh-CN"/>
                    </w:rPr>
                  </w:pPr>
                </w:p>
              </w:tc>
              <w:tc>
                <w:tcPr>
                  <w:tcW w:w="325" w:type="pct"/>
                  <w:vMerge w:val="restar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重点管控单元</w:t>
                  </w:r>
                </w:p>
              </w:tc>
              <w:tc>
                <w:tcPr>
                  <w:tcW w:w="290"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空间布局约束</w:t>
                  </w:r>
                </w:p>
              </w:tc>
              <w:tc>
                <w:tcPr>
                  <w:tcW w:w="1631"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1.禁止</w:t>
                  </w:r>
                  <w:r>
                    <w:rPr>
                      <w:rFonts w:hint="eastAsia"/>
                      <w:color w:val="auto"/>
                      <w:sz w:val="21"/>
                      <w:szCs w:val="21"/>
                      <w:highlight w:val="none"/>
                      <w:lang w:val="en-US" w:eastAsia="zh-CN"/>
                    </w:rPr>
                    <w:t>“</w:t>
                  </w:r>
                  <w:r>
                    <w:rPr>
                      <w:rFonts w:hint="default"/>
                      <w:color w:val="auto"/>
                      <w:sz w:val="21"/>
                      <w:szCs w:val="21"/>
                      <w:highlight w:val="none"/>
                      <w:lang w:val="en-US" w:eastAsia="zh-CN"/>
                    </w:rPr>
                    <w:t>高能耗、高水耗、污染重</w:t>
                  </w:r>
                  <w:r>
                    <w:rPr>
                      <w:rFonts w:hint="eastAsia"/>
                      <w:color w:val="auto"/>
                      <w:sz w:val="21"/>
                      <w:szCs w:val="21"/>
                      <w:highlight w:val="none"/>
                      <w:lang w:val="en-US" w:eastAsia="zh-CN"/>
                    </w:rPr>
                    <w:t>”</w:t>
                  </w:r>
                  <w:r>
                    <w:rPr>
                      <w:rFonts w:hint="default"/>
                      <w:color w:val="auto"/>
                      <w:sz w:val="21"/>
                      <w:szCs w:val="21"/>
                      <w:highlight w:val="none"/>
                      <w:lang w:val="en-US" w:eastAsia="zh-CN"/>
                    </w:rPr>
                    <w:t>项目进入；</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2.符合《产业结构调整指导目录》要求的企业；</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3.高技术、高附加值的先进装备制造业</w:t>
                  </w:r>
                  <w:r>
                    <w:rPr>
                      <w:rFonts w:hint="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both"/>
                    <w:textAlignment w:val="auto"/>
                    <w:rPr>
                      <w:rFonts w:hint="default"/>
                      <w:color w:val="auto"/>
                      <w:sz w:val="21"/>
                      <w:szCs w:val="21"/>
                      <w:highlight w:val="none"/>
                      <w:lang w:val="en-US" w:eastAsia="zh-CN"/>
                    </w:rPr>
                  </w:pPr>
                  <w:r>
                    <w:rPr>
                      <w:rFonts w:hint="default"/>
                      <w:color w:val="auto"/>
                      <w:sz w:val="21"/>
                      <w:szCs w:val="21"/>
                      <w:highlight w:val="none"/>
                      <w:lang w:val="en-US" w:eastAsia="zh-CN"/>
                    </w:rPr>
                    <w:t>4.新型化工材料产业禁止引入化工项目，化工项目应进入合规设立的化工园区；</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both"/>
                    <w:textAlignment w:val="auto"/>
                    <w:rPr>
                      <w:rFonts w:hint="default"/>
                      <w:color w:val="auto"/>
                      <w:sz w:val="21"/>
                      <w:szCs w:val="21"/>
                      <w:highlight w:val="none"/>
                      <w:lang w:val="en-US" w:eastAsia="zh-CN"/>
                    </w:rPr>
                  </w:pPr>
                  <w:r>
                    <w:rPr>
                      <w:rFonts w:hint="default"/>
                      <w:color w:val="auto"/>
                      <w:sz w:val="21"/>
                      <w:szCs w:val="21"/>
                      <w:highlight w:val="none"/>
                      <w:lang w:val="en-US" w:eastAsia="zh-CN"/>
                    </w:rPr>
                    <w:t>5.三类工业用地设500米防护距离，污水处理厂设300米卫生防护距离。</w:t>
                  </w:r>
                </w:p>
              </w:tc>
              <w:tc>
                <w:tcPr>
                  <w:tcW w:w="1198"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highlight w:val="none"/>
                      <w:lang w:val="en-US" w:eastAsia="zh-CN"/>
                    </w:rPr>
                  </w:pPr>
                  <w:r>
                    <w:rPr>
                      <w:rFonts w:hint="eastAsia"/>
                      <w:color w:val="auto"/>
                      <w:sz w:val="21"/>
                      <w:szCs w:val="21"/>
                      <w:highlight w:val="none"/>
                    </w:rPr>
                    <w:t>本项目为煤炭</w:t>
                  </w:r>
                  <w:r>
                    <w:rPr>
                      <w:rFonts w:hint="eastAsia"/>
                      <w:color w:val="auto"/>
                      <w:sz w:val="21"/>
                      <w:szCs w:val="21"/>
                      <w:highlight w:val="none"/>
                      <w:lang w:val="en-US" w:eastAsia="zh-CN"/>
                    </w:rPr>
                    <w:t>存储与</w:t>
                  </w:r>
                  <w:r>
                    <w:rPr>
                      <w:rFonts w:hint="eastAsia"/>
                      <w:color w:val="auto"/>
                      <w:sz w:val="21"/>
                      <w:szCs w:val="21"/>
                      <w:highlight w:val="none"/>
                      <w:lang w:eastAsia="zh-CN"/>
                    </w:rPr>
                    <w:t>集运，不属于高能耗、高水耗、污染重</w:t>
                  </w:r>
                  <w:r>
                    <w:rPr>
                      <w:rFonts w:hint="eastAsia"/>
                      <w:color w:val="auto"/>
                      <w:sz w:val="21"/>
                      <w:szCs w:val="21"/>
                      <w:highlight w:val="none"/>
                      <w:lang w:val="en-US" w:eastAsia="zh-CN"/>
                    </w:rPr>
                    <w:t>的</w:t>
                  </w:r>
                  <w:r>
                    <w:rPr>
                      <w:rFonts w:hint="eastAsia"/>
                      <w:color w:val="auto"/>
                      <w:sz w:val="21"/>
                      <w:szCs w:val="21"/>
                      <w:highlight w:val="none"/>
                      <w:lang w:eastAsia="zh-CN"/>
                    </w:rPr>
                    <w:t>项目；</w:t>
                  </w:r>
                  <w:r>
                    <w:rPr>
                      <w:rFonts w:hint="eastAsia"/>
                      <w:color w:val="auto"/>
                      <w:sz w:val="21"/>
                      <w:szCs w:val="21"/>
                      <w:highlight w:val="none"/>
                      <w:lang w:val="en-US" w:eastAsia="zh-CN"/>
                    </w:rPr>
                    <w:t>经核实，本项目均</w:t>
                  </w:r>
                  <w:r>
                    <w:rPr>
                      <w:rFonts w:hint="eastAsia"/>
                      <w:color w:val="auto"/>
                      <w:sz w:val="21"/>
                      <w:szCs w:val="21"/>
                      <w:highlight w:val="none"/>
                      <w:lang w:eastAsia="zh-CN"/>
                    </w:rPr>
                    <w:t>符合</w:t>
                  </w:r>
                  <w:r>
                    <w:rPr>
                      <w:rFonts w:hint="default"/>
                      <w:color w:val="auto"/>
                      <w:sz w:val="21"/>
                      <w:szCs w:val="21"/>
                      <w:highlight w:val="none"/>
                      <w:lang w:val="en-US" w:eastAsia="zh-CN"/>
                    </w:rPr>
                    <w:t>《产业结构调整指导目录》要求</w:t>
                  </w:r>
                  <w:r>
                    <w:rPr>
                      <w:rFonts w:hint="eastAsia"/>
                      <w:color w:val="auto"/>
                      <w:sz w:val="21"/>
                      <w:szCs w:val="21"/>
                      <w:highlight w:val="none"/>
                      <w:lang w:val="en-US" w:eastAsia="zh-CN"/>
                    </w:rPr>
                    <w:t>；不属于化工项目；本项目土地性质为工业用地。</w:t>
                  </w:r>
                </w:p>
              </w:tc>
              <w:tc>
                <w:tcPr>
                  <w:tcW w:w="669"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ind w:firstLine="0" w:firstLineChars="0"/>
                    <w:jc w:val="center"/>
                    <w:textAlignment w:val="auto"/>
                    <w:rPr>
                      <w:rFonts w:hint="default"/>
                      <w:color w:val="auto"/>
                      <w:highlight w:val="none"/>
                      <w:lang w:val="en-US" w:eastAsia="zh-CN"/>
                    </w:rPr>
                  </w:pPr>
                  <w:r>
                    <w:rPr>
                      <w:rFonts w:hint="eastAsia"/>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0"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highlight w:val="none"/>
                      <w:lang w:val="en-US" w:eastAsia="zh-CN"/>
                    </w:rPr>
                  </w:pPr>
                </w:p>
              </w:tc>
              <w:tc>
                <w:tcPr>
                  <w:tcW w:w="363"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highlight w:val="none"/>
                      <w:lang w:val="en-US" w:eastAsia="zh-CN"/>
                    </w:rPr>
                  </w:pPr>
                </w:p>
              </w:tc>
              <w:tc>
                <w:tcPr>
                  <w:tcW w:w="325"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sz w:val="21"/>
                      <w:szCs w:val="21"/>
                      <w:highlight w:val="none"/>
                      <w:lang w:val="en-US" w:eastAsia="zh-CN"/>
                    </w:rPr>
                  </w:pPr>
                </w:p>
              </w:tc>
              <w:tc>
                <w:tcPr>
                  <w:tcW w:w="290"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污染物排放管控</w:t>
                  </w:r>
                </w:p>
              </w:tc>
              <w:tc>
                <w:tcPr>
                  <w:tcW w:w="1631" w:type="pct"/>
                  <w:tcBorders>
                    <w:tl2br w:val="nil"/>
                    <w:tr2bl w:val="nil"/>
                  </w:tcBorders>
                  <w:noWrap w:val="0"/>
                  <w:vAlign w:val="center"/>
                </w:tcPr>
                <w:p>
                  <w:pPr>
                    <w:keepNext w:val="0"/>
                    <w:keepLines w:val="0"/>
                    <w:widowControl/>
                    <w:suppressLineNumbers w:val="0"/>
                    <w:jc w:val="center"/>
                    <w:rPr>
                      <w:rFonts w:hint="default"/>
                      <w:color w:val="auto"/>
                      <w:highlight w:val="none"/>
                      <w:lang w:val="en-US" w:eastAsia="zh-CN"/>
                    </w:rPr>
                  </w:pPr>
                  <w:r>
                    <w:rPr>
                      <w:rFonts w:hint="default"/>
                      <w:color w:val="auto"/>
                      <w:sz w:val="21"/>
                      <w:szCs w:val="21"/>
                      <w:highlight w:val="none"/>
                      <w:lang w:val="en-US" w:eastAsia="zh-CN"/>
                    </w:rPr>
                    <w:t>1.禁止直接排放有毒有害污染物； 2.加大综合治理力度，减少多污染物排放；加强大气污染物综合治理； 3.严格控制“两高”行业新增产能，新、改、扩建项目要实行产能等量或减量置换； 4.加强区域装备制造、液压等产业生产过程中产生的大气污染物管控，采取有效措施，减少颗粒物、挥发性有机物等无组织排放； 5.禁止燃放烟花、爆竹； 6.禁止焚烧生活垃圾、建筑垃圾、环卫清扫物等废弃物； 7.禁止在人口集中地区和其他依法需要特殊保护的区域内排放有毒有害烟尘和恶臭气体的物质； 8.禁燃区内已建成的高污染燃料设施，应当在市政府规定的期限内改用天然气、页岩气、液化石油气、电或者其他清洁能源； 9.城市建成区新建燃煤锅炉项目大气污染物排放浓度要求满足超低排放要求； 10.实现集中供热，企业特殊工艺需自建锅炉的必须采取清洁能源； 11.实现</w:t>
                  </w:r>
                  <w:r>
                    <w:rPr>
                      <w:rFonts w:hint="eastAsia"/>
                      <w:color w:val="auto"/>
                      <w:sz w:val="21"/>
                      <w:szCs w:val="21"/>
                      <w:highlight w:val="none"/>
                      <w:lang w:val="en-US" w:eastAsia="zh-CN"/>
                    </w:rPr>
                    <w:t>“</w:t>
                  </w:r>
                  <w:r>
                    <w:rPr>
                      <w:rFonts w:hint="default"/>
                      <w:color w:val="auto"/>
                      <w:sz w:val="21"/>
                      <w:szCs w:val="21"/>
                      <w:highlight w:val="none"/>
                      <w:lang w:val="en-US" w:eastAsia="zh-CN"/>
                    </w:rPr>
                    <w:t>雨污分流、清污分流、污污分流</w:t>
                  </w:r>
                  <w:r>
                    <w:rPr>
                      <w:rFonts w:hint="eastAsia"/>
                      <w:color w:val="auto"/>
                      <w:sz w:val="21"/>
                      <w:szCs w:val="21"/>
                      <w:highlight w:val="none"/>
                      <w:lang w:val="en-US" w:eastAsia="zh-CN"/>
                    </w:rPr>
                    <w:t>”</w:t>
                  </w:r>
                  <w:r>
                    <w:rPr>
                      <w:rFonts w:hint="default"/>
                      <w:color w:val="auto"/>
                      <w:sz w:val="21"/>
                      <w:szCs w:val="21"/>
                      <w:highlight w:val="none"/>
                      <w:lang w:val="en-US" w:eastAsia="zh-CN"/>
                    </w:rPr>
                    <w:t>，污水由污水处理厂统一处理后排放。</w:t>
                  </w:r>
                </w:p>
              </w:tc>
              <w:tc>
                <w:tcPr>
                  <w:tcW w:w="1198" w:type="pct"/>
                  <w:tcBorders>
                    <w:tl2br w:val="nil"/>
                    <w:tr2bl w:val="nil"/>
                  </w:tcBorders>
                  <w:noWrap w:val="0"/>
                  <w:vAlign w:val="center"/>
                </w:tcPr>
                <w:p>
                  <w:pPr>
                    <w:pStyle w:val="51"/>
                    <w:jc w:val="center"/>
                    <w:rPr>
                      <w:rFonts w:hint="default"/>
                      <w:color w:val="auto"/>
                      <w:highlight w:val="none"/>
                      <w:lang w:val="en-US" w:eastAsia="zh-CN"/>
                    </w:rPr>
                  </w:pPr>
                  <w:r>
                    <w:rPr>
                      <w:rFonts w:hint="eastAsia"/>
                      <w:color w:val="auto"/>
                      <w:sz w:val="21"/>
                      <w:szCs w:val="18"/>
                      <w:highlight w:val="none"/>
                      <w:lang w:val="en-US" w:eastAsia="zh-CN"/>
                    </w:rPr>
                    <w:t>本项目不直接排放有毒有害污染物；本项目产生的废气颗粒物经雾炮喷淋和密闭厂房沉降后可有效减少；本项目不属于“两高”行业；本项目采取有效措施减少颗粒物排放，本项目不涉及挥发性有机物排放；本项目不燃放烟花爆竹；本项目不焚烧生活垃圾、建筑垃圾、环卫清扫物等废弃物；本项目不排放有毒有害烟尘和恶臭气体；本项目不涉及高污染燃料设施；本项目不建设燃煤锅炉；本项目生活污水经化粪池处理后委托清掏,洗车废水经沉淀池处理后回用。</w:t>
                  </w:r>
                </w:p>
              </w:tc>
              <w:tc>
                <w:tcPr>
                  <w:tcW w:w="669" w:type="pct"/>
                  <w:tcBorders>
                    <w:tl2br w:val="nil"/>
                    <w:tr2bl w:val="nil"/>
                  </w:tcBorders>
                  <w:noWrap w:val="0"/>
                  <w:vAlign w:val="center"/>
                </w:tcPr>
                <w:p>
                  <w:pPr>
                    <w:pStyle w:val="7"/>
                    <w:keepNext w:val="0"/>
                    <w:keepLines w:val="0"/>
                    <w:pageBreakBefore w:val="0"/>
                    <w:widowControl/>
                    <w:kinsoku/>
                    <w:wordWrap/>
                    <w:overflowPunct/>
                    <w:topLinePunct w:val="0"/>
                    <w:autoSpaceDE/>
                    <w:autoSpaceDN/>
                    <w:bidi w:val="0"/>
                    <w:adjustRightInd/>
                    <w:snapToGrid w:val="0"/>
                    <w:spacing w:before="0" w:after="0" w:line="240" w:lineRule="auto"/>
                    <w:ind w:right="0" w:firstLine="0" w:firstLineChars="0"/>
                    <w:jc w:val="center"/>
                    <w:textAlignment w:val="auto"/>
                    <w:rPr>
                      <w:rFonts w:hint="eastAsia"/>
                      <w:color w:val="auto"/>
                      <w:highlight w:val="none"/>
                      <w:lang w:val="en-US" w:eastAsia="zh-CN"/>
                    </w:rPr>
                  </w:pPr>
                  <w:r>
                    <w:rPr>
                      <w:rFonts w:hint="eastAsia" w:ascii="Times New Roman" w:hAnsi="Times New Roman" w:eastAsia="宋体" w:cs="Times New Roman"/>
                      <w:color w:val="auto"/>
                      <w:kern w:val="2"/>
                      <w:sz w:val="21"/>
                      <w:szCs w:val="24"/>
                      <w:highlight w:val="none"/>
                      <w:lang w:val="en-US" w:eastAsia="zh-CN" w:bidi="ar-SA"/>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0"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color w:val="auto"/>
                      <w:highlight w:val="none"/>
                      <w:lang w:val="en-US" w:eastAsia="zh-CN"/>
                    </w:rPr>
                  </w:pPr>
                </w:p>
              </w:tc>
              <w:tc>
                <w:tcPr>
                  <w:tcW w:w="363"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color w:val="auto"/>
                      <w:highlight w:val="none"/>
                      <w:lang w:val="en-US" w:eastAsia="zh-CN"/>
                    </w:rPr>
                  </w:pPr>
                </w:p>
              </w:tc>
              <w:tc>
                <w:tcPr>
                  <w:tcW w:w="325"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highlight w:val="none"/>
                      <w:lang w:val="en-US" w:eastAsia="zh-CN"/>
                    </w:rPr>
                  </w:pPr>
                </w:p>
              </w:tc>
              <w:tc>
                <w:tcPr>
                  <w:tcW w:w="290"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环境风险防控</w:t>
                  </w:r>
                </w:p>
              </w:tc>
              <w:tc>
                <w:tcPr>
                  <w:tcW w:w="1631"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1.</w:t>
                  </w:r>
                  <w:r>
                    <w:rPr>
                      <w:rFonts w:hint="default"/>
                      <w:color w:val="auto"/>
                      <w:sz w:val="21"/>
                      <w:szCs w:val="21"/>
                      <w:highlight w:val="none"/>
                      <w:lang w:val="en-US" w:eastAsia="zh-CN"/>
                    </w:rPr>
                    <w:t xml:space="preserve">新建化工项目须进入合规设立的化工园区，推动环境敏感区、人口密集区危险化学品生产企业搬迁入园，实现 </w:t>
                  </w:r>
                  <w:r>
                    <w:rPr>
                      <w:rFonts w:hint="eastAsia"/>
                      <w:color w:val="auto"/>
                      <w:sz w:val="21"/>
                      <w:szCs w:val="21"/>
                      <w:highlight w:val="none"/>
                      <w:lang w:val="en-US" w:eastAsia="zh-CN"/>
                    </w:rPr>
                    <w:t>“</w:t>
                  </w:r>
                  <w:r>
                    <w:rPr>
                      <w:rFonts w:hint="default"/>
                      <w:color w:val="auto"/>
                      <w:sz w:val="21"/>
                      <w:szCs w:val="21"/>
                      <w:highlight w:val="none"/>
                      <w:lang w:val="en-US" w:eastAsia="zh-CN"/>
                    </w:rPr>
                    <w:t>三废</w:t>
                  </w:r>
                  <w:r>
                    <w:rPr>
                      <w:rFonts w:hint="eastAsia"/>
                      <w:color w:val="auto"/>
                      <w:sz w:val="21"/>
                      <w:szCs w:val="21"/>
                      <w:highlight w:val="none"/>
                      <w:lang w:val="en-US" w:eastAsia="zh-CN"/>
                    </w:rPr>
                    <w:t>”</w:t>
                  </w:r>
                  <w:r>
                    <w:rPr>
                      <w:rFonts w:hint="default"/>
                      <w:color w:val="auto"/>
                      <w:sz w:val="21"/>
                      <w:szCs w:val="21"/>
                      <w:highlight w:val="none"/>
                      <w:lang w:val="en-US" w:eastAsia="zh-CN"/>
                    </w:rPr>
                    <w:t>治理由企业分散治理向园区集中治理转变。</w:t>
                  </w:r>
                </w:p>
                <w:p>
                  <w:pPr>
                    <w:keepNext w:val="0"/>
                    <w:keepLines w:val="0"/>
                    <w:widowControl/>
                    <w:suppressLineNumbers w:val="0"/>
                    <w:jc w:val="center"/>
                    <w:rPr>
                      <w:rFonts w:hint="default"/>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.严格限制有毒有害污染物排放。</w:t>
                  </w:r>
                </w:p>
              </w:tc>
              <w:tc>
                <w:tcPr>
                  <w:tcW w:w="1198"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highlight w:val="none"/>
                      <w:lang w:val="en-US" w:eastAsia="zh-CN"/>
                    </w:rPr>
                  </w:pPr>
                  <w:r>
                    <w:rPr>
                      <w:rFonts w:hint="eastAsia"/>
                      <w:color w:val="auto"/>
                      <w:sz w:val="21"/>
                      <w:szCs w:val="21"/>
                      <w:highlight w:val="none"/>
                    </w:rPr>
                    <w:t>本项目</w:t>
                  </w:r>
                  <w:r>
                    <w:rPr>
                      <w:rFonts w:hint="eastAsia"/>
                      <w:color w:val="auto"/>
                      <w:sz w:val="21"/>
                      <w:szCs w:val="21"/>
                      <w:highlight w:val="none"/>
                      <w:lang w:eastAsia="zh-CN"/>
                    </w:rPr>
                    <w:t>不属于化工项目，不涉及危险化学品；</w:t>
                  </w:r>
                  <w:r>
                    <w:rPr>
                      <w:rFonts w:hint="eastAsia" w:ascii="宋体" w:hAnsi="宋体" w:cs="宋体"/>
                      <w:color w:val="auto"/>
                      <w:sz w:val="21"/>
                      <w:szCs w:val="21"/>
                      <w:highlight w:val="none"/>
                      <w:lang w:val="en-US" w:eastAsia="zh-CN"/>
                    </w:rPr>
                    <w:t>本项目不涉及有毒污染物排放。</w:t>
                  </w:r>
                </w:p>
              </w:tc>
              <w:tc>
                <w:tcPr>
                  <w:tcW w:w="669"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ind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0"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color w:val="auto"/>
                      <w:highlight w:val="none"/>
                      <w:lang w:val="en-US" w:eastAsia="zh-CN"/>
                    </w:rPr>
                  </w:pPr>
                </w:p>
              </w:tc>
              <w:tc>
                <w:tcPr>
                  <w:tcW w:w="363"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color w:val="auto"/>
                      <w:highlight w:val="none"/>
                      <w:lang w:val="en-US" w:eastAsia="zh-CN"/>
                    </w:rPr>
                  </w:pPr>
                </w:p>
              </w:tc>
              <w:tc>
                <w:tcPr>
                  <w:tcW w:w="325"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color w:val="auto"/>
                      <w:highlight w:val="none"/>
                      <w:lang w:val="en-US" w:eastAsia="zh-CN"/>
                    </w:rPr>
                  </w:pPr>
                </w:p>
              </w:tc>
              <w:tc>
                <w:tcPr>
                  <w:tcW w:w="290"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资源利用效率要求</w:t>
                  </w:r>
                </w:p>
              </w:tc>
              <w:tc>
                <w:tcPr>
                  <w:tcW w:w="1631"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1.</w:t>
                  </w:r>
                  <w:r>
                    <w:rPr>
                      <w:rFonts w:hint="default"/>
                      <w:color w:val="auto"/>
                      <w:sz w:val="21"/>
                      <w:szCs w:val="21"/>
                      <w:highlight w:val="none"/>
                      <w:lang w:val="en-US" w:eastAsia="zh-CN"/>
                    </w:rPr>
                    <w:t>清洁生产水平达到国内先进及以上水平；</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2.</w:t>
                  </w:r>
                  <w:r>
                    <w:rPr>
                      <w:rFonts w:hint="default"/>
                      <w:color w:val="auto"/>
                      <w:sz w:val="21"/>
                      <w:szCs w:val="21"/>
                      <w:highlight w:val="none"/>
                      <w:lang w:val="en-US" w:eastAsia="zh-CN"/>
                    </w:rPr>
                    <w:t>资源利用率满足行业国内先进指标要求；</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3.</w:t>
                  </w:r>
                  <w:r>
                    <w:rPr>
                      <w:rFonts w:hint="default"/>
                      <w:color w:val="auto"/>
                      <w:sz w:val="21"/>
                      <w:szCs w:val="21"/>
                      <w:highlight w:val="none"/>
                      <w:lang w:val="en-US" w:eastAsia="zh-CN"/>
                    </w:rPr>
                    <w:t>提高中水回用率。</w:t>
                  </w:r>
                </w:p>
              </w:tc>
              <w:tc>
                <w:tcPr>
                  <w:tcW w:w="1198" w:type="pct"/>
                  <w:tcBorders>
                    <w:tl2br w:val="nil"/>
                    <w:tr2bl w:val="nil"/>
                  </w:tcBorders>
                  <w:noWrap w:val="0"/>
                  <w:vAlign w:val="center"/>
                </w:tcPr>
                <w:p>
                  <w:pPr>
                    <w:pStyle w:val="51"/>
                    <w:jc w:val="center"/>
                    <w:rPr>
                      <w:rFonts w:hint="default"/>
                      <w:color w:val="auto"/>
                      <w:highlight w:val="none"/>
                      <w:lang w:val="en-US" w:eastAsia="zh-CN"/>
                    </w:rPr>
                  </w:pPr>
                  <w:r>
                    <w:rPr>
                      <w:rFonts w:hint="eastAsia" w:ascii="宋体" w:hAnsi="宋体" w:eastAsia="宋体" w:cs="宋体"/>
                      <w:color w:val="auto"/>
                      <w:sz w:val="21"/>
                      <w:szCs w:val="21"/>
                      <w:highlight w:val="none"/>
                      <w:lang w:val="en-US" w:eastAsia="zh-CN"/>
                    </w:rPr>
                    <w:t>本项目</w:t>
                  </w:r>
                  <w:r>
                    <w:rPr>
                      <w:rFonts w:hint="eastAsia" w:hAnsi="宋体" w:cs="宋体"/>
                      <w:color w:val="auto"/>
                      <w:sz w:val="21"/>
                      <w:szCs w:val="21"/>
                      <w:highlight w:val="none"/>
                      <w:lang w:val="en-US" w:eastAsia="zh-CN"/>
                    </w:rPr>
                    <w:t>为煤炭储运，能耗极低，清洁生产水平可达国内先进水平；资源利用率满足行业国内先进指标要求；厂区地面防渗硬化。</w:t>
                  </w:r>
                </w:p>
              </w:tc>
              <w:tc>
                <w:tcPr>
                  <w:tcW w:w="669"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ind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符合</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0" w:firstLineChars="200"/>
              <w:textAlignment w:val="auto"/>
              <w:rPr>
                <w:rFonts w:hint="eastAsia"/>
                <w:color w:val="auto"/>
                <w:sz w:val="24"/>
                <w:szCs w:val="24"/>
                <w:highlight w:val="none"/>
                <w:lang w:val="en-US" w:eastAsia="zh-CN"/>
              </w:rPr>
            </w:pPr>
            <w:r>
              <w:rPr>
                <w:rFonts w:hint="eastAsia"/>
                <w:color w:val="auto"/>
                <w:kern w:val="2"/>
                <w:sz w:val="24"/>
                <w:szCs w:val="24"/>
                <w:highlight w:val="none"/>
                <w:lang w:val="en-US" w:eastAsia="zh-CN" w:bidi="ar-SA"/>
              </w:rPr>
              <w:t>4</w:t>
            </w:r>
            <w:r>
              <w:rPr>
                <w:rFonts w:hint="eastAsia" w:ascii="Times New Roman" w:hAnsi="Times New Roman" w:eastAsia="宋体"/>
                <w:color w:val="auto"/>
                <w:kern w:val="2"/>
                <w:sz w:val="24"/>
                <w:szCs w:val="24"/>
                <w:highlight w:val="none"/>
                <w:lang w:val="en-US" w:eastAsia="zh-CN" w:bidi="ar-SA"/>
              </w:rPr>
              <w:t>、</w:t>
            </w:r>
            <w:r>
              <w:rPr>
                <w:rFonts w:hint="eastAsia"/>
                <w:color w:val="auto"/>
                <w:sz w:val="24"/>
                <w:szCs w:val="24"/>
                <w:highlight w:val="none"/>
                <w:lang w:val="en-US" w:eastAsia="zh-CN"/>
              </w:rPr>
              <w:t>与相关生态环境保护政策符合性分析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s="Times New Roman"/>
                <w:color w:val="auto"/>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bidi="ar-SA"/>
              </w:rPr>
              <w:t>（1）</w:t>
            </w:r>
            <w:r>
              <w:rPr>
                <w:rFonts w:hint="eastAsia" w:cs="Times New Roman"/>
                <w:color w:val="auto"/>
                <w:sz w:val="24"/>
                <w:szCs w:val="24"/>
                <w:highlight w:val="none"/>
                <w:lang w:val="en-US" w:eastAsia="zh-CN"/>
              </w:rPr>
              <w:t>与《辽宁省深入打好污染防治攻坚战实施方案》（辽委发〔2022〕8 号）的相符性分析，详见表1-6。</w:t>
            </w:r>
          </w:p>
          <w:p>
            <w:pPr>
              <w:pStyle w:val="39"/>
              <w:keepNext w:val="0"/>
              <w:keepLines w:val="0"/>
              <w:pageBreakBefore w:val="0"/>
              <w:widowControl w:val="0"/>
              <w:numPr>
                <w:ilvl w:val="0"/>
                <w:numId w:val="0"/>
              </w:numPr>
              <w:kinsoku/>
              <w:wordWrap/>
              <w:overflowPunct/>
              <w:topLinePunct w:val="0"/>
              <w:autoSpaceDE/>
              <w:autoSpaceDN/>
              <w:bidi w:val="0"/>
              <w:adjustRightInd/>
              <w:snapToGrid/>
              <w:ind w:firstLine="210" w:firstLineChars="100"/>
              <w:jc w:val="both"/>
              <w:textAlignment w:val="auto"/>
              <w:rPr>
                <w:rFonts w:hint="eastAsia"/>
                <w:color w:val="auto"/>
                <w:sz w:val="21"/>
                <w:szCs w:val="21"/>
                <w:highlight w:val="none"/>
                <w:lang w:val="en-US" w:eastAsia="zh-CN"/>
              </w:rPr>
            </w:pPr>
            <w:r>
              <w:rPr>
                <w:rFonts w:hint="eastAsia" w:ascii="宋体" w:hAnsi="宋体" w:eastAsia="宋体" w:cs="宋体"/>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1-</w:t>
            </w:r>
            <w:r>
              <w:rPr>
                <w:rFonts w:hint="eastAsia" w:eastAsia="宋体" w:cs="Times New Roman"/>
                <w:b/>
                <w:bCs/>
                <w:color w:val="auto"/>
                <w:sz w:val="21"/>
                <w:szCs w:val="21"/>
                <w:highlight w:val="none"/>
                <w:lang w:val="en-US" w:eastAsia="zh-CN"/>
              </w:rPr>
              <w:t>6</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eastAsia="zh-CN"/>
              </w:rPr>
              <w:t>与《辽宁省深入打好污染防治攻坚战实施方案》相符性分析</w:t>
            </w:r>
          </w:p>
          <w:tbl>
            <w:tblPr>
              <w:tblStyle w:val="22"/>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332"/>
              <w:gridCol w:w="2494"/>
              <w:gridCol w:w="900"/>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77"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政策要求</w:t>
                  </w:r>
                </w:p>
              </w:tc>
              <w:tc>
                <w:tcPr>
                  <w:tcW w:w="1854"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本项目情况</w:t>
                  </w:r>
                </w:p>
              </w:tc>
              <w:tc>
                <w:tcPr>
                  <w:tcW w:w="668"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相符性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3"/>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color w:val="auto"/>
                      <w:sz w:val="21"/>
                      <w:szCs w:val="21"/>
                      <w:highlight w:val="none"/>
                      <w:shd w:val="clear" w:color="auto" w:fill="auto"/>
                      <w:lang w:eastAsia="zh-CN"/>
                    </w:rPr>
                    <w:t>（二）深入打好蓝天保卫战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7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color w:val="auto"/>
                      <w:sz w:val="21"/>
                      <w:szCs w:val="21"/>
                      <w:highlight w:val="none"/>
                      <w:shd w:val="clear" w:color="auto" w:fill="auto"/>
                    </w:rPr>
                    <w:t>着力打好重污染天气消除攻坚战</w:t>
                  </w:r>
                  <w:r>
                    <w:rPr>
                      <w:rFonts w:hint="eastAsia"/>
                      <w:color w:val="auto"/>
                      <w:sz w:val="21"/>
                      <w:szCs w:val="21"/>
                      <w:highlight w:val="none"/>
                      <w:shd w:val="clear" w:color="auto" w:fill="auto"/>
                      <w:lang w:eastAsia="zh-CN"/>
                    </w:rPr>
                    <w:t>。</w:t>
                  </w:r>
                  <w:r>
                    <w:rPr>
                      <w:rFonts w:hint="eastAsia"/>
                      <w:color w:val="auto"/>
                      <w:sz w:val="21"/>
                      <w:szCs w:val="21"/>
                      <w:highlight w:val="none"/>
                      <w:shd w:val="clear" w:color="auto" w:fill="auto"/>
                    </w:rPr>
                    <w:t>实施大气减污降碳协同增效行动。推动重点行业落后产能退出，推进钢铁、焦化、有色金属行业技术升级。加快供热区域热网互联互通建设，淘汰管网覆盖范围内的燃煤锅炉和散煤。推进工业炉窑清洁能源替代，以菱镁、陶瓷等行业为重点，开展涉气产业集群排查及分类治理</w:t>
                  </w:r>
                  <w:r>
                    <w:rPr>
                      <w:rFonts w:hint="eastAsia"/>
                      <w:color w:val="auto"/>
                      <w:sz w:val="21"/>
                      <w:szCs w:val="21"/>
                      <w:highlight w:val="none"/>
                      <w:shd w:val="clear" w:color="auto" w:fill="auto"/>
                      <w:lang w:eastAsia="zh-CN"/>
                    </w:rPr>
                    <w:t>。</w:t>
                  </w:r>
                  <w:r>
                    <w:rPr>
                      <w:rFonts w:hint="eastAsia"/>
                      <w:color w:val="auto"/>
                      <w:sz w:val="21"/>
                      <w:szCs w:val="21"/>
                      <w:highlight w:val="none"/>
                      <w:shd w:val="clear" w:color="auto" w:fill="auto"/>
                    </w:rPr>
                    <w:t>实施清洁取暖攻坚行动。充分发挥热电机组和大型热源厂能力，推进燃煤锅炉关停整合。在空气质量未达标的城市城中村、城乡接合部，因地制宜推进供暖清洁化，有序开展农村地区散煤替代工作</w:t>
                  </w:r>
                  <w:r>
                    <w:rPr>
                      <w:rFonts w:hint="eastAsia"/>
                      <w:color w:val="auto"/>
                      <w:sz w:val="21"/>
                      <w:szCs w:val="21"/>
                      <w:highlight w:val="none"/>
                      <w:shd w:val="clear" w:color="auto" w:fill="auto"/>
                      <w:lang w:eastAsia="zh-CN"/>
                    </w:rPr>
                    <w:t>。</w:t>
                  </w:r>
                  <w:r>
                    <w:rPr>
                      <w:rFonts w:hint="eastAsia"/>
                      <w:color w:val="auto"/>
                      <w:sz w:val="21"/>
                      <w:szCs w:val="21"/>
                      <w:highlight w:val="none"/>
                      <w:shd w:val="clear" w:color="auto" w:fill="auto"/>
                    </w:rPr>
                    <w:t>实施重污染天气联合应对行动。完善重污染天气气象要素监测能力，提升污染过程预报及分析水平。及时修订省、市重污染天气应急预案，每年9月底前完成应急减排措施清单修订。完善重污染天气区域应急联动机制，强化辽宁中、西部区域重污染天气联合应对。</w:t>
                  </w:r>
                </w:p>
              </w:tc>
              <w:tc>
                <w:tcPr>
                  <w:tcW w:w="185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lang w:val="en-US" w:eastAsia="zh-CN"/>
                    </w:rPr>
                  </w:pPr>
                  <w:r>
                    <w:rPr>
                      <w:rFonts w:hint="eastAsia"/>
                      <w:color w:val="auto"/>
                      <w:sz w:val="21"/>
                      <w:szCs w:val="21"/>
                      <w:highlight w:val="none"/>
                      <w:shd w:val="clear" w:color="auto" w:fill="auto"/>
                      <w:lang w:eastAsia="zh-CN"/>
                    </w:rPr>
                    <w:t>本</w:t>
                  </w:r>
                  <w:r>
                    <w:rPr>
                      <w:rFonts w:hint="eastAsia" w:eastAsia="宋体"/>
                      <w:color w:val="auto"/>
                      <w:sz w:val="21"/>
                      <w:szCs w:val="21"/>
                      <w:highlight w:val="none"/>
                      <w:shd w:val="clear" w:color="auto" w:fill="auto"/>
                      <w:lang w:eastAsia="zh-CN"/>
                    </w:rPr>
                    <w:t>项目为</w:t>
                  </w:r>
                  <w:r>
                    <w:rPr>
                      <w:rFonts w:hint="eastAsia"/>
                      <w:color w:val="auto"/>
                      <w:sz w:val="21"/>
                      <w:szCs w:val="21"/>
                      <w:highlight w:val="none"/>
                    </w:rPr>
                    <w:t>煤炭及制品批发业</w:t>
                  </w:r>
                  <w:r>
                    <w:rPr>
                      <w:rFonts w:hint="eastAsia"/>
                      <w:color w:val="auto"/>
                      <w:sz w:val="21"/>
                      <w:szCs w:val="21"/>
                      <w:highlight w:val="none"/>
                      <w:lang w:eastAsia="zh-CN"/>
                    </w:rPr>
                    <w:t>和</w:t>
                  </w:r>
                  <w:r>
                    <w:rPr>
                      <w:rFonts w:hint="eastAsia"/>
                      <w:color w:val="auto"/>
                      <w:sz w:val="21"/>
                      <w:szCs w:val="21"/>
                      <w:highlight w:val="none"/>
                      <w:lang w:val="en-US" w:eastAsia="zh-CN"/>
                    </w:rPr>
                    <w:t>其他仓储业</w:t>
                  </w:r>
                  <w:r>
                    <w:rPr>
                      <w:rFonts w:hint="eastAsia"/>
                      <w:color w:val="auto"/>
                      <w:sz w:val="21"/>
                      <w:szCs w:val="21"/>
                      <w:highlight w:val="none"/>
                      <w:lang w:eastAsia="zh-CN"/>
                    </w:rPr>
                    <w:t>，属于仓储物流</w:t>
                  </w:r>
                  <w:r>
                    <w:rPr>
                      <w:rFonts w:hint="eastAsia" w:eastAsia="宋体"/>
                      <w:color w:val="auto"/>
                      <w:sz w:val="21"/>
                      <w:szCs w:val="21"/>
                      <w:highlight w:val="none"/>
                      <w:shd w:val="clear" w:color="auto" w:fill="auto"/>
                      <w:lang w:eastAsia="zh-CN"/>
                    </w:rPr>
                    <w:t>，不属于重点行业落后产能，不属于钢铁、焦化、有色金属行业。项目</w:t>
                  </w:r>
                  <w:r>
                    <w:rPr>
                      <w:rFonts w:hint="eastAsia"/>
                      <w:color w:val="auto"/>
                      <w:sz w:val="21"/>
                      <w:szCs w:val="21"/>
                      <w:highlight w:val="none"/>
                      <w:shd w:val="clear" w:color="auto" w:fill="auto"/>
                      <w:lang w:eastAsia="zh-CN"/>
                    </w:rPr>
                    <w:t>生产无需供暖，</w:t>
                  </w:r>
                  <w:r>
                    <w:rPr>
                      <w:rFonts w:hint="eastAsia" w:eastAsia="宋体"/>
                      <w:color w:val="auto"/>
                      <w:sz w:val="21"/>
                      <w:szCs w:val="21"/>
                      <w:highlight w:val="none"/>
                      <w:shd w:val="clear" w:color="auto" w:fill="auto"/>
                      <w:lang w:eastAsia="zh-CN"/>
                    </w:rPr>
                    <w:t>不使用工业炉窑。项目不属于菱镁、陶瓷行业。本评价要求建设单位编制重污染天气应急预案。上级部门发布重污染天气预警时，积极响应。</w:t>
                  </w:r>
                </w:p>
              </w:tc>
              <w:tc>
                <w:tcPr>
                  <w:tcW w:w="66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rPr>
                  </w:pPr>
                  <w:r>
                    <w:rPr>
                      <w:rFonts w:hint="eastAsia" w:eastAsia="宋体"/>
                      <w:color w:val="auto"/>
                      <w:sz w:val="21"/>
                      <w:szCs w:val="21"/>
                      <w:highlight w:val="none"/>
                      <w:shd w:val="clear" w:color="auto" w:fill="auto"/>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7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lang w:val="en-US" w:eastAsia="zh-CN"/>
                    </w:rPr>
                  </w:pPr>
                  <w:r>
                    <w:rPr>
                      <w:rFonts w:hint="eastAsia"/>
                      <w:color w:val="auto"/>
                      <w:sz w:val="21"/>
                      <w:szCs w:val="21"/>
                      <w:highlight w:val="none"/>
                      <w:shd w:val="clear" w:color="auto" w:fill="auto"/>
                    </w:rPr>
                    <w:t>着力打好臭氧污染治理攻坚战</w:t>
                  </w:r>
                  <w:r>
                    <w:rPr>
                      <w:rFonts w:hint="eastAsia"/>
                      <w:color w:val="auto"/>
                      <w:sz w:val="21"/>
                      <w:szCs w:val="21"/>
                      <w:highlight w:val="none"/>
                      <w:shd w:val="clear" w:color="auto" w:fill="auto"/>
                      <w:lang w:eastAsia="zh-CN"/>
                    </w:rPr>
                    <w:t>：</w:t>
                  </w:r>
                  <w:r>
                    <w:rPr>
                      <w:rFonts w:hint="eastAsia"/>
                      <w:color w:val="auto"/>
                      <w:sz w:val="21"/>
                      <w:szCs w:val="21"/>
                      <w:highlight w:val="none"/>
                      <w:shd w:val="clear" w:color="auto" w:fill="auto"/>
                    </w:rPr>
                    <w:t>实施挥发性有机物原辅材料源头替代行动。完善挥发性有机物产品标准体系，建立低挥发性有机物含量产品标识制度。以汽车整车、木质家具、汽车零部件、工程机械、钢结构、船舶制造行业为重点，提升低挥发性有机物含量涂料使用比例。实施挥发性有机物污染治理达标行动。实施氮氧化物污染治理提升行动。实施污染源监管能力提升行动。推动挥发性有机物和氮氧化物排放重点排污单位依法安装自动监测设备，强化治理设施运维和旁路监管，坚决查处违法排污行为。夏季围绕石化、化工、涂装、医药、包装印刷、钢铁、焦化、建材等重点行业，精准开展监督帮扶。</w:t>
                  </w:r>
                </w:p>
              </w:tc>
              <w:tc>
                <w:tcPr>
                  <w:tcW w:w="185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shd w:val="clear" w:color="auto" w:fill="auto"/>
                      <w:lang w:eastAsia="zh-CN"/>
                    </w:rPr>
                  </w:pPr>
                  <w:r>
                    <w:rPr>
                      <w:rFonts w:hint="eastAsia"/>
                      <w:color w:val="auto"/>
                      <w:sz w:val="21"/>
                      <w:szCs w:val="21"/>
                      <w:highlight w:val="none"/>
                      <w:shd w:val="clear" w:color="auto" w:fill="auto"/>
                      <w:lang w:eastAsia="zh-CN"/>
                    </w:rPr>
                    <w:t>项目不使用</w:t>
                  </w:r>
                  <w:r>
                    <w:rPr>
                      <w:rFonts w:hint="eastAsia"/>
                      <w:color w:val="auto"/>
                      <w:sz w:val="21"/>
                      <w:szCs w:val="21"/>
                      <w:highlight w:val="none"/>
                      <w:shd w:val="clear" w:color="auto" w:fill="auto"/>
                      <w:lang w:val="en-US" w:eastAsia="zh-CN"/>
                    </w:rPr>
                    <w:t>含VOCs物料</w:t>
                  </w:r>
                  <w:r>
                    <w:rPr>
                      <w:rFonts w:hint="eastAsia"/>
                      <w:color w:val="auto"/>
                      <w:sz w:val="21"/>
                      <w:szCs w:val="21"/>
                      <w:highlight w:val="none"/>
                      <w:shd w:val="clear" w:color="auto" w:fill="auto"/>
                      <w:lang w:eastAsia="zh-CN"/>
                    </w:rPr>
                    <w:t>。不排放氮氧化物。</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lang w:val="en-US" w:eastAsia="zh-CN"/>
                    </w:rPr>
                  </w:pPr>
                  <w:r>
                    <w:rPr>
                      <w:rFonts w:hint="eastAsia"/>
                      <w:b w:val="0"/>
                      <w:bCs w:val="0"/>
                      <w:color w:val="auto"/>
                      <w:sz w:val="21"/>
                      <w:szCs w:val="21"/>
                      <w:highlight w:val="none"/>
                      <w:shd w:val="clear" w:color="auto" w:fill="auto"/>
                      <w:lang w:eastAsia="zh-CN"/>
                    </w:rPr>
                    <w:t>项目为新建项目，属于煤炭及制品批发业和</w:t>
                  </w:r>
                  <w:r>
                    <w:rPr>
                      <w:rFonts w:hint="eastAsia"/>
                      <w:b w:val="0"/>
                      <w:bCs w:val="0"/>
                      <w:color w:val="auto"/>
                      <w:sz w:val="21"/>
                      <w:szCs w:val="21"/>
                      <w:highlight w:val="none"/>
                      <w:shd w:val="clear" w:color="auto" w:fill="auto"/>
                      <w:lang w:val="en-US" w:eastAsia="zh-CN"/>
                    </w:rPr>
                    <w:t>其他仓储业</w:t>
                  </w:r>
                  <w:r>
                    <w:rPr>
                      <w:rFonts w:hint="eastAsia"/>
                      <w:b w:val="0"/>
                      <w:bCs w:val="0"/>
                      <w:color w:val="auto"/>
                      <w:sz w:val="21"/>
                      <w:szCs w:val="21"/>
                      <w:highlight w:val="none"/>
                      <w:shd w:val="clear" w:color="auto" w:fill="auto"/>
                      <w:lang w:eastAsia="zh-CN"/>
                    </w:rPr>
                    <w:t>，属于仓储物流，不属于重点排污单位，不需安装自动监测设备</w:t>
                  </w:r>
                  <w:r>
                    <w:rPr>
                      <w:rFonts w:hint="eastAsia"/>
                      <w:color w:val="auto"/>
                      <w:sz w:val="21"/>
                      <w:szCs w:val="21"/>
                      <w:highlight w:val="none"/>
                      <w:shd w:val="clear" w:color="auto" w:fill="auto"/>
                      <w:lang w:eastAsia="zh-CN"/>
                    </w:rPr>
                    <w:t>。</w:t>
                  </w:r>
                </w:p>
              </w:tc>
              <w:tc>
                <w:tcPr>
                  <w:tcW w:w="66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lang w:val="en-US" w:eastAsia="zh-CN"/>
                    </w:rPr>
                  </w:pPr>
                  <w:r>
                    <w:rPr>
                      <w:rFonts w:hint="eastAsia"/>
                      <w:color w:val="auto"/>
                      <w:sz w:val="21"/>
                      <w:szCs w:val="21"/>
                      <w:highlight w:val="none"/>
                      <w:shd w:val="clear" w:color="auto" w:fill="auto"/>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7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bCs/>
                      <w:color w:val="auto"/>
                      <w:sz w:val="21"/>
                      <w:szCs w:val="21"/>
                      <w:highlight w:val="none"/>
                      <w:lang w:val="en-US" w:eastAsia="zh-CN"/>
                    </w:rPr>
                  </w:pPr>
                  <w:r>
                    <w:rPr>
                      <w:rFonts w:hint="eastAsia"/>
                      <w:color w:val="auto"/>
                      <w:sz w:val="21"/>
                      <w:szCs w:val="21"/>
                      <w:highlight w:val="none"/>
                      <w:shd w:val="clear" w:color="auto" w:fill="auto"/>
                    </w:rPr>
                    <w:t>加强大气面源和噪声污染治理</w:t>
                  </w:r>
                  <w:r>
                    <w:rPr>
                      <w:rFonts w:hint="eastAsia"/>
                      <w:color w:val="auto"/>
                      <w:sz w:val="21"/>
                      <w:szCs w:val="21"/>
                      <w:highlight w:val="none"/>
                      <w:shd w:val="clear" w:color="auto" w:fill="auto"/>
                      <w:lang w:eastAsia="zh-CN"/>
                    </w:rPr>
                    <w:t>：</w:t>
                  </w:r>
                  <w:r>
                    <w:rPr>
                      <w:rFonts w:hint="eastAsia"/>
                      <w:color w:val="auto"/>
                      <w:sz w:val="21"/>
                      <w:szCs w:val="21"/>
                      <w:highlight w:val="none"/>
                      <w:shd w:val="clear" w:color="auto" w:fill="auto"/>
                    </w:rPr>
                    <w:t>强化施工、道路、堆场、裸露地面等扬尘管控，推进低尘机械化清扫作业</w:t>
                  </w:r>
                  <w:r>
                    <w:rPr>
                      <w:rFonts w:hint="eastAsia"/>
                      <w:color w:val="auto"/>
                      <w:sz w:val="21"/>
                      <w:szCs w:val="21"/>
                      <w:highlight w:val="none"/>
                      <w:shd w:val="clear" w:color="auto" w:fill="auto"/>
                      <w:lang w:eastAsia="zh-CN"/>
                    </w:rPr>
                    <w:t>。</w:t>
                  </w:r>
                  <w:r>
                    <w:rPr>
                      <w:rFonts w:hint="eastAsia"/>
                      <w:color w:val="auto"/>
                      <w:sz w:val="21"/>
                      <w:szCs w:val="21"/>
                      <w:highlight w:val="none"/>
                      <w:shd w:val="clear" w:color="auto" w:fill="auto"/>
                    </w:rPr>
                    <w:t>实施噪声污染防治行动，加快解决群众关心的突出噪声问题</w:t>
                  </w:r>
                  <w:r>
                    <w:rPr>
                      <w:rFonts w:hint="eastAsia"/>
                      <w:color w:val="auto"/>
                      <w:sz w:val="21"/>
                      <w:szCs w:val="21"/>
                      <w:highlight w:val="none"/>
                      <w:shd w:val="clear" w:color="auto" w:fill="auto"/>
                      <w:lang w:eastAsia="zh-CN"/>
                    </w:rPr>
                    <w:t>。</w:t>
                  </w:r>
                </w:p>
              </w:tc>
              <w:tc>
                <w:tcPr>
                  <w:tcW w:w="185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lang w:val="en-US" w:eastAsia="zh-CN"/>
                    </w:rPr>
                  </w:pPr>
                  <w:r>
                    <w:rPr>
                      <w:rFonts w:hint="eastAsia"/>
                      <w:b w:val="0"/>
                      <w:bCs w:val="0"/>
                      <w:color w:val="auto"/>
                      <w:sz w:val="21"/>
                      <w:szCs w:val="21"/>
                      <w:highlight w:val="none"/>
                      <w:shd w:val="clear" w:color="auto" w:fill="auto"/>
                      <w:lang w:eastAsia="zh-CN"/>
                    </w:rPr>
                    <w:t>项目施工期对施工场地、道路堆场等</w:t>
                  </w:r>
                  <w:r>
                    <w:rPr>
                      <w:rFonts w:hint="eastAsia"/>
                      <w:color w:val="auto"/>
                      <w:sz w:val="21"/>
                      <w:szCs w:val="21"/>
                      <w:highlight w:val="none"/>
                      <w:shd w:val="clear" w:color="auto" w:fill="auto"/>
                    </w:rPr>
                    <w:t>采取洒水等抑尘</w:t>
                  </w:r>
                  <w:r>
                    <w:rPr>
                      <w:rFonts w:hint="eastAsia"/>
                      <w:b w:val="0"/>
                      <w:bCs w:val="0"/>
                      <w:color w:val="auto"/>
                      <w:sz w:val="21"/>
                      <w:szCs w:val="21"/>
                      <w:highlight w:val="none"/>
                      <w:shd w:val="clear" w:color="auto" w:fill="auto"/>
                      <w:lang w:eastAsia="zh-CN"/>
                    </w:rPr>
                    <w:t>措施，噪声采取</w:t>
                  </w:r>
                  <w:r>
                    <w:rPr>
                      <w:bCs/>
                      <w:color w:val="auto"/>
                      <w:sz w:val="21"/>
                      <w:szCs w:val="21"/>
                      <w:highlight w:val="none"/>
                      <w:shd w:val="clear" w:color="auto" w:fill="auto"/>
                    </w:rPr>
                    <w:t>外围设置统一</w:t>
                  </w:r>
                  <w:r>
                    <w:rPr>
                      <w:rFonts w:hint="eastAsia"/>
                      <w:bCs/>
                      <w:color w:val="auto"/>
                      <w:sz w:val="21"/>
                      <w:szCs w:val="21"/>
                      <w:highlight w:val="none"/>
                      <w:shd w:val="clear" w:color="auto" w:fill="auto"/>
                      <w:lang w:eastAsia="zh-CN"/>
                    </w:rPr>
                    <w:t>围挡等</w:t>
                  </w:r>
                  <w:r>
                    <w:rPr>
                      <w:rFonts w:hint="eastAsia"/>
                      <w:b w:val="0"/>
                      <w:bCs w:val="0"/>
                      <w:color w:val="auto"/>
                      <w:sz w:val="21"/>
                      <w:szCs w:val="21"/>
                      <w:highlight w:val="none"/>
                      <w:shd w:val="clear" w:color="auto" w:fill="auto"/>
                      <w:lang w:eastAsia="zh-CN"/>
                    </w:rPr>
                    <w:t>治理措施；</w:t>
                  </w:r>
                  <w:r>
                    <w:rPr>
                      <w:rFonts w:hint="eastAsia" w:ascii="宋体" w:hAnsi="宋体" w:cs="宋体"/>
                      <w:color w:val="auto"/>
                      <w:kern w:val="0"/>
                      <w:sz w:val="21"/>
                      <w:szCs w:val="21"/>
                      <w:highlight w:val="none"/>
                      <w:lang w:val="en-US" w:eastAsia="zh-CN" w:bidi="ar"/>
                    </w:rPr>
                    <w:t>运营期储存均在密闭仓库内进行，并采取洒水降尘措施；火车卸料处采用雾炮机</w:t>
                  </w:r>
                  <w:r>
                    <w:rPr>
                      <w:rFonts w:hint="eastAsia" w:cs="Times New Roman"/>
                      <w:color w:val="auto"/>
                      <w:sz w:val="21"/>
                      <w:szCs w:val="21"/>
                      <w:highlight w:val="none"/>
                      <w:lang w:val="en-US" w:eastAsia="zh-CN"/>
                    </w:rPr>
                    <w:t>、</w:t>
                  </w:r>
                  <w:r>
                    <w:rPr>
                      <w:rFonts w:hint="eastAsia"/>
                      <w:color w:val="auto"/>
                      <w:sz w:val="21"/>
                      <w:szCs w:val="21"/>
                      <w:highlight w:val="none"/>
                      <w:lang w:val="en-US" w:eastAsia="zh-CN"/>
                    </w:rPr>
                    <w:t>半封闭卸料口和密闭传送带</w:t>
                  </w:r>
                  <w:r>
                    <w:rPr>
                      <w:rFonts w:hint="eastAsia" w:ascii="宋体" w:hAnsi="宋体" w:cs="宋体"/>
                      <w:color w:val="auto"/>
                      <w:kern w:val="0"/>
                      <w:sz w:val="21"/>
                      <w:szCs w:val="21"/>
                      <w:highlight w:val="none"/>
                      <w:lang w:val="en-US" w:eastAsia="zh-CN" w:bidi="ar"/>
                    </w:rPr>
                    <w:t>减少粉尘外逸。</w:t>
                  </w:r>
                  <w:r>
                    <w:rPr>
                      <w:rFonts w:hint="eastAsia"/>
                      <w:b w:val="0"/>
                      <w:bCs w:val="0"/>
                      <w:color w:val="auto"/>
                      <w:sz w:val="21"/>
                      <w:szCs w:val="21"/>
                      <w:highlight w:val="none"/>
                      <w:shd w:val="clear" w:color="auto" w:fill="auto"/>
                      <w:lang w:eastAsia="zh-CN"/>
                    </w:rPr>
                    <w:t>主要产噪设备选用符合国家标准的低噪声设备，定期维护，确保厂界噪声达标。</w:t>
                  </w:r>
                </w:p>
              </w:tc>
              <w:tc>
                <w:tcPr>
                  <w:tcW w:w="66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rPr>
                  </w:pPr>
                  <w:r>
                    <w:rPr>
                      <w:rFonts w:hint="eastAsia"/>
                      <w:color w:val="auto"/>
                      <w:sz w:val="21"/>
                      <w:szCs w:val="21"/>
                      <w:highlight w:val="none"/>
                      <w:shd w:val="clear" w:color="auto" w:fill="auto"/>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rPr>
                  </w:pPr>
                  <w:r>
                    <w:rPr>
                      <w:rFonts w:hint="eastAsia"/>
                      <w:color w:val="auto"/>
                      <w:sz w:val="21"/>
                      <w:szCs w:val="21"/>
                      <w:highlight w:val="none"/>
                      <w:shd w:val="clear" w:color="auto" w:fill="auto"/>
                      <w:lang w:eastAsia="zh-CN"/>
                    </w:rPr>
                    <w:t>（三）深入打好碧水保卫战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7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bCs/>
                      <w:color w:val="auto"/>
                      <w:sz w:val="21"/>
                      <w:szCs w:val="21"/>
                      <w:highlight w:val="none"/>
                      <w:lang w:val="en-US" w:eastAsia="zh-CN"/>
                    </w:rPr>
                  </w:pPr>
                  <w:r>
                    <w:rPr>
                      <w:rFonts w:hint="eastAsia"/>
                      <w:color w:val="auto"/>
                      <w:sz w:val="21"/>
                      <w:szCs w:val="21"/>
                      <w:highlight w:val="none"/>
                      <w:shd w:val="clear" w:color="auto" w:fill="auto"/>
                    </w:rPr>
                    <w:t>持续打好辽河流域综合治理攻坚战</w:t>
                  </w:r>
                  <w:r>
                    <w:rPr>
                      <w:rFonts w:hint="eastAsia"/>
                      <w:color w:val="auto"/>
                      <w:sz w:val="21"/>
                      <w:szCs w:val="21"/>
                      <w:highlight w:val="none"/>
                      <w:shd w:val="clear" w:color="auto" w:fill="auto"/>
                      <w:lang w:eastAsia="zh-CN"/>
                    </w:rPr>
                    <w:t>。</w:t>
                  </w:r>
                  <w:r>
                    <w:rPr>
                      <w:rFonts w:hint="eastAsia"/>
                      <w:color w:val="auto"/>
                      <w:sz w:val="21"/>
                      <w:szCs w:val="21"/>
                      <w:highlight w:val="none"/>
                      <w:shd w:val="clear" w:color="auto" w:fill="auto"/>
                    </w:rPr>
                    <w:t>实施入河排污口整治行动</w:t>
                  </w:r>
                  <w:r>
                    <w:rPr>
                      <w:rFonts w:hint="eastAsia"/>
                      <w:color w:val="auto"/>
                      <w:sz w:val="21"/>
                      <w:szCs w:val="21"/>
                      <w:highlight w:val="none"/>
                      <w:shd w:val="clear" w:color="auto" w:fill="auto"/>
                      <w:lang w:eastAsia="zh-CN"/>
                    </w:rPr>
                    <w:t>。</w:t>
                  </w:r>
                  <w:r>
                    <w:rPr>
                      <w:rFonts w:hint="eastAsia"/>
                      <w:color w:val="auto"/>
                      <w:sz w:val="21"/>
                      <w:szCs w:val="21"/>
                      <w:highlight w:val="none"/>
                      <w:shd w:val="clear" w:color="auto" w:fill="auto"/>
                    </w:rPr>
                    <w:t>实施工业园区污水整治行动。排查整治工业园区污水集中处理设施进水浓度异常、污水管网老旧破损、混接错接等问题。鼓励工业企业、园区污水处理设施升级改造</w:t>
                  </w:r>
                  <w:r>
                    <w:rPr>
                      <w:color w:val="auto"/>
                      <w:sz w:val="21"/>
                      <w:szCs w:val="21"/>
                      <w:highlight w:val="none"/>
                      <w:shd w:val="clear" w:color="auto" w:fill="auto"/>
                    </w:rPr>
                    <w:t>。</w:t>
                  </w:r>
                </w:p>
              </w:tc>
              <w:tc>
                <w:tcPr>
                  <w:tcW w:w="185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val="0"/>
                      <w:bCs w:val="0"/>
                      <w:color w:val="auto"/>
                      <w:sz w:val="21"/>
                      <w:szCs w:val="21"/>
                      <w:highlight w:val="none"/>
                      <w:lang w:val="en-US" w:eastAsia="zh-CN"/>
                    </w:rPr>
                  </w:pPr>
                  <w:r>
                    <w:rPr>
                      <w:color w:val="auto"/>
                      <w:sz w:val="21"/>
                      <w:szCs w:val="21"/>
                      <w:highlight w:val="none"/>
                      <w:shd w:val="clear" w:color="auto" w:fill="auto"/>
                    </w:rPr>
                    <w:t>本项目</w:t>
                  </w:r>
                  <w:r>
                    <w:rPr>
                      <w:rFonts w:hint="eastAsia"/>
                      <w:color w:val="auto"/>
                      <w:sz w:val="21"/>
                      <w:szCs w:val="21"/>
                      <w:highlight w:val="none"/>
                      <w:shd w:val="clear" w:color="auto" w:fill="auto"/>
                      <w:lang w:val="en-US" w:eastAsia="zh-CN"/>
                    </w:rPr>
                    <w:t>生产污水经沉淀池处理后回用，煤泥定期清掏作为产品随煤炭一同外售，</w:t>
                  </w:r>
                  <w:r>
                    <w:rPr>
                      <w:rFonts w:hint="default"/>
                      <w:color w:val="auto"/>
                      <w:sz w:val="21"/>
                      <w:szCs w:val="21"/>
                      <w:highlight w:val="none"/>
                      <w:shd w:val="clear" w:color="auto" w:fill="auto"/>
                      <w:lang w:val="zh-CN" w:eastAsia="zh-CN"/>
                    </w:rPr>
                    <w:t>生活污水</w:t>
                  </w:r>
                  <w:r>
                    <w:rPr>
                      <w:rFonts w:hint="eastAsia"/>
                      <w:color w:val="auto"/>
                      <w:sz w:val="21"/>
                      <w:szCs w:val="21"/>
                      <w:highlight w:val="none"/>
                      <w:shd w:val="clear" w:color="auto" w:fill="auto"/>
                      <w:lang w:val="en-US" w:eastAsia="zh-CN"/>
                    </w:rPr>
                    <w:t>排入化粪池，</w:t>
                  </w:r>
                  <w:r>
                    <w:rPr>
                      <w:rFonts w:hint="eastAsia"/>
                      <w:color w:val="auto"/>
                      <w:sz w:val="21"/>
                      <w:szCs w:val="21"/>
                      <w:highlight w:val="none"/>
                      <w:shd w:val="clear" w:color="auto" w:fill="auto"/>
                      <w:lang w:eastAsia="zh-CN"/>
                    </w:rPr>
                    <w:t>无废水排放口。</w:t>
                  </w:r>
                </w:p>
              </w:tc>
              <w:tc>
                <w:tcPr>
                  <w:tcW w:w="66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rPr>
                  </w:pPr>
                  <w:r>
                    <w:rPr>
                      <w:color w:val="auto"/>
                      <w:sz w:val="21"/>
                      <w:szCs w:val="21"/>
                      <w:highlight w:val="none"/>
                      <w:shd w:val="clear" w:color="auto" w:fill="auto"/>
                    </w:rPr>
                    <w:t>符合</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0" w:firstLineChars="200"/>
              <w:textAlignment w:val="auto"/>
              <w:rPr>
                <w:rFonts w:hint="default" w:cs="Times New Roman"/>
                <w:color w:val="auto"/>
                <w:highlight w:val="none"/>
                <w:lang w:val="en-US" w:eastAsia="zh-CN"/>
              </w:rPr>
            </w:pPr>
            <w:r>
              <w:rPr>
                <w:rFonts w:hint="eastAsia" w:ascii="Times New Roman" w:hAnsi="Times New Roman" w:eastAsia="宋体" w:cs="Times New Roman"/>
                <w:color w:val="auto"/>
                <w:kern w:val="2"/>
                <w:sz w:val="24"/>
                <w:szCs w:val="24"/>
                <w:highlight w:val="none"/>
                <w:lang w:val="en-US" w:eastAsia="zh-CN" w:bidi="ar-SA"/>
              </w:rPr>
              <w:t>（2）</w:t>
            </w:r>
            <w:r>
              <w:rPr>
                <w:rFonts w:hint="eastAsia" w:cs="Times New Roman"/>
                <w:color w:val="auto"/>
                <w:sz w:val="24"/>
                <w:szCs w:val="24"/>
                <w:highlight w:val="none"/>
                <w:lang w:val="en-US" w:eastAsia="zh-CN"/>
              </w:rPr>
              <w:t>与《“十四五”噪声污染防治行动计划》（环大气〔2023〕1号）的相符性分析，详见表1-7。</w:t>
            </w:r>
          </w:p>
          <w:p>
            <w:pPr>
              <w:pStyle w:val="39"/>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color w:val="auto"/>
                <w:sz w:val="21"/>
                <w:szCs w:val="21"/>
                <w:highlight w:val="none"/>
                <w:lang w:val="en-US" w:eastAsia="zh-CN"/>
              </w:rPr>
            </w:pPr>
            <w:r>
              <w:rPr>
                <w:rFonts w:hint="eastAsia" w:ascii="宋体" w:hAnsi="宋体" w:eastAsia="宋体" w:cs="宋体"/>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1</w:t>
            </w:r>
            <w:r>
              <w:rPr>
                <w:rFonts w:hint="eastAsia" w:ascii="Times New Roman" w:hAnsi="Times New Roman" w:eastAsia="宋体" w:cs="Times New Roman"/>
                <w:b/>
                <w:bCs/>
                <w:color w:val="auto"/>
                <w:sz w:val="21"/>
                <w:szCs w:val="21"/>
                <w:highlight w:val="none"/>
                <w:lang w:val="en-US" w:eastAsia="zh-CN"/>
              </w:rPr>
              <w:t>-</w:t>
            </w:r>
            <w:r>
              <w:rPr>
                <w:rFonts w:hint="eastAsia" w:eastAsia="宋体" w:cs="Times New Roman"/>
                <w:b/>
                <w:bCs/>
                <w:color w:val="auto"/>
                <w:sz w:val="21"/>
                <w:szCs w:val="21"/>
                <w:highlight w:val="none"/>
                <w:lang w:val="en-US" w:eastAsia="zh-CN"/>
              </w:rPr>
              <w:t xml:space="preserve">7 </w:t>
            </w:r>
            <w:r>
              <w:rPr>
                <w:rFonts w:hint="eastAsia" w:ascii="宋体" w:hAnsi="宋体" w:eastAsia="宋体" w:cs="宋体"/>
                <w:b/>
                <w:bCs/>
                <w:color w:val="auto"/>
                <w:sz w:val="21"/>
                <w:szCs w:val="21"/>
                <w:highlight w:val="none"/>
                <w:lang w:eastAsia="zh-CN"/>
              </w:rPr>
              <w:t>与《“十四五”噪声污染防治行动计划》相符性分析</w:t>
            </w:r>
          </w:p>
          <w:tbl>
            <w:tblPr>
              <w:tblStyle w:val="22"/>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597"/>
              <w:gridCol w:w="2233"/>
              <w:gridCol w:w="896"/>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73"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政策要求</w:t>
                  </w:r>
                </w:p>
              </w:tc>
              <w:tc>
                <w:tcPr>
                  <w:tcW w:w="1659"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本项目情况</w:t>
                  </w:r>
                </w:p>
              </w:tc>
              <w:tc>
                <w:tcPr>
                  <w:tcW w:w="666"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相符性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73" w:type="pct"/>
                  <w:tcBorders>
                    <w:tl2br w:val="nil"/>
                    <w:tr2bl w:val="nil"/>
                  </w:tcBorders>
                  <w:noWrap w:val="0"/>
                  <w:vAlign w:val="center"/>
                </w:tcPr>
                <w:p>
                  <w:pPr>
                    <w:autoSpaceDE w:val="0"/>
                    <w:autoSpaceDN w:val="0"/>
                    <w:adjustRightInd w:val="0"/>
                    <w:snapToGrid w:val="0"/>
                    <w:spacing w:line="240" w:lineRule="auto"/>
                    <w:jc w:val="center"/>
                    <w:rPr>
                      <w:rFonts w:hint="eastAsia"/>
                      <w:b w:val="0"/>
                      <w:bCs w:val="0"/>
                      <w:color w:val="auto"/>
                      <w:sz w:val="21"/>
                      <w:szCs w:val="21"/>
                      <w:highlight w:val="none"/>
                      <w:lang w:val="en-US" w:eastAsia="zh-CN"/>
                    </w:rPr>
                  </w:pPr>
                  <w:r>
                    <w:rPr>
                      <w:rFonts w:hint="eastAsia" w:ascii="Arial" w:hAnsi="Arial" w:cs="Arial"/>
                      <w:color w:val="auto"/>
                      <w:sz w:val="21"/>
                      <w:szCs w:val="21"/>
                      <w:highlight w:val="none"/>
                      <w:shd w:val="clear" w:color="auto" w:fill="FFFFFF"/>
                    </w:rPr>
                    <w:t>排放噪声的工业企业应切实采取减振降噪措施，加强厂区内固定设备、运输工具、货物装卸等噪声源管理，同时避免突发噪声扰民</w:t>
                  </w:r>
                </w:p>
              </w:tc>
              <w:tc>
                <w:tcPr>
                  <w:tcW w:w="165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highlight w:val="none"/>
                      <w:lang w:val="en-US" w:eastAsia="zh-CN"/>
                    </w:rPr>
                  </w:pPr>
                  <w:r>
                    <w:rPr>
                      <w:rFonts w:hint="eastAsia" w:ascii="Arial" w:hAnsi="Arial" w:cs="Arial"/>
                      <w:color w:val="auto"/>
                      <w:sz w:val="21"/>
                      <w:szCs w:val="21"/>
                      <w:highlight w:val="none"/>
                      <w:shd w:val="clear" w:color="auto" w:fill="FFFFFF"/>
                    </w:rPr>
                    <w:t>本项目</w:t>
                  </w:r>
                  <w:r>
                    <w:rPr>
                      <w:rFonts w:hint="eastAsia" w:ascii="Arial" w:hAnsi="Arial" w:cs="Arial"/>
                      <w:color w:val="auto"/>
                      <w:sz w:val="21"/>
                      <w:szCs w:val="21"/>
                      <w:highlight w:val="none"/>
                      <w:shd w:val="clear" w:color="auto" w:fill="FFFFFF"/>
                      <w:lang w:eastAsia="zh-CN"/>
                    </w:rPr>
                    <w:t>厂界周围</w:t>
                  </w:r>
                  <w:r>
                    <w:rPr>
                      <w:rFonts w:hint="default" w:ascii="Times New Roman" w:hAnsi="Times New Roman" w:cs="Times New Roman"/>
                      <w:color w:val="auto"/>
                      <w:sz w:val="21"/>
                      <w:szCs w:val="21"/>
                      <w:highlight w:val="none"/>
                      <w:shd w:val="clear" w:color="auto" w:fill="FFFFFF"/>
                      <w:lang w:val="en-US" w:eastAsia="zh-CN"/>
                    </w:rPr>
                    <w:t>50</w:t>
                  </w:r>
                  <w:r>
                    <w:rPr>
                      <w:rFonts w:hint="eastAsia" w:ascii="Arial" w:hAnsi="Arial" w:cs="Arial"/>
                      <w:color w:val="auto"/>
                      <w:sz w:val="21"/>
                      <w:szCs w:val="21"/>
                      <w:highlight w:val="none"/>
                      <w:shd w:val="clear" w:color="auto" w:fill="FFFFFF"/>
                      <w:lang w:val="en-US" w:eastAsia="zh-CN"/>
                    </w:rPr>
                    <w:t>米范围内无声环境敏感目标，本项目</w:t>
                  </w:r>
                  <w:r>
                    <w:rPr>
                      <w:rFonts w:hint="eastAsia" w:ascii="宋体" w:hAnsi="宋体" w:cs="宋体"/>
                      <w:i w:val="0"/>
                      <w:iCs w:val="0"/>
                      <w:caps w:val="0"/>
                      <w:color w:val="auto"/>
                      <w:spacing w:val="0"/>
                      <w:sz w:val="21"/>
                      <w:szCs w:val="21"/>
                      <w:highlight w:val="none"/>
                      <w:shd w:val="clear" w:color="auto" w:fill="FFFFFF"/>
                      <w:lang w:eastAsia="zh-CN"/>
                    </w:rPr>
                    <w:t>依托铁路、</w:t>
                  </w:r>
                  <w:r>
                    <w:rPr>
                      <w:rFonts w:hint="eastAsia" w:ascii="宋体" w:hAnsi="宋体" w:cs="宋体"/>
                      <w:i w:val="0"/>
                      <w:iCs w:val="0"/>
                      <w:caps w:val="0"/>
                      <w:color w:val="auto"/>
                      <w:spacing w:val="0"/>
                      <w:sz w:val="21"/>
                      <w:szCs w:val="21"/>
                      <w:highlight w:val="none"/>
                      <w:shd w:val="clear" w:color="auto" w:fill="FFFFFF"/>
                      <w:lang w:val="en-US" w:eastAsia="zh-CN"/>
                    </w:rPr>
                    <w:t>汽车</w:t>
                  </w:r>
                  <w:r>
                    <w:rPr>
                      <w:rFonts w:hint="eastAsia" w:ascii="宋体" w:hAnsi="宋体" w:cs="宋体"/>
                      <w:i w:val="0"/>
                      <w:iCs w:val="0"/>
                      <w:caps w:val="0"/>
                      <w:color w:val="auto"/>
                      <w:spacing w:val="0"/>
                      <w:sz w:val="21"/>
                      <w:szCs w:val="21"/>
                      <w:highlight w:val="none"/>
                      <w:shd w:val="clear" w:color="auto" w:fill="FFFFFF"/>
                      <w:lang w:eastAsia="zh-CN"/>
                    </w:rPr>
                    <w:t>运输</w:t>
                  </w:r>
                  <w:r>
                    <w:rPr>
                      <w:rFonts w:hint="eastAsia" w:ascii="宋体" w:hAnsi="宋体" w:cs="宋体"/>
                      <w:i w:val="0"/>
                      <w:iCs w:val="0"/>
                      <w:caps w:val="0"/>
                      <w:color w:val="auto"/>
                      <w:spacing w:val="0"/>
                      <w:sz w:val="21"/>
                      <w:szCs w:val="21"/>
                      <w:highlight w:val="none"/>
                      <w:shd w:val="clear" w:color="auto" w:fill="FFFFFF"/>
                      <w:lang w:val="en-US" w:eastAsia="zh-CN"/>
                    </w:rPr>
                    <w:t>。</w:t>
                  </w:r>
                  <w:r>
                    <w:rPr>
                      <w:rFonts w:hint="eastAsia"/>
                      <w:b w:val="0"/>
                      <w:bCs w:val="0"/>
                      <w:color w:val="auto"/>
                      <w:sz w:val="21"/>
                      <w:szCs w:val="21"/>
                      <w:highlight w:val="none"/>
                      <w:shd w:val="clear" w:color="auto" w:fill="auto"/>
                      <w:lang w:eastAsia="zh-CN"/>
                    </w:rPr>
                    <w:t>主要产噪设备选用符合国家标准的低噪声设备，定期维护，确保厂界噪声达标。</w:t>
                  </w:r>
                </w:p>
              </w:tc>
              <w:tc>
                <w:tcPr>
                  <w:tcW w:w="666"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rPr>
                  </w:pPr>
                  <w:r>
                    <w:rPr>
                      <w:rFonts w:hint="eastAsia" w:eastAsia="宋体"/>
                      <w:color w:val="auto"/>
                      <w:sz w:val="21"/>
                      <w:szCs w:val="21"/>
                      <w:highlight w:val="none"/>
                      <w:shd w:val="clear" w:color="auto" w:fill="auto"/>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73" w:type="pct"/>
                  <w:tcBorders>
                    <w:tl2br w:val="nil"/>
                    <w:tr2bl w:val="nil"/>
                  </w:tcBorders>
                  <w:noWrap w:val="0"/>
                  <w:vAlign w:val="center"/>
                </w:tcPr>
                <w:p>
                  <w:pPr>
                    <w:autoSpaceDE w:val="0"/>
                    <w:autoSpaceDN w:val="0"/>
                    <w:adjustRightInd w:val="0"/>
                    <w:snapToGrid w:val="0"/>
                    <w:spacing w:line="240" w:lineRule="auto"/>
                    <w:jc w:val="center"/>
                    <w:rPr>
                      <w:rFonts w:hint="eastAsia"/>
                      <w:color w:val="auto"/>
                      <w:sz w:val="21"/>
                      <w:szCs w:val="21"/>
                      <w:highlight w:val="none"/>
                      <w:lang w:val="en-US" w:eastAsia="zh-CN"/>
                    </w:rPr>
                  </w:pPr>
                  <w:r>
                    <w:rPr>
                      <w:rFonts w:hint="eastAsia" w:ascii="Arial" w:hAnsi="Arial" w:cs="Arial"/>
                      <w:color w:val="auto"/>
                      <w:sz w:val="21"/>
                      <w:szCs w:val="21"/>
                      <w:highlight w:val="none"/>
                      <w:shd w:val="clear" w:color="auto" w:fill="FFFFFF"/>
                    </w:rPr>
                    <w:t>引导地方对使用可能产生社会生活噪声污染的设备、设施的企业事业单位和其他经营管理者加强监管，通过采取优化布局、集中排放、使用减振降噪措施并加强维护保养等方式，防止、减轻噪声污染。</w:t>
                  </w:r>
                </w:p>
              </w:tc>
              <w:tc>
                <w:tcPr>
                  <w:tcW w:w="1659" w:type="pct"/>
                  <w:vMerge w:val="continue"/>
                  <w:tcBorders>
                    <w:tl2br w:val="nil"/>
                    <w:tr2bl w:val="nil"/>
                  </w:tcBorders>
                  <w:noWrap w:val="0"/>
                  <w:vAlign w:val="center"/>
                </w:tcPr>
                <w:p>
                  <w:pPr>
                    <w:autoSpaceDE w:val="0"/>
                    <w:autoSpaceDN w:val="0"/>
                    <w:adjustRightInd w:val="0"/>
                    <w:snapToGrid w:val="0"/>
                    <w:spacing w:line="240" w:lineRule="auto"/>
                    <w:jc w:val="center"/>
                    <w:rPr>
                      <w:rFonts w:hint="default" w:ascii="Arial" w:hAnsi="Arial" w:eastAsia="宋体" w:cs="Arial"/>
                      <w:color w:val="auto"/>
                      <w:kern w:val="2"/>
                      <w:sz w:val="21"/>
                      <w:szCs w:val="21"/>
                      <w:highlight w:val="none"/>
                      <w:shd w:val="clear" w:color="auto" w:fill="FFFFFF"/>
                      <w:lang w:val="en-US" w:eastAsia="zh-CN" w:bidi="ar-SA"/>
                    </w:rPr>
                  </w:pPr>
                </w:p>
              </w:tc>
              <w:tc>
                <w:tcPr>
                  <w:tcW w:w="666"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0" w:firstLineChars="200"/>
              <w:textAlignment w:val="auto"/>
              <w:rPr>
                <w:rFonts w:hint="eastAsia" w:cs="Times New Roman"/>
                <w:color w:val="auto"/>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bidi="ar-SA"/>
              </w:rPr>
              <w:t>（3）</w:t>
            </w:r>
            <w:r>
              <w:rPr>
                <w:rFonts w:hint="eastAsia" w:ascii="Times New Roman" w:hAnsi="Times New Roman" w:eastAsia="宋体" w:cs="Times New Roman"/>
                <w:color w:val="auto"/>
                <w:sz w:val="24"/>
                <w:szCs w:val="24"/>
                <w:highlight w:val="none"/>
                <w:lang w:val="en-US" w:eastAsia="zh-CN"/>
              </w:rPr>
              <w:t>与《辽宁省人民政府办公厅关于加强全省高耗能、高排放项目准入管理的意见》（辽政办发〔2021〕6号）相符性分析</w:t>
            </w:r>
            <w:r>
              <w:rPr>
                <w:rFonts w:hint="eastAsia" w:cs="Times New Roman"/>
                <w:color w:val="auto"/>
                <w:sz w:val="24"/>
                <w:szCs w:val="24"/>
                <w:highlight w:val="none"/>
                <w:lang w:val="en-US" w:eastAsia="zh-CN"/>
              </w:rPr>
              <w:t>，详见表1-8。</w:t>
            </w:r>
          </w:p>
          <w:p>
            <w:pPr>
              <w:pStyle w:val="39"/>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color w:val="auto"/>
                <w:sz w:val="21"/>
                <w:szCs w:val="21"/>
                <w:highlight w:val="none"/>
                <w:lang w:val="en-US" w:eastAsia="zh-CN"/>
              </w:rPr>
            </w:pPr>
            <w:r>
              <w:rPr>
                <w:rFonts w:hint="eastAsia" w:ascii="宋体" w:hAnsi="宋体" w:eastAsia="宋体" w:cs="宋体"/>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1</w:t>
            </w:r>
            <w:r>
              <w:rPr>
                <w:rFonts w:hint="eastAsia" w:ascii="Times New Roman" w:hAnsi="Times New Roman" w:eastAsia="宋体" w:cs="Times New Roman"/>
                <w:b/>
                <w:bCs/>
                <w:color w:val="auto"/>
                <w:sz w:val="21"/>
                <w:szCs w:val="21"/>
                <w:highlight w:val="none"/>
                <w:lang w:val="en-US" w:eastAsia="zh-CN"/>
              </w:rPr>
              <w:t>-</w:t>
            </w:r>
            <w:r>
              <w:rPr>
                <w:rFonts w:hint="eastAsia" w:eastAsia="宋体" w:cs="Times New Roman"/>
                <w:b/>
                <w:bCs/>
                <w:color w:val="auto"/>
                <w:sz w:val="21"/>
                <w:szCs w:val="21"/>
                <w:highlight w:val="none"/>
                <w:lang w:val="en-US" w:eastAsia="zh-CN"/>
              </w:rPr>
              <w:t xml:space="preserve">8 </w:t>
            </w:r>
            <w:r>
              <w:rPr>
                <w:rFonts w:hint="eastAsia" w:ascii="宋体" w:hAnsi="宋体" w:eastAsia="宋体" w:cs="宋体"/>
                <w:b/>
                <w:bCs/>
                <w:color w:val="auto"/>
                <w:sz w:val="21"/>
                <w:szCs w:val="21"/>
                <w:highlight w:val="none"/>
                <w:lang w:eastAsia="zh-CN"/>
              </w:rPr>
              <w:t>与《辽宁省人民政府办公厅关于加强全省高耗能、高排放项目准入管理的意见》相符性分析</w:t>
            </w:r>
          </w:p>
          <w:tbl>
            <w:tblPr>
              <w:tblStyle w:val="22"/>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054"/>
              <w:gridCol w:w="2774"/>
              <w:gridCol w:w="898"/>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70"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政策要求</w:t>
                  </w:r>
                </w:p>
              </w:tc>
              <w:tc>
                <w:tcPr>
                  <w:tcW w:w="2062"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本项目情况</w:t>
                  </w:r>
                </w:p>
              </w:tc>
              <w:tc>
                <w:tcPr>
                  <w:tcW w:w="667"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相符性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color w:val="auto"/>
                      <w:sz w:val="21"/>
                      <w:szCs w:val="21"/>
                      <w:highlight w:val="none"/>
                    </w:rPr>
                    <w:t>（二）严格“两高”项目投资准入。各级投资主管部门要严格执行《国务院关于投资体制改革的决定》（国发〔2004〕20号）、国家《产业结构调整指导目录（20</w:t>
                  </w:r>
                  <w:r>
                    <w:rPr>
                      <w:rFonts w:hint="eastAsia"/>
                      <w:color w:val="auto"/>
                      <w:sz w:val="21"/>
                      <w:szCs w:val="21"/>
                      <w:highlight w:val="none"/>
                      <w:lang w:val="en-US" w:eastAsia="zh-CN"/>
                    </w:rPr>
                    <w:t>24</w:t>
                  </w:r>
                  <w:r>
                    <w:rPr>
                      <w:rFonts w:hint="eastAsia"/>
                      <w:color w:val="auto"/>
                      <w:sz w:val="21"/>
                      <w:szCs w:val="21"/>
                      <w:highlight w:val="none"/>
                    </w:rPr>
                    <w:t>年）》和我省有关投资政策规定，依据行业准入条件按权限审批、核准或备案。新上“两高”项目必须符合国家产业政策且能效达到行业先进水平，属于限制类和淘汰类的新建项目，一律不予审批、核准；属于限制类技术改造的“两高”项目，确保耗能量、排放量只减不增。</w:t>
                  </w:r>
                </w:p>
              </w:tc>
              <w:tc>
                <w:tcPr>
                  <w:tcW w:w="206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highlight w:val="none"/>
                      <w:lang w:val="en-US" w:eastAsia="zh-CN"/>
                    </w:rPr>
                  </w:pPr>
                  <w:r>
                    <w:rPr>
                      <w:rFonts w:hint="eastAsia" w:ascii="宋体" w:hAnsi="宋体" w:eastAsia="宋体" w:cs="宋体"/>
                      <w:color w:val="auto"/>
                      <w:kern w:val="0"/>
                      <w:sz w:val="21"/>
                      <w:szCs w:val="21"/>
                      <w:highlight w:val="none"/>
                      <w:lang w:val="en-US" w:eastAsia="zh-CN" w:bidi="ar"/>
                    </w:rPr>
                    <w:t>本项目为煤炭储运项目，行业类别属于煤炭及制品批发业和其他仓储业，</w:t>
                  </w:r>
                  <w:r>
                    <w:rPr>
                      <w:rFonts w:hint="eastAsia" w:ascii="宋体" w:hAnsi="宋体" w:cs="宋体"/>
                      <w:color w:val="auto"/>
                      <w:kern w:val="0"/>
                      <w:sz w:val="21"/>
                      <w:szCs w:val="21"/>
                      <w:highlight w:val="none"/>
                      <w:lang w:val="en-US" w:eastAsia="zh-CN" w:bidi="ar"/>
                    </w:rPr>
                    <w:t>不</w:t>
                  </w:r>
                  <w:r>
                    <w:rPr>
                      <w:rFonts w:hint="eastAsia" w:ascii="宋体" w:hAnsi="宋体" w:eastAsia="宋体" w:cs="宋体"/>
                      <w:color w:val="auto"/>
                      <w:kern w:val="0"/>
                      <w:sz w:val="21"/>
                      <w:szCs w:val="21"/>
                      <w:highlight w:val="none"/>
                      <w:lang w:val="en-US" w:eastAsia="zh-CN" w:bidi="ar"/>
                    </w:rPr>
                    <w:t>属于</w:t>
                  </w:r>
                  <w:r>
                    <w:rPr>
                      <w:rFonts w:hint="eastAsia" w:ascii="宋体" w:hAnsi="宋体" w:cs="宋体"/>
                      <w:color w:val="auto"/>
                      <w:kern w:val="0"/>
                      <w:sz w:val="21"/>
                      <w:szCs w:val="21"/>
                      <w:highlight w:val="none"/>
                      <w:lang w:val="en-US" w:eastAsia="zh-CN" w:bidi="ar"/>
                    </w:rPr>
                    <w:t>“两高”项目</w:t>
                  </w:r>
                  <w:r>
                    <w:rPr>
                      <w:rFonts w:hint="eastAsia"/>
                      <w:color w:val="auto"/>
                      <w:sz w:val="21"/>
                      <w:szCs w:val="21"/>
                      <w:highlight w:val="none"/>
                      <w:lang w:val="zh-CN"/>
                    </w:rPr>
                    <w:t>。</w:t>
                  </w:r>
                </w:p>
              </w:tc>
              <w:tc>
                <w:tcPr>
                  <w:tcW w:w="667" w:type="pct"/>
                  <w:tcBorders>
                    <w:tl2br w:val="nil"/>
                    <w:tr2bl w:val="nil"/>
                  </w:tcBorders>
                  <w:noWrap w:val="0"/>
                  <w:vAlign w:val="center"/>
                </w:tcPr>
                <w:p>
                  <w:pPr>
                    <w:autoSpaceDE w:val="0"/>
                    <w:autoSpaceDN w:val="0"/>
                    <w:adjustRightInd w:val="0"/>
                    <w:snapToGrid w:val="0"/>
                    <w:spacing w:line="240" w:lineRule="auto"/>
                    <w:jc w:val="center"/>
                    <w:rPr>
                      <w:rFonts w:hint="eastAsia"/>
                      <w:color w:val="auto"/>
                      <w:sz w:val="21"/>
                      <w:szCs w:val="21"/>
                      <w:highlight w:val="none"/>
                    </w:rPr>
                  </w:pPr>
                  <w:r>
                    <w:rPr>
                      <w:rFonts w:hint="eastAsia" w:ascii="Arial" w:hAnsi="Arial" w:cs="Arial"/>
                      <w:color w:val="auto"/>
                      <w:sz w:val="21"/>
                      <w:szCs w:val="21"/>
                      <w:highlight w:val="none"/>
                      <w:shd w:val="clear" w:color="auto" w:fill="FFFFFF"/>
                    </w:rPr>
                    <w:t>符合</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kern w:val="2"/>
                <w:sz w:val="24"/>
                <w:szCs w:val="24"/>
                <w:highlight w:val="none"/>
                <w:lang w:val="en-US" w:eastAsia="zh-CN" w:bidi="ar-SA"/>
              </w:rPr>
              <w:t>（4）</w:t>
            </w:r>
            <w:r>
              <w:rPr>
                <w:rFonts w:hint="eastAsia" w:ascii="Times New Roman" w:hAnsi="Times New Roman" w:eastAsia="宋体" w:cs="Times New Roman"/>
                <w:color w:val="auto"/>
                <w:sz w:val="24"/>
                <w:szCs w:val="24"/>
                <w:highlight w:val="none"/>
                <w:lang w:val="en-US" w:eastAsia="zh-CN"/>
              </w:rPr>
              <w:t>与《</w:t>
            </w:r>
            <w:r>
              <w:rPr>
                <w:rFonts w:hint="eastAsia" w:cs="Times New Roman"/>
                <w:color w:val="auto"/>
                <w:sz w:val="24"/>
                <w:szCs w:val="24"/>
                <w:highlight w:val="none"/>
                <w:lang w:val="en-US" w:eastAsia="zh-CN"/>
              </w:rPr>
              <w:t>阜新市“十四五”生态环境保护规划</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阜</w:t>
            </w:r>
            <w:r>
              <w:rPr>
                <w:rFonts w:hint="eastAsia" w:ascii="Times New Roman" w:hAnsi="Times New Roman" w:eastAsia="宋体" w:cs="Times New Roman"/>
                <w:color w:val="auto"/>
                <w:sz w:val="24"/>
                <w:szCs w:val="24"/>
                <w:highlight w:val="none"/>
                <w:lang w:val="en-US" w:eastAsia="zh-CN"/>
              </w:rPr>
              <w:t>政办发〔202</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号）相符性分析</w:t>
            </w:r>
            <w:r>
              <w:rPr>
                <w:rFonts w:hint="eastAsia" w:cs="Times New Roman"/>
                <w:color w:val="auto"/>
                <w:sz w:val="24"/>
                <w:szCs w:val="24"/>
                <w:highlight w:val="none"/>
                <w:lang w:val="en-US" w:eastAsia="zh-CN"/>
              </w:rPr>
              <w:t>，详见表1-9。</w:t>
            </w:r>
          </w:p>
          <w:p>
            <w:pPr>
              <w:pStyle w:val="39"/>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color w:val="auto"/>
                <w:sz w:val="22"/>
                <w:szCs w:val="21"/>
                <w:highlight w:val="none"/>
                <w:lang w:val="en-US" w:eastAsia="zh-CN"/>
              </w:rPr>
            </w:pPr>
            <w:r>
              <w:rPr>
                <w:rFonts w:hint="eastAsia" w:ascii="宋体" w:hAnsi="宋体" w:eastAsia="宋体" w:cs="宋体"/>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1</w:t>
            </w:r>
            <w:r>
              <w:rPr>
                <w:rFonts w:hint="eastAsia" w:ascii="Times New Roman" w:hAnsi="Times New Roman" w:eastAsia="宋体" w:cs="Times New Roman"/>
                <w:b/>
                <w:bCs/>
                <w:color w:val="auto"/>
                <w:sz w:val="21"/>
                <w:szCs w:val="21"/>
                <w:highlight w:val="none"/>
                <w:lang w:val="en-US" w:eastAsia="zh-CN"/>
              </w:rPr>
              <w:t>-</w:t>
            </w:r>
            <w:r>
              <w:rPr>
                <w:rFonts w:hint="eastAsia" w:eastAsia="宋体" w:cs="Times New Roman"/>
                <w:b/>
                <w:bCs/>
                <w:color w:val="auto"/>
                <w:sz w:val="21"/>
                <w:szCs w:val="21"/>
                <w:highlight w:val="none"/>
                <w:lang w:val="en-US" w:eastAsia="zh-CN"/>
              </w:rPr>
              <w:t xml:space="preserve">9 </w:t>
            </w:r>
            <w:r>
              <w:rPr>
                <w:rFonts w:hint="eastAsia" w:ascii="宋体" w:hAnsi="宋体" w:eastAsia="宋体" w:cs="宋体"/>
                <w:b/>
                <w:bCs/>
                <w:color w:val="auto"/>
                <w:sz w:val="21"/>
                <w:szCs w:val="21"/>
                <w:highlight w:val="none"/>
                <w:lang w:eastAsia="zh-CN"/>
              </w:rPr>
              <w:t>与《阜新市“十四五”生态环境保护规划》相符性分析</w:t>
            </w:r>
          </w:p>
          <w:tbl>
            <w:tblPr>
              <w:tblStyle w:val="22"/>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678"/>
              <w:gridCol w:w="2152"/>
              <w:gridCol w:w="896"/>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734"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政策要求</w:t>
                  </w:r>
                </w:p>
              </w:tc>
              <w:tc>
                <w:tcPr>
                  <w:tcW w:w="1599"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本项目情况</w:t>
                  </w:r>
                </w:p>
              </w:tc>
              <w:tc>
                <w:tcPr>
                  <w:tcW w:w="666"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相符性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3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加强扬尘、裸露土地综合治理。全面加强各类施工工地、道路、料场堆场、裸地和露天矿山扬尘精细化管控，实施网格化降尘量监测考核。严格施工扬尘监管，加强矿产开发利用过程中爆破、破碎、储运等重点环节的粉尘防治，确保粉尘防治达标。</w:t>
                  </w:r>
                </w:p>
              </w:tc>
              <w:tc>
                <w:tcPr>
                  <w:tcW w:w="159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本项目施工期做好洒水降尘和围挡，运营期储存均在密闭仓库内进行，并配备喷淋降尘措施，卸料处采用雾炮机</w:t>
                  </w:r>
                  <w:r>
                    <w:rPr>
                      <w:rFonts w:hint="eastAsia" w:cs="Times New Roman"/>
                      <w:color w:val="auto"/>
                      <w:sz w:val="21"/>
                      <w:szCs w:val="21"/>
                      <w:highlight w:val="none"/>
                      <w:lang w:val="en-US" w:eastAsia="zh-CN"/>
                    </w:rPr>
                    <w:t>、</w:t>
                  </w:r>
                  <w:r>
                    <w:rPr>
                      <w:rFonts w:hint="eastAsia"/>
                      <w:color w:val="auto"/>
                      <w:sz w:val="21"/>
                      <w:szCs w:val="21"/>
                      <w:highlight w:val="none"/>
                      <w:lang w:val="en-US" w:eastAsia="zh-CN"/>
                    </w:rPr>
                    <w:t>半封闭卸料口和密闭传送带</w:t>
                  </w:r>
                  <w:r>
                    <w:rPr>
                      <w:rFonts w:hint="eastAsia" w:ascii="宋体" w:hAnsi="宋体" w:cs="宋体"/>
                      <w:color w:val="auto"/>
                      <w:kern w:val="0"/>
                      <w:sz w:val="21"/>
                      <w:szCs w:val="21"/>
                      <w:highlight w:val="none"/>
                      <w:lang w:val="en-US" w:eastAsia="zh-CN" w:bidi="ar"/>
                    </w:rPr>
                    <w:t>减少粉尘外逸，运输方式主要依托铁路运输和汽车运输。</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ascii="Arial" w:hAnsi="Arial" w:eastAsia="宋体" w:cs="Arial"/>
                      <w:color w:val="auto"/>
                      <w:sz w:val="21"/>
                      <w:szCs w:val="21"/>
                      <w:highlight w:val="none"/>
                      <w:shd w:val="clear" w:color="auto" w:fill="FFFFFF"/>
                      <w:lang w:eastAsia="zh-CN"/>
                    </w:rPr>
                  </w:pPr>
                  <w:r>
                    <w:rPr>
                      <w:rFonts w:hint="eastAsia" w:ascii="Arial" w:hAnsi="Arial" w:cs="Arial"/>
                      <w:color w:val="auto"/>
                      <w:sz w:val="21"/>
                      <w:szCs w:val="21"/>
                      <w:highlight w:val="none"/>
                      <w:shd w:val="clear" w:color="auto" w:fill="FFFFFF"/>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3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强化噪声污染防治和管理。全面排查工业生产、建筑施工、交通运输和社会生活等领域的重点噪声排放源单位，依法严厉查处噪声排放超标扰民行为。严格实施禁鸣、限行、限速等措施。</w:t>
                  </w:r>
                </w:p>
              </w:tc>
              <w:tc>
                <w:tcPr>
                  <w:tcW w:w="159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本项目施工期设有隔声围挡，运营期依托铁路、汽车运输，仓储储存均在密闭仓库内进行，且厂界周围</w:t>
                  </w:r>
                  <w:r>
                    <w:rPr>
                      <w:rFonts w:hint="default" w:ascii="Times New Roman" w:hAnsi="Times New Roman" w:cs="Times New Roman"/>
                      <w:color w:val="auto"/>
                      <w:kern w:val="0"/>
                      <w:sz w:val="21"/>
                      <w:szCs w:val="21"/>
                      <w:highlight w:val="none"/>
                      <w:lang w:val="en-US" w:eastAsia="zh-CN" w:bidi="ar"/>
                    </w:rPr>
                    <w:t>50</w:t>
                  </w:r>
                  <w:r>
                    <w:rPr>
                      <w:rFonts w:hint="eastAsia" w:ascii="宋体" w:hAnsi="宋体" w:cs="宋体"/>
                      <w:color w:val="auto"/>
                      <w:kern w:val="0"/>
                      <w:sz w:val="21"/>
                      <w:szCs w:val="21"/>
                      <w:highlight w:val="none"/>
                      <w:lang w:val="en-US" w:eastAsia="zh-CN" w:bidi="ar"/>
                    </w:rPr>
                    <w:t>米范围内无声环境保护目标，厂区内运输设备严格限速行驶，禁止鸣笛。</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ascii="Arial" w:hAnsi="Arial" w:eastAsia="宋体" w:cs="Arial"/>
                      <w:color w:val="auto"/>
                      <w:sz w:val="21"/>
                      <w:szCs w:val="21"/>
                      <w:highlight w:val="none"/>
                      <w:shd w:val="clear" w:color="auto" w:fill="FFFFFF"/>
                      <w:lang w:eastAsia="zh-CN"/>
                    </w:rPr>
                  </w:pPr>
                  <w:r>
                    <w:rPr>
                      <w:rFonts w:hint="eastAsia" w:ascii="Arial" w:hAnsi="Arial" w:cs="Arial"/>
                      <w:color w:val="auto"/>
                      <w:sz w:val="21"/>
                      <w:szCs w:val="21"/>
                      <w:highlight w:val="none"/>
                      <w:shd w:val="clear" w:color="auto" w:fill="FFFFFF"/>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3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持续推进工业污染防治。加强工业污染源排放监管，全面推进工业园区污水管网排查整治和污水收集处理设施建设，加快实施管网错接改造、管网更新、破损修复改造等，依法推动工业园区生产废水应纳尽纳。推动工业废水资源化利用，推进企业内部工业用水循环利用、园区企业间用水系统集成优化。</w:t>
                  </w:r>
                </w:p>
              </w:tc>
              <w:tc>
                <w:tcPr>
                  <w:tcW w:w="159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本项目</w:t>
                  </w:r>
                  <w:r>
                    <w:rPr>
                      <w:rFonts w:hint="default"/>
                      <w:color w:val="auto"/>
                      <w:sz w:val="21"/>
                      <w:szCs w:val="21"/>
                      <w:highlight w:val="none"/>
                      <w:shd w:val="clear" w:color="auto" w:fill="auto"/>
                      <w:lang w:val="zh-CN" w:eastAsia="zh-CN"/>
                    </w:rPr>
                    <w:t>生活污水</w:t>
                  </w:r>
                  <w:r>
                    <w:rPr>
                      <w:rFonts w:hint="eastAsia"/>
                      <w:color w:val="auto"/>
                      <w:sz w:val="21"/>
                      <w:szCs w:val="21"/>
                      <w:highlight w:val="none"/>
                      <w:shd w:val="clear" w:color="auto" w:fill="auto"/>
                      <w:lang w:val="en-US" w:eastAsia="zh-CN"/>
                    </w:rPr>
                    <w:t>排入化粪池，定期委托清掏，生产废水主要是洗车废水，经沉淀池处理后回用，不外排。</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ascii="Arial" w:hAnsi="Arial" w:eastAsia="宋体" w:cs="Arial"/>
                      <w:color w:val="auto"/>
                      <w:sz w:val="21"/>
                      <w:szCs w:val="21"/>
                      <w:highlight w:val="none"/>
                      <w:shd w:val="clear" w:color="auto" w:fill="FFFFFF"/>
                      <w:lang w:eastAsia="zh-CN"/>
                    </w:rPr>
                  </w:pPr>
                  <w:r>
                    <w:rPr>
                      <w:rFonts w:hint="eastAsia" w:ascii="Arial" w:hAnsi="Arial" w:cs="Arial"/>
                      <w:color w:val="auto"/>
                      <w:sz w:val="21"/>
                      <w:szCs w:val="21"/>
                      <w:highlight w:val="none"/>
                      <w:shd w:val="clear" w:color="auto" w:fill="FFFFFF"/>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3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加强空间布局管控。根据土壤污染状况和风险，合理规划土地用途。永久基本农田集中区域禁止规划新建可能造成土壤污染的建设项目。居住区和学校、医院、疗养院、养老院等单位周边，禁止新（改、扩）建可能造成土壤污染的建设项目。新（改、扩）建涉及有毒有害物质可能造成土壤污染的建设项目，应提出并落实土壤和地下水污染防治要求。</w:t>
                  </w:r>
                </w:p>
              </w:tc>
              <w:tc>
                <w:tcPr>
                  <w:tcW w:w="159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本项目为煤炭批发和物流仓储行业，本项目利用的土地性质为工业用地，本项目不会造成土壤和地下水污染，项目内涉及的地下水池均采取重点防渗，厂区仓库均进行硬化并采取一般防渗措施。</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ascii="Arial" w:hAnsi="Arial" w:eastAsia="宋体" w:cs="Arial"/>
                      <w:color w:val="auto"/>
                      <w:sz w:val="21"/>
                      <w:szCs w:val="21"/>
                      <w:highlight w:val="none"/>
                      <w:shd w:val="clear" w:color="auto" w:fill="FFFFFF"/>
                      <w:lang w:eastAsia="zh-CN"/>
                    </w:rPr>
                  </w:pPr>
                  <w:r>
                    <w:rPr>
                      <w:rFonts w:hint="eastAsia" w:ascii="Arial" w:hAnsi="Arial" w:cs="Arial"/>
                      <w:color w:val="auto"/>
                      <w:sz w:val="21"/>
                      <w:szCs w:val="21"/>
                      <w:highlight w:val="none"/>
                      <w:shd w:val="clear" w:color="auto" w:fill="FFFFFF"/>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3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持续优化调整交通运输结构。打造高效互联的绿色交通体系，实施货物运输绿色转型、车油联合管控、非道路移动源污染防治。统筹铁路、公路等基础设施规划建设，努力打造“宜铁则铁、宜公则公”的高品质综合交通网络。重点依托巴新铁路及其盘锦港延伸线，打通北煤出海通道。铁路货场等新增或更换作业车辆主要使用新能源或清洁能源汽车。淘汰国Ⅲ及以下柴油车，建立非道路移动源监控平台，实施非道路移动机械尾气治理工程。加快提升油品标准水平，推进阜新地区逐步执行国Ⅵ汽、柴油标准。</w:t>
                  </w:r>
                </w:p>
              </w:tc>
              <w:tc>
                <w:tcPr>
                  <w:tcW w:w="159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highlight w:val="none"/>
                      <w:lang w:val="en-US" w:eastAsia="zh-CN"/>
                    </w:rPr>
                  </w:pPr>
                  <w:r>
                    <w:rPr>
                      <w:rFonts w:hint="eastAsia" w:ascii="宋体" w:hAnsi="宋体" w:eastAsia="宋体" w:cs="宋体"/>
                      <w:color w:val="auto"/>
                      <w:kern w:val="0"/>
                      <w:sz w:val="21"/>
                      <w:szCs w:val="21"/>
                      <w:highlight w:val="none"/>
                      <w:lang w:val="en-US" w:eastAsia="zh-CN" w:bidi="ar"/>
                    </w:rPr>
                    <w:t>本项目</w:t>
                  </w:r>
                  <w:r>
                    <w:rPr>
                      <w:rFonts w:hint="eastAsia" w:ascii="宋体" w:hAnsi="宋体" w:cs="宋体"/>
                      <w:color w:val="auto"/>
                      <w:kern w:val="0"/>
                      <w:sz w:val="21"/>
                      <w:szCs w:val="21"/>
                      <w:highlight w:val="none"/>
                      <w:lang w:val="en-US" w:eastAsia="zh-CN" w:bidi="ar"/>
                    </w:rPr>
                    <w:t>主要依托铁路和汽车运输，</w:t>
                  </w:r>
                  <w:r>
                    <w:rPr>
                      <w:rFonts w:hint="eastAsia"/>
                      <w:color w:val="auto"/>
                      <w:sz w:val="21"/>
                      <w:szCs w:val="21"/>
                      <w:highlight w:val="none"/>
                      <w:lang w:val="zh-CN"/>
                    </w:rPr>
                    <w:t>所采用的非道路移动机械均达到国四标准、运输车辆均达到</w:t>
                  </w:r>
                  <w:r>
                    <w:rPr>
                      <w:rFonts w:hint="eastAsia"/>
                      <w:b w:val="0"/>
                      <w:bCs w:val="0"/>
                      <w:color w:val="auto"/>
                      <w:sz w:val="21"/>
                      <w:szCs w:val="21"/>
                      <w:highlight w:val="none"/>
                      <w:lang w:val="en-US" w:eastAsia="zh-CN"/>
                    </w:rPr>
                    <w:t>国</w:t>
                  </w:r>
                  <w:r>
                    <w:rPr>
                      <w:rFonts w:hint="default" w:ascii="Times New Roman" w:hAnsi="Times New Roman" w:cs="Times New Roman"/>
                      <w:b w:val="0"/>
                      <w:bCs w:val="0"/>
                      <w:color w:val="auto"/>
                      <w:sz w:val="21"/>
                      <w:szCs w:val="21"/>
                      <w:highlight w:val="none"/>
                      <w:lang w:val="en-US" w:eastAsia="zh-CN"/>
                    </w:rPr>
                    <w:t>Ⅵ</w:t>
                  </w:r>
                  <w:r>
                    <w:rPr>
                      <w:rFonts w:hint="eastAsia"/>
                      <w:b w:val="0"/>
                      <w:bCs w:val="0"/>
                      <w:color w:val="auto"/>
                      <w:sz w:val="21"/>
                      <w:szCs w:val="21"/>
                      <w:highlight w:val="none"/>
                      <w:lang w:val="en-US" w:eastAsia="zh-CN"/>
                    </w:rPr>
                    <w:t>汽、柴油标准。</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color w:val="auto"/>
                      <w:sz w:val="21"/>
                      <w:szCs w:val="21"/>
                      <w:highlight w:val="none"/>
                    </w:rPr>
                  </w:pPr>
                  <w:r>
                    <w:rPr>
                      <w:rFonts w:hint="eastAsia" w:ascii="Arial" w:hAnsi="Arial" w:cs="Arial"/>
                      <w:color w:val="auto"/>
                      <w:sz w:val="21"/>
                      <w:szCs w:val="21"/>
                      <w:highlight w:val="none"/>
                      <w:shd w:val="clear" w:color="auto" w:fill="FFFFFF"/>
                    </w:rPr>
                    <w:t>符合</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0" w:firstLineChars="200"/>
              <w:textAlignment w:val="auto"/>
              <w:rPr>
                <w:rFonts w:hint="eastAsia"/>
                <w:color w:val="auto"/>
                <w:highlight w:val="none"/>
                <w:lang w:val="en-US" w:eastAsia="zh-CN"/>
              </w:rPr>
            </w:pPr>
            <w:r>
              <w:rPr>
                <w:rFonts w:hint="eastAsia" w:ascii="Times New Roman" w:hAnsi="Times New Roman" w:eastAsia="宋体" w:cs="Times New Roman"/>
                <w:color w:val="auto"/>
                <w:kern w:val="2"/>
                <w:sz w:val="24"/>
                <w:szCs w:val="24"/>
                <w:highlight w:val="none"/>
                <w:lang w:val="en-US" w:eastAsia="zh-CN" w:bidi="ar-SA"/>
              </w:rPr>
              <w:t>（5）</w:t>
            </w:r>
            <w:r>
              <w:rPr>
                <w:rFonts w:hint="eastAsia"/>
                <w:color w:val="auto"/>
                <w:sz w:val="24"/>
                <w:szCs w:val="24"/>
                <w:highlight w:val="none"/>
                <w:lang w:val="en-US" w:eastAsia="zh-CN"/>
              </w:rPr>
              <w:t>与《阜新市空气质量持续改善行动实施方案》</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阜</w:t>
            </w:r>
            <w:r>
              <w:rPr>
                <w:rFonts w:hint="eastAsia" w:ascii="Times New Roman" w:hAnsi="Times New Roman" w:eastAsia="宋体" w:cs="Times New Roman"/>
                <w:color w:val="auto"/>
                <w:sz w:val="24"/>
                <w:szCs w:val="24"/>
                <w:highlight w:val="none"/>
                <w:lang w:val="en-US" w:eastAsia="zh-CN"/>
              </w:rPr>
              <w:t>政发〔202</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12</w:t>
            </w:r>
            <w:r>
              <w:rPr>
                <w:rFonts w:hint="eastAsia" w:ascii="Times New Roman" w:hAnsi="Times New Roman" w:eastAsia="宋体" w:cs="Times New Roman"/>
                <w:color w:val="auto"/>
                <w:sz w:val="24"/>
                <w:szCs w:val="24"/>
                <w:highlight w:val="none"/>
                <w:lang w:val="en-US" w:eastAsia="zh-CN"/>
              </w:rPr>
              <w:t>号）</w:t>
            </w:r>
            <w:r>
              <w:rPr>
                <w:rFonts w:hint="eastAsia"/>
                <w:color w:val="auto"/>
                <w:sz w:val="24"/>
                <w:szCs w:val="24"/>
                <w:highlight w:val="none"/>
                <w:lang w:val="en-US" w:eastAsia="zh-CN"/>
              </w:rPr>
              <w:t>相符性分析，详见表1-10。</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color w:val="auto"/>
                <w:highlight w:val="none"/>
                <w:lang w:val="en-US" w:eastAsia="zh-CN"/>
              </w:rPr>
            </w:pPr>
            <w:r>
              <w:rPr>
                <w:rFonts w:hint="eastAsia" w:ascii="宋体" w:hAnsi="宋体" w:eastAsia="宋体" w:cs="宋体"/>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1</w:t>
            </w:r>
            <w:r>
              <w:rPr>
                <w:rFonts w:hint="eastAsia" w:ascii="Times New Roman" w:hAnsi="Times New Roman" w:eastAsia="宋体" w:cs="Times New Roman"/>
                <w:b/>
                <w:bCs/>
                <w:color w:val="auto"/>
                <w:sz w:val="21"/>
                <w:szCs w:val="21"/>
                <w:highlight w:val="none"/>
                <w:lang w:val="en-US" w:eastAsia="zh-CN"/>
              </w:rPr>
              <w:t>-</w:t>
            </w:r>
            <w:r>
              <w:rPr>
                <w:rFonts w:hint="eastAsia" w:cs="Times New Roman"/>
                <w:b/>
                <w:bCs/>
                <w:color w:val="auto"/>
                <w:sz w:val="21"/>
                <w:szCs w:val="21"/>
                <w:highlight w:val="none"/>
                <w:lang w:val="en-US" w:eastAsia="zh-CN"/>
              </w:rPr>
              <w:t>10</w:t>
            </w:r>
            <w:r>
              <w:rPr>
                <w:rFonts w:hint="eastAsia" w:eastAsia="宋体" w:cs="Times New Roman"/>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与《阜新市空气质量持续改善行动实施方案》相符性分析</w:t>
            </w:r>
          </w:p>
          <w:tbl>
            <w:tblPr>
              <w:tblStyle w:val="22"/>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678"/>
              <w:gridCol w:w="2151"/>
              <w:gridCol w:w="897"/>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734"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政策要求</w:t>
                  </w:r>
                </w:p>
              </w:tc>
              <w:tc>
                <w:tcPr>
                  <w:tcW w:w="1599"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本项目情况</w:t>
                  </w:r>
                </w:p>
              </w:tc>
              <w:tc>
                <w:tcPr>
                  <w:tcW w:w="666"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相符性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3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1.推动和优化产业结构和布局。推动在建和拟建项目能效、环保水平提升，新改扩建项目必须落实国家产业规划、产业政策、生态环境分区管控方案、碳排放达峰目标等相关要求。加快退出重点行业落后产能，推动重点领域设备更新升级和工艺流程优化改造，加快淘汰落后低效设备、超期服役老旧设备。施网格化降尘量监测考核。严格施工扬尘监管，加强矿产开发利用过程中爆破、破碎、储运等重点环节的粉尘防治，确保粉尘防治达标。</w:t>
                  </w:r>
                </w:p>
              </w:tc>
              <w:tc>
                <w:tcPr>
                  <w:tcW w:w="159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本项目为煤炭批发和物流仓储行业，根据《产业结构调整指导目录（</w:t>
                  </w:r>
                  <w:r>
                    <w:rPr>
                      <w:rFonts w:hint="default" w:ascii="Times New Roman" w:hAnsi="Times New Roman" w:cs="Times New Roman"/>
                      <w:color w:val="auto"/>
                      <w:kern w:val="0"/>
                      <w:sz w:val="21"/>
                      <w:szCs w:val="21"/>
                      <w:highlight w:val="none"/>
                      <w:lang w:val="en-US" w:eastAsia="zh-CN" w:bidi="ar"/>
                    </w:rPr>
                    <w:t>2024</w:t>
                  </w:r>
                  <w:r>
                    <w:rPr>
                      <w:rFonts w:hint="eastAsia" w:ascii="宋体" w:hAnsi="宋体" w:cs="宋体"/>
                      <w:color w:val="auto"/>
                      <w:kern w:val="0"/>
                      <w:sz w:val="21"/>
                      <w:szCs w:val="21"/>
                      <w:highlight w:val="none"/>
                      <w:lang w:val="en-US" w:eastAsia="zh-CN" w:bidi="ar"/>
                    </w:rPr>
                    <w:t>年本）》，本项目的建设符合国家产业政策。根据《阜新市生态环境准入清单》</w:t>
                  </w:r>
                  <w:r>
                    <w:rPr>
                      <w:rFonts w:hint="default" w:ascii="Times New Roman" w:hAnsi="Times New Roman" w:cs="Times New Roman"/>
                      <w:color w:val="auto"/>
                      <w:kern w:val="0"/>
                      <w:sz w:val="21"/>
                      <w:szCs w:val="21"/>
                      <w:highlight w:val="none"/>
                      <w:lang w:val="en-US" w:eastAsia="zh-CN" w:bidi="ar"/>
                    </w:rPr>
                    <w:t>（2023版）及《阜新市生态环境分区管控动态更新成果说明》（阜环发2024.12</w:t>
                  </w:r>
                  <w:r>
                    <w:rPr>
                      <w:rFonts w:hint="eastAsia" w:ascii="宋体" w:hAnsi="宋体" w:cs="宋体"/>
                      <w:color w:val="auto"/>
                      <w:kern w:val="0"/>
                      <w:sz w:val="21"/>
                      <w:szCs w:val="21"/>
                      <w:highlight w:val="none"/>
                      <w:lang w:val="en-US" w:eastAsia="zh-CN" w:bidi="ar"/>
                    </w:rPr>
                    <w:t>），符合各生态环境分区、生态环境准入清单要求。本项目不涉及淘汰落后设备的使用。本项目施工期做好洒水降尘和围挡，运营期基本在密闭仓库内进行，并配备喷淋降尘措施，火车卸料区采用雾炮机、</w:t>
                  </w:r>
                  <w:r>
                    <w:rPr>
                      <w:rFonts w:hint="eastAsia"/>
                      <w:color w:val="auto"/>
                      <w:sz w:val="21"/>
                      <w:szCs w:val="21"/>
                      <w:highlight w:val="none"/>
                      <w:lang w:val="en-US" w:eastAsia="zh-CN"/>
                    </w:rPr>
                    <w:t>半封闭卸料口和密闭传送带</w:t>
                  </w:r>
                  <w:r>
                    <w:rPr>
                      <w:rFonts w:hint="eastAsia" w:ascii="宋体" w:hAnsi="宋体" w:cs="宋体"/>
                      <w:color w:val="auto"/>
                      <w:kern w:val="0"/>
                      <w:sz w:val="21"/>
                      <w:szCs w:val="21"/>
                      <w:highlight w:val="none"/>
                      <w:lang w:val="en-US" w:eastAsia="zh-CN" w:bidi="ar"/>
                    </w:rPr>
                    <w:t>抑尘。</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ascii="Arial" w:hAnsi="Arial" w:eastAsia="宋体" w:cs="Arial"/>
                      <w:color w:val="auto"/>
                      <w:sz w:val="21"/>
                      <w:szCs w:val="21"/>
                      <w:highlight w:val="none"/>
                      <w:shd w:val="clear" w:color="auto" w:fill="FFFFFF"/>
                      <w:lang w:eastAsia="zh-CN"/>
                    </w:rPr>
                  </w:pPr>
                  <w:r>
                    <w:rPr>
                      <w:rFonts w:hint="eastAsia" w:ascii="Arial" w:hAnsi="Arial" w:cs="Arial"/>
                      <w:color w:val="auto"/>
                      <w:sz w:val="21"/>
                      <w:szCs w:val="21"/>
                      <w:highlight w:val="none"/>
                      <w:shd w:val="clear" w:color="auto" w:fill="FFFFFF"/>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3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2.推动产业绿色低碳发展。推动铸造、化工等企业集中的地区，2025年制定产业集群发展规划，明确产业集群定位、规模、布局、基础设施建设等要求，严格项目审批把关，严防污染异地转移。结合我市高质量发展需要，充分发挥政府引导作用，排查不符合城市建设规划、行业发展规划、生态环境功能定位的重污染企业，进一步确定产业发展定位，从生产工艺、产品质量、产能规模、能耗水平、燃料类型、原辅材料替代、污染治理和区域环境综合整治等方面明确升级改造标准，实施“散乱污”企业动态清零，坚决杜绝“散乱污”企业死灰复燃、异地转移。推动绿色工厂、绿色工业园区创建。推动绿色环保产业健康发展。</w:t>
                  </w:r>
                </w:p>
              </w:tc>
              <w:tc>
                <w:tcPr>
                  <w:tcW w:w="159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本项目不属于</w:t>
                  </w:r>
                  <w:r>
                    <w:rPr>
                      <w:rFonts w:hint="eastAsia"/>
                      <w:b w:val="0"/>
                      <w:bCs w:val="0"/>
                      <w:color w:val="auto"/>
                      <w:sz w:val="21"/>
                      <w:szCs w:val="21"/>
                      <w:highlight w:val="none"/>
                      <w:lang w:val="en-US" w:eastAsia="zh-CN"/>
                    </w:rPr>
                    <w:t>铸造、化工企业</w:t>
                  </w:r>
                  <w:r>
                    <w:rPr>
                      <w:rFonts w:hint="eastAsia" w:ascii="宋体" w:hAnsi="宋体" w:cs="宋体"/>
                      <w:color w:val="auto"/>
                      <w:kern w:val="0"/>
                      <w:sz w:val="21"/>
                      <w:szCs w:val="21"/>
                      <w:highlight w:val="none"/>
                      <w:lang w:val="en-US" w:eastAsia="zh-CN" w:bidi="ar"/>
                    </w:rPr>
                    <w:t>，</w:t>
                  </w:r>
                  <w:r>
                    <w:rPr>
                      <w:rFonts w:hint="eastAsia"/>
                      <w:b w:val="0"/>
                      <w:bCs w:val="0"/>
                      <w:color w:val="auto"/>
                      <w:sz w:val="21"/>
                      <w:szCs w:val="21"/>
                      <w:highlight w:val="none"/>
                      <w:lang w:val="en-US" w:eastAsia="zh-CN"/>
                    </w:rPr>
                    <w:t>规划符合阜新新型材料产业开发区相关要求，</w:t>
                  </w:r>
                  <w:r>
                    <w:rPr>
                      <w:rFonts w:hint="eastAsia" w:ascii="宋体" w:hAnsi="宋体" w:cs="宋体"/>
                      <w:color w:val="auto"/>
                      <w:kern w:val="0"/>
                      <w:sz w:val="21"/>
                      <w:szCs w:val="21"/>
                      <w:highlight w:val="none"/>
                      <w:lang w:val="en-US" w:eastAsia="zh-CN" w:bidi="ar"/>
                    </w:rPr>
                    <w:t>不属于</w:t>
                  </w:r>
                  <w:r>
                    <w:rPr>
                      <w:rFonts w:hint="eastAsia"/>
                      <w:b w:val="0"/>
                      <w:bCs w:val="0"/>
                      <w:color w:val="auto"/>
                      <w:sz w:val="21"/>
                      <w:szCs w:val="21"/>
                      <w:highlight w:val="none"/>
                      <w:lang w:val="en-US" w:eastAsia="zh-CN"/>
                    </w:rPr>
                    <w:t>重污染、高能耗企业，仅进行煤炭储运，不使用燃料。</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ascii="Arial" w:hAnsi="Arial" w:eastAsia="宋体" w:cs="Arial"/>
                      <w:color w:val="auto"/>
                      <w:sz w:val="21"/>
                      <w:szCs w:val="21"/>
                      <w:highlight w:val="none"/>
                      <w:shd w:val="clear" w:color="auto" w:fill="FFFFFF"/>
                      <w:lang w:eastAsia="zh-CN"/>
                    </w:rPr>
                  </w:pPr>
                  <w:r>
                    <w:rPr>
                      <w:rFonts w:hint="eastAsia" w:ascii="Arial" w:hAnsi="Arial" w:cs="Arial"/>
                      <w:color w:val="auto"/>
                      <w:sz w:val="21"/>
                      <w:szCs w:val="21"/>
                      <w:highlight w:val="none"/>
                      <w:shd w:val="clear" w:color="auto" w:fill="FFFFFF"/>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3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3.实施VOCs源头替代工程。开展部门联合监督检查，确保生产、销售、进口、使用等环节严格执行VOCs含量限值标准。以工业涂装、包装印刷和胶黏剂使用等为重点，推广使用低（无）VOCs含量涂料和胶粘剂；针对汽车整车制造（底漆、中涂、色漆）、木质家具、汽车零部件、工程机械、钢结构行业企业，在技术成熟的工艺环节，实施低VOCs含量原辅材料替代。在房屋建筑和市政工程中，全面推广使用低VOCs含量涂料和胶粘剂。</w:t>
                  </w:r>
                </w:p>
              </w:tc>
              <w:tc>
                <w:tcPr>
                  <w:tcW w:w="159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本项目不涉及</w:t>
                  </w:r>
                  <w:r>
                    <w:rPr>
                      <w:rFonts w:hint="eastAsia"/>
                      <w:b w:val="0"/>
                      <w:bCs w:val="0"/>
                      <w:color w:val="auto"/>
                      <w:sz w:val="21"/>
                      <w:szCs w:val="21"/>
                      <w:highlight w:val="none"/>
                      <w:lang w:val="en-US" w:eastAsia="zh-CN"/>
                    </w:rPr>
                    <w:t>VOCs的</w:t>
                  </w:r>
                  <w:r>
                    <w:rPr>
                      <w:rFonts w:hint="eastAsia" w:ascii="宋体" w:hAnsi="宋体" w:cs="宋体"/>
                      <w:color w:val="auto"/>
                      <w:kern w:val="0"/>
                      <w:sz w:val="21"/>
                      <w:szCs w:val="21"/>
                      <w:highlight w:val="none"/>
                      <w:lang w:val="en-US" w:eastAsia="zh-CN" w:bidi="ar"/>
                    </w:rPr>
                    <w:t>使用，</w:t>
                  </w:r>
                  <w:r>
                    <w:rPr>
                      <w:rFonts w:hint="eastAsia"/>
                      <w:b w:val="0"/>
                      <w:bCs w:val="0"/>
                      <w:color w:val="auto"/>
                      <w:sz w:val="21"/>
                      <w:szCs w:val="21"/>
                      <w:highlight w:val="none"/>
                      <w:lang w:val="en-US" w:eastAsia="zh-CN"/>
                    </w:rPr>
                    <w:t>仅进行煤炭储运。</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ascii="Arial" w:hAnsi="Arial" w:eastAsia="宋体" w:cs="Arial"/>
                      <w:color w:val="auto"/>
                      <w:sz w:val="21"/>
                      <w:szCs w:val="21"/>
                      <w:highlight w:val="none"/>
                      <w:shd w:val="clear" w:color="auto" w:fill="FFFFFF"/>
                      <w:lang w:eastAsia="zh-CN"/>
                    </w:rPr>
                  </w:pPr>
                  <w:r>
                    <w:rPr>
                      <w:rFonts w:hint="eastAsia" w:ascii="Arial" w:hAnsi="Arial" w:cs="Arial"/>
                      <w:color w:val="auto"/>
                      <w:sz w:val="21"/>
                      <w:szCs w:val="21"/>
                      <w:highlight w:val="none"/>
                      <w:shd w:val="clear" w:color="auto" w:fill="FFFFFF"/>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3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4.大力发展新能源和清洁能源。加强风能、太阳能等清洁能源开发利用，减少化石能源消费。原则上不再新增自备燃煤机组，支持自备燃煤机组实施清洁能源替代。到2025年，非化石能源消费比重达到13.7%左右，电能占终端能源消费比重达15%左右。实施工业炉窑清洁能源替代，有序推进以电代煤。安全稳妥推进使用高污染燃料的工业炉窑改用工业余热、电能、天然气等。</w:t>
                  </w:r>
                </w:p>
              </w:tc>
              <w:tc>
                <w:tcPr>
                  <w:tcW w:w="159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本项目为煤炭批发和物流仓储行业，不使用</w:t>
                  </w:r>
                  <w:r>
                    <w:rPr>
                      <w:rFonts w:hint="eastAsia"/>
                      <w:b w:val="0"/>
                      <w:bCs w:val="0"/>
                      <w:color w:val="auto"/>
                      <w:sz w:val="21"/>
                      <w:szCs w:val="21"/>
                      <w:highlight w:val="none"/>
                      <w:lang w:val="en-US" w:eastAsia="zh-CN"/>
                    </w:rPr>
                    <w:t>燃料</w:t>
                  </w:r>
                  <w:r>
                    <w:rPr>
                      <w:rFonts w:hint="eastAsia" w:ascii="宋体" w:hAnsi="宋体" w:cs="宋体"/>
                      <w:color w:val="auto"/>
                      <w:kern w:val="0"/>
                      <w:sz w:val="21"/>
                      <w:szCs w:val="21"/>
                      <w:highlight w:val="none"/>
                      <w:lang w:val="en-US" w:eastAsia="zh-CN" w:bidi="ar"/>
                    </w:rPr>
                    <w:t>。</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ascii="Arial" w:hAnsi="Arial" w:eastAsia="宋体" w:cs="Arial"/>
                      <w:color w:val="auto"/>
                      <w:sz w:val="21"/>
                      <w:szCs w:val="21"/>
                      <w:highlight w:val="none"/>
                      <w:shd w:val="clear" w:color="auto" w:fill="FFFFFF"/>
                      <w:lang w:eastAsia="zh-CN"/>
                    </w:rPr>
                  </w:pPr>
                  <w:r>
                    <w:rPr>
                      <w:rFonts w:hint="eastAsia" w:ascii="Arial" w:hAnsi="Arial" w:cs="Arial"/>
                      <w:color w:val="auto"/>
                      <w:sz w:val="21"/>
                      <w:szCs w:val="21"/>
                      <w:highlight w:val="none"/>
                      <w:shd w:val="clear" w:color="auto" w:fill="FFFFFF"/>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3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5.积极开展燃煤锅炉关停整合。整合供热资源，加快供热区域热网互联互通。县级及以上城市建成区原则上不再新建35蒸吨/小时及以下燃煤锅炉。到2025年，城市建成区基本淘汰35蒸吨/小时及以下燃煤锅炉。</w:t>
                  </w:r>
                </w:p>
              </w:tc>
              <w:tc>
                <w:tcPr>
                  <w:tcW w:w="159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highlight w:val="none"/>
                      <w:lang w:val="en-US" w:eastAsia="zh-CN"/>
                    </w:rPr>
                  </w:pPr>
                  <w:r>
                    <w:rPr>
                      <w:rFonts w:hint="eastAsia" w:ascii="宋体" w:hAnsi="宋体" w:cs="宋体"/>
                      <w:color w:val="auto"/>
                      <w:kern w:val="0"/>
                      <w:sz w:val="21"/>
                      <w:szCs w:val="21"/>
                      <w:highlight w:val="none"/>
                      <w:lang w:val="en-US" w:eastAsia="zh-CN" w:bidi="ar"/>
                    </w:rPr>
                    <w:t>本项目为煤炭批发和物流仓储行业，不使用</w:t>
                  </w:r>
                  <w:r>
                    <w:rPr>
                      <w:rFonts w:hint="eastAsia"/>
                      <w:b w:val="0"/>
                      <w:bCs w:val="0"/>
                      <w:color w:val="auto"/>
                      <w:sz w:val="21"/>
                      <w:szCs w:val="21"/>
                      <w:highlight w:val="none"/>
                      <w:lang w:val="en-US" w:eastAsia="zh-CN"/>
                    </w:rPr>
                    <w:t>燃煤锅炉。</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color w:val="auto"/>
                      <w:sz w:val="21"/>
                      <w:szCs w:val="21"/>
                      <w:highlight w:val="none"/>
                    </w:rPr>
                  </w:pPr>
                  <w:r>
                    <w:rPr>
                      <w:rFonts w:hint="eastAsia" w:ascii="Arial" w:hAnsi="Arial" w:cs="Arial"/>
                      <w:color w:val="auto"/>
                      <w:sz w:val="21"/>
                      <w:szCs w:val="21"/>
                      <w:highlight w:val="none"/>
                      <w:shd w:val="clear" w:color="auto" w:fill="FFFFFF"/>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3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6.加快推进散煤替代工程。完成散煤替代的地区必须保障居民生活和清洁取暖用电、用气需求，防治散煤复烧。严格全市高污染燃料禁燃区管理，加强散煤监管，依法依规整治违规销售、储存、运输、使用散煤的行为，严防严控散煤复烧，确保散煤动态清零。依法划定高污染燃料禁燃区，强化服务管理、完善清洁取暖长效机制、防止散煤复烧。</w:t>
                  </w:r>
                </w:p>
              </w:tc>
              <w:tc>
                <w:tcPr>
                  <w:tcW w:w="159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本项目不进行散煤出售，储运的煤炭供给阜矿集团内部的煤矸石热电厂，用于热电厂的供暖保障。</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ascii="Arial" w:hAnsi="Arial" w:cs="Arial"/>
                      <w:color w:val="auto"/>
                      <w:sz w:val="21"/>
                      <w:szCs w:val="21"/>
                      <w:highlight w:val="none"/>
                      <w:shd w:val="clear" w:color="auto" w:fill="FFFFFF"/>
                    </w:rPr>
                  </w:pPr>
                  <w:r>
                    <w:rPr>
                      <w:rFonts w:hint="eastAsia" w:ascii="Arial" w:hAnsi="Arial" w:cs="Arial"/>
                      <w:color w:val="auto"/>
                      <w:sz w:val="21"/>
                      <w:szCs w:val="21"/>
                      <w:highlight w:val="none"/>
                      <w:shd w:val="clear" w:color="auto" w:fill="FFFFFF"/>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3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7.持续优化调整货物运输结构。大宗货物中长距离运输优先采用铁路运输，短距离运输优先采用封闭方式或新能源车辆。到2025年，铁路货运量比2020年增长10%以上，充分挖掘城市铁路站场和线路资源，创新“外集内配”等生产生活物资公铁联运模式。加强铁路专用线和衔接设施建设，新建及迁建年运量150万吨以上的物流园区、工矿企业和储煤基地，原则上接入铁路专用线或管道。强化用地、验收投运、运力调配、铁路运价等措施保障。</w:t>
                  </w:r>
                </w:p>
              </w:tc>
              <w:tc>
                <w:tcPr>
                  <w:tcW w:w="159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本项目建设年储运</w:t>
                  </w:r>
                  <w:r>
                    <w:rPr>
                      <w:rFonts w:hint="eastAsia" w:cs="Times New Roman"/>
                      <w:color w:val="auto"/>
                      <w:kern w:val="0"/>
                      <w:sz w:val="21"/>
                      <w:szCs w:val="21"/>
                      <w:highlight w:val="none"/>
                      <w:lang w:val="en-US" w:eastAsia="zh-CN" w:bidi="ar"/>
                    </w:rPr>
                    <w:t>10</w:t>
                  </w:r>
                  <w:r>
                    <w:rPr>
                      <w:rFonts w:hint="eastAsia" w:ascii="宋体" w:hAnsi="宋体" w:eastAsia="宋体" w:cs="宋体"/>
                      <w:color w:val="auto"/>
                      <w:kern w:val="0"/>
                      <w:sz w:val="21"/>
                      <w:szCs w:val="21"/>
                      <w:highlight w:val="none"/>
                      <w:lang w:val="en-US" w:eastAsia="zh-CN" w:bidi="ar"/>
                    </w:rPr>
                    <w:t>万吨煤炭项目</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依托铁路</w:t>
                  </w:r>
                  <w:r>
                    <w:rPr>
                      <w:rFonts w:hint="eastAsia" w:ascii="宋体" w:hAnsi="宋体" w:cs="宋体"/>
                      <w:color w:val="auto"/>
                      <w:kern w:val="0"/>
                      <w:sz w:val="21"/>
                      <w:szCs w:val="21"/>
                      <w:highlight w:val="none"/>
                      <w:lang w:val="en-US" w:eastAsia="zh-CN" w:bidi="ar"/>
                    </w:rPr>
                    <w:t>和汽车</w:t>
                  </w:r>
                  <w:r>
                    <w:rPr>
                      <w:rFonts w:hint="eastAsia" w:ascii="宋体" w:hAnsi="宋体" w:eastAsia="宋体" w:cs="宋体"/>
                      <w:color w:val="auto"/>
                      <w:kern w:val="0"/>
                      <w:sz w:val="21"/>
                      <w:szCs w:val="21"/>
                      <w:highlight w:val="none"/>
                      <w:lang w:val="en-US" w:eastAsia="zh-CN" w:bidi="ar"/>
                    </w:rPr>
                    <w:t>运输</w:t>
                  </w:r>
                  <w:r>
                    <w:rPr>
                      <w:rFonts w:hint="eastAsia" w:ascii="宋体" w:hAnsi="宋体" w:cs="宋体"/>
                      <w:color w:val="auto"/>
                      <w:kern w:val="0"/>
                      <w:sz w:val="21"/>
                      <w:szCs w:val="21"/>
                      <w:highlight w:val="none"/>
                      <w:lang w:val="en-US" w:eastAsia="zh-CN" w:bidi="ar"/>
                    </w:rPr>
                    <w:t>。</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ascii="Arial" w:hAnsi="Arial" w:cs="Arial"/>
                      <w:color w:val="auto"/>
                      <w:sz w:val="21"/>
                      <w:szCs w:val="21"/>
                      <w:highlight w:val="none"/>
                      <w:shd w:val="clear" w:color="auto" w:fill="FFFFFF"/>
                    </w:rPr>
                  </w:pPr>
                  <w:r>
                    <w:rPr>
                      <w:rFonts w:hint="eastAsia" w:ascii="Arial" w:hAnsi="Arial" w:cs="Arial"/>
                      <w:color w:val="auto"/>
                      <w:sz w:val="21"/>
                      <w:szCs w:val="21"/>
                      <w:highlight w:val="none"/>
                      <w:shd w:val="clear" w:color="auto" w:fill="FFFFFF"/>
                      <w:lang w:eastAsia="zh-CN"/>
                    </w:rPr>
                    <w:t>符合</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kern w:val="2"/>
                <w:sz w:val="24"/>
                <w:szCs w:val="24"/>
                <w:highlight w:val="none"/>
                <w:lang w:val="en-US" w:eastAsia="zh-CN" w:bidi="ar-SA"/>
              </w:rPr>
              <w:t>5、</w:t>
            </w:r>
            <w:r>
              <w:rPr>
                <w:rFonts w:hint="eastAsia"/>
                <w:color w:val="auto"/>
                <w:sz w:val="24"/>
                <w:szCs w:val="24"/>
                <w:highlight w:val="none"/>
                <w:lang w:val="en-US" w:eastAsia="zh-CN"/>
              </w:rPr>
              <w:t>与《阜新市国土空间总体规划（2021-2035）》相符性分析，详见表1-11。</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center"/>
              <w:textAlignment w:val="auto"/>
              <w:rPr>
                <w:rFonts w:hint="eastAsia"/>
                <w:color w:val="auto"/>
                <w:highlight w:val="none"/>
                <w:lang w:val="en-US" w:eastAsia="zh-CN"/>
              </w:rPr>
            </w:pPr>
            <w:r>
              <w:rPr>
                <w:rFonts w:hint="eastAsia" w:ascii="宋体" w:hAnsi="宋体" w:eastAsia="宋体" w:cs="宋体"/>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1</w:t>
            </w:r>
            <w:r>
              <w:rPr>
                <w:rFonts w:hint="eastAsia" w:ascii="Times New Roman" w:hAnsi="Times New Roman" w:eastAsia="宋体" w:cs="Times New Roman"/>
                <w:b/>
                <w:bCs/>
                <w:color w:val="auto"/>
                <w:sz w:val="21"/>
                <w:szCs w:val="21"/>
                <w:highlight w:val="none"/>
                <w:lang w:val="en-US" w:eastAsia="zh-CN"/>
              </w:rPr>
              <w:t>-</w:t>
            </w:r>
            <w:r>
              <w:rPr>
                <w:rFonts w:hint="eastAsia" w:cs="Times New Roman"/>
                <w:b/>
                <w:bCs/>
                <w:color w:val="auto"/>
                <w:sz w:val="21"/>
                <w:szCs w:val="21"/>
                <w:highlight w:val="none"/>
                <w:lang w:val="en-US" w:eastAsia="zh-CN"/>
              </w:rPr>
              <w:t>11</w:t>
            </w:r>
            <w:r>
              <w:rPr>
                <w:rFonts w:hint="eastAsia" w:eastAsia="宋体" w:cs="Times New Roman"/>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与《阜新市国土空间总体规划（</w:t>
            </w:r>
            <w:r>
              <w:rPr>
                <w:rFonts w:hint="default" w:ascii="Times New Roman" w:hAnsi="Times New Roman" w:eastAsia="宋体" w:cs="Times New Roman"/>
                <w:b/>
                <w:bCs/>
                <w:color w:val="auto"/>
                <w:sz w:val="21"/>
                <w:szCs w:val="21"/>
                <w:highlight w:val="none"/>
                <w:lang w:eastAsia="zh-CN"/>
              </w:rPr>
              <w:t>2021-2035</w:t>
            </w:r>
            <w:r>
              <w:rPr>
                <w:rFonts w:hint="eastAsia" w:ascii="宋体" w:hAnsi="宋体" w:eastAsia="宋体" w:cs="宋体"/>
                <w:b/>
                <w:bCs/>
                <w:color w:val="auto"/>
                <w:sz w:val="21"/>
                <w:szCs w:val="21"/>
                <w:highlight w:val="none"/>
                <w:lang w:eastAsia="zh-CN"/>
              </w:rPr>
              <w:t>）》相符性分析</w:t>
            </w:r>
          </w:p>
          <w:tbl>
            <w:tblPr>
              <w:tblStyle w:val="22"/>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040"/>
              <w:gridCol w:w="2790"/>
              <w:gridCol w:w="896"/>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259"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政策要求</w:t>
                  </w:r>
                </w:p>
              </w:tc>
              <w:tc>
                <w:tcPr>
                  <w:tcW w:w="2073"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本项目情况</w:t>
                  </w:r>
                </w:p>
              </w:tc>
              <w:tc>
                <w:tcPr>
                  <w:tcW w:w="666"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相符性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第84条积极盘活城镇建设用地存量</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坚持以“存量”换“增量”，多措并举消化批而未供土地，盘活闲置土地和低效用地，充分挖掘存量土地潜力。通过用途合理转换、用地置换腾退等方式，加快推进供而未用、用而未尽等用地处置。在尊重历史文脉的基础上，推动旧城区、旧厂房有机更新，积极培育新功能新业态，以盘活存量提升城市功能。探索多主体参与、共建共享的存量更新模式，完善自然资源、金融、财税等配套政策，健全退出机制和激励机制。</w:t>
                  </w:r>
                </w:p>
              </w:tc>
              <w:tc>
                <w:tcPr>
                  <w:tcW w:w="207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本项目租用辽宁金石膨润土有限公司鑫元膨润土制品分公司场地。金石膨润土公司因经营不善停产，因此该地块一直处于闲置状态。本项目在现有厂房基础上进行简单改造，盘活了闲置土地，建设年储运</w:t>
                  </w:r>
                  <w:r>
                    <w:rPr>
                      <w:rFonts w:hint="eastAsia" w:ascii="Times New Roman" w:hAnsi="Times New Roman" w:cs="Times New Roman"/>
                      <w:color w:val="auto"/>
                      <w:kern w:val="0"/>
                      <w:sz w:val="21"/>
                      <w:szCs w:val="21"/>
                      <w:highlight w:val="none"/>
                      <w:lang w:val="en-US" w:eastAsia="zh-CN" w:bidi="ar"/>
                    </w:rPr>
                    <w:t>1</w:t>
                  </w:r>
                  <w:r>
                    <w:rPr>
                      <w:rFonts w:hint="default" w:ascii="Times New Roman" w:hAnsi="Times New Roman" w:cs="Times New Roman"/>
                      <w:color w:val="auto"/>
                      <w:kern w:val="0"/>
                      <w:sz w:val="21"/>
                      <w:szCs w:val="21"/>
                      <w:highlight w:val="none"/>
                      <w:lang w:val="en-US" w:eastAsia="zh-CN" w:bidi="ar"/>
                    </w:rPr>
                    <w:t>0</w:t>
                  </w:r>
                  <w:r>
                    <w:rPr>
                      <w:rFonts w:hint="eastAsia" w:ascii="宋体" w:hAnsi="宋体" w:cs="宋体"/>
                      <w:color w:val="auto"/>
                      <w:kern w:val="0"/>
                      <w:sz w:val="21"/>
                      <w:szCs w:val="21"/>
                      <w:highlight w:val="none"/>
                      <w:lang w:val="en-US" w:eastAsia="zh-CN" w:bidi="ar"/>
                    </w:rPr>
                    <w:t>万吨煤炭项目。</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ascii="Arial" w:hAnsi="Arial" w:eastAsia="宋体" w:cs="Arial"/>
                      <w:color w:val="auto"/>
                      <w:sz w:val="21"/>
                      <w:szCs w:val="21"/>
                      <w:highlight w:val="none"/>
                      <w:shd w:val="clear" w:color="auto" w:fill="FFFFFF"/>
                      <w:lang w:eastAsia="zh-CN"/>
                    </w:rPr>
                  </w:pPr>
                  <w:r>
                    <w:rPr>
                      <w:rFonts w:hint="eastAsia" w:ascii="Arial" w:hAnsi="Arial" w:cs="Arial"/>
                      <w:color w:val="auto"/>
                      <w:sz w:val="21"/>
                      <w:szCs w:val="21"/>
                      <w:highlight w:val="none"/>
                      <w:shd w:val="clear" w:color="auto" w:fill="FFFFFF"/>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第90条划定中心城区规划分区</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物流仓储 主要集中在高铁站、新邱火车站周边，煤化工产业园、新材料产业园、皮革产业园区等地。工业发展区和仓储物流区内应严格遵守环保要求，降低对城市居住、公共环境、交通等的干扰，同时注重完善设施配套。</w:t>
                  </w:r>
                </w:p>
              </w:tc>
              <w:tc>
                <w:tcPr>
                  <w:tcW w:w="207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本项目位于阜新新型材料产业开发区，阜新市太平区政府出具了关于本项目用地规划符合性说明，本项目建设符合阜新新型材料产业开发区相关规划要求。本项目建设</w:t>
                  </w:r>
                  <w:r>
                    <w:rPr>
                      <w:rFonts w:hint="eastAsia"/>
                      <w:b w:val="0"/>
                      <w:bCs w:val="0"/>
                      <w:color w:val="auto"/>
                      <w:sz w:val="21"/>
                      <w:szCs w:val="21"/>
                      <w:highlight w:val="none"/>
                      <w:lang w:val="en-US" w:eastAsia="zh-CN"/>
                    </w:rPr>
                    <w:t>配套完善的环保设施，在运行过程中能够满足污染物达标排放。</w:t>
                  </w:r>
                </w:p>
              </w:tc>
              <w:tc>
                <w:tcPr>
                  <w:tcW w:w="666" w:type="pct"/>
                  <w:tcBorders>
                    <w:tl2br w:val="nil"/>
                    <w:tr2bl w:val="nil"/>
                  </w:tcBorders>
                  <w:noWrap w:val="0"/>
                  <w:vAlign w:val="center"/>
                </w:tcPr>
                <w:p>
                  <w:pPr>
                    <w:autoSpaceDE w:val="0"/>
                    <w:autoSpaceDN w:val="0"/>
                    <w:adjustRightInd w:val="0"/>
                    <w:snapToGrid w:val="0"/>
                    <w:spacing w:line="240" w:lineRule="auto"/>
                    <w:jc w:val="center"/>
                    <w:rPr>
                      <w:rFonts w:hint="eastAsia" w:ascii="Arial" w:hAnsi="Arial" w:eastAsia="宋体" w:cs="Arial"/>
                      <w:color w:val="auto"/>
                      <w:sz w:val="21"/>
                      <w:szCs w:val="21"/>
                      <w:highlight w:val="none"/>
                      <w:shd w:val="clear" w:color="auto" w:fill="FFFFFF"/>
                      <w:lang w:eastAsia="zh-CN"/>
                    </w:rPr>
                  </w:pPr>
                  <w:r>
                    <w:rPr>
                      <w:rFonts w:hint="eastAsia" w:ascii="Arial" w:hAnsi="Arial" w:cs="Arial"/>
                      <w:color w:val="auto"/>
                      <w:sz w:val="21"/>
                      <w:szCs w:val="21"/>
                      <w:highlight w:val="none"/>
                      <w:shd w:val="clear" w:color="auto" w:fill="FFFFFF"/>
                      <w:lang w:eastAsia="zh-CN"/>
                    </w:rPr>
                    <w:t>符合</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6、项目选址合理性</w:t>
            </w:r>
          </w:p>
          <w:p>
            <w:pPr>
              <w:bidi w:val="0"/>
              <w:spacing w:line="360" w:lineRule="auto"/>
              <w:ind w:firstLine="480" w:firstLineChars="200"/>
              <w:rPr>
                <w:rFonts w:hint="default"/>
                <w:color w:val="auto"/>
                <w:highlight w:val="none"/>
                <w:lang w:val="en-US" w:eastAsia="zh-CN"/>
              </w:rPr>
            </w:pPr>
            <w:r>
              <w:rPr>
                <w:rFonts w:hint="eastAsia"/>
                <w:color w:val="auto"/>
                <w:sz w:val="24"/>
                <w:szCs w:val="24"/>
                <w:highlight w:val="none"/>
                <w:lang w:val="en-US" w:eastAsia="zh-CN"/>
              </w:rPr>
              <w:t>本项目租赁辽宁金石膨润土公司鑫元膨润土制品分公司位于辽宁省阜新市太平区城南街道的土地和厂房（租赁合同见附件6），土地性质为工业用地，地理位置优越，交通便利。项目四邻，东西两侧均为工业厂房，北侧为新义线铁路，南侧为阜矿热电厂。（地理位置见附图2、四邻图见附图3）项目所在地及周边无国家级自然保护区、风景名胜区和文物古迹保护单位等敏感区域，不在阜新市生态环境红线保护范围内，项目采取严格的控制措施保证生产过程中产生的废气、废水、固废、噪声能够达标排放，项目建设符合相关规划及生态管理要求，与周边环境相容。资源、供水和供电设施完善，对周围环境敏感目标不会造成不利影响。因此，本项目选址从环保角度考虑是可行的。</w:t>
            </w:r>
          </w:p>
        </w:tc>
      </w:tr>
    </w:tbl>
    <w:p>
      <w:pPr>
        <w:pStyle w:val="18"/>
        <w:jc w:val="center"/>
        <w:outlineLvl w:val="0"/>
        <w:rPr>
          <w:rFonts w:ascii="黑体" w:hAnsi="黑体" w:eastAsia="黑体"/>
          <w:snapToGrid w:val="0"/>
          <w:color w:val="auto"/>
          <w:sz w:val="30"/>
          <w:szCs w:val="30"/>
          <w:highlight w:val="none"/>
        </w:rPr>
      </w:pPr>
      <w:r>
        <w:rPr>
          <w:rFonts w:hint="eastAsia" w:ascii="黑体" w:hAnsi="黑体" w:eastAsia="黑体"/>
          <w:snapToGrid w:val="0"/>
          <w:color w:val="auto"/>
          <w:sz w:val="30"/>
          <w:szCs w:val="30"/>
          <w:highlight w:val="none"/>
        </w:rPr>
        <w:t>二、建设项目工程分析</w:t>
      </w:r>
    </w:p>
    <w:tbl>
      <w:tblPr>
        <w:tblStyle w:val="21"/>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88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44" w:hRule="atLeast"/>
          <w:jc w:val="center"/>
        </w:trPr>
        <w:tc>
          <w:tcPr>
            <w:tcW w:w="228" w:type="pct"/>
            <w:noWrap w:val="0"/>
            <w:vAlign w:val="center"/>
          </w:tcPr>
          <w:p>
            <w:pPr>
              <w:pStyle w:val="18"/>
              <w:adjustRightInd w:val="0"/>
              <w:snapToGrid w:val="0"/>
              <w:spacing w:before="0" w:beforeAutospacing="0" w:after="0" w:afterAutospacing="0"/>
              <w:jc w:val="center"/>
              <w:rPr>
                <w:rFonts w:cs="宋体"/>
                <w:color w:val="auto"/>
                <w:sz w:val="21"/>
                <w:szCs w:val="21"/>
                <w:highlight w:val="none"/>
              </w:rPr>
            </w:pPr>
            <w:r>
              <w:rPr>
                <w:rFonts w:hint="eastAsia" w:cs="宋体"/>
                <w:color w:val="auto"/>
                <w:sz w:val="24"/>
                <w:szCs w:val="24"/>
                <w:highlight w:val="none"/>
              </w:rPr>
              <w:t>建设内容</w:t>
            </w:r>
          </w:p>
        </w:tc>
        <w:tc>
          <w:tcPr>
            <w:tcW w:w="8837"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1、工程概况</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highlight w:val="none"/>
                <w:lang w:val="en-US"/>
              </w:rPr>
            </w:pPr>
            <w:r>
              <w:rPr>
                <w:rFonts w:hint="eastAsia" w:cs="Times New Roman"/>
                <w:color w:val="auto"/>
                <w:sz w:val="24"/>
                <w:szCs w:val="24"/>
                <w:highlight w:val="none"/>
                <w:lang w:val="en-US" w:eastAsia="zh-CN"/>
              </w:rPr>
              <w:t>辽宁海州露天矿业有限责任公司</w:t>
            </w:r>
            <w:r>
              <w:rPr>
                <w:rFonts w:hint="default" w:ascii="Times New Roman" w:hAnsi="Times New Roman" w:cs="Times New Roman"/>
                <w:szCs w:val="21"/>
                <w:highlight w:val="none"/>
                <w:lang w:val="en-US" w:eastAsia="zh-CN"/>
              </w:rPr>
              <w:t>10万吨中央储煤基地</w:t>
            </w:r>
            <w:r>
              <w:rPr>
                <w:rFonts w:hint="eastAsia" w:cs="Times New Roman"/>
                <w:color w:val="auto"/>
                <w:sz w:val="24"/>
                <w:szCs w:val="24"/>
                <w:highlight w:val="none"/>
                <w:lang w:val="en-US" w:eastAsia="zh-CN"/>
              </w:rPr>
              <w:t>项目为新建项目，占地面积84848.45平方米，建筑面积</w:t>
            </w:r>
            <w:r>
              <w:rPr>
                <w:rFonts w:hint="default" w:ascii="Times New Roman" w:hAnsi="Times New Roman" w:cs="Times New Roman" w:eastAsiaTheme="minorEastAsia"/>
                <w:caps w:val="0"/>
                <w:color w:val="auto"/>
                <w:kern w:val="2"/>
                <w:sz w:val="24"/>
                <w:szCs w:val="24"/>
                <w:highlight w:val="none"/>
                <w:lang w:val="en-US" w:eastAsia="zh-CN" w:bidi="ar-SA"/>
              </w:rPr>
              <w:t>32826m</w:t>
            </w:r>
            <w:r>
              <w:rPr>
                <w:rFonts w:hint="eastAsia" w:cs="Times New Roman" w:eastAsiaTheme="minorEastAsia"/>
                <w:caps w:val="0"/>
                <w:color w:val="auto"/>
                <w:kern w:val="2"/>
                <w:sz w:val="24"/>
                <w:szCs w:val="24"/>
                <w:highlight w:val="none"/>
                <w:vertAlign w:val="superscript"/>
                <w:lang w:val="en-US" w:eastAsia="zh-CN" w:bidi="ar-SA"/>
              </w:rPr>
              <w:t>2</w:t>
            </w:r>
            <w:r>
              <w:rPr>
                <w:rFonts w:hint="eastAsia" w:cs="Times New Roman" w:eastAsiaTheme="minorEastAsia"/>
                <w:caps w:val="0"/>
                <w:color w:val="auto"/>
                <w:kern w:val="2"/>
                <w:sz w:val="24"/>
                <w:szCs w:val="24"/>
                <w:highlight w:val="none"/>
                <w:lang w:val="en-US" w:eastAsia="zh-CN" w:bidi="ar-SA"/>
              </w:rPr>
              <w:t>，其中三座封闭储煤仓库占地21271m</w:t>
            </w:r>
            <w:r>
              <w:rPr>
                <w:rFonts w:hint="eastAsia" w:cs="Times New Roman" w:eastAsiaTheme="minorEastAsia"/>
                <w:caps w:val="0"/>
                <w:color w:val="auto"/>
                <w:kern w:val="2"/>
                <w:sz w:val="24"/>
                <w:szCs w:val="24"/>
                <w:highlight w:val="none"/>
                <w:vertAlign w:val="superscript"/>
                <w:lang w:val="en-US" w:eastAsia="zh-CN" w:bidi="ar-SA"/>
              </w:rPr>
              <w:t>2</w:t>
            </w:r>
            <w:r>
              <w:rPr>
                <w:rFonts w:hint="eastAsia" w:cs="Times New Roman"/>
                <w:color w:val="auto"/>
                <w:sz w:val="24"/>
                <w:szCs w:val="24"/>
                <w:highlight w:val="none"/>
                <w:lang w:val="en-US" w:eastAsia="zh-CN"/>
              </w:rPr>
              <w:t>；总投资290.5万，其中环保投资75.1万，占总投资的25.8%。建设内容主要包括</w:t>
            </w:r>
            <w:r>
              <w:rPr>
                <w:rFonts w:hint="eastAsia"/>
                <w:highlight w:val="none"/>
                <w:lang w:val="en-US" w:eastAsia="zh-CN"/>
              </w:rPr>
              <w:t>，</w:t>
            </w:r>
            <w:r>
              <w:rPr>
                <w:rFonts w:hint="eastAsia" w:cs="Times New Roman"/>
                <w:color w:val="auto"/>
                <w:sz w:val="24"/>
                <w:szCs w:val="24"/>
                <w:highlight w:val="none"/>
                <w:lang w:val="en-US" w:eastAsia="zh-CN"/>
              </w:rPr>
              <w:t>三座封闭储煤仓库、办公室、门卫和厂界内其他配套设施。铁路专线总计160m，为阜矿集团运输部所有，营运协议见附件9。</w:t>
            </w:r>
            <w:r>
              <w:rPr>
                <w:rFonts w:hint="eastAsia" w:cs="Times New Roman"/>
                <w:color w:val="auto"/>
                <w:sz w:val="24"/>
                <w:szCs w:val="24"/>
                <w:highlight w:val="none"/>
                <w:vertAlign w:val="baseline"/>
                <w:lang w:val="en-US" w:eastAsia="zh-CN"/>
              </w:rPr>
              <w:t>仓库和厂区道路均已硬化</w:t>
            </w:r>
            <w:r>
              <w:rPr>
                <w:rFonts w:hint="eastAsia" w:cs="Times New Roman"/>
                <w:color w:val="auto"/>
                <w:sz w:val="24"/>
                <w:szCs w:val="24"/>
                <w:highlight w:val="none"/>
                <w:lang w:val="en-US" w:eastAsia="zh-CN"/>
              </w:rPr>
              <w:t>。</w:t>
            </w:r>
            <w:r>
              <w:rPr>
                <w:rFonts w:hint="eastAsia" w:cs="Times New Roman"/>
                <w:color w:val="auto"/>
                <w:sz w:val="24"/>
                <w:szCs w:val="24"/>
                <w:highlight w:val="none"/>
                <w:vertAlign w:val="baseline"/>
                <w:lang w:val="en-US" w:eastAsia="zh-CN"/>
              </w:rPr>
              <w:t>本项目依托铁路运入、汽车运出。</w:t>
            </w:r>
            <w:r>
              <w:rPr>
                <w:rFonts w:hint="eastAsia" w:cs="Times New Roman"/>
                <w:color w:val="auto"/>
                <w:sz w:val="24"/>
                <w:szCs w:val="24"/>
                <w:highlight w:val="none"/>
                <w:lang w:val="en-US" w:eastAsia="zh-CN"/>
              </w:rPr>
              <w:t>项目建成后预计年储运煤炭10万吨。</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cs="Times New Roman"/>
                <w:color w:val="auto"/>
                <w:highlight w:val="none"/>
                <w:lang w:val="en-US" w:eastAsia="zh-CN"/>
              </w:rPr>
            </w:pPr>
            <w:r>
              <w:rPr>
                <w:rFonts w:hint="eastAsia" w:cs="Times New Roman"/>
                <w:color w:val="auto"/>
                <w:sz w:val="24"/>
                <w:szCs w:val="24"/>
                <w:highlight w:val="none"/>
                <w:lang w:val="en-US" w:eastAsia="zh-CN"/>
              </w:rPr>
              <w:t>本项目基本情况、主要建设内容详见表2-1。</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rPr>
            </w:pPr>
            <w:r>
              <w:rPr>
                <w:rFonts w:hint="eastAsia"/>
                <w:b/>
                <w:bCs/>
                <w:color w:val="auto"/>
                <w:sz w:val="21"/>
                <w:szCs w:val="21"/>
                <w:highlight w:val="none"/>
              </w:rPr>
              <w:t>表</w:t>
            </w:r>
            <w:r>
              <w:rPr>
                <w:rFonts w:hint="eastAsia"/>
                <w:b/>
                <w:bCs/>
                <w:color w:val="auto"/>
                <w:sz w:val="21"/>
                <w:szCs w:val="21"/>
                <w:highlight w:val="none"/>
                <w:lang w:val="en-US" w:eastAsia="zh-CN"/>
              </w:rPr>
              <w:t>2-1</w:t>
            </w:r>
            <w:r>
              <w:rPr>
                <w:rFonts w:hint="eastAsia"/>
                <w:b/>
                <w:bCs/>
                <w:color w:val="auto"/>
                <w:sz w:val="21"/>
                <w:szCs w:val="21"/>
                <w:highlight w:val="none"/>
              </w:rPr>
              <w:t xml:space="preserve"> </w:t>
            </w:r>
            <w:r>
              <w:rPr>
                <w:rFonts w:hint="eastAsia"/>
                <w:b/>
                <w:bCs/>
                <w:color w:val="auto"/>
                <w:sz w:val="21"/>
                <w:szCs w:val="21"/>
                <w:highlight w:val="none"/>
                <w:lang w:val="en-US" w:eastAsia="zh-CN"/>
              </w:rPr>
              <w:t>项目组成一览表</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613"/>
              <w:gridCol w:w="1345"/>
              <w:gridCol w:w="7"/>
              <w:gridCol w:w="4034"/>
              <w:gridCol w:w="866"/>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1"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工程类别</w:t>
                  </w:r>
                </w:p>
              </w:tc>
              <w:tc>
                <w:tcPr>
                  <w:tcW w:w="937"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名称</w:t>
                  </w:r>
                </w:p>
              </w:tc>
              <w:tc>
                <w:tcPr>
                  <w:tcW w:w="3128" w:type="pct"/>
                  <w:gridSpan w:val="3"/>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主要建设内容</w:t>
                  </w:r>
                </w:p>
              </w:tc>
              <w:tc>
                <w:tcPr>
                  <w:tcW w:w="503"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备注</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1" w:type="pct"/>
                  <w:vMerge w:val="restar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主体工程</w:t>
                  </w:r>
                </w:p>
              </w:tc>
              <w:tc>
                <w:tcPr>
                  <w:tcW w:w="937"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sz w:val="21"/>
                      <w:szCs w:val="21"/>
                      <w:highlight w:val="none"/>
                      <w:lang w:val="en-US" w:eastAsia="zh-CN"/>
                    </w:rPr>
                    <w:t>储煤库1</w:t>
                  </w:r>
                </w:p>
              </w:tc>
              <w:tc>
                <w:tcPr>
                  <w:tcW w:w="3128" w:type="pct"/>
                  <w:gridSpan w:val="3"/>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建筑面积10350m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eastAsia="zh-CN"/>
                    </w:rPr>
                    <w:t>高</w:t>
                  </w:r>
                  <w:r>
                    <w:rPr>
                      <w:rFonts w:hint="default" w:ascii="Times New Roman" w:hAnsi="Times New Roman" w:eastAsia="宋体" w:cs="Times New Roman"/>
                      <w:color w:val="auto"/>
                      <w:sz w:val="21"/>
                      <w:szCs w:val="21"/>
                      <w:highlight w:val="none"/>
                      <w:lang w:val="en-US" w:eastAsia="zh-CN"/>
                    </w:rPr>
                    <w:t>8m，一层，地面均进行硬化和防渗处理。</w:t>
                  </w:r>
                </w:p>
              </w:tc>
              <w:tc>
                <w:tcPr>
                  <w:tcW w:w="503"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1"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937"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储煤库2</w:t>
                  </w:r>
                </w:p>
              </w:tc>
              <w:tc>
                <w:tcPr>
                  <w:tcW w:w="3128" w:type="pct"/>
                  <w:gridSpan w:val="3"/>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建筑面积8046m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lang w:val="en-US" w:eastAsia="zh-CN"/>
                    </w:rPr>
                    <w:t>，高9m，一层，地面均进行硬化和防渗处理。</w:t>
                  </w:r>
                </w:p>
              </w:tc>
              <w:tc>
                <w:tcPr>
                  <w:tcW w:w="503"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31"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937"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sz w:val="21"/>
                      <w:szCs w:val="21"/>
                      <w:highlight w:val="none"/>
                      <w:lang w:val="en-US" w:eastAsia="zh-CN"/>
                    </w:rPr>
                    <w:t>储煤库3</w:t>
                  </w:r>
                </w:p>
              </w:tc>
              <w:tc>
                <w:tcPr>
                  <w:tcW w:w="3128" w:type="pct"/>
                  <w:gridSpan w:val="3"/>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建筑面积2875m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lang w:val="en-US" w:eastAsia="zh-CN"/>
                    </w:rPr>
                    <w:t>，高7m，一层，地面均进行硬化和防渗处理。</w:t>
                  </w:r>
                </w:p>
              </w:tc>
              <w:tc>
                <w:tcPr>
                  <w:tcW w:w="503"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1" w:type="pct"/>
                  <w:vMerge w:val="restar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辅助工程</w:t>
                  </w:r>
                </w:p>
              </w:tc>
              <w:tc>
                <w:tcPr>
                  <w:tcW w:w="937"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办公室</w:t>
                  </w:r>
                </w:p>
              </w:tc>
              <w:tc>
                <w:tcPr>
                  <w:tcW w:w="3128" w:type="pct"/>
                  <w:gridSpan w:val="3"/>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占地</w:t>
                  </w:r>
                  <w:r>
                    <w:rPr>
                      <w:rFonts w:hint="default" w:ascii="Times New Roman" w:hAnsi="Times New Roman" w:eastAsia="宋体" w:cs="Times New Roman"/>
                      <w:color w:val="auto"/>
                      <w:sz w:val="21"/>
                      <w:szCs w:val="21"/>
                      <w:highlight w:val="none"/>
                    </w:rPr>
                    <w:t>面积</w:t>
                  </w:r>
                  <w:r>
                    <w:rPr>
                      <w:rFonts w:hint="default" w:ascii="Times New Roman" w:hAnsi="Times New Roman" w:eastAsia="宋体" w:cs="Times New Roman"/>
                      <w:color w:val="auto"/>
                      <w:sz w:val="21"/>
                      <w:szCs w:val="21"/>
                      <w:highlight w:val="none"/>
                      <w:lang w:val="en-US" w:eastAsia="zh-CN"/>
                    </w:rPr>
                    <w:t>100</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2</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砖混结构。</w:t>
                  </w:r>
                </w:p>
              </w:tc>
              <w:tc>
                <w:tcPr>
                  <w:tcW w:w="503"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1"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937"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门卫</w:t>
                  </w:r>
                </w:p>
              </w:tc>
              <w:tc>
                <w:tcPr>
                  <w:tcW w:w="3128" w:type="pct"/>
                  <w:gridSpan w:val="3"/>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占地40m</w:t>
                  </w:r>
                  <w:r>
                    <w:rPr>
                      <w:rFonts w:hint="eastAsia" w:cs="Times New Roman"/>
                      <w:color w:val="auto"/>
                      <w:sz w:val="21"/>
                      <w:szCs w:val="21"/>
                      <w:highlight w:val="none"/>
                      <w:vertAlign w:val="superscript"/>
                      <w:lang w:val="en-US" w:eastAsia="zh-CN"/>
                    </w:rPr>
                    <w:t>2</w:t>
                  </w:r>
                  <w:r>
                    <w:rPr>
                      <w:rFonts w:hint="eastAsia" w:cs="Times New Roman"/>
                      <w:color w:val="auto"/>
                      <w:sz w:val="21"/>
                      <w:szCs w:val="21"/>
                      <w:highlight w:val="none"/>
                      <w:lang w:val="en-US" w:eastAsia="zh-CN"/>
                    </w:rPr>
                    <w:t>，砖混结构。</w:t>
                  </w:r>
                </w:p>
              </w:tc>
              <w:tc>
                <w:tcPr>
                  <w:tcW w:w="503"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1"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937"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铁路专线</w:t>
                  </w:r>
                </w:p>
              </w:tc>
              <w:tc>
                <w:tcPr>
                  <w:tcW w:w="3128" w:type="pct"/>
                  <w:gridSpan w:val="3"/>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厂界内</w:t>
                  </w:r>
                  <w:r>
                    <w:rPr>
                      <w:rFonts w:hint="default" w:ascii="Times New Roman" w:hAnsi="Times New Roman" w:eastAsia="宋体" w:cs="Times New Roman"/>
                      <w:color w:val="auto"/>
                      <w:sz w:val="21"/>
                      <w:szCs w:val="21"/>
                      <w:highlight w:val="none"/>
                      <w:lang w:val="en-US" w:eastAsia="zh-CN"/>
                    </w:rPr>
                    <w:t>铁路专线</w:t>
                  </w:r>
                </w:p>
              </w:tc>
              <w:tc>
                <w:tcPr>
                  <w:tcW w:w="503"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1" w:type="pct"/>
                  <w:vMerge w:val="restar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公用工程</w:t>
                  </w:r>
                </w:p>
              </w:tc>
              <w:tc>
                <w:tcPr>
                  <w:tcW w:w="937"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供水</w:t>
                  </w:r>
                </w:p>
              </w:tc>
              <w:tc>
                <w:tcPr>
                  <w:tcW w:w="3128" w:type="pct"/>
                  <w:gridSpan w:val="3"/>
                  <w:tcBorders>
                    <w:tl2br w:val="nil"/>
                    <w:tr2bl w:val="nil"/>
                  </w:tcBorders>
                  <w:noWrap w:val="0"/>
                  <w:vAlign w:val="center"/>
                </w:tcPr>
                <w:p>
                  <w:pPr>
                    <w:bidi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项目用水主要为职工的生活用水</w:t>
                  </w:r>
                  <w:r>
                    <w:rPr>
                      <w:rFonts w:hint="eastAsia"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洒水降尘用水</w:t>
                  </w:r>
                  <w:r>
                    <w:rPr>
                      <w:rFonts w:hint="eastAsia" w:cs="Times New Roman"/>
                      <w:color w:val="auto"/>
                      <w:sz w:val="21"/>
                      <w:szCs w:val="21"/>
                      <w:highlight w:val="none"/>
                      <w:lang w:val="en-US" w:eastAsia="zh-CN"/>
                    </w:rPr>
                    <w:t>和洗车用水</w:t>
                  </w:r>
                  <w:r>
                    <w:rPr>
                      <w:rFonts w:hint="default" w:ascii="Times New Roman" w:hAnsi="Times New Roman" w:eastAsia="宋体" w:cs="Times New Roman"/>
                      <w:color w:val="auto"/>
                      <w:sz w:val="21"/>
                      <w:szCs w:val="21"/>
                      <w:highlight w:val="none"/>
                      <w:lang w:val="en-US" w:eastAsia="zh-CN"/>
                    </w:rPr>
                    <w:t>，给水来源主要来自当地市政管网。</w:t>
                  </w:r>
                </w:p>
              </w:tc>
              <w:tc>
                <w:tcPr>
                  <w:tcW w:w="50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1"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937"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供电</w:t>
                  </w:r>
                </w:p>
              </w:tc>
              <w:tc>
                <w:tcPr>
                  <w:tcW w:w="3128" w:type="pct"/>
                  <w:gridSpan w:val="3"/>
                  <w:tcBorders>
                    <w:tl2br w:val="nil"/>
                    <w:tr2bl w:val="nil"/>
                  </w:tcBorders>
                  <w:noWrap w:val="0"/>
                  <w:vAlign w:val="center"/>
                </w:tcPr>
                <w:p>
                  <w:pPr>
                    <w:bidi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由</w:t>
                  </w:r>
                  <w:r>
                    <w:rPr>
                      <w:rFonts w:hint="default" w:ascii="Times New Roman" w:hAnsi="Times New Roman" w:eastAsia="宋体" w:cs="Times New Roman"/>
                      <w:color w:val="auto"/>
                      <w:sz w:val="21"/>
                      <w:szCs w:val="21"/>
                      <w:highlight w:val="none"/>
                      <w:lang w:val="en-US" w:eastAsia="zh-CN"/>
                    </w:rPr>
                    <w:t>当地</w:t>
                  </w:r>
                  <w:r>
                    <w:rPr>
                      <w:rFonts w:hint="default" w:ascii="Times New Roman" w:hAnsi="Times New Roman" w:eastAsia="宋体" w:cs="Times New Roman"/>
                      <w:color w:val="auto"/>
                      <w:sz w:val="21"/>
                      <w:szCs w:val="21"/>
                      <w:highlight w:val="none"/>
                    </w:rPr>
                    <w:t>电网供电</w:t>
                  </w:r>
                </w:p>
              </w:tc>
              <w:tc>
                <w:tcPr>
                  <w:tcW w:w="50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1"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937"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排水</w:t>
                  </w:r>
                </w:p>
              </w:tc>
              <w:tc>
                <w:tcPr>
                  <w:tcW w:w="785" w:type="pct"/>
                  <w:gridSpan w:val="2"/>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生活废水</w:t>
                  </w:r>
                </w:p>
              </w:tc>
              <w:tc>
                <w:tcPr>
                  <w:tcW w:w="234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本项目生活污水排入</w:t>
                  </w:r>
                  <w:r>
                    <w:rPr>
                      <w:rFonts w:hint="eastAsia" w:cs="Times New Roman"/>
                      <w:color w:val="auto"/>
                      <w:sz w:val="21"/>
                      <w:szCs w:val="21"/>
                      <w:highlight w:val="none"/>
                      <w:lang w:val="en-US" w:eastAsia="zh-CN"/>
                    </w:rPr>
                    <w:t>化粪池</w:t>
                  </w:r>
                  <w:r>
                    <w:rPr>
                      <w:rFonts w:hint="default" w:ascii="Times New Roman" w:hAnsi="Times New Roman" w:eastAsia="宋体" w:cs="Times New Roman"/>
                      <w:color w:val="auto"/>
                      <w:sz w:val="21"/>
                      <w:szCs w:val="21"/>
                      <w:highlight w:val="none"/>
                      <w:lang w:val="en-US" w:eastAsia="zh-CN"/>
                    </w:rPr>
                    <w:t>，定期委托清掏。</w:t>
                  </w:r>
                </w:p>
              </w:tc>
              <w:tc>
                <w:tcPr>
                  <w:tcW w:w="50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1"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937"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785" w:type="pct"/>
                  <w:gridSpan w:val="2"/>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生产废水</w:t>
                  </w:r>
                </w:p>
              </w:tc>
              <w:tc>
                <w:tcPr>
                  <w:tcW w:w="234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洗车废水经二级沉淀池处理后回用，煤泥定期清掏作为产品与煤炭一同外售。</w:t>
                  </w:r>
                </w:p>
              </w:tc>
              <w:tc>
                <w:tcPr>
                  <w:tcW w:w="503" w:type="pct"/>
                  <w:tcBorders>
                    <w:tl2br w:val="nil"/>
                    <w:tr2bl w:val="nil"/>
                  </w:tcBorders>
                  <w:noWrap w:val="0"/>
                  <w:vAlign w:val="center"/>
                </w:tcPr>
                <w:p>
                  <w:pPr>
                    <w:adjustRightInd w:val="0"/>
                    <w:snapToGrid w:val="0"/>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1"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937"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采暖</w:t>
                  </w:r>
                </w:p>
              </w:tc>
              <w:tc>
                <w:tcPr>
                  <w:tcW w:w="3128" w:type="pct"/>
                  <w:gridSpan w:val="3"/>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本项目生产不需供暖；办公室采用电取暖</w:t>
                  </w:r>
                </w:p>
              </w:tc>
              <w:tc>
                <w:tcPr>
                  <w:tcW w:w="50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431" w:type="pct"/>
                  <w:vMerge w:val="restar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环保工程</w:t>
                  </w:r>
                </w:p>
              </w:tc>
              <w:tc>
                <w:tcPr>
                  <w:tcW w:w="93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废气</w:t>
                  </w:r>
                </w:p>
              </w:tc>
              <w:tc>
                <w:tcPr>
                  <w:tcW w:w="78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粉尘</w:t>
                  </w:r>
                </w:p>
              </w:tc>
              <w:tc>
                <w:tcPr>
                  <w:tcW w:w="2347" w:type="pct"/>
                  <w:gridSpan w:val="2"/>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卸料扬尘采用雾炮机、</w:t>
                  </w:r>
                  <w:r>
                    <w:rPr>
                      <w:rFonts w:hint="eastAsia"/>
                      <w:color w:val="auto"/>
                      <w:sz w:val="21"/>
                      <w:szCs w:val="21"/>
                      <w:highlight w:val="none"/>
                      <w:lang w:val="en-US" w:eastAsia="zh-CN"/>
                    </w:rPr>
                    <w:t>半封闭卸料口和密闭传送带</w:t>
                  </w:r>
                  <w:r>
                    <w:rPr>
                      <w:rFonts w:hint="eastAsia" w:cs="Times New Roman"/>
                      <w:color w:val="auto"/>
                      <w:sz w:val="21"/>
                      <w:szCs w:val="21"/>
                      <w:highlight w:val="none"/>
                      <w:lang w:val="en-US" w:eastAsia="zh-CN"/>
                    </w:rPr>
                    <w:t>进行控制，</w:t>
                  </w:r>
                  <w:r>
                    <w:rPr>
                      <w:rFonts w:hint="default" w:ascii="Times New Roman" w:hAnsi="Times New Roman" w:eastAsia="宋体" w:cs="Times New Roman"/>
                      <w:color w:val="auto"/>
                      <w:sz w:val="21"/>
                      <w:szCs w:val="21"/>
                      <w:highlight w:val="none"/>
                      <w:lang w:val="en-US" w:eastAsia="zh-CN"/>
                    </w:rPr>
                    <w:t>堆存扬尘主要采用</w:t>
                  </w:r>
                  <w:r>
                    <w:rPr>
                      <w:rFonts w:hint="eastAsia" w:cs="Times New Roman"/>
                      <w:color w:val="auto"/>
                      <w:sz w:val="21"/>
                      <w:szCs w:val="21"/>
                      <w:highlight w:val="none"/>
                      <w:lang w:val="en-US" w:eastAsia="zh-CN"/>
                    </w:rPr>
                    <w:t>洒水车、雾炮机等洒水喷淋设施</w:t>
                  </w:r>
                  <w:r>
                    <w:rPr>
                      <w:rFonts w:hint="default" w:ascii="Times New Roman" w:hAnsi="Times New Roman" w:eastAsia="宋体" w:cs="Times New Roman"/>
                      <w:color w:val="auto"/>
                      <w:sz w:val="21"/>
                      <w:szCs w:val="21"/>
                      <w:highlight w:val="none"/>
                      <w:lang w:val="en-US" w:eastAsia="zh-CN"/>
                    </w:rPr>
                    <w:t>和密闭厂房，道路扬尘依托洒水车</w:t>
                  </w:r>
                  <w:r>
                    <w:rPr>
                      <w:rFonts w:hint="eastAsia" w:ascii="Times New Roman" w:hAnsi="Times New Roman" w:eastAsia="宋体" w:cs="Times New Roman"/>
                      <w:color w:val="auto"/>
                      <w:sz w:val="21"/>
                      <w:szCs w:val="21"/>
                      <w:highlight w:val="none"/>
                      <w:lang w:val="en-US" w:eastAsia="zh-CN"/>
                    </w:rPr>
                    <w:t>降尘，</w:t>
                  </w:r>
                  <w:r>
                    <w:rPr>
                      <w:rFonts w:hint="eastAsia" w:cs="Times New Roman"/>
                      <w:color w:val="auto"/>
                      <w:sz w:val="21"/>
                      <w:szCs w:val="21"/>
                      <w:highlight w:val="none"/>
                      <w:lang w:val="en-US" w:eastAsia="zh-CN"/>
                    </w:rPr>
                    <w:t>仓库和道路均采取硬化措施。</w:t>
                  </w:r>
                </w:p>
              </w:tc>
              <w:tc>
                <w:tcPr>
                  <w:tcW w:w="503"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431"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937" w:type="pct"/>
                  <w:vMerge w:val="restar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废水</w:t>
                  </w:r>
                </w:p>
              </w:tc>
              <w:tc>
                <w:tcPr>
                  <w:tcW w:w="78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生活废水</w:t>
                  </w:r>
                </w:p>
              </w:tc>
              <w:tc>
                <w:tcPr>
                  <w:tcW w:w="2347" w:type="pct"/>
                  <w:gridSpan w:val="2"/>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w:t>
                  </w:r>
                  <w:r>
                    <w:rPr>
                      <w:rFonts w:hint="eastAsia" w:ascii="Times New Roman" w:hAnsi="Times New Roman" w:eastAsia="宋体" w:cs="Times New Roman"/>
                      <w:sz w:val="21"/>
                      <w:szCs w:val="21"/>
                      <w:highlight w:val="none"/>
                      <w:lang w:val="en-US" w:eastAsia="zh-CN"/>
                    </w:rPr>
                    <w:t>生活污水</w:t>
                  </w:r>
                  <w:r>
                    <w:rPr>
                      <w:rFonts w:hint="eastAsia" w:ascii="Times New Roman" w:hAnsi="Times New Roman" w:eastAsia="宋体" w:cs="Times New Roman"/>
                      <w:color w:val="auto"/>
                      <w:sz w:val="21"/>
                      <w:szCs w:val="21"/>
                      <w:highlight w:val="none"/>
                      <w:lang w:val="en-US" w:eastAsia="zh-CN"/>
                    </w:rPr>
                    <w:t>排入</w:t>
                  </w:r>
                  <w:r>
                    <w:rPr>
                      <w:rFonts w:hint="eastAsia" w:cs="Times New Roman"/>
                      <w:color w:val="auto"/>
                      <w:sz w:val="21"/>
                      <w:szCs w:val="21"/>
                      <w:highlight w:val="none"/>
                      <w:lang w:val="en-US" w:eastAsia="zh-CN"/>
                    </w:rPr>
                    <w:t>化粪池，</w:t>
                  </w:r>
                  <w:r>
                    <w:rPr>
                      <w:rFonts w:hint="eastAsia" w:ascii="Times New Roman" w:hAnsi="Times New Roman" w:eastAsia="宋体" w:cs="Times New Roman"/>
                      <w:color w:val="auto"/>
                      <w:sz w:val="21"/>
                      <w:szCs w:val="21"/>
                      <w:highlight w:val="none"/>
                      <w:lang w:val="en-US" w:eastAsia="zh-CN"/>
                    </w:rPr>
                    <w:t>定期</w:t>
                  </w:r>
                  <w:r>
                    <w:rPr>
                      <w:rFonts w:hint="eastAsia" w:cs="Times New Roman"/>
                      <w:color w:val="auto"/>
                      <w:sz w:val="21"/>
                      <w:szCs w:val="21"/>
                      <w:highlight w:val="none"/>
                      <w:lang w:val="en-US" w:eastAsia="zh-CN"/>
                    </w:rPr>
                    <w:t>外委清掏。</w:t>
                  </w:r>
                </w:p>
              </w:tc>
              <w:tc>
                <w:tcPr>
                  <w:tcW w:w="503"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431"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937" w:type="pct"/>
                  <w:vMerge w:val="continue"/>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rPr>
                  </w:pPr>
                </w:p>
              </w:tc>
              <w:tc>
                <w:tcPr>
                  <w:tcW w:w="78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生产废水</w:t>
                  </w:r>
                </w:p>
              </w:tc>
              <w:tc>
                <w:tcPr>
                  <w:tcW w:w="2347" w:type="pct"/>
                  <w:gridSpan w:val="2"/>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本项目新建二级沉淀废水处理措施，主要包括两个80m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lang w:val="en-US" w:eastAsia="zh-CN"/>
                    </w:rPr>
                    <w:t>的沉淀水池，一个65m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lang w:val="en-US" w:eastAsia="zh-CN"/>
                    </w:rPr>
                    <w:t>的回用水暂存池，废水处理后回用，煤泥定期清掏作为产品与煤炭一同外售。</w:t>
                  </w:r>
                </w:p>
              </w:tc>
              <w:tc>
                <w:tcPr>
                  <w:tcW w:w="503" w:type="pct"/>
                  <w:tcBorders>
                    <w:tl2br w:val="nil"/>
                    <w:tr2bl w:val="nil"/>
                  </w:tcBorders>
                  <w:noWrap w:val="0"/>
                  <w:vAlign w:val="center"/>
                </w:tcPr>
                <w:p>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431"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93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噪声</w:t>
                  </w:r>
                </w:p>
              </w:tc>
              <w:tc>
                <w:tcPr>
                  <w:tcW w:w="3128" w:type="pct"/>
                  <w:gridSpan w:val="3"/>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本项目主要采用低噪设备</w:t>
                  </w:r>
                  <w:r>
                    <w:rPr>
                      <w:rFonts w:hint="eastAsia" w:cs="Times New Roman"/>
                      <w:color w:val="auto"/>
                      <w:sz w:val="21"/>
                      <w:szCs w:val="21"/>
                      <w:highlight w:val="none"/>
                      <w:lang w:val="en-US" w:eastAsia="zh-CN"/>
                    </w:rPr>
                    <w:t>、加强维护、</w:t>
                  </w:r>
                  <w:r>
                    <w:rPr>
                      <w:rFonts w:hint="default" w:ascii="Times New Roman" w:hAnsi="Times New Roman" w:eastAsia="宋体" w:cs="Times New Roman"/>
                      <w:color w:val="auto"/>
                      <w:sz w:val="21"/>
                      <w:szCs w:val="21"/>
                      <w:highlight w:val="none"/>
                      <w:lang w:val="en-US" w:eastAsia="zh-CN"/>
                    </w:rPr>
                    <w:t>厂房隔声等降噪措施</w:t>
                  </w:r>
                  <w:r>
                    <w:rPr>
                      <w:rFonts w:hint="eastAsia" w:cs="Times New Roman"/>
                      <w:color w:val="auto"/>
                      <w:sz w:val="21"/>
                      <w:szCs w:val="21"/>
                      <w:highlight w:val="none"/>
                      <w:lang w:val="en-US" w:eastAsia="zh-CN"/>
                    </w:rPr>
                    <w:t>。同时</w:t>
                  </w:r>
                  <w:r>
                    <w:rPr>
                      <w:rFonts w:hint="default" w:ascii="Times New Roman" w:hAnsi="Times New Roman" w:eastAsia="宋体" w:cs="Times New Roman"/>
                      <w:color w:val="auto"/>
                      <w:sz w:val="21"/>
                      <w:szCs w:val="21"/>
                      <w:highlight w:val="none"/>
                      <w:lang w:val="en-US" w:eastAsia="zh-CN"/>
                    </w:rPr>
                    <w:t>限制车速</w:t>
                  </w:r>
                  <w:r>
                    <w:rPr>
                      <w:rFonts w:hint="eastAsia"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禁止鸣笛。</w:t>
                  </w:r>
                </w:p>
              </w:tc>
              <w:tc>
                <w:tcPr>
                  <w:tcW w:w="503"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431"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93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固废</w:t>
                  </w:r>
                </w:p>
              </w:tc>
              <w:tc>
                <w:tcPr>
                  <w:tcW w:w="3128" w:type="pct"/>
                  <w:gridSpan w:val="3"/>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生活垃圾投入封闭垃圾箱，统一交由环卫处理。厂内不设机修，无</w:t>
                  </w:r>
                  <w:r>
                    <w:rPr>
                      <w:rFonts w:hint="eastAsia" w:cs="Times New Roman"/>
                      <w:color w:val="auto"/>
                      <w:sz w:val="21"/>
                      <w:szCs w:val="21"/>
                      <w:highlight w:val="none"/>
                      <w:lang w:val="en-US" w:eastAsia="zh-CN"/>
                    </w:rPr>
                    <w:t>废机油等</w:t>
                  </w:r>
                  <w:r>
                    <w:rPr>
                      <w:rFonts w:hint="default" w:ascii="Times New Roman" w:hAnsi="Times New Roman" w:eastAsia="宋体" w:cs="Times New Roman"/>
                      <w:color w:val="auto"/>
                      <w:sz w:val="21"/>
                      <w:szCs w:val="21"/>
                      <w:highlight w:val="none"/>
                      <w:lang w:val="en-US" w:eastAsia="zh-CN"/>
                    </w:rPr>
                    <w:t>危废产生。</w:t>
                  </w:r>
                </w:p>
              </w:tc>
              <w:tc>
                <w:tcPr>
                  <w:tcW w:w="503"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新建</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240" w:lineRule="auto"/>
              <w:textAlignment w:val="auto"/>
              <w:rPr>
                <w:rFonts w:hint="eastAsia"/>
                <w:b/>
                <w:bCs/>
                <w:color w:val="auto"/>
                <w:highlight w:val="none"/>
                <w:lang w:val="en-US" w:eastAsia="zh-CN"/>
              </w:rPr>
            </w:pPr>
            <w:r>
              <w:rPr>
                <w:rFonts w:hint="eastAsia"/>
                <w:b/>
                <w:bCs/>
                <w:color w:val="auto"/>
                <w:highlight w:val="none"/>
                <w:lang w:val="en-US" w:eastAsia="zh-CN"/>
              </w:rPr>
              <w:t>2、主要设备</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rPr>
              <w:t>表</w:t>
            </w:r>
            <w:r>
              <w:rPr>
                <w:rFonts w:hint="eastAsia"/>
                <w:b/>
                <w:bCs/>
                <w:color w:val="auto"/>
                <w:sz w:val="21"/>
                <w:szCs w:val="21"/>
                <w:highlight w:val="none"/>
                <w:lang w:val="en-US" w:eastAsia="zh-CN"/>
              </w:rPr>
              <w:t>2-2</w:t>
            </w:r>
            <w:r>
              <w:rPr>
                <w:rFonts w:hint="eastAsia"/>
                <w:b/>
                <w:bCs/>
                <w:color w:val="auto"/>
                <w:sz w:val="21"/>
                <w:szCs w:val="21"/>
                <w:highlight w:val="none"/>
              </w:rPr>
              <w:t xml:space="preserve"> </w:t>
            </w:r>
            <w:r>
              <w:rPr>
                <w:rFonts w:hint="eastAsia"/>
                <w:b/>
                <w:bCs/>
                <w:color w:val="auto"/>
                <w:sz w:val="21"/>
                <w:szCs w:val="21"/>
                <w:highlight w:val="none"/>
                <w:lang w:eastAsia="zh-CN"/>
              </w:rPr>
              <w:t>主</w:t>
            </w:r>
            <w:r>
              <w:rPr>
                <w:rFonts w:hint="eastAsia"/>
                <w:b/>
                <w:bCs/>
                <w:color w:val="auto"/>
                <w:sz w:val="21"/>
                <w:szCs w:val="21"/>
                <w:highlight w:val="none"/>
                <w:lang w:val="en-US" w:eastAsia="zh-CN"/>
              </w:rPr>
              <w:t>要</w:t>
            </w:r>
            <w:r>
              <w:rPr>
                <w:rFonts w:hint="eastAsia"/>
                <w:b/>
                <w:bCs/>
                <w:color w:val="auto"/>
                <w:sz w:val="21"/>
                <w:szCs w:val="21"/>
                <w:highlight w:val="none"/>
                <w:lang w:eastAsia="zh-CN"/>
              </w:rPr>
              <w:t>设备一览表</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65"/>
              <w:gridCol w:w="1732"/>
              <w:gridCol w:w="3942"/>
              <w:gridCol w:w="2268"/>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lang w:eastAsia="zh-CN"/>
                    </w:rPr>
                    <w:t>序号</w:t>
                  </w:r>
                </w:p>
              </w:tc>
              <w:tc>
                <w:tcPr>
                  <w:tcW w:w="10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eastAsia="zh-CN"/>
                    </w:rPr>
                    <w:t>名称</w:t>
                  </w:r>
                </w:p>
              </w:tc>
              <w:tc>
                <w:tcPr>
                  <w:tcW w:w="228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lang w:eastAsia="zh-CN"/>
                    </w:rPr>
                    <w:t>型号</w:t>
                  </w:r>
                  <w:r>
                    <w:rPr>
                      <w:rFonts w:hint="eastAsia"/>
                      <w:b/>
                      <w:bCs/>
                      <w:color w:val="auto"/>
                      <w:sz w:val="21"/>
                      <w:szCs w:val="21"/>
                      <w:highlight w:val="none"/>
                      <w:lang w:val="en-US" w:eastAsia="zh-CN"/>
                    </w:rPr>
                    <w:t>/</w:t>
                  </w:r>
                  <w:r>
                    <w:rPr>
                      <w:rFonts w:hint="eastAsia"/>
                      <w:b/>
                      <w:bCs/>
                      <w:color w:val="auto"/>
                      <w:sz w:val="21"/>
                      <w:szCs w:val="21"/>
                      <w:highlight w:val="none"/>
                      <w:lang w:eastAsia="zh-CN"/>
                    </w:rPr>
                    <w:t>参数</w:t>
                  </w:r>
                </w:p>
              </w:tc>
              <w:tc>
                <w:tcPr>
                  <w:tcW w:w="131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lang w:val="en-US" w:eastAsia="zh-CN"/>
                    </w:rPr>
                    <w:t>数量</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1</w:t>
                  </w:r>
                </w:p>
              </w:tc>
              <w:tc>
                <w:tcPr>
                  <w:tcW w:w="10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装载机</w:t>
                  </w:r>
                </w:p>
              </w:tc>
              <w:tc>
                <w:tcPr>
                  <w:tcW w:w="228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50型</w:t>
                  </w:r>
                </w:p>
              </w:tc>
              <w:tc>
                <w:tcPr>
                  <w:tcW w:w="131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eastAsia="zh-CN"/>
                    </w:rPr>
                  </w:pPr>
                  <w:r>
                    <w:rPr>
                      <w:rFonts w:hint="eastAsia"/>
                      <w:color w:val="auto"/>
                      <w:sz w:val="21"/>
                      <w:szCs w:val="21"/>
                      <w:highlight w:val="none"/>
                      <w:lang w:val="en-US" w:eastAsia="zh-CN"/>
                    </w:rPr>
                    <w:t>4台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2</w:t>
                  </w:r>
                </w:p>
              </w:tc>
              <w:tc>
                <w:tcPr>
                  <w:tcW w:w="10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贝式挖掘机</w:t>
                  </w:r>
                </w:p>
              </w:tc>
              <w:tc>
                <w:tcPr>
                  <w:tcW w:w="228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 xml:space="preserve">460、360、225型 </w:t>
                  </w:r>
                </w:p>
              </w:tc>
              <w:tc>
                <w:tcPr>
                  <w:tcW w:w="131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3台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3</w:t>
                  </w:r>
                </w:p>
              </w:tc>
              <w:tc>
                <w:tcPr>
                  <w:tcW w:w="10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自卸车</w:t>
                  </w:r>
                </w:p>
              </w:tc>
              <w:tc>
                <w:tcPr>
                  <w:tcW w:w="228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w:t>
                  </w:r>
                </w:p>
              </w:tc>
              <w:tc>
                <w:tcPr>
                  <w:tcW w:w="131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6台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4</w:t>
                  </w:r>
                </w:p>
              </w:tc>
              <w:tc>
                <w:tcPr>
                  <w:tcW w:w="10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汽车衡</w:t>
                  </w:r>
                </w:p>
              </w:tc>
              <w:tc>
                <w:tcPr>
                  <w:tcW w:w="228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w:t>
                  </w:r>
                </w:p>
              </w:tc>
              <w:tc>
                <w:tcPr>
                  <w:tcW w:w="131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1台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7</w:t>
                  </w:r>
                </w:p>
              </w:tc>
              <w:tc>
                <w:tcPr>
                  <w:tcW w:w="10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洒水车</w:t>
                  </w:r>
                </w:p>
              </w:tc>
              <w:tc>
                <w:tcPr>
                  <w:tcW w:w="228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20m</w:t>
                  </w:r>
                  <w:r>
                    <w:rPr>
                      <w:rFonts w:hint="eastAsia"/>
                      <w:color w:val="auto"/>
                      <w:sz w:val="21"/>
                      <w:szCs w:val="21"/>
                      <w:highlight w:val="none"/>
                      <w:vertAlign w:val="superscript"/>
                      <w:lang w:val="en-US" w:eastAsia="zh-CN"/>
                    </w:rPr>
                    <w:t>3</w:t>
                  </w:r>
                </w:p>
              </w:tc>
              <w:tc>
                <w:tcPr>
                  <w:tcW w:w="131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1辆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8</w:t>
                  </w:r>
                </w:p>
              </w:tc>
              <w:tc>
                <w:tcPr>
                  <w:tcW w:w="10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移动雾炮机</w:t>
                  </w:r>
                </w:p>
              </w:tc>
              <w:tc>
                <w:tcPr>
                  <w:tcW w:w="228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射程50m，流量200L/min；</w:t>
                  </w:r>
                </w:p>
              </w:tc>
              <w:tc>
                <w:tcPr>
                  <w:tcW w:w="131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5台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9</w:t>
                  </w:r>
                </w:p>
              </w:tc>
              <w:tc>
                <w:tcPr>
                  <w:tcW w:w="10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煤堆水分测量仪</w:t>
                  </w:r>
                </w:p>
              </w:tc>
              <w:tc>
                <w:tcPr>
                  <w:tcW w:w="228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DH566</w:t>
                  </w:r>
                </w:p>
              </w:tc>
              <w:tc>
                <w:tcPr>
                  <w:tcW w:w="131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2部</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10</w:t>
                  </w:r>
                </w:p>
              </w:tc>
              <w:tc>
                <w:tcPr>
                  <w:tcW w:w="10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洗车设备</w:t>
                  </w:r>
                </w:p>
              </w:tc>
              <w:tc>
                <w:tcPr>
                  <w:tcW w:w="228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31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1台</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textAlignment w:val="auto"/>
              <w:rPr>
                <w:rFonts w:hint="eastAsia" w:cs="Times New Roman"/>
                <w:b/>
                <w:bCs/>
                <w:color w:val="auto"/>
                <w:kern w:val="2"/>
                <w:sz w:val="13"/>
                <w:szCs w:val="13"/>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textAlignment w:val="auto"/>
              <w:rPr>
                <w:rFonts w:hint="eastAsia"/>
                <w:b/>
                <w:bCs/>
                <w:color w:val="auto"/>
                <w:highlight w:val="none"/>
              </w:rPr>
            </w:pPr>
            <w:r>
              <w:rPr>
                <w:rFonts w:hint="eastAsia" w:cs="Times New Roman"/>
                <w:b/>
                <w:bCs/>
                <w:color w:val="auto"/>
                <w:kern w:val="2"/>
                <w:sz w:val="24"/>
                <w:szCs w:val="24"/>
                <w:highlight w:val="none"/>
                <w:lang w:val="en-US" w:eastAsia="zh-CN" w:bidi="ar-SA"/>
              </w:rPr>
              <w:t>3</w:t>
            </w:r>
            <w:r>
              <w:rPr>
                <w:rFonts w:hint="eastAsia" w:ascii="Times New Roman" w:hAnsi="Times New Roman" w:eastAsia="宋体" w:cs="Times New Roman"/>
                <w:b/>
                <w:bCs/>
                <w:color w:val="auto"/>
                <w:kern w:val="2"/>
                <w:sz w:val="24"/>
                <w:szCs w:val="24"/>
                <w:highlight w:val="none"/>
                <w:lang w:val="en-US" w:eastAsia="zh-CN" w:bidi="ar-SA"/>
              </w:rPr>
              <w:t>、</w:t>
            </w:r>
            <w:r>
              <w:rPr>
                <w:rFonts w:hint="eastAsia"/>
                <w:b/>
                <w:bCs/>
                <w:color w:val="auto"/>
                <w:highlight w:val="none"/>
              </w:rPr>
              <w:t>主要原料和能源消耗</w:t>
            </w:r>
          </w:p>
          <w:p>
            <w:pPr>
              <w:pStyle w:val="2"/>
              <w:keepNext w:val="0"/>
              <w:keepLines w:val="0"/>
              <w:pageBreakBefore w:val="0"/>
              <w:widowControl w:val="0"/>
              <w:kinsoku/>
              <w:wordWrap/>
              <w:overflowPunct/>
              <w:topLinePunct w:val="0"/>
              <w:autoSpaceDE/>
              <w:autoSpaceDN/>
              <w:bidi w:val="0"/>
              <w:adjustRightInd/>
              <w:snapToGrid/>
              <w:spacing w:before="0" w:line="360" w:lineRule="auto"/>
              <w:ind w:right="0"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val="en-US" w:eastAsia="zh-CN"/>
              </w:rPr>
              <w:t>本项目储运的原材料为恒大煤矿烟煤，无其他辅料，项目原材料消耗情况详见表2-3，项目能源消耗情况见表2-4。</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rPr>
              <w:t>表</w:t>
            </w:r>
            <w:r>
              <w:rPr>
                <w:rFonts w:hint="eastAsia"/>
                <w:b/>
                <w:bCs/>
                <w:color w:val="auto"/>
                <w:sz w:val="21"/>
                <w:szCs w:val="21"/>
                <w:highlight w:val="none"/>
                <w:lang w:val="en-US" w:eastAsia="zh-CN"/>
              </w:rPr>
              <w:t>2-3</w:t>
            </w:r>
            <w:r>
              <w:rPr>
                <w:rFonts w:hint="eastAsia"/>
                <w:b/>
                <w:bCs/>
                <w:color w:val="auto"/>
                <w:sz w:val="21"/>
                <w:szCs w:val="21"/>
                <w:highlight w:val="none"/>
              </w:rPr>
              <w:t xml:space="preserve"> </w:t>
            </w:r>
            <w:r>
              <w:rPr>
                <w:rFonts w:hint="eastAsia"/>
                <w:b/>
                <w:bCs/>
                <w:color w:val="auto"/>
                <w:sz w:val="21"/>
                <w:szCs w:val="21"/>
                <w:highlight w:val="none"/>
                <w:lang w:eastAsia="zh-CN"/>
              </w:rPr>
              <w:t>原材料消耗情况一览表</w:t>
            </w:r>
          </w:p>
          <w:tbl>
            <w:tblPr>
              <w:tblStyle w:val="21"/>
              <w:tblW w:w="4994"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84"/>
              <w:gridCol w:w="1065"/>
              <w:gridCol w:w="1358"/>
              <w:gridCol w:w="1509"/>
              <w:gridCol w:w="1296"/>
              <w:gridCol w:w="2388"/>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572" w:type="pct"/>
                  <w:tcBorders>
                    <w:tl2br w:val="nil"/>
                    <w:tr2bl w:val="nil"/>
                  </w:tcBorders>
                  <w:noWrap w:val="0"/>
                  <w:vAlign w:val="center"/>
                </w:tcPr>
                <w:p>
                  <w:pPr>
                    <w:jc w:val="center"/>
                    <w:rPr>
                      <w:b/>
                      <w:bCs/>
                      <w:color w:val="auto"/>
                      <w:sz w:val="21"/>
                      <w:szCs w:val="21"/>
                      <w:highlight w:val="none"/>
                    </w:rPr>
                  </w:pPr>
                  <w:r>
                    <w:rPr>
                      <w:rFonts w:hint="eastAsia"/>
                      <w:b/>
                      <w:bCs/>
                      <w:color w:val="auto"/>
                      <w:sz w:val="21"/>
                      <w:szCs w:val="21"/>
                      <w:highlight w:val="none"/>
                      <w:lang w:eastAsia="zh-CN"/>
                    </w:rPr>
                    <w:t>产品</w:t>
                  </w:r>
                  <w:r>
                    <w:rPr>
                      <w:rFonts w:hint="default"/>
                      <w:b/>
                      <w:bCs/>
                      <w:color w:val="auto"/>
                      <w:sz w:val="21"/>
                      <w:szCs w:val="21"/>
                      <w:highlight w:val="none"/>
                    </w:rPr>
                    <w:t>名称</w:t>
                  </w:r>
                </w:p>
              </w:tc>
              <w:tc>
                <w:tcPr>
                  <w:tcW w:w="619"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ind w:left="0" w:leftChars="0" w:right="0" w:firstLine="0" w:firstLineChars="0"/>
                    <w:jc w:val="center"/>
                    <w:textAlignment w:val="auto"/>
                    <w:rPr>
                      <w:rFonts w:hint="eastAsia"/>
                      <w:b/>
                      <w:bCs/>
                      <w:color w:val="auto"/>
                      <w:sz w:val="21"/>
                      <w:szCs w:val="21"/>
                      <w:highlight w:val="none"/>
                      <w:lang w:val="en-US" w:eastAsia="zh-CN"/>
                    </w:rPr>
                  </w:pPr>
                  <w:r>
                    <w:rPr>
                      <w:rFonts w:hint="eastAsia"/>
                      <w:b/>
                      <w:bCs/>
                      <w:color w:val="auto"/>
                      <w:sz w:val="21"/>
                      <w:szCs w:val="21"/>
                      <w:highlight w:val="none"/>
                      <w:lang w:eastAsia="zh-CN"/>
                    </w:rPr>
                    <w:t>消耗量</w:t>
                  </w:r>
                  <w:r>
                    <w:rPr>
                      <w:rFonts w:hint="default"/>
                      <w:b/>
                      <w:bCs/>
                      <w:color w:val="auto"/>
                      <w:sz w:val="21"/>
                      <w:szCs w:val="21"/>
                      <w:highlight w:val="none"/>
                    </w:rPr>
                    <w:t>(t/a)</w:t>
                  </w:r>
                </w:p>
              </w:tc>
              <w:tc>
                <w:tcPr>
                  <w:tcW w:w="789"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ind w:left="0" w:leftChars="0" w:right="0" w:firstLine="0" w:firstLineChars="0"/>
                    <w:jc w:val="center"/>
                    <w:textAlignment w:val="auto"/>
                    <w:rPr>
                      <w:rFonts w:hint="eastAsia"/>
                      <w:b/>
                      <w:bCs/>
                      <w:color w:val="auto"/>
                      <w:sz w:val="21"/>
                      <w:szCs w:val="21"/>
                      <w:highlight w:val="none"/>
                      <w:lang w:eastAsia="zh-CN"/>
                    </w:rPr>
                  </w:pPr>
                  <w:r>
                    <w:rPr>
                      <w:rFonts w:hint="eastAsia"/>
                      <w:b/>
                      <w:bCs/>
                      <w:color w:val="auto"/>
                      <w:sz w:val="21"/>
                      <w:szCs w:val="21"/>
                      <w:highlight w:val="none"/>
                      <w:lang w:eastAsia="zh-CN"/>
                    </w:rPr>
                    <w:t>规格或性状</w:t>
                  </w:r>
                </w:p>
              </w:tc>
              <w:tc>
                <w:tcPr>
                  <w:tcW w:w="877" w:type="pct"/>
                  <w:tcBorders>
                    <w:tl2br w:val="nil"/>
                    <w:tr2bl w:val="nil"/>
                  </w:tcBorders>
                  <w:noWrap w:val="0"/>
                  <w:vAlign w:val="center"/>
                </w:tcPr>
                <w:p>
                  <w:pPr>
                    <w:jc w:val="center"/>
                    <w:rPr>
                      <w:rFonts w:hint="eastAsia"/>
                      <w:b/>
                      <w:bCs/>
                      <w:color w:val="auto"/>
                      <w:sz w:val="21"/>
                      <w:szCs w:val="21"/>
                      <w:highlight w:val="none"/>
                      <w:lang w:eastAsia="zh-CN"/>
                    </w:rPr>
                  </w:pPr>
                  <w:r>
                    <w:rPr>
                      <w:rFonts w:hint="eastAsia"/>
                      <w:b/>
                      <w:bCs/>
                      <w:color w:val="auto"/>
                      <w:sz w:val="21"/>
                      <w:szCs w:val="21"/>
                      <w:highlight w:val="none"/>
                      <w:lang w:eastAsia="zh-CN"/>
                    </w:rPr>
                    <w:t>运输方式</w:t>
                  </w:r>
                </w:p>
              </w:tc>
              <w:tc>
                <w:tcPr>
                  <w:tcW w:w="753" w:type="pct"/>
                  <w:tcBorders>
                    <w:tl2br w:val="nil"/>
                    <w:tr2bl w:val="nil"/>
                  </w:tcBorders>
                  <w:noWrap w:val="0"/>
                  <w:vAlign w:val="center"/>
                </w:tcPr>
                <w:p>
                  <w:pPr>
                    <w:jc w:val="center"/>
                    <w:rPr>
                      <w:rFonts w:hint="eastAsia"/>
                      <w:b/>
                      <w:bCs/>
                      <w:color w:val="auto"/>
                      <w:sz w:val="21"/>
                      <w:szCs w:val="21"/>
                      <w:highlight w:val="none"/>
                      <w:lang w:eastAsia="zh-CN"/>
                    </w:rPr>
                  </w:pPr>
                  <w:r>
                    <w:rPr>
                      <w:rFonts w:hint="eastAsia"/>
                      <w:b/>
                      <w:bCs/>
                      <w:color w:val="auto"/>
                      <w:sz w:val="21"/>
                      <w:szCs w:val="21"/>
                      <w:highlight w:val="none"/>
                      <w:lang w:eastAsia="zh-CN"/>
                    </w:rPr>
                    <w:t>储存方式</w:t>
                  </w:r>
                </w:p>
              </w:tc>
              <w:tc>
                <w:tcPr>
                  <w:tcW w:w="1388"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line="240" w:lineRule="auto"/>
                    <w:ind w:right="0" w:firstLine="0" w:firstLineChars="0"/>
                    <w:jc w:val="center"/>
                    <w:textAlignment w:val="auto"/>
                    <w:rPr>
                      <w:rFonts w:hint="eastAsia"/>
                      <w:b/>
                      <w:bCs/>
                      <w:color w:val="auto"/>
                      <w:sz w:val="21"/>
                      <w:szCs w:val="21"/>
                      <w:highlight w:val="none"/>
                      <w:lang w:val="en-US" w:eastAsia="zh-CN"/>
                    </w:rPr>
                  </w:pPr>
                  <w:r>
                    <w:rPr>
                      <w:rFonts w:hint="eastAsia"/>
                      <w:b/>
                      <w:bCs/>
                      <w:color w:val="auto"/>
                      <w:sz w:val="21"/>
                      <w:szCs w:val="21"/>
                      <w:highlight w:val="none"/>
                      <w:lang w:eastAsia="zh-CN"/>
                    </w:rPr>
                    <w:t>备注</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572"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beforeLines="0" w:line="240" w:lineRule="auto"/>
                    <w:ind w:right="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烟煤</w:t>
                  </w:r>
                </w:p>
              </w:tc>
              <w:tc>
                <w:tcPr>
                  <w:tcW w:w="619"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beforeLines="0" w:line="240" w:lineRule="auto"/>
                    <w:ind w:right="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10万</w:t>
                  </w:r>
                </w:p>
              </w:tc>
              <w:tc>
                <w:tcPr>
                  <w:tcW w:w="789"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beforeLines="0" w:line="240" w:lineRule="auto"/>
                    <w:ind w:right="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0-80mm</w:t>
                  </w:r>
                </w:p>
              </w:tc>
              <w:tc>
                <w:tcPr>
                  <w:tcW w:w="87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火车、汽车</w:t>
                  </w:r>
                </w:p>
              </w:tc>
              <w:tc>
                <w:tcPr>
                  <w:tcW w:w="75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封闭储煤库</w:t>
                  </w:r>
                </w:p>
              </w:tc>
              <w:tc>
                <w:tcPr>
                  <w:tcW w:w="1388"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beforeLines="0" w:line="240" w:lineRule="auto"/>
                    <w:ind w:right="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进煤方式为铁运，出煤采用汽运</w:t>
                  </w:r>
                </w:p>
              </w:tc>
            </w:tr>
          </w:tbl>
          <w:p>
            <w:pPr>
              <w:jc w:val="center"/>
              <w:rPr>
                <w:rFonts w:hint="eastAsia"/>
                <w:b/>
                <w:bCs/>
                <w:color w:val="auto"/>
                <w:sz w:val="22"/>
                <w:szCs w:val="22"/>
                <w:highlight w:val="none"/>
              </w:rPr>
            </w:pPr>
          </w:p>
          <w:p>
            <w:pPr>
              <w:jc w:val="center"/>
              <w:rPr>
                <w:color w:val="auto"/>
                <w:sz w:val="21"/>
                <w:szCs w:val="21"/>
                <w:highlight w:val="none"/>
              </w:rPr>
            </w:pPr>
            <w:r>
              <w:rPr>
                <w:rFonts w:hint="eastAsia"/>
                <w:b/>
                <w:bCs/>
                <w:color w:val="auto"/>
                <w:sz w:val="21"/>
                <w:szCs w:val="21"/>
                <w:highlight w:val="none"/>
              </w:rPr>
              <w:t>表</w:t>
            </w:r>
            <w:r>
              <w:rPr>
                <w:rFonts w:hint="eastAsia"/>
                <w:b/>
                <w:bCs/>
                <w:color w:val="auto"/>
                <w:sz w:val="21"/>
                <w:szCs w:val="21"/>
                <w:highlight w:val="none"/>
                <w:lang w:val="en-US" w:eastAsia="zh-CN"/>
              </w:rPr>
              <w:t>2-4</w:t>
            </w:r>
            <w:r>
              <w:rPr>
                <w:rFonts w:hint="eastAsia"/>
                <w:b/>
                <w:bCs/>
                <w:color w:val="auto"/>
                <w:sz w:val="21"/>
                <w:szCs w:val="21"/>
                <w:highlight w:val="none"/>
              </w:rPr>
              <w:t xml:space="preserve"> </w:t>
            </w:r>
            <w:r>
              <w:rPr>
                <w:rFonts w:hint="eastAsia"/>
                <w:b/>
                <w:bCs/>
                <w:color w:val="auto"/>
                <w:sz w:val="21"/>
                <w:szCs w:val="21"/>
                <w:highlight w:val="none"/>
                <w:lang w:eastAsia="zh-CN"/>
              </w:rPr>
              <w:t>能源消耗情况一览表</w:t>
            </w:r>
          </w:p>
          <w:tbl>
            <w:tblPr>
              <w:tblStyle w:val="21"/>
              <w:tblW w:w="4999"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488"/>
              <w:gridCol w:w="2690"/>
              <w:gridCol w:w="3430"/>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1445"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beforeLines="0" w:line="240" w:lineRule="auto"/>
                    <w:ind w:right="0" w:firstLine="0" w:firstLineChars="0"/>
                    <w:jc w:val="center"/>
                    <w:textAlignment w:val="auto"/>
                    <w:rPr>
                      <w:rFonts w:hint="eastAsia"/>
                      <w:b/>
                      <w:bCs/>
                      <w:color w:val="auto"/>
                      <w:sz w:val="21"/>
                      <w:szCs w:val="21"/>
                      <w:highlight w:val="none"/>
                      <w:lang w:val="en-US" w:eastAsia="zh-CN"/>
                    </w:rPr>
                  </w:pPr>
                  <w:r>
                    <w:rPr>
                      <w:rFonts w:hint="eastAsia"/>
                      <w:b/>
                      <w:bCs/>
                      <w:color w:val="auto"/>
                      <w:sz w:val="21"/>
                      <w:szCs w:val="21"/>
                      <w:highlight w:val="none"/>
                      <w:lang w:val="en-US" w:eastAsia="zh-CN"/>
                    </w:rPr>
                    <w:t>名称</w:t>
                  </w:r>
                </w:p>
              </w:tc>
              <w:tc>
                <w:tcPr>
                  <w:tcW w:w="1562"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beforeLines="0" w:line="240" w:lineRule="auto"/>
                    <w:ind w:right="0" w:firstLine="0" w:firstLineChars="0"/>
                    <w:jc w:val="center"/>
                    <w:textAlignment w:val="auto"/>
                    <w:rPr>
                      <w:rFonts w:hint="eastAsia"/>
                      <w:b/>
                      <w:bCs/>
                      <w:color w:val="auto"/>
                      <w:sz w:val="21"/>
                      <w:szCs w:val="21"/>
                      <w:highlight w:val="none"/>
                      <w:lang w:val="en-US" w:eastAsia="zh-CN"/>
                    </w:rPr>
                  </w:pPr>
                  <w:r>
                    <w:rPr>
                      <w:rFonts w:hint="eastAsia"/>
                      <w:b/>
                      <w:bCs/>
                      <w:color w:val="auto"/>
                      <w:sz w:val="21"/>
                      <w:szCs w:val="21"/>
                      <w:highlight w:val="none"/>
                      <w:lang w:val="en-US" w:eastAsia="zh-CN"/>
                    </w:rPr>
                    <w:t>年用量</w:t>
                  </w:r>
                </w:p>
              </w:tc>
              <w:tc>
                <w:tcPr>
                  <w:tcW w:w="1992"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beforeLines="0" w:line="240" w:lineRule="auto"/>
                    <w:ind w:right="0" w:firstLine="0" w:firstLineChars="0"/>
                    <w:jc w:val="center"/>
                    <w:textAlignment w:val="auto"/>
                    <w:rPr>
                      <w:rFonts w:hint="eastAsia" w:eastAsia="宋体"/>
                      <w:b/>
                      <w:bCs/>
                      <w:color w:val="auto"/>
                      <w:sz w:val="21"/>
                      <w:szCs w:val="21"/>
                      <w:highlight w:val="none"/>
                      <w:lang w:eastAsia="zh-CN"/>
                    </w:rPr>
                  </w:pPr>
                  <w:r>
                    <w:rPr>
                      <w:rFonts w:hint="eastAsia"/>
                      <w:b/>
                      <w:bCs/>
                      <w:color w:val="auto"/>
                      <w:sz w:val="21"/>
                      <w:szCs w:val="21"/>
                      <w:highlight w:val="none"/>
                      <w:lang w:eastAsia="zh-CN"/>
                    </w:rPr>
                    <w:t>单位</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45"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beforeLines="0" w:line="240" w:lineRule="auto"/>
                    <w:ind w:right="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电</w:t>
                  </w:r>
                </w:p>
              </w:tc>
              <w:tc>
                <w:tcPr>
                  <w:tcW w:w="1562"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beforeLines="0" w:line="240" w:lineRule="auto"/>
                    <w:ind w:right="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8万</w:t>
                  </w:r>
                </w:p>
              </w:tc>
              <w:tc>
                <w:tcPr>
                  <w:tcW w:w="1992"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beforeLines="0" w:line="240" w:lineRule="auto"/>
                    <w:ind w:right="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rPr>
                    <w:t>kWh/a</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45"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beforeLines="0" w:line="240" w:lineRule="auto"/>
                    <w:ind w:right="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新鲜水</w:t>
                  </w:r>
                </w:p>
              </w:tc>
              <w:tc>
                <w:tcPr>
                  <w:tcW w:w="1562" w:type="pct"/>
                  <w:tcBorders>
                    <w:tl2br w:val="nil"/>
                    <w:tr2bl w:val="nil"/>
                  </w:tcBorders>
                  <w:noWrap w:val="0"/>
                  <w:vAlign w:val="center"/>
                </w:tcPr>
                <w:p>
                  <w:pPr>
                    <w:pStyle w:val="39"/>
                    <w:keepNext w:val="0"/>
                    <w:keepLines w:val="0"/>
                    <w:pageBreakBefore w:val="0"/>
                    <w:widowControl w:val="0"/>
                    <w:kinsoku/>
                    <w:wordWrap/>
                    <w:overflowPunct/>
                    <w:topLinePunct w:val="0"/>
                    <w:autoSpaceDE/>
                    <w:autoSpaceDN/>
                    <w:bidi w:val="0"/>
                    <w:adjustRightInd/>
                    <w:snapToGrid/>
                    <w:ind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sz w:val="21"/>
                      <w:szCs w:val="21"/>
                      <w:highlight w:val="none"/>
                      <w:lang w:val="en-US" w:eastAsia="zh-CN"/>
                    </w:rPr>
                    <w:t>20526.5</w:t>
                  </w:r>
                </w:p>
              </w:tc>
              <w:tc>
                <w:tcPr>
                  <w:tcW w:w="1992"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before="0" w:beforeLines="0" w:line="240" w:lineRule="auto"/>
                    <w:ind w:right="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rPr>
                    <w:t>t/a</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left"/>
              <w:textAlignment w:val="auto"/>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4、产品方案</w:t>
            </w:r>
          </w:p>
          <w:p>
            <w:pPr>
              <w:pStyle w:val="2"/>
              <w:keepNext w:val="0"/>
              <w:keepLines w:val="0"/>
              <w:pageBreakBefore w:val="0"/>
              <w:widowControl w:val="0"/>
              <w:kinsoku/>
              <w:wordWrap/>
              <w:overflowPunct/>
              <w:topLinePunct w:val="0"/>
              <w:autoSpaceDE/>
              <w:autoSpaceDN/>
              <w:bidi w:val="0"/>
              <w:adjustRightInd/>
              <w:snapToGrid/>
              <w:spacing w:before="0" w:line="360" w:lineRule="auto"/>
              <w:ind w:right="0" w:firstLine="480" w:firstLineChars="200"/>
              <w:textAlignment w:val="auto"/>
              <w:rPr>
                <w:rFonts w:hint="eastAsia"/>
                <w:color w:val="auto"/>
                <w:sz w:val="24"/>
                <w:szCs w:val="24"/>
                <w:highlight w:val="none"/>
                <w:lang w:val="en-US" w:eastAsia="zh-CN"/>
              </w:rPr>
            </w:pPr>
            <w:r>
              <w:rPr>
                <w:rFonts w:hint="default"/>
                <w:color w:val="auto"/>
                <w:sz w:val="24"/>
                <w:szCs w:val="24"/>
                <w:highlight w:val="none"/>
                <w:lang w:val="en-US" w:eastAsia="zh-CN"/>
              </w:rPr>
              <w:t>本项目</w:t>
            </w:r>
            <w:r>
              <w:rPr>
                <w:rFonts w:hint="eastAsia"/>
                <w:color w:val="auto"/>
                <w:sz w:val="24"/>
                <w:szCs w:val="24"/>
                <w:highlight w:val="none"/>
                <w:lang w:val="en-US" w:eastAsia="zh-CN"/>
              </w:rPr>
              <w:t>煤源为阜新恒大煤矿，依托新义线铁路和厂内矿铁运输至本项目厂区，本项目只进行煤炭储运，不进行破碎、筛分、洗选等工序。仓库预计年最大储运量10万吨，周转1次。进煤采用铁路运输，出煤采用汽车运输。具体产品方案详见表2-5。</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rPr>
              <w:t>表</w:t>
            </w:r>
            <w:r>
              <w:rPr>
                <w:rFonts w:hint="eastAsia"/>
                <w:b/>
                <w:bCs/>
                <w:color w:val="auto"/>
                <w:sz w:val="21"/>
                <w:szCs w:val="21"/>
                <w:highlight w:val="none"/>
                <w:lang w:val="en-US" w:eastAsia="zh-CN"/>
              </w:rPr>
              <w:t>2-5</w:t>
            </w:r>
            <w:r>
              <w:rPr>
                <w:rFonts w:hint="eastAsia"/>
                <w:b/>
                <w:bCs/>
                <w:color w:val="auto"/>
                <w:sz w:val="21"/>
                <w:szCs w:val="21"/>
                <w:highlight w:val="none"/>
              </w:rPr>
              <w:t xml:space="preserve"> </w:t>
            </w:r>
            <w:r>
              <w:rPr>
                <w:rFonts w:hint="eastAsia"/>
                <w:b/>
                <w:bCs/>
                <w:color w:val="auto"/>
                <w:sz w:val="21"/>
                <w:szCs w:val="21"/>
                <w:highlight w:val="none"/>
                <w:lang w:val="en-US" w:eastAsia="zh-CN"/>
              </w:rPr>
              <w:t>产品方案一览</w:t>
            </w:r>
            <w:r>
              <w:rPr>
                <w:rFonts w:hint="eastAsia"/>
                <w:b/>
                <w:bCs/>
                <w:color w:val="auto"/>
                <w:sz w:val="21"/>
                <w:szCs w:val="21"/>
                <w:highlight w:val="none"/>
                <w:lang w:eastAsia="zh-CN"/>
              </w:rPr>
              <w:t>表</w:t>
            </w:r>
          </w:p>
          <w:tbl>
            <w:tblPr>
              <w:tblStyle w:val="21"/>
              <w:tblW w:w="8136" w:type="dxa"/>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504"/>
              <w:gridCol w:w="862"/>
              <w:gridCol w:w="961"/>
              <w:gridCol w:w="1083"/>
              <w:gridCol w:w="927"/>
              <w:gridCol w:w="1524"/>
              <w:gridCol w:w="2275"/>
            </w:tblGrid>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505" w:type="dxa"/>
                  <w:tcBorders>
                    <w:right w:val="single" w:color="auto" w:sz="4" w:space="0"/>
                  </w:tcBorders>
                  <w:noWrap w:val="0"/>
                  <w:vAlign w:val="center"/>
                </w:tcPr>
                <w:p>
                  <w:pPr>
                    <w:widowControl/>
                    <w:jc w:val="center"/>
                    <w:rPr>
                      <w:rFonts w:hint="eastAsia" w:eastAsia="宋体"/>
                      <w:b/>
                      <w:bCs/>
                      <w:color w:val="auto"/>
                      <w:sz w:val="21"/>
                      <w:szCs w:val="21"/>
                      <w:highlight w:val="none"/>
                      <w:lang w:eastAsia="zh-CN"/>
                    </w:rPr>
                  </w:pPr>
                  <w:r>
                    <w:rPr>
                      <w:rFonts w:hint="eastAsia"/>
                      <w:b/>
                      <w:bCs/>
                      <w:color w:val="auto"/>
                      <w:sz w:val="21"/>
                      <w:szCs w:val="21"/>
                      <w:highlight w:val="none"/>
                      <w:lang w:eastAsia="zh-CN"/>
                    </w:rPr>
                    <w:t>类别</w:t>
                  </w:r>
                </w:p>
              </w:tc>
              <w:tc>
                <w:tcPr>
                  <w:tcW w:w="862" w:type="dxa"/>
                  <w:tcBorders>
                    <w:left w:val="single" w:color="auto" w:sz="4" w:space="0"/>
                    <w:right w:val="single" w:color="auto" w:sz="4" w:space="0"/>
                  </w:tcBorders>
                  <w:noWrap w:val="0"/>
                  <w:vAlign w:val="center"/>
                </w:tcPr>
                <w:p>
                  <w:pPr>
                    <w:jc w:val="center"/>
                    <w:rPr>
                      <w:rFonts w:hint="default"/>
                      <w:b/>
                      <w:bCs/>
                      <w:color w:val="auto"/>
                      <w:sz w:val="21"/>
                      <w:szCs w:val="21"/>
                      <w:highlight w:val="none"/>
                    </w:rPr>
                  </w:pPr>
                  <w:r>
                    <w:rPr>
                      <w:rFonts w:hint="default"/>
                      <w:b/>
                      <w:bCs/>
                      <w:color w:val="auto"/>
                      <w:sz w:val="21"/>
                      <w:szCs w:val="21"/>
                      <w:highlight w:val="none"/>
                    </w:rPr>
                    <w:t>产品名称</w:t>
                  </w:r>
                </w:p>
              </w:tc>
              <w:tc>
                <w:tcPr>
                  <w:tcW w:w="960" w:type="dxa"/>
                  <w:tcBorders>
                    <w:left w:val="single" w:color="auto" w:sz="4" w:space="0"/>
                    <w:right w:val="single" w:color="auto" w:sz="4" w:space="0"/>
                  </w:tcBorders>
                  <w:noWrap w:val="0"/>
                  <w:vAlign w:val="center"/>
                </w:tcPr>
                <w:p>
                  <w:pPr>
                    <w:jc w:val="center"/>
                    <w:rPr>
                      <w:rFonts w:hint="default" w:eastAsia="宋体"/>
                      <w:b/>
                      <w:bCs/>
                      <w:color w:val="auto"/>
                      <w:sz w:val="21"/>
                      <w:szCs w:val="21"/>
                      <w:highlight w:val="none"/>
                      <w:lang w:val="en-US" w:eastAsia="zh-CN"/>
                    </w:rPr>
                  </w:pPr>
                  <w:r>
                    <w:rPr>
                      <w:rFonts w:hint="eastAsia"/>
                      <w:b/>
                      <w:bCs/>
                      <w:color w:val="auto"/>
                      <w:sz w:val="21"/>
                      <w:szCs w:val="21"/>
                      <w:highlight w:val="none"/>
                      <w:lang w:eastAsia="zh-CN"/>
                    </w:rPr>
                    <w:t>产品规格（</w:t>
                  </w:r>
                  <w:r>
                    <w:rPr>
                      <w:rFonts w:hint="eastAsia"/>
                      <w:b/>
                      <w:bCs/>
                      <w:color w:val="auto"/>
                      <w:sz w:val="21"/>
                      <w:szCs w:val="21"/>
                      <w:highlight w:val="none"/>
                      <w:lang w:val="en-US" w:eastAsia="zh-CN"/>
                    </w:rPr>
                    <w:t>mm)</w:t>
                  </w:r>
                </w:p>
              </w:tc>
              <w:tc>
                <w:tcPr>
                  <w:tcW w:w="1083" w:type="dxa"/>
                  <w:tcBorders>
                    <w:left w:val="single" w:color="auto" w:sz="4" w:space="0"/>
                  </w:tcBorders>
                  <w:noWrap w:val="0"/>
                  <w:vAlign w:val="center"/>
                </w:tcPr>
                <w:p>
                  <w:pPr>
                    <w:jc w:val="center"/>
                    <w:rPr>
                      <w:rFonts w:hint="eastAsia"/>
                      <w:b/>
                      <w:bCs/>
                      <w:color w:val="auto"/>
                      <w:sz w:val="21"/>
                      <w:szCs w:val="21"/>
                      <w:highlight w:val="none"/>
                      <w:lang w:eastAsia="zh-CN"/>
                    </w:rPr>
                  </w:pPr>
                  <w:r>
                    <w:rPr>
                      <w:rFonts w:hint="eastAsia"/>
                      <w:b/>
                      <w:bCs/>
                      <w:color w:val="auto"/>
                      <w:sz w:val="21"/>
                      <w:szCs w:val="21"/>
                      <w:highlight w:val="none"/>
                      <w:lang w:eastAsia="zh-CN"/>
                    </w:rPr>
                    <w:t>最大储量（万</w:t>
                  </w:r>
                  <w:r>
                    <w:rPr>
                      <w:rFonts w:hint="default"/>
                      <w:b/>
                      <w:bCs/>
                      <w:color w:val="auto"/>
                      <w:sz w:val="21"/>
                      <w:szCs w:val="21"/>
                      <w:highlight w:val="none"/>
                    </w:rPr>
                    <w:t>t/a)</w:t>
                  </w:r>
                </w:p>
              </w:tc>
              <w:tc>
                <w:tcPr>
                  <w:tcW w:w="927" w:type="dxa"/>
                  <w:tcBorders>
                    <w:left w:val="single" w:color="auto" w:sz="4" w:space="0"/>
                  </w:tcBorders>
                  <w:noWrap w:val="0"/>
                  <w:vAlign w:val="center"/>
                </w:tcPr>
                <w:p>
                  <w:pPr>
                    <w:jc w:val="center"/>
                    <w:rPr>
                      <w:rFonts w:hint="eastAsia"/>
                      <w:b/>
                      <w:bCs/>
                      <w:color w:val="auto"/>
                      <w:sz w:val="21"/>
                      <w:szCs w:val="21"/>
                      <w:highlight w:val="none"/>
                      <w:lang w:eastAsia="zh-CN"/>
                    </w:rPr>
                  </w:pPr>
                  <w:r>
                    <w:rPr>
                      <w:rFonts w:hint="eastAsia"/>
                      <w:b/>
                      <w:bCs/>
                      <w:color w:val="auto"/>
                      <w:sz w:val="21"/>
                      <w:szCs w:val="21"/>
                      <w:highlight w:val="none"/>
                      <w:lang w:eastAsia="zh-CN"/>
                    </w:rPr>
                    <w:t>运量（万</w:t>
                  </w:r>
                  <w:r>
                    <w:rPr>
                      <w:rFonts w:hint="default"/>
                      <w:b/>
                      <w:bCs/>
                      <w:color w:val="auto"/>
                      <w:sz w:val="21"/>
                      <w:szCs w:val="21"/>
                      <w:highlight w:val="none"/>
                    </w:rPr>
                    <w:t>t/a)</w:t>
                  </w:r>
                </w:p>
              </w:tc>
              <w:tc>
                <w:tcPr>
                  <w:tcW w:w="1524" w:type="dxa"/>
                  <w:tcBorders>
                    <w:left w:val="single" w:color="auto" w:sz="4" w:space="0"/>
                  </w:tcBorders>
                  <w:noWrap w:val="0"/>
                  <w:vAlign w:val="center"/>
                </w:tcPr>
                <w:p>
                  <w:pPr>
                    <w:jc w:val="center"/>
                    <w:rPr>
                      <w:rFonts w:hint="eastAsia"/>
                      <w:b/>
                      <w:bCs/>
                      <w:color w:val="auto"/>
                      <w:kern w:val="2"/>
                      <w:sz w:val="21"/>
                      <w:szCs w:val="21"/>
                      <w:highlight w:val="none"/>
                      <w:lang w:val="en-US" w:eastAsia="zh-CN" w:bidi="ar-SA"/>
                    </w:rPr>
                  </w:pPr>
                  <w:r>
                    <w:rPr>
                      <w:rFonts w:hint="eastAsia"/>
                      <w:b/>
                      <w:bCs/>
                      <w:color w:val="auto"/>
                      <w:sz w:val="21"/>
                      <w:szCs w:val="21"/>
                      <w:highlight w:val="none"/>
                      <w:lang w:eastAsia="zh-CN"/>
                    </w:rPr>
                    <w:t>运输方式</w:t>
                  </w:r>
                </w:p>
              </w:tc>
              <w:tc>
                <w:tcPr>
                  <w:tcW w:w="2275" w:type="dxa"/>
                  <w:tcBorders>
                    <w:left w:val="single" w:color="auto" w:sz="4" w:space="0"/>
                  </w:tcBorders>
                  <w:noWrap w:val="0"/>
                  <w:vAlign w:val="center"/>
                </w:tcPr>
                <w:p>
                  <w:pPr>
                    <w:jc w:val="center"/>
                    <w:rPr>
                      <w:rFonts w:hint="eastAsia"/>
                      <w:b/>
                      <w:bCs/>
                      <w:color w:val="auto"/>
                      <w:sz w:val="21"/>
                      <w:szCs w:val="21"/>
                      <w:highlight w:val="none"/>
                      <w:lang w:eastAsia="zh-CN"/>
                    </w:rPr>
                  </w:pPr>
                  <w:r>
                    <w:rPr>
                      <w:rFonts w:hint="eastAsia"/>
                      <w:b/>
                      <w:bCs/>
                      <w:color w:val="auto"/>
                      <w:sz w:val="21"/>
                      <w:szCs w:val="21"/>
                      <w:highlight w:val="none"/>
                      <w:lang w:eastAsia="zh-CN"/>
                    </w:rPr>
                    <w:t>备注</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2" w:hRule="atLeast"/>
                <w:jc w:val="center"/>
              </w:trPr>
              <w:tc>
                <w:tcPr>
                  <w:tcW w:w="505" w:type="dxa"/>
                  <w:tcBorders>
                    <w:right w:val="single" w:color="auto" w:sz="4" w:space="0"/>
                  </w:tcBorders>
                  <w:noWrap w:val="0"/>
                  <w:vAlign w:val="center"/>
                </w:tcPr>
                <w:p>
                  <w:pPr>
                    <w:widowControl/>
                    <w:jc w:val="center"/>
                    <w:rPr>
                      <w:rFonts w:hint="default"/>
                      <w:color w:val="auto"/>
                      <w:sz w:val="21"/>
                      <w:szCs w:val="21"/>
                      <w:highlight w:val="none"/>
                      <w:lang w:val="en-US" w:eastAsia="zh-CN"/>
                    </w:rPr>
                  </w:pPr>
                  <w:r>
                    <w:rPr>
                      <w:rFonts w:hint="eastAsia"/>
                      <w:color w:val="auto"/>
                      <w:sz w:val="21"/>
                      <w:szCs w:val="21"/>
                      <w:highlight w:val="none"/>
                      <w:lang w:val="en-US" w:eastAsia="zh-CN"/>
                    </w:rPr>
                    <w:t>进煤</w:t>
                  </w:r>
                </w:p>
              </w:tc>
              <w:tc>
                <w:tcPr>
                  <w:tcW w:w="862" w:type="dxa"/>
                  <w:vMerge w:val="restart"/>
                  <w:tcBorders>
                    <w:left w:val="single" w:color="auto" w:sz="4" w:space="0"/>
                    <w:right w:val="single" w:color="auto" w:sz="4" w:space="0"/>
                  </w:tcBorders>
                  <w:noWrap w:val="0"/>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烟煤</w:t>
                  </w:r>
                </w:p>
              </w:tc>
              <w:tc>
                <w:tcPr>
                  <w:tcW w:w="960" w:type="dxa"/>
                  <w:vMerge w:val="restart"/>
                  <w:tcBorders>
                    <w:left w:val="single" w:color="auto" w:sz="4" w:space="0"/>
                    <w:right w:val="single" w:color="auto" w:sz="4" w:space="0"/>
                  </w:tcBorders>
                  <w:noWrap w:val="0"/>
                  <w:vAlign w:val="center"/>
                </w:tcPr>
                <w:p>
                  <w:pPr>
                    <w:jc w:val="center"/>
                    <w:rPr>
                      <w:rFonts w:hint="default" w:cs="Times New Roman"/>
                      <w:i w:val="0"/>
                      <w:iCs w:val="0"/>
                      <w:caps w:val="0"/>
                      <w:color w:val="auto"/>
                      <w:spacing w:val="0"/>
                      <w:sz w:val="21"/>
                      <w:szCs w:val="21"/>
                      <w:highlight w:val="none"/>
                      <w:shd w:val="clear" w:color="auto" w:fill="FFFFFF"/>
                      <w:lang w:val="en-US" w:eastAsia="zh-CN"/>
                    </w:rPr>
                  </w:pPr>
                  <w:r>
                    <w:rPr>
                      <w:rFonts w:hint="eastAsia" w:cs="Times New Roman"/>
                      <w:i w:val="0"/>
                      <w:iCs w:val="0"/>
                      <w:caps w:val="0"/>
                      <w:color w:val="auto"/>
                      <w:spacing w:val="0"/>
                      <w:sz w:val="21"/>
                      <w:szCs w:val="21"/>
                      <w:highlight w:val="none"/>
                      <w:shd w:val="clear" w:color="auto" w:fill="FFFFFF"/>
                      <w:lang w:val="en-US" w:eastAsia="zh-CN"/>
                    </w:rPr>
                    <w:t>0-80</w:t>
                  </w:r>
                </w:p>
              </w:tc>
              <w:tc>
                <w:tcPr>
                  <w:tcW w:w="1083" w:type="dxa"/>
                  <w:vMerge w:val="restart"/>
                  <w:tcBorders>
                    <w:left w:val="single" w:color="auto" w:sz="4" w:space="0"/>
                  </w:tcBorders>
                  <w:noWrap w:val="0"/>
                  <w:vAlign w:val="center"/>
                </w:tcPr>
                <w:p>
                  <w:pPr>
                    <w:jc w:val="center"/>
                    <w:rPr>
                      <w:rFonts w:hint="default" w:cs="Times New Roman"/>
                      <w:i w:val="0"/>
                      <w:iCs w:val="0"/>
                      <w:caps w:val="0"/>
                      <w:color w:val="auto"/>
                      <w:spacing w:val="0"/>
                      <w:sz w:val="21"/>
                      <w:szCs w:val="21"/>
                      <w:highlight w:val="none"/>
                      <w:shd w:val="clear" w:color="auto" w:fill="FFFFFF"/>
                      <w:lang w:val="en-US" w:eastAsia="zh-CN"/>
                    </w:rPr>
                  </w:pPr>
                  <w:r>
                    <w:rPr>
                      <w:rFonts w:hint="eastAsia" w:cs="Times New Roman"/>
                      <w:i w:val="0"/>
                      <w:iCs w:val="0"/>
                      <w:caps w:val="0"/>
                      <w:color w:val="auto"/>
                      <w:spacing w:val="0"/>
                      <w:sz w:val="21"/>
                      <w:szCs w:val="21"/>
                      <w:highlight w:val="none"/>
                      <w:shd w:val="clear" w:color="auto" w:fill="FFFFFF"/>
                      <w:lang w:val="en-US" w:eastAsia="zh-CN"/>
                    </w:rPr>
                    <w:t>11.5</w:t>
                  </w:r>
                </w:p>
              </w:tc>
              <w:tc>
                <w:tcPr>
                  <w:tcW w:w="927" w:type="dxa"/>
                  <w:tcBorders>
                    <w:left w:val="single" w:color="auto" w:sz="4" w:space="0"/>
                  </w:tcBorders>
                  <w:noWrap w:val="0"/>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10</w:t>
                  </w:r>
                </w:p>
              </w:tc>
              <w:tc>
                <w:tcPr>
                  <w:tcW w:w="1524" w:type="dxa"/>
                  <w:vMerge w:val="restart"/>
                  <w:tcBorders>
                    <w:left w:val="single" w:color="auto" w:sz="4" w:space="0"/>
                  </w:tcBorders>
                  <w:noWrap w:val="0"/>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铁路运输、汽车运输</w:t>
                  </w:r>
                </w:p>
              </w:tc>
              <w:tc>
                <w:tcPr>
                  <w:tcW w:w="2275" w:type="dxa"/>
                  <w:tcBorders>
                    <w:left w:val="single" w:color="auto" w:sz="4" w:space="0"/>
                  </w:tcBorders>
                  <w:noWrap w:val="0"/>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封闭仓库存储</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2" w:hRule="atLeast"/>
                <w:jc w:val="center"/>
              </w:trPr>
              <w:tc>
                <w:tcPr>
                  <w:tcW w:w="505" w:type="dxa"/>
                  <w:tcBorders>
                    <w:bottom w:val="double" w:color="auto" w:sz="4" w:space="0"/>
                    <w:right w:val="single" w:color="auto" w:sz="4" w:space="0"/>
                  </w:tcBorders>
                  <w:noWrap w:val="0"/>
                  <w:vAlign w:val="center"/>
                </w:tcPr>
                <w:p>
                  <w:pPr>
                    <w:widowControl/>
                    <w:jc w:val="center"/>
                    <w:rPr>
                      <w:rFonts w:hint="eastAsia"/>
                      <w:color w:val="auto"/>
                      <w:sz w:val="21"/>
                      <w:szCs w:val="21"/>
                      <w:highlight w:val="none"/>
                      <w:lang w:val="en-US" w:eastAsia="zh-CN"/>
                    </w:rPr>
                  </w:pPr>
                  <w:r>
                    <w:rPr>
                      <w:rFonts w:hint="eastAsia"/>
                      <w:color w:val="auto"/>
                      <w:sz w:val="21"/>
                      <w:szCs w:val="21"/>
                      <w:highlight w:val="none"/>
                      <w:lang w:val="en-US" w:eastAsia="zh-CN"/>
                    </w:rPr>
                    <w:t>出煤</w:t>
                  </w:r>
                </w:p>
              </w:tc>
              <w:tc>
                <w:tcPr>
                  <w:tcW w:w="862" w:type="dxa"/>
                  <w:vMerge w:val="continue"/>
                  <w:tcBorders>
                    <w:left w:val="single" w:color="auto" w:sz="4" w:space="0"/>
                    <w:bottom w:val="double" w:color="auto" w:sz="4" w:space="0"/>
                    <w:right w:val="single" w:color="auto" w:sz="4" w:space="0"/>
                  </w:tcBorders>
                  <w:noWrap w:val="0"/>
                  <w:vAlign w:val="center"/>
                </w:tcPr>
                <w:p>
                  <w:pPr>
                    <w:jc w:val="center"/>
                    <w:rPr>
                      <w:rFonts w:hint="eastAsia"/>
                      <w:color w:val="auto"/>
                      <w:sz w:val="21"/>
                      <w:szCs w:val="21"/>
                      <w:highlight w:val="none"/>
                      <w:lang w:eastAsia="zh-CN"/>
                    </w:rPr>
                  </w:pPr>
                </w:p>
              </w:tc>
              <w:tc>
                <w:tcPr>
                  <w:tcW w:w="960" w:type="dxa"/>
                  <w:vMerge w:val="continue"/>
                  <w:tcBorders>
                    <w:left w:val="single" w:color="auto" w:sz="4" w:space="0"/>
                    <w:bottom w:val="double" w:color="auto" w:sz="4" w:space="0"/>
                    <w:right w:val="single" w:color="auto" w:sz="4" w:space="0"/>
                  </w:tcBorders>
                  <w:noWrap w:val="0"/>
                  <w:vAlign w:val="center"/>
                </w:tcPr>
                <w:p>
                  <w:pPr>
                    <w:jc w:val="center"/>
                    <w:rPr>
                      <w:rFonts w:hint="eastAsia" w:cs="Times New Roman"/>
                      <w:i w:val="0"/>
                      <w:iCs w:val="0"/>
                      <w:caps w:val="0"/>
                      <w:color w:val="auto"/>
                      <w:spacing w:val="0"/>
                      <w:sz w:val="21"/>
                      <w:szCs w:val="21"/>
                      <w:highlight w:val="none"/>
                      <w:shd w:val="clear" w:color="auto" w:fill="FFFFFF"/>
                      <w:lang w:val="en-US" w:eastAsia="zh-CN"/>
                    </w:rPr>
                  </w:pPr>
                </w:p>
              </w:tc>
              <w:tc>
                <w:tcPr>
                  <w:tcW w:w="1083" w:type="dxa"/>
                  <w:vMerge w:val="continue"/>
                  <w:tcBorders>
                    <w:left w:val="single" w:color="auto" w:sz="4" w:space="0"/>
                    <w:bottom w:val="double" w:color="auto" w:sz="4" w:space="0"/>
                  </w:tcBorders>
                  <w:noWrap w:val="0"/>
                  <w:vAlign w:val="center"/>
                </w:tcPr>
                <w:p>
                  <w:pPr>
                    <w:jc w:val="center"/>
                    <w:rPr>
                      <w:rFonts w:hint="eastAsia" w:cs="Times New Roman"/>
                      <w:i w:val="0"/>
                      <w:iCs w:val="0"/>
                      <w:caps w:val="0"/>
                      <w:color w:val="auto"/>
                      <w:spacing w:val="0"/>
                      <w:sz w:val="21"/>
                      <w:szCs w:val="21"/>
                      <w:highlight w:val="none"/>
                      <w:shd w:val="clear" w:color="auto" w:fill="FFFFFF"/>
                      <w:lang w:val="en-US" w:eastAsia="zh-CN"/>
                    </w:rPr>
                  </w:pPr>
                </w:p>
              </w:tc>
              <w:tc>
                <w:tcPr>
                  <w:tcW w:w="927" w:type="dxa"/>
                  <w:tcBorders>
                    <w:left w:val="single" w:color="auto" w:sz="4" w:space="0"/>
                    <w:bottom w:val="double" w:color="auto" w:sz="4" w:space="0"/>
                  </w:tcBorders>
                  <w:noWrap w:val="0"/>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10</w:t>
                  </w:r>
                </w:p>
              </w:tc>
              <w:tc>
                <w:tcPr>
                  <w:tcW w:w="1524" w:type="dxa"/>
                  <w:vMerge w:val="continue"/>
                  <w:tcBorders>
                    <w:left w:val="single" w:color="auto" w:sz="4" w:space="0"/>
                    <w:bottom w:val="double" w:color="auto" w:sz="4" w:space="0"/>
                  </w:tcBorders>
                  <w:noWrap w:val="0"/>
                  <w:vAlign w:val="center"/>
                </w:tcPr>
                <w:p>
                  <w:pPr>
                    <w:jc w:val="center"/>
                    <w:rPr>
                      <w:rFonts w:hint="default"/>
                      <w:color w:val="auto"/>
                      <w:sz w:val="21"/>
                      <w:szCs w:val="21"/>
                      <w:highlight w:val="none"/>
                      <w:lang w:val="en-US" w:eastAsia="zh-CN"/>
                    </w:rPr>
                  </w:pPr>
                </w:p>
              </w:tc>
              <w:tc>
                <w:tcPr>
                  <w:tcW w:w="2275" w:type="dxa"/>
                  <w:tcBorders>
                    <w:left w:val="single" w:color="auto" w:sz="4" w:space="0"/>
                    <w:bottom w:val="double" w:color="auto" w:sz="4" w:space="0"/>
                  </w:tcBorders>
                  <w:noWrap w:val="0"/>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去向为阜矿集团内部的阜新矿业（集团）有限责任公司煤矸石热电厂（见附件10）</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textAlignment w:val="auto"/>
              <w:rPr>
                <w:rFonts w:hint="eastAsia"/>
                <w:b w:val="0"/>
                <w:bCs w:val="0"/>
                <w:color w:val="auto"/>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textAlignment w:val="auto"/>
              <w:rPr>
                <w:rFonts w:hint="eastAsia"/>
                <w:b w:val="0"/>
                <w:bCs w:val="0"/>
                <w:color w:val="auto"/>
                <w:highlight w:val="none"/>
                <w:lang w:val="en-US" w:eastAsia="zh-CN"/>
              </w:rPr>
            </w:pPr>
            <w:r>
              <w:rPr>
                <w:rFonts w:hint="eastAsia"/>
                <w:b w:val="0"/>
                <w:bCs w:val="0"/>
                <w:color w:val="auto"/>
                <w:highlight w:val="none"/>
                <w:lang w:val="en-US" w:eastAsia="zh-CN"/>
              </w:rPr>
              <w:t>根据企业提供的煤质化验报告（附件8），项目储运的煤质成分见表2-6。</w:t>
            </w:r>
          </w:p>
          <w:p>
            <w:pPr>
              <w:keepNext w:val="0"/>
              <w:keepLines w:val="0"/>
              <w:pageBreakBefore w:val="0"/>
              <w:widowControl w:val="0"/>
              <w:numPr>
                <w:ilvl w:val="-1"/>
                <w:numId w:val="0"/>
              </w:numPr>
              <w:kinsoku/>
              <w:wordWrap/>
              <w:overflowPunct/>
              <w:topLinePunct w:val="0"/>
              <w:autoSpaceDE/>
              <w:autoSpaceDN/>
              <w:bidi w:val="0"/>
              <w:adjustRightInd/>
              <w:snapToGrid/>
              <w:spacing w:before="0" w:beforeLines="-2147483648" w:line="240" w:lineRule="auto"/>
              <w:jc w:val="center"/>
              <w:textAlignment w:val="auto"/>
              <w:outlineLvl w:val="9"/>
              <w:rPr>
                <w:rFonts w:hint="eastAsia"/>
                <w:b/>
                <w:bCs/>
                <w:color w:val="auto"/>
                <w:sz w:val="21"/>
                <w:szCs w:val="21"/>
                <w:highlight w:val="none"/>
                <w:lang w:val="en-US" w:eastAsia="zh-CN"/>
              </w:rPr>
            </w:pPr>
            <w:r>
              <w:rPr>
                <w:rFonts w:hint="eastAsia"/>
                <w:b/>
                <w:bCs/>
                <w:color w:val="auto"/>
                <w:sz w:val="21"/>
                <w:szCs w:val="21"/>
                <w:highlight w:val="none"/>
                <w:lang w:val="en-US" w:eastAsia="zh-CN"/>
              </w:rPr>
              <w:t>表2-6 煤质分析资料</w:t>
            </w:r>
          </w:p>
          <w:tbl>
            <w:tblPr>
              <w:tblStyle w:val="22"/>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98"/>
              <w:gridCol w:w="1132"/>
              <w:gridCol w:w="846"/>
              <w:gridCol w:w="1662"/>
              <w:gridCol w:w="2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5" w:type="pct"/>
                  <w:tcBorders>
                    <w:top w:val="double" w:color="auto" w:sz="4" w:space="0"/>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项目</w:t>
                  </w:r>
                </w:p>
              </w:tc>
              <w:tc>
                <w:tcPr>
                  <w:tcW w:w="658" w:type="pct"/>
                  <w:tcBorders>
                    <w:top w:val="doub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符号</w:t>
                  </w:r>
                </w:p>
              </w:tc>
              <w:tc>
                <w:tcPr>
                  <w:tcW w:w="492" w:type="pct"/>
                  <w:tcBorders>
                    <w:top w:val="doub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单位</w:t>
                  </w:r>
                </w:p>
              </w:tc>
              <w:tc>
                <w:tcPr>
                  <w:tcW w:w="966" w:type="pct"/>
                  <w:tcBorders>
                    <w:top w:val="doub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结果（粒/面）</w:t>
                  </w:r>
                </w:p>
              </w:tc>
              <w:tc>
                <w:tcPr>
                  <w:tcW w:w="1197" w:type="pct"/>
                  <w:tcBorders>
                    <w:top w:val="double" w:color="auto" w:sz="4" w:space="0"/>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全水分</w:t>
                  </w:r>
                </w:p>
              </w:tc>
              <w:tc>
                <w:tcPr>
                  <w:tcW w:w="658"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Mt</w:t>
                  </w:r>
                </w:p>
              </w:tc>
              <w:tc>
                <w:tcPr>
                  <w:tcW w:w="492"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sz w:val="21"/>
                      <w:szCs w:val="21"/>
                      <w:highlight w:val="none"/>
                    </w:rPr>
                    <w:t>8.62</w:t>
                  </w:r>
                  <w:r>
                    <w:rPr>
                      <w:rFonts w:hint="eastAsia"/>
                      <w:sz w:val="21"/>
                      <w:szCs w:val="21"/>
                      <w:highlight w:val="none"/>
                      <w:lang w:val="en-US" w:eastAsia="zh-CN"/>
                    </w:rPr>
                    <w:t>/12.58</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GB/T211-2007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空气干燥基水分</w:t>
                  </w:r>
                </w:p>
              </w:tc>
              <w:tc>
                <w:tcPr>
                  <w:tcW w:w="658"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Mad</w:t>
                  </w:r>
                </w:p>
              </w:tc>
              <w:tc>
                <w:tcPr>
                  <w:tcW w:w="492"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sz w:val="21"/>
                      <w:szCs w:val="21"/>
                      <w:highlight w:val="none"/>
                    </w:rPr>
                    <w:t>0.69</w:t>
                  </w:r>
                  <w:r>
                    <w:rPr>
                      <w:rFonts w:hint="eastAsia"/>
                      <w:sz w:val="21"/>
                      <w:szCs w:val="21"/>
                      <w:highlight w:val="none"/>
                      <w:lang w:val="en-US" w:eastAsia="zh-CN"/>
                    </w:rPr>
                    <w:t>/0.83</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GB/T212-2008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空气干燥基灰分</w:t>
                  </w:r>
                </w:p>
              </w:tc>
              <w:tc>
                <w:tcPr>
                  <w:tcW w:w="658"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Aad</w:t>
                  </w:r>
                </w:p>
              </w:tc>
              <w:tc>
                <w:tcPr>
                  <w:tcW w:w="492"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sz w:val="21"/>
                      <w:szCs w:val="21"/>
                      <w:highlight w:val="none"/>
                    </w:rPr>
                    <w:t>29.97</w:t>
                  </w:r>
                  <w:r>
                    <w:rPr>
                      <w:rFonts w:hint="eastAsia"/>
                      <w:sz w:val="21"/>
                      <w:szCs w:val="21"/>
                      <w:highlight w:val="none"/>
                      <w:lang w:val="en-US" w:eastAsia="zh-CN"/>
                    </w:rPr>
                    <w:t>/49.81</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GB/T212-2008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收到基灰分</w:t>
                  </w:r>
                </w:p>
              </w:tc>
              <w:tc>
                <w:tcPr>
                  <w:tcW w:w="658"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Aar</w:t>
                  </w:r>
                </w:p>
              </w:tc>
              <w:tc>
                <w:tcPr>
                  <w:tcW w:w="492"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sz w:val="21"/>
                      <w:szCs w:val="21"/>
                      <w:highlight w:val="none"/>
                    </w:rPr>
                    <w:t>27.58</w:t>
                  </w:r>
                  <w:r>
                    <w:rPr>
                      <w:rFonts w:hint="eastAsia"/>
                      <w:sz w:val="21"/>
                      <w:szCs w:val="21"/>
                      <w:highlight w:val="none"/>
                      <w:lang w:val="en-US" w:eastAsia="zh-CN"/>
                    </w:rPr>
                    <w:t>/43.91</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GB/T483-2007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干燥基灰分</w:t>
                  </w:r>
                </w:p>
              </w:tc>
              <w:tc>
                <w:tcPr>
                  <w:tcW w:w="658"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Ad</w:t>
                  </w:r>
                </w:p>
              </w:tc>
              <w:tc>
                <w:tcPr>
                  <w:tcW w:w="492"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sz w:val="21"/>
                      <w:szCs w:val="21"/>
                      <w:highlight w:val="none"/>
                    </w:rPr>
                    <w:t>30.18</w:t>
                  </w:r>
                  <w:r>
                    <w:rPr>
                      <w:rFonts w:hint="eastAsia"/>
                      <w:sz w:val="21"/>
                      <w:szCs w:val="21"/>
                      <w:highlight w:val="none"/>
                      <w:lang w:val="en-US" w:eastAsia="zh-CN"/>
                    </w:rPr>
                    <w:t>/50.23</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GB/T483-2007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空气干燥基挥发分</w:t>
                  </w:r>
                </w:p>
              </w:tc>
              <w:tc>
                <w:tcPr>
                  <w:tcW w:w="658"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Vad</w:t>
                  </w:r>
                </w:p>
              </w:tc>
              <w:tc>
                <w:tcPr>
                  <w:tcW w:w="492"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sz w:val="21"/>
                      <w:szCs w:val="21"/>
                      <w:highlight w:val="none"/>
                    </w:rPr>
                    <w:t>23.82</w:t>
                  </w:r>
                  <w:r>
                    <w:rPr>
                      <w:rFonts w:hint="eastAsia"/>
                      <w:sz w:val="21"/>
                      <w:szCs w:val="21"/>
                      <w:highlight w:val="none"/>
                      <w:lang w:val="en-US" w:eastAsia="zh-CN"/>
                    </w:rPr>
                    <w:t>/13.69</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GB/T212-2008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收到基挥发分</w:t>
                  </w:r>
                </w:p>
              </w:tc>
              <w:tc>
                <w:tcPr>
                  <w:tcW w:w="658"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Var</w:t>
                  </w:r>
                </w:p>
              </w:tc>
              <w:tc>
                <w:tcPr>
                  <w:tcW w:w="492"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sz w:val="21"/>
                      <w:szCs w:val="21"/>
                      <w:highlight w:val="none"/>
                    </w:rPr>
                    <w:t>21.92</w:t>
                  </w:r>
                  <w:r>
                    <w:rPr>
                      <w:rFonts w:hint="eastAsia"/>
                      <w:sz w:val="21"/>
                      <w:szCs w:val="21"/>
                      <w:highlight w:val="none"/>
                      <w:lang w:val="en-US" w:eastAsia="zh-CN"/>
                    </w:rPr>
                    <w:t>/12.07</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GB/T212-2008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千燥无灰基挥发分</w:t>
                  </w:r>
                </w:p>
              </w:tc>
              <w:tc>
                <w:tcPr>
                  <w:tcW w:w="658"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Vdaf</w:t>
                  </w:r>
                </w:p>
              </w:tc>
              <w:tc>
                <w:tcPr>
                  <w:tcW w:w="492"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sz w:val="21"/>
                      <w:szCs w:val="21"/>
                      <w:highlight w:val="none"/>
                    </w:rPr>
                    <w:t>34.35</w:t>
                  </w:r>
                  <w:r>
                    <w:rPr>
                      <w:rFonts w:hint="eastAsia"/>
                      <w:sz w:val="21"/>
                      <w:szCs w:val="21"/>
                      <w:highlight w:val="none"/>
                      <w:lang w:val="en-US" w:eastAsia="zh-CN"/>
                    </w:rPr>
                    <w:t>/27.74</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GB/T483-2007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空气干燥基全硫</w:t>
                  </w:r>
                </w:p>
              </w:tc>
              <w:tc>
                <w:tcPr>
                  <w:tcW w:w="658"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St,ad</w:t>
                  </w:r>
                </w:p>
              </w:tc>
              <w:tc>
                <w:tcPr>
                  <w:tcW w:w="492"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eastAsia" w:eastAsia="宋体"/>
                      <w:b w:val="0"/>
                      <w:bCs w:val="0"/>
                      <w:color w:val="auto"/>
                      <w:sz w:val="21"/>
                      <w:szCs w:val="21"/>
                      <w:highlight w:val="none"/>
                      <w:vertAlign w:val="baseline"/>
                      <w:lang w:val="en-US" w:eastAsia="zh-CN"/>
                    </w:rPr>
                  </w:pPr>
                  <w:r>
                    <w:rPr>
                      <w:rFonts w:hint="eastAsia"/>
                      <w:sz w:val="21"/>
                      <w:szCs w:val="21"/>
                      <w:highlight w:val="none"/>
                    </w:rPr>
                    <w:t>0.00</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GB/T214-2007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lang w:val="en-US" w:eastAsia="zh-CN"/>
                    </w:rPr>
                    <w:t>干</w:t>
                  </w:r>
                  <w:r>
                    <w:rPr>
                      <w:rFonts w:hint="eastAsia"/>
                      <w:sz w:val="21"/>
                      <w:szCs w:val="21"/>
                      <w:highlight w:val="none"/>
                    </w:rPr>
                    <w:t>燥基全硫</w:t>
                  </w:r>
                </w:p>
              </w:tc>
              <w:tc>
                <w:tcPr>
                  <w:tcW w:w="658"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St,d</w:t>
                  </w:r>
                </w:p>
              </w:tc>
              <w:tc>
                <w:tcPr>
                  <w:tcW w:w="492"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0.00</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GB/T483-2007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收到基全硫</w:t>
                  </w:r>
                </w:p>
              </w:tc>
              <w:tc>
                <w:tcPr>
                  <w:tcW w:w="658"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St,ar</w:t>
                  </w:r>
                </w:p>
              </w:tc>
              <w:tc>
                <w:tcPr>
                  <w:tcW w:w="492"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0.00</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GB/T483-2007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固定碳</w:t>
                  </w:r>
                </w:p>
              </w:tc>
              <w:tc>
                <w:tcPr>
                  <w:tcW w:w="658"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FC,ad</w:t>
                  </w:r>
                </w:p>
              </w:tc>
              <w:tc>
                <w:tcPr>
                  <w:tcW w:w="492"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sz w:val="21"/>
                      <w:szCs w:val="21"/>
                      <w:highlight w:val="none"/>
                    </w:rPr>
                    <w:t>45.52</w:t>
                  </w:r>
                  <w:r>
                    <w:rPr>
                      <w:rFonts w:hint="eastAsia"/>
                      <w:sz w:val="21"/>
                      <w:szCs w:val="21"/>
                      <w:highlight w:val="none"/>
                      <w:lang w:val="en-US" w:eastAsia="zh-CN"/>
                    </w:rPr>
                    <w:t>/35.67</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GB/T212-2008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空气干燥基弹筒热值</w:t>
                  </w:r>
                </w:p>
              </w:tc>
              <w:tc>
                <w:tcPr>
                  <w:tcW w:w="658"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Qb,ad</w:t>
                  </w:r>
                </w:p>
              </w:tc>
              <w:tc>
                <w:tcPr>
                  <w:tcW w:w="492"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sz w:val="21"/>
                      <w:szCs w:val="21"/>
                      <w:highlight w:val="none"/>
                    </w:rPr>
                    <w:t>5507</w:t>
                  </w:r>
                  <w:r>
                    <w:rPr>
                      <w:rFonts w:hint="eastAsia"/>
                      <w:sz w:val="21"/>
                      <w:szCs w:val="21"/>
                      <w:highlight w:val="none"/>
                      <w:lang w:val="en-US" w:eastAsia="zh-CN"/>
                    </w:rPr>
                    <w:t>/3846</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GB/T212-2008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5" w:type="pct"/>
                  <w:tcBorders>
                    <w:lef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千燥基高位热值</w:t>
                  </w:r>
                </w:p>
              </w:tc>
              <w:tc>
                <w:tcPr>
                  <w:tcW w:w="658"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Qgr,d</w:t>
                  </w:r>
                </w:p>
              </w:tc>
              <w:tc>
                <w:tcPr>
                  <w:tcW w:w="492" w:type="pct"/>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sz w:val="21"/>
                      <w:szCs w:val="21"/>
                      <w:highlight w:val="none"/>
                    </w:rPr>
                    <w:t>5535</w:t>
                  </w:r>
                  <w:r>
                    <w:rPr>
                      <w:rFonts w:hint="eastAsia"/>
                      <w:sz w:val="21"/>
                      <w:szCs w:val="21"/>
                      <w:highlight w:val="none"/>
                      <w:lang w:val="en-US" w:eastAsia="zh-CN"/>
                    </w:rPr>
                    <w:t>/3863</w:t>
                  </w:r>
                </w:p>
              </w:tc>
              <w:tc>
                <w:tcPr>
                  <w:tcW w:w="1197" w:type="pct"/>
                  <w:tcBorders>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GB/T213-2008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85" w:type="pct"/>
                  <w:tcBorders>
                    <w:left w:val="nil"/>
                    <w:bottom w:val="doub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收到基低位热值</w:t>
                  </w:r>
                </w:p>
              </w:tc>
              <w:tc>
                <w:tcPr>
                  <w:tcW w:w="658" w:type="pct"/>
                  <w:tcBorders>
                    <w:bottom w:val="doub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Qnet,ar</w:t>
                  </w:r>
                </w:p>
              </w:tc>
              <w:tc>
                <w:tcPr>
                  <w:tcW w:w="492" w:type="pct"/>
                  <w:tcBorders>
                    <w:bottom w:val="double" w:color="auto" w:sz="4" w:space="0"/>
                  </w:tcBorders>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w:t>
                  </w:r>
                </w:p>
              </w:tc>
              <w:tc>
                <w:tcPr>
                  <w:tcW w:w="966" w:type="pct"/>
                  <w:tcBorders>
                    <w:bottom w:val="doub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sz w:val="21"/>
                      <w:szCs w:val="21"/>
                      <w:highlight w:val="none"/>
                    </w:rPr>
                    <w:t>4838</w:t>
                  </w:r>
                  <w:r>
                    <w:rPr>
                      <w:rFonts w:hint="eastAsia"/>
                      <w:sz w:val="21"/>
                      <w:szCs w:val="21"/>
                      <w:highlight w:val="none"/>
                      <w:lang w:val="en-US" w:eastAsia="zh-CN"/>
                    </w:rPr>
                    <w:t>/3172</w:t>
                  </w:r>
                </w:p>
              </w:tc>
              <w:tc>
                <w:tcPr>
                  <w:tcW w:w="1197" w:type="pct"/>
                  <w:tcBorders>
                    <w:bottom w:val="double" w:color="auto" w:sz="4" w:space="0"/>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sz w:val="21"/>
                      <w:szCs w:val="21"/>
                      <w:highlight w:val="none"/>
                    </w:rPr>
                    <w:t>GB/T213-2008</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0" w:firstLineChars="200"/>
              <w:textAlignment w:val="auto"/>
              <w:rPr>
                <w:rFonts w:hint="default"/>
                <w:b w:val="0"/>
                <w:bCs w:val="0"/>
                <w:color w:val="auto"/>
                <w:sz w:val="2"/>
                <w:szCs w:val="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textAlignment w:val="auto"/>
              <w:rPr>
                <w:rFonts w:hint="eastAsia"/>
                <w:b w:val="0"/>
                <w:bCs w:val="0"/>
                <w:color w:val="auto"/>
                <w:highlight w:val="none"/>
              </w:rPr>
            </w:pPr>
            <w:r>
              <w:rPr>
                <w:rFonts w:hint="eastAsia"/>
                <w:b w:val="0"/>
                <w:bCs w:val="0"/>
                <w:color w:val="auto"/>
                <w:highlight w:val="none"/>
              </w:rPr>
              <w:t>厂区现有3座钢结构库房，总建筑面积21271</w:t>
            </w:r>
            <w:r>
              <w:rPr>
                <w:rFonts w:hint="eastAsia"/>
                <w:b w:val="0"/>
                <w:bCs w:val="0"/>
                <w:color w:val="auto"/>
                <w:highlight w:val="none"/>
                <w:lang w:eastAsia="zh-CN"/>
              </w:rPr>
              <w:t>m</w:t>
            </w:r>
            <w:r>
              <w:rPr>
                <w:rFonts w:hint="eastAsia"/>
                <w:b w:val="0"/>
                <w:bCs w:val="0"/>
                <w:color w:val="auto"/>
                <w:highlight w:val="none"/>
                <w:vertAlign w:val="superscript"/>
                <w:lang w:val="en-US" w:eastAsia="zh-CN"/>
              </w:rPr>
              <w:t>2</w:t>
            </w:r>
            <w:r>
              <w:rPr>
                <w:rFonts w:hint="eastAsia"/>
                <w:b w:val="0"/>
                <w:bCs w:val="0"/>
                <w:color w:val="auto"/>
                <w:highlight w:val="none"/>
                <w:lang w:eastAsia="zh-CN"/>
              </w:rPr>
              <w:t>：</w:t>
            </w:r>
            <w:r>
              <w:rPr>
                <w:rFonts w:hint="eastAsia"/>
                <w:b w:val="0"/>
                <w:bCs w:val="0"/>
                <w:color w:val="auto"/>
                <w:highlight w:val="none"/>
                <w:lang w:val="en-US" w:eastAsia="zh-CN"/>
              </w:rPr>
              <w:t>储煤库1、储煤库2、储煤库3的面积分别为</w:t>
            </w:r>
            <w:r>
              <w:rPr>
                <w:rFonts w:hint="eastAsia"/>
                <w:b w:val="0"/>
                <w:bCs w:val="0"/>
                <w:color w:val="auto"/>
                <w:highlight w:val="none"/>
              </w:rPr>
              <w:t>10350</w:t>
            </w:r>
            <w:r>
              <w:rPr>
                <w:rFonts w:hint="eastAsia"/>
                <w:b w:val="0"/>
                <w:bCs w:val="0"/>
                <w:color w:val="auto"/>
                <w:highlight w:val="none"/>
                <w:lang w:eastAsia="zh-CN"/>
              </w:rPr>
              <w:t>m</w:t>
            </w:r>
            <w:r>
              <w:rPr>
                <w:rFonts w:hint="eastAsia"/>
                <w:b w:val="0"/>
                <w:bCs w:val="0"/>
                <w:color w:val="auto"/>
                <w:highlight w:val="none"/>
                <w:vertAlign w:val="superscript"/>
                <w:lang w:val="en-US" w:eastAsia="zh-CN"/>
              </w:rPr>
              <w:t>2</w:t>
            </w:r>
            <w:r>
              <w:rPr>
                <w:rFonts w:hint="eastAsia"/>
                <w:b w:val="0"/>
                <w:bCs w:val="0"/>
                <w:color w:val="auto"/>
                <w:highlight w:val="none"/>
              </w:rPr>
              <w:t>（高8m）、8046</w:t>
            </w:r>
            <w:r>
              <w:rPr>
                <w:rFonts w:hint="eastAsia"/>
                <w:b w:val="0"/>
                <w:bCs w:val="0"/>
                <w:color w:val="auto"/>
                <w:highlight w:val="none"/>
                <w:lang w:eastAsia="zh-CN"/>
              </w:rPr>
              <w:t>m</w:t>
            </w:r>
            <w:r>
              <w:rPr>
                <w:rFonts w:hint="eastAsia"/>
                <w:b w:val="0"/>
                <w:bCs w:val="0"/>
                <w:color w:val="auto"/>
                <w:highlight w:val="none"/>
                <w:vertAlign w:val="superscript"/>
                <w:lang w:val="en-US" w:eastAsia="zh-CN"/>
              </w:rPr>
              <w:t>2</w:t>
            </w:r>
            <w:r>
              <w:rPr>
                <w:rFonts w:hint="eastAsia"/>
                <w:b w:val="0"/>
                <w:bCs w:val="0"/>
                <w:color w:val="auto"/>
                <w:highlight w:val="none"/>
              </w:rPr>
              <w:t>（高9m）、2875</w:t>
            </w:r>
            <w:r>
              <w:rPr>
                <w:rFonts w:hint="eastAsia"/>
                <w:b w:val="0"/>
                <w:bCs w:val="0"/>
                <w:color w:val="auto"/>
                <w:highlight w:val="none"/>
                <w:lang w:eastAsia="zh-CN"/>
              </w:rPr>
              <w:t>m</w:t>
            </w:r>
            <w:r>
              <w:rPr>
                <w:rFonts w:hint="eastAsia"/>
                <w:b w:val="0"/>
                <w:bCs w:val="0"/>
                <w:color w:val="auto"/>
                <w:highlight w:val="none"/>
                <w:vertAlign w:val="superscript"/>
                <w:lang w:val="en-US" w:eastAsia="zh-CN"/>
              </w:rPr>
              <w:t>2</w:t>
            </w:r>
            <w:r>
              <w:rPr>
                <w:rFonts w:hint="eastAsia"/>
                <w:b w:val="0"/>
                <w:bCs w:val="0"/>
                <w:color w:val="auto"/>
                <w:highlight w:val="none"/>
              </w:rPr>
              <w:t>（高7m）。</w:t>
            </w:r>
            <w:r>
              <w:rPr>
                <w:rFonts w:hint="eastAsia"/>
                <w:color w:val="auto"/>
                <w:highlight w:val="none"/>
              </w:rPr>
              <w:t>原煤堆存时，以正截角锥体状</w:t>
            </w:r>
            <w:r>
              <w:rPr>
                <w:rFonts w:hint="eastAsia"/>
                <w:color w:val="auto"/>
                <w:highlight w:val="none"/>
                <w:lang w:val="en-US" w:eastAsia="zh-CN"/>
              </w:rPr>
              <w:t>且</w:t>
            </w:r>
            <w:r>
              <w:rPr>
                <w:rFonts w:hint="eastAsia"/>
                <w:color w:val="auto"/>
                <w:highlight w:val="none"/>
              </w:rPr>
              <w:t>角度</w:t>
            </w:r>
            <w:r>
              <w:rPr>
                <w:rFonts w:hint="eastAsia"/>
                <w:color w:val="auto"/>
                <w:highlight w:val="none"/>
                <w:lang w:val="en-US" w:eastAsia="zh-CN"/>
              </w:rPr>
              <w:t>呈</w:t>
            </w:r>
            <w:r>
              <w:rPr>
                <w:rFonts w:hint="eastAsia"/>
                <w:color w:val="auto"/>
                <w:highlight w:val="none"/>
              </w:rPr>
              <w:t>45°为宜。本项目</w:t>
            </w:r>
            <w:r>
              <w:rPr>
                <w:rFonts w:hint="eastAsia"/>
                <w:color w:val="auto"/>
                <w:highlight w:val="none"/>
                <w:lang w:val="en-US" w:eastAsia="zh-CN"/>
              </w:rPr>
              <w:t>根据企业提供资料，</w:t>
            </w:r>
            <w:r>
              <w:rPr>
                <w:rFonts w:hint="eastAsia"/>
                <w:color w:val="auto"/>
                <w:highlight w:val="none"/>
              </w:rPr>
              <w:t>以将煤堆</w:t>
            </w:r>
            <w:r>
              <w:rPr>
                <w:rFonts w:hint="eastAsia"/>
                <w:color w:val="auto"/>
                <w:highlight w:val="none"/>
                <w:lang w:val="en-US" w:eastAsia="zh-CN"/>
              </w:rPr>
              <w:t>视为</w:t>
            </w:r>
            <w:r>
              <w:rPr>
                <w:rFonts w:hint="eastAsia"/>
                <w:color w:val="auto"/>
                <w:highlight w:val="none"/>
              </w:rPr>
              <w:t>正截角锥体且煤堆角为45</w:t>
            </w:r>
            <w:r>
              <w:rPr>
                <w:rFonts w:hint="eastAsia"/>
                <w:color w:val="auto"/>
                <w:highlight w:val="none"/>
                <w:lang w:val="en-US" w:eastAsia="zh-CN"/>
              </w:rPr>
              <w:t>°</w:t>
            </w:r>
            <w:r>
              <w:rPr>
                <w:rFonts w:hint="eastAsia"/>
                <w:color w:val="auto"/>
                <w:highlight w:val="none"/>
              </w:rPr>
              <w:t>计算煤堆</w:t>
            </w:r>
            <w:r>
              <w:rPr>
                <w:rFonts w:hint="eastAsia"/>
                <w:color w:val="auto"/>
                <w:highlight w:val="none"/>
                <w:lang w:val="en-US" w:eastAsia="zh-CN"/>
              </w:rPr>
              <w:t>理想情况下的</w:t>
            </w:r>
            <w:r>
              <w:rPr>
                <w:rFonts w:hint="eastAsia"/>
                <w:color w:val="auto"/>
                <w:highlight w:val="none"/>
              </w:rPr>
              <w:t>容积</w:t>
            </w:r>
            <w:r>
              <w:rPr>
                <w:rFonts w:hint="eastAsia"/>
                <w:color w:val="auto"/>
                <w:highlight w:val="none"/>
                <w:lang w:eastAsia="zh-CN"/>
              </w:rPr>
              <w:t>，</w:t>
            </w:r>
            <w:r>
              <w:rPr>
                <w:rFonts w:hint="eastAsia"/>
                <w:b w:val="0"/>
                <w:bCs w:val="0"/>
                <w:color w:val="auto"/>
                <w:highlight w:val="none"/>
              </w:rPr>
              <w:t>煤密度按</w:t>
            </w:r>
            <w:r>
              <w:rPr>
                <w:rFonts w:hint="eastAsia"/>
                <w:b w:val="0"/>
                <w:bCs w:val="0"/>
                <w:color w:val="auto"/>
                <w:highlight w:val="none"/>
                <w:lang w:val="en-US" w:eastAsia="zh-CN"/>
              </w:rPr>
              <w:t>企业提供材料焦煤</w:t>
            </w:r>
            <w:r>
              <w:rPr>
                <w:rFonts w:hint="eastAsia"/>
                <w:b w:val="0"/>
                <w:bCs w:val="0"/>
                <w:color w:val="auto"/>
                <w:highlight w:val="none"/>
              </w:rPr>
              <w:t>1.35吨/m</w:t>
            </w:r>
            <w:r>
              <w:rPr>
                <w:rFonts w:hint="eastAsia"/>
                <w:b w:val="0"/>
                <w:bCs w:val="0"/>
                <w:color w:val="auto"/>
                <w:highlight w:val="none"/>
                <w:vertAlign w:val="superscript"/>
                <w:lang w:val="en-US" w:eastAsia="zh-CN"/>
              </w:rPr>
              <w:t>3</w:t>
            </w:r>
            <w:r>
              <w:rPr>
                <w:rFonts w:hint="eastAsia"/>
                <w:b w:val="0"/>
                <w:bCs w:val="0"/>
                <w:color w:val="auto"/>
                <w:highlight w:val="none"/>
              </w:rPr>
              <w:t>计。</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b w:val="0"/>
                <w:bCs w:val="0"/>
                <w:color w:val="auto"/>
                <w:highlight w:val="none"/>
              </w:rPr>
            </w:pPr>
            <m:oMathPara>
              <m:oMath>
                <m:r>
                  <m:rPr>
                    <m:sty m:val="p"/>
                  </m:rPr>
                  <w:rPr>
                    <w:rFonts w:hint="default" w:ascii="Cambria Math" w:hAnsi="Cambria Math"/>
                    <w:color w:val="auto"/>
                    <w:highlight w:val="none"/>
                    <w:lang w:val="en-US" w:eastAsia="zh-CN"/>
                  </w:rPr>
                  <m:t>V=</m:t>
                </m:r>
                <m:f>
                  <m:fPr>
                    <m:ctrlPr>
                      <w:rPr>
                        <w:rFonts w:hint="default" w:ascii="Cambria Math" w:hAnsi="Cambria Math"/>
                        <w:color w:val="auto"/>
                        <w:highlight w:val="none"/>
                        <w:lang w:val="en-US" w:eastAsia="zh-CN"/>
                      </w:rPr>
                    </m:ctrlPr>
                  </m:fPr>
                  <m:num>
                    <m:r>
                      <m:rPr>
                        <m:sty m:val="p"/>
                      </m:rPr>
                      <w:rPr>
                        <w:rFonts w:hint="default" w:ascii="Cambria Math" w:hAnsi="Cambria Math"/>
                        <w:color w:val="auto"/>
                        <w:highlight w:val="none"/>
                        <w:lang w:val="en-US" w:eastAsia="zh-CN"/>
                      </w:rPr>
                      <m:t>1</m:t>
                    </m:r>
                    <m:ctrlPr>
                      <w:rPr>
                        <w:rFonts w:hint="default" w:ascii="Cambria Math" w:hAnsi="Cambria Math"/>
                        <w:color w:val="auto"/>
                        <w:highlight w:val="none"/>
                        <w:lang w:val="en-US" w:eastAsia="zh-CN"/>
                      </w:rPr>
                    </m:ctrlPr>
                  </m:num>
                  <m:den>
                    <m:r>
                      <m:rPr>
                        <m:sty m:val="p"/>
                      </m:rPr>
                      <w:rPr>
                        <w:rFonts w:hint="default" w:ascii="Cambria Math" w:hAnsi="Cambria Math"/>
                        <w:color w:val="auto"/>
                        <w:highlight w:val="none"/>
                        <w:lang w:val="en-US" w:eastAsia="zh-CN"/>
                      </w:rPr>
                      <m:t>6</m:t>
                    </m:r>
                    <m:ctrlPr>
                      <w:rPr>
                        <w:rFonts w:hint="default" w:ascii="Cambria Math" w:hAnsi="Cambria Math"/>
                        <w:color w:val="auto"/>
                        <w:highlight w:val="none"/>
                        <w:lang w:val="en-US" w:eastAsia="zh-CN"/>
                      </w:rPr>
                    </m:ctrlPr>
                  </m:den>
                </m:f>
                <m:r>
                  <m:rPr>
                    <m:sty m:val="p"/>
                  </m:rPr>
                  <w:rPr>
                    <w:rFonts w:hint="default" w:ascii="Cambria Math" w:hAnsi="Cambria Math" w:cs="Cambria Math"/>
                    <w:color w:val="auto"/>
                    <w:highlight w:val="none"/>
                    <w:lang w:val="en-US" w:eastAsia="zh-CN"/>
                  </w:rPr>
                  <m:t>×</m:t>
                </m:r>
                <m:r>
                  <m:rPr>
                    <m:sty m:val="p"/>
                  </m:rPr>
                  <w:rPr>
                    <w:rFonts w:hint="default" w:ascii="Cambria Math" w:hAnsi="Cambria Math"/>
                    <w:color w:val="auto"/>
                    <w:highlight w:val="none"/>
                    <w:lang w:val="en-US" w:eastAsia="zh-CN"/>
                  </w:rPr>
                  <m:t>h</m:t>
                </m:r>
                <m:r>
                  <m:rPr>
                    <m:sty m:val="p"/>
                  </m:rPr>
                  <w:rPr>
                    <w:rFonts w:hint="default" w:ascii="Cambria Math" w:hAnsi="Cambria Math" w:cs="Cambria Math"/>
                    <w:color w:val="auto"/>
                    <w:highlight w:val="none"/>
                    <w:lang w:val="en-US" w:eastAsia="zh-CN"/>
                  </w:rPr>
                  <m:t>×[(2</m:t>
                </m:r>
                <m:r>
                  <m:rPr>
                    <m:sty m:val="p"/>
                  </m:rPr>
                  <w:rPr>
                    <w:rFonts w:ascii="Cambria Math" w:hAnsi="Cambria Math" w:cs="Cambria Math"/>
                    <w:color w:val="auto"/>
                    <w:highlight w:val="none"/>
                    <w:lang w:val="en-US"/>
                  </w:rPr>
                  <m:t>×</m:t>
                </m:r>
                <m:r>
                  <m:rPr>
                    <m:sty m:val="p"/>
                  </m:rPr>
                  <w:rPr>
                    <w:rFonts w:hint="default" w:ascii="Cambria Math" w:hAnsi="Cambria Math" w:cs="Cambria Math"/>
                    <w:color w:val="auto"/>
                    <w:highlight w:val="none"/>
                    <w:lang w:val="en-US" w:eastAsia="zh-CN"/>
                  </w:rPr>
                  <m:t>a+</m:t>
                </m:r>
                <m:sSub>
                  <m:sSubPr>
                    <m:ctrlPr>
                      <w:rPr>
                        <w:rFonts w:hint="default" w:ascii="Cambria Math" w:hAnsi="Cambria Math" w:cs="Cambria Math"/>
                        <w:color w:val="auto"/>
                        <w:highlight w:val="none"/>
                        <w:lang w:val="en-US" w:eastAsia="zh-CN"/>
                      </w:rPr>
                    </m:ctrlPr>
                  </m:sSubPr>
                  <m:e>
                    <m:r>
                      <m:rPr>
                        <m:sty m:val="p"/>
                      </m:rPr>
                      <w:rPr>
                        <w:rFonts w:hint="eastAsia" w:ascii="Cambria Math" w:hAnsi="Cambria Math" w:cs="Cambria Math"/>
                        <w:color w:val="auto"/>
                        <w:highlight w:val="none"/>
                        <w:lang w:val="en-US" w:eastAsia="zh-CN"/>
                      </w:rPr>
                      <m:t>a</m:t>
                    </m:r>
                    <m:ctrlPr>
                      <w:rPr>
                        <w:rFonts w:hint="default" w:ascii="Cambria Math" w:hAnsi="Cambria Math" w:cs="Cambria Math"/>
                        <w:color w:val="auto"/>
                        <w:highlight w:val="none"/>
                        <w:lang w:val="en-US" w:eastAsia="zh-CN"/>
                      </w:rPr>
                    </m:ctrlPr>
                  </m:e>
                  <m:sub>
                    <m:r>
                      <m:rPr>
                        <m:sty m:val="p"/>
                      </m:rPr>
                      <w:rPr>
                        <w:rFonts w:hint="default" w:ascii="Cambria Math" w:hAnsi="Cambria Math" w:cs="Cambria Math"/>
                        <w:color w:val="auto"/>
                        <w:highlight w:val="none"/>
                        <w:lang w:val="en-US" w:eastAsia="zh-CN"/>
                      </w:rPr>
                      <m:t>1</m:t>
                    </m:r>
                    <m:ctrlPr>
                      <w:rPr>
                        <w:rFonts w:hint="default" w:ascii="Cambria Math" w:hAnsi="Cambria Math" w:cs="Cambria Math"/>
                        <w:color w:val="auto"/>
                        <w:highlight w:val="none"/>
                        <w:lang w:val="en-US" w:eastAsia="zh-CN"/>
                      </w:rPr>
                    </m:ctrlPr>
                  </m:sub>
                </m:sSub>
                <m:r>
                  <m:rPr>
                    <m:sty m:val="p"/>
                  </m:rPr>
                  <w:rPr>
                    <w:rFonts w:hint="default" w:ascii="Cambria Math" w:hAnsi="Cambria Math" w:cs="Cambria Math"/>
                    <w:color w:val="auto"/>
                    <w:highlight w:val="none"/>
                    <w:lang w:val="en-US" w:eastAsia="zh-CN"/>
                  </w:rPr>
                  <m:t>)</m:t>
                </m:r>
                <m:r>
                  <m:rPr>
                    <m:sty m:val="p"/>
                  </m:rPr>
                  <w:rPr>
                    <w:rFonts w:ascii="Cambria Math" w:hAnsi="Cambria Math" w:cs="Cambria Math"/>
                    <w:color w:val="auto"/>
                    <w:highlight w:val="none"/>
                    <w:lang w:val="en-US"/>
                  </w:rPr>
                  <m:t>×</m:t>
                </m:r>
                <m:r>
                  <m:rPr>
                    <m:sty m:val="p"/>
                  </m:rPr>
                  <w:rPr>
                    <w:rFonts w:hint="default" w:ascii="Cambria Math" w:hAnsi="Cambria Math" w:cs="Cambria Math"/>
                    <w:color w:val="auto"/>
                    <w:highlight w:val="none"/>
                    <w:lang w:val="en-US" w:eastAsia="zh-CN"/>
                  </w:rPr>
                  <m:t>b+(2</m:t>
                </m:r>
                <m:r>
                  <m:rPr>
                    <m:sty m:val="p"/>
                  </m:rPr>
                  <w:rPr>
                    <w:rFonts w:ascii="Cambria Math" w:hAnsi="Cambria Math" w:cs="Cambria Math"/>
                    <w:color w:val="auto"/>
                    <w:highlight w:val="none"/>
                    <w:lang w:val="en-US"/>
                  </w:rPr>
                  <m:t>×</m:t>
                </m:r>
                <m:sSub>
                  <m:sSubPr>
                    <m:ctrlPr>
                      <w:rPr>
                        <w:rFonts w:hint="default" w:ascii="Cambria Math" w:hAnsi="Cambria Math" w:cs="Cambria Math"/>
                        <w:color w:val="auto"/>
                        <w:highlight w:val="none"/>
                        <w:lang w:val="en-US" w:eastAsia="zh-CN"/>
                      </w:rPr>
                    </m:ctrlPr>
                  </m:sSubPr>
                  <m:e>
                    <m:r>
                      <m:rPr>
                        <m:sty m:val="p"/>
                      </m:rPr>
                      <w:rPr>
                        <w:rFonts w:hint="eastAsia" w:ascii="Cambria Math" w:hAnsi="Cambria Math" w:cs="Cambria Math"/>
                        <w:color w:val="auto"/>
                        <w:highlight w:val="none"/>
                        <w:lang w:val="en-US" w:eastAsia="zh-CN"/>
                      </w:rPr>
                      <m:t>a</m:t>
                    </m:r>
                    <m:ctrlPr>
                      <w:rPr>
                        <w:rFonts w:hint="default" w:ascii="Cambria Math" w:hAnsi="Cambria Math" w:cs="Cambria Math"/>
                        <w:color w:val="auto"/>
                        <w:highlight w:val="none"/>
                        <w:lang w:val="en-US" w:eastAsia="zh-CN"/>
                      </w:rPr>
                    </m:ctrlPr>
                  </m:e>
                  <m:sub>
                    <m:r>
                      <m:rPr>
                        <m:sty m:val="p"/>
                      </m:rPr>
                      <w:rPr>
                        <w:rFonts w:hint="default" w:ascii="Cambria Math" w:hAnsi="Cambria Math" w:cs="Cambria Math"/>
                        <w:color w:val="auto"/>
                        <w:highlight w:val="none"/>
                        <w:lang w:val="en-US" w:eastAsia="zh-CN"/>
                      </w:rPr>
                      <m:t>1</m:t>
                    </m:r>
                    <m:ctrlPr>
                      <w:rPr>
                        <w:rFonts w:hint="default" w:ascii="Cambria Math" w:hAnsi="Cambria Math" w:cs="Cambria Math"/>
                        <w:color w:val="auto"/>
                        <w:highlight w:val="none"/>
                        <w:lang w:val="en-US" w:eastAsia="zh-CN"/>
                      </w:rPr>
                    </m:ctrlPr>
                  </m:sub>
                </m:sSub>
                <m:r>
                  <m:rPr>
                    <m:sty m:val="p"/>
                  </m:rPr>
                  <w:rPr>
                    <w:rFonts w:hint="default" w:ascii="Cambria Math" w:hAnsi="Cambria Math" w:cs="Cambria Math"/>
                    <w:color w:val="auto"/>
                    <w:highlight w:val="none"/>
                    <w:lang w:val="en-US" w:eastAsia="zh-CN"/>
                  </w:rPr>
                  <m:t>+a)</m:t>
                </m:r>
                <m:r>
                  <m:rPr>
                    <m:sty m:val="p"/>
                  </m:rPr>
                  <w:rPr>
                    <w:rFonts w:ascii="Cambria Math" w:hAnsi="Cambria Math" w:cs="Cambria Math"/>
                    <w:color w:val="auto"/>
                    <w:highlight w:val="none"/>
                    <w:lang w:val="en-US"/>
                  </w:rPr>
                  <m:t>×</m:t>
                </m:r>
                <m:sSub>
                  <m:sSubPr>
                    <m:ctrlPr>
                      <w:rPr>
                        <w:rFonts w:hint="default" w:ascii="Cambria Math" w:hAnsi="Cambria Math" w:cs="Cambria Math"/>
                        <w:color w:val="auto"/>
                        <w:highlight w:val="none"/>
                        <w:lang w:val="en-US" w:eastAsia="zh-CN"/>
                      </w:rPr>
                    </m:ctrlPr>
                  </m:sSubPr>
                  <m:e>
                    <m:r>
                      <m:rPr>
                        <m:sty m:val="p"/>
                      </m:rPr>
                      <w:rPr>
                        <w:rFonts w:hint="eastAsia" w:ascii="Cambria Math" w:hAnsi="Cambria Math" w:cs="Cambria Math"/>
                        <w:color w:val="auto"/>
                        <w:highlight w:val="none"/>
                        <w:lang w:val="en-US" w:eastAsia="zh-CN"/>
                      </w:rPr>
                      <m:t>b</m:t>
                    </m:r>
                    <m:ctrlPr>
                      <w:rPr>
                        <w:rFonts w:hint="default" w:ascii="Cambria Math" w:hAnsi="Cambria Math" w:cs="Cambria Math"/>
                        <w:color w:val="auto"/>
                        <w:highlight w:val="none"/>
                        <w:lang w:val="en-US" w:eastAsia="zh-CN"/>
                      </w:rPr>
                    </m:ctrlPr>
                  </m:e>
                  <m:sub>
                    <m:r>
                      <m:rPr>
                        <m:sty m:val="p"/>
                      </m:rPr>
                      <w:rPr>
                        <w:rFonts w:hint="default" w:ascii="Cambria Math" w:hAnsi="Cambria Math" w:cs="Cambria Math"/>
                        <w:color w:val="auto"/>
                        <w:highlight w:val="none"/>
                        <w:lang w:val="en-US" w:eastAsia="zh-CN"/>
                      </w:rPr>
                      <m:t>1</m:t>
                    </m:r>
                    <m:ctrlPr>
                      <w:rPr>
                        <w:rFonts w:hint="default" w:ascii="Cambria Math" w:hAnsi="Cambria Math" w:cs="Cambria Math"/>
                        <w:color w:val="auto"/>
                        <w:highlight w:val="none"/>
                        <w:lang w:val="en-US" w:eastAsia="zh-CN"/>
                      </w:rPr>
                    </m:ctrlPr>
                  </m:sub>
                </m:sSub>
                <m:r>
                  <m:rPr>
                    <m:sty m:val="p"/>
                  </m:rPr>
                  <w:rPr>
                    <w:rFonts w:hint="default" w:ascii="Cambria Math" w:hAnsi="Cambria Math" w:cs="Cambria Math"/>
                    <w:color w:val="auto"/>
                    <w:highlight w:val="none"/>
                    <w:lang w:val="en-US" w:eastAsia="zh-CN"/>
                  </w:rPr>
                  <m:t>]</m:t>
                </m:r>
              </m:oMath>
            </m:oMathPara>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textAlignment w:val="auto"/>
              <w:rPr>
                <w:rFonts w:hint="eastAsia"/>
                <w:b w:val="0"/>
                <w:bCs w:val="0"/>
                <w:color w:val="auto"/>
                <w:highlight w:val="none"/>
              </w:rPr>
            </w:pPr>
            <w:r>
              <w:rPr>
                <w:rFonts w:hint="eastAsia"/>
                <w:b w:val="0"/>
                <w:bCs w:val="0"/>
                <w:color w:val="auto"/>
                <w:highlight w:val="none"/>
              </w:rPr>
              <w:t>a―梯形底边长度；</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textAlignment w:val="auto"/>
              <w:rPr>
                <w:rFonts w:hint="eastAsia"/>
                <w:b w:val="0"/>
                <w:bCs w:val="0"/>
                <w:color w:val="auto"/>
                <w:highlight w:val="none"/>
              </w:rPr>
            </w:pPr>
            <w:r>
              <w:rPr>
                <w:rFonts w:hint="eastAsia"/>
                <w:b w:val="0"/>
                <w:bCs w:val="0"/>
                <w:color w:val="auto"/>
                <w:highlight w:val="none"/>
              </w:rPr>
              <w:t>a</w:t>
            </w:r>
            <w:r>
              <w:rPr>
                <w:rFonts w:hint="eastAsia"/>
                <w:b w:val="0"/>
                <w:bCs w:val="0"/>
                <w:color w:val="auto"/>
                <w:highlight w:val="none"/>
                <w:vertAlign w:val="subscript"/>
              </w:rPr>
              <w:t>1</w:t>
            </w:r>
            <w:r>
              <w:rPr>
                <w:rFonts w:hint="eastAsia"/>
                <w:b w:val="0"/>
                <w:bCs w:val="0"/>
                <w:color w:val="auto"/>
                <w:highlight w:val="none"/>
              </w:rPr>
              <w:t>―梯形顶边长度；</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textAlignment w:val="auto"/>
              <w:rPr>
                <w:rFonts w:hint="eastAsia"/>
                <w:b w:val="0"/>
                <w:bCs w:val="0"/>
                <w:color w:val="auto"/>
                <w:highlight w:val="none"/>
              </w:rPr>
            </w:pPr>
            <w:r>
              <w:rPr>
                <w:rFonts w:hint="eastAsia"/>
                <w:b w:val="0"/>
                <w:bCs w:val="0"/>
                <w:color w:val="auto"/>
                <w:highlight w:val="none"/>
              </w:rPr>
              <w:t>b―梯形底边宽度；</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textAlignment w:val="auto"/>
              <w:rPr>
                <w:rFonts w:hint="eastAsia"/>
                <w:b w:val="0"/>
                <w:bCs w:val="0"/>
                <w:color w:val="auto"/>
                <w:highlight w:val="none"/>
              </w:rPr>
            </w:pPr>
            <w:r>
              <w:rPr>
                <w:rFonts w:hint="eastAsia"/>
                <w:b w:val="0"/>
                <w:bCs w:val="0"/>
                <w:color w:val="auto"/>
                <w:highlight w:val="none"/>
              </w:rPr>
              <w:t>b</w:t>
            </w:r>
            <w:r>
              <w:rPr>
                <w:rFonts w:hint="eastAsia"/>
                <w:b w:val="0"/>
                <w:bCs w:val="0"/>
                <w:color w:val="auto"/>
                <w:highlight w:val="none"/>
                <w:vertAlign w:val="subscript"/>
              </w:rPr>
              <w:t>1</w:t>
            </w:r>
            <w:r>
              <w:rPr>
                <w:rFonts w:hint="eastAsia"/>
                <w:b w:val="0"/>
                <w:bCs w:val="0"/>
                <w:color w:val="auto"/>
                <w:highlight w:val="none"/>
              </w:rPr>
              <w:t>―梯形顶边宽度；</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textAlignment w:val="auto"/>
              <w:rPr>
                <w:rFonts w:hint="eastAsia"/>
                <w:b w:val="0"/>
                <w:bCs w:val="0"/>
                <w:color w:val="auto"/>
                <w:highlight w:val="none"/>
              </w:rPr>
            </w:pPr>
            <w:r>
              <w:rPr>
                <w:rFonts w:hint="eastAsia"/>
                <w:b w:val="0"/>
                <w:bCs w:val="0"/>
                <w:color w:val="auto"/>
                <w:highlight w:val="none"/>
              </w:rPr>
              <w:t>h―堆煤高度</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b w:val="0"/>
                <w:bCs w:val="0"/>
                <w:color w:val="auto"/>
                <w:highlight w:val="none"/>
                <w:lang w:val="en-US" w:eastAsia="zh-CN"/>
              </w:rPr>
            </w:pPr>
            <w:r>
              <w:rPr>
                <w:rFonts w:hint="eastAsia"/>
                <w:b w:val="0"/>
                <w:bCs w:val="0"/>
                <w:color w:val="auto"/>
                <w:highlight w:val="none"/>
                <w:lang w:val="en-US" w:eastAsia="zh-CN"/>
              </w:rPr>
              <w:t>经计算各个储煤库容积及储煤量表2-7所示</w:t>
            </w: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rPr>
              <w:t>表</w:t>
            </w:r>
            <w:r>
              <w:rPr>
                <w:rFonts w:hint="eastAsia"/>
                <w:b/>
                <w:bCs/>
                <w:color w:val="auto"/>
                <w:sz w:val="21"/>
                <w:szCs w:val="21"/>
                <w:highlight w:val="none"/>
                <w:lang w:val="en-US" w:eastAsia="zh-CN"/>
              </w:rPr>
              <w:t>2-7</w:t>
            </w:r>
            <w:r>
              <w:rPr>
                <w:rFonts w:hint="eastAsia"/>
                <w:b/>
                <w:bCs/>
                <w:color w:val="auto"/>
                <w:sz w:val="21"/>
                <w:szCs w:val="21"/>
                <w:highlight w:val="none"/>
              </w:rPr>
              <w:t xml:space="preserve"> </w:t>
            </w:r>
            <w:r>
              <w:rPr>
                <w:rFonts w:hint="eastAsia"/>
                <w:b/>
                <w:bCs/>
                <w:color w:val="auto"/>
                <w:sz w:val="21"/>
                <w:szCs w:val="21"/>
                <w:highlight w:val="none"/>
                <w:lang w:val="en-US" w:eastAsia="zh-CN"/>
              </w:rPr>
              <w:t>各储煤库容积储煤量一览</w:t>
            </w:r>
            <w:r>
              <w:rPr>
                <w:rFonts w:hint="eastAsia"/>
                <w:b/>
                <w:bCs/>
                <w:color w:val="auto"/>
                <w:sz w:val="21"/>
                <w:szCs w:val="21"/>
                <w:highlight w:val="none"/>
                <w:lang w:eastAsia="zh-CN"/>
              </w:rPr>
              <w:t>表</w:t>
            </w:r>
          </w:p>
          <w:tbl>
            <w:tblPr>
              <w:tblStyle w:val="22"/>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5"/>
              <w:gridCol w:w="2867"/>
              <w:gridCol w:w="28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7" w:type="dxa"/>
                  <w:tcBorders>
                    <w:top w:val="double" w:color="auto" w:sz="4" w:space="0"/>
                    <w:left w:val="nil"/>
                    <w:bottom w:val="single" w:color="auto" w:sz="4" w:space="0"/>
                    <w:right w:val="single" w:color="auto" w:sz="4" w:space="0"/>
                  </w:tcBorders>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eastAsia"/>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名称</w:t>
                  </w:r>
                </w:p>
              </w:tc>
              <w:tc>
                <w:tcPr>
                  <w:tcW w:w="2868" w:type="dxa"/>
                  <w:tcBorders>
                    <w:top w:val="double" w:color="auto" w:sz="4" w:space="0"/>
                    <w:left w:val="single" w:color="auto" w:sz="4" w:space="0"/>
                    <w:bottom w:val="single" w:color="auto" w:sz="4" w:space="0"/>
                    <w:right w:val="single" w:color="auto" w:sz="4" w:space="0"/>
                  </w:tcBorders>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eastAsia"/>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最大容积/m3</w:t>
                  </w:r>
                </w:p>
              </w:tc>
              <w:tc>
                <w:tcPr>
                  <w:tcW w:w="2869" w:type="dxa"/>
                  <w:tcBorders>
                    <w:top w:val="double" w:color="auto" w:sz="4" w:space="0"/>
                    <w:left w:val="single" w:color="auto" w:sz="4" w:space="0"/>
                    <w:bottom w:val="single" w:color="auto" w:sz="4"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hint="eastAsia"/>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最大储煤量/t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7" w:type="dxa"/>
                  <w:tcBorders>
                    <w:top w:val="single" w:color="auto" w:sz="4" w:space="0"/>
                    <w:left w:val="nil"/>
                    <w:bottom w:val="single" w:color="auto" w:sz="4" w:space="0"/>
                    <w:right w:val="sing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储煤库1</w:t>
                  </w:r>
                </w:p>
              </w:tc>
              <w:tc>
                <w:tcPr>
                  <w:tcW w:w="2868"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47310</w:t>
                  </w:r>
                </w:p>
              </w:tc>
              <w:tc>
                <w:tcPr>
                  <w:tcW w:w="2869" w:type="dxa"/>
                  <w:tcBorders>
                    <w:top w:val="single" w:color="auto" w:sz="4" w:space="0"/>
                    <w:left w:val="single" w:color="auto" w:sz="4" w:space="0"/>
                    <w:bottom w:val="single" w:color="auto" w:sz="4" w:space="0"/>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63868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7" w:type="dxa"/>
                  <w:tcBorders>
                    <w:top w:val="single" w:color="auto" w:sz="4" w:space="0"/>
                    <w:left w:val="nil"/>
                    <w:bottom w:val="single" w:color="auto" w:sz="4" w:space="0"/>
                    <w:right w:val="sing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储煤库2</w:t>
                  </w:r>
                </w:p>
              </w:tc>
              <w:tc>
                <w:tcPr>
                  <w:tcW w:w="2868"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28556</w:t>
                  </w:r>
                </w:p>
              </w:tc>
              <w:tc>
                <w:tcPr>
                  <w:tcW w:w="2869" w:type="dxa"/>
                  <w:tcBorders>
                    <w:top w:val="single" w:color="auto" w:sz="4" w:space="0"/>
                    <w:left w:val="single" w:color="auto" w:sz="4" w:space="0"/>
                    <w:bottom w:val="single" w:color="auto" w:sz="4" w:space="0"/>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38550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67" w:type="dxa"/>
                  <w:tcBorders>
                    <w:top w:val="single" w:color="auto" w:sz="4" w:space="0"/>
                    <w:left w:val="nil"/>
                    <w:bottom w:val="single" w:color="auto" w:sz="4" w:space="0"/>
                    <w:right w:val="sing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储煤库3</w:t>
                  </w:r>
                </w:p>
              </w:tc>
              <w:tc>
                <w:tcPr>
                  <w:tcW w:w="2868"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9639</w:t>
                  </w:r>
                </w:p>
              </w:tc>
              <w:tc>
                <w:tcPr>
                  <w:tcW w:w="2869" w:type="dxa"/>
                  <w:tcBorders>
                    <w:top w:val="single" w:color="auto" w:sz="4" w:space="0"/>
                    <w:left w:val="single" w:color="auto" w:sz="4" w:space="0"/>
                    <w:bottom w:val="single" w:color="auto" w:sz="4" w:space="0"/>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eastAsia="宋体"/>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13012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7" w:type="dxa"/>
                  <w:tcBorders>
                    <w:top w:val="single" w:color="auto" w:sz="4" w:space="0"/>
                    <w:left w:val="nil"/>
                    <w:bottom w:val="double" w:color="auto" w:sz="4" w:space="0"/>
                    <w:right w:val="sing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总计</w:t>
                  </w:r>
                </w:p>
              </w:tc>
              <w:tc>
                <w:tcPr>
                  <w:tcW w:w="2868" w:type="dxa"/>
                  <w:tcBorders>
                    <w:top w:val="single" w:color="auto" w:sz="4" w:space="0"/>
                    <w:left w:val="single" w:color="auto" w:sz="4" w:space="0"/>
                    <w:bottom w:val="double" w:color="auto" w:sz="4" w:space="0"/>
                    <w:right w:val="single" w:color="auto" w:sz="4" w:space="0"/>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85505</w:t>
                  </w:r>
                </w:p>
              </w:tc>
              <w:tc>
                <w:tcPr>
                  <w:tcW w:w="2869" w:type="dxa"/>
                  <w:tcBorders>
                    <w:top w:val="single" w:color="auto" w:sz="4" w:space="0"/>
                    <w:left w:val="single" w:color="auto" w:sz="4" w:space="0"/>
                    <w:bottom w:val="double" w:color="auto" w:sz="4" w:space="0"/>
                    <w:right w:val="nil"/>
                  </w:tcBorders>
                </w:tcPr>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default"/>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115430</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b w:val="0"/>
                <w:bCs w:val="0"/>
                <w:color w:val="auto"/>
                <w:sz w:val="24"/>
                <w:szCs w:val="24"/>
                <w:highlight w:val="none"/>
                <w:lang w:val="en-US" w:eastAsia="zh-CN"/>
              </w:rPr>
            </w:pPr>
            <w:r>
              <w:rPr>
                <w:rFonts w:hint="eastAsia"/>
                <w:b w:val="0"/>
                <w:bCs w:val="0"/>
                <w:color w:val="auto"/>
                <w:highlight w:val="none"/>
              </w:rPr>
              <w:t>当前</w:t>
            </w:r>
            <w:r>
              <w:rPr>
                <w:rFonts w:hint="eastAsia"/>
                <w:b w:val="0"/>
                <w:bCs w:val="0"/>
                <w:color w:val="auto"/>
                <w:highlight w:val="none"/>
                <w:lang w:val="en-US" w:eastAsia="zh-CN"/>
              </w:rPr>
              <w:t>测算最高</w:t>
            </w:r>
            <w:r>
              <w:rPr>
                <w:rFonts w:hint="eastAsia"/>
                <w:b w:val="0"/>
                <w:bCs w:val="0"/>
                <w:color w:val="auto"/>
                <w:highlight w:val="none"/>
              </w:rPr>
              <w:t>堆存原煤</w:t>
            </w:r>
            <w:r>
              <w:rPr>
                <w:rFonts w:hint="eastAsia"/>
                <w:b w:val="0"/>
                <w:bCs w:val="0"/>
                <w:color w:val="auto"/>
                <w:highlight w:val="none"/>
                <w:lang w:val="en-US" w:eastAsia="zh-CN"/>
              </w:rPr>
              <w:t>可达</w:t>
            </w:r>
            <w:r>
              <w:rPr>
                <w:rFonts w:hint="eastAsia"/>
                <w:b w:val="0"/>
                <w:bCs w:val="0"/>
                <w:color w:val="auto"/>
                <w:highlight w:val="none"/>
              </w:rPr>
              <w:t>11.5万吨，满足</w:t>
            </w:r>
            <w:r>
              <w:rPr>
                <w:rFonts w:hint="eastAsia"/>
                <w:b w:val="0"/>
                <w:bCs w:val="0"/>
                <w:color w:val="auto"/>
                <w:highlight w:val="none"/>
                <w:lang w:val="en-US" w:eastAsia="zh-CN"/>
              </w:rPr>
              <w:t>最高贮存量</w:t>
            </w:r>
            <w:r>
              <w:rPr>
                <w:rFonts w:hint="eastAsia"/>
                <w:b w:val="0"/>
                <w:bCs w:val="0"/>
                <w:color w:val="auto"/>
                <w:highlight w:val="none"/>
              </w:rPr>
              <w:t>10万吨</w:t>
            </w:r>
            <w:r>
              <w:rPr>
                <w:rFonts w:hint="eastAsia"/>
                <w:b w:val="0"/>
                <w:bCs w:val="0"/>
                <w:color w:val="auto"/>
                <w:highlight w:val="none"/>
                <w:lang w:val="en-US" w:eastAsia="zh-CN"/>
              </w:rPr>
              <w:t>的</w:t>
            </w:r>
            <w:r>
              <w:rPr>
                <w:rFonts w:hint="eastAsia"/>
                <w:b w:val="0"/>
                <w:bCs w:val="0"/>
                <w:color w:val="auto"/>
                <w:highlight w:val="none"/>
              </w:rPr>
              <w:t>静态库容要求。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textAlignment w:val="auto"/>
              <w:rPr>
                <w:rFonts w:hint="default"/>
                <w:b/>
                <w:bCs/>
                <w:color w:val="auto"/>
                <w:sz w:val="24"/>
                <w:szCs w:val="24"/>
                <w:highlight w:val="none"/>
                <w:lang w:val="en-US" w:eastAsia="zh-CN"/>
              </w:rPr>
            </w:pPr>
            <w:r>
              <w:rPr>
                <w:rFonts w:hint="eastAsia"/>
                <w:b/>
                <w:bCs/>
                <w:color w:val="auto"/>
                <w:sz w:val="24"/>
                <w:szCs w:val="24"/>
                <w:highlight w:val="none"/>
                <w:lang w:val="en-US" w:eastAsia="zh-CN"/>
              </w:rPr>
              <w:t>5、公用工程</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40" w:firstLineChars="100"/>
              <w:textAlignment w:val="auto"/>
              <w:rPr>
                <w:rFonts w:hint="eastAsia"/>
                <w:color w:val="auto"/>
                <w:sz w:val="24"/>
                <w:szCs w:val="24"/>
                <w:highlight w:val="none"/>
                <w:lang w:val="en-US" w:eastAsia="zh-CN"/>
              </w:rPr>
            </w:pPr>
            <w:r>
              <w:rPr>
                <w:rFonts w:hint="eastAsia"/>
                <w:color w:val="auto"/>
                <w:sz w:val="24"/>
                <w:szCs w:val="24"/>
                <w:highlight w:val="none"/>
                <w:lang w:val="en-US" w:eastAsia="zh-CN"/>
              </w:rPr>
              <w:t>（1）给排水</w:t>
            </w:r>
          </w:p>
          <w:p>
            <w:pPr>
              <w:numPr>
                <w:ilvl w:val="0"/>
                <w:numId w:val="0"/>
              </w:numPr>
              <w:spacing w:line="360" w:lineRule="auto"/>
              <w:ind w:firstLine="480" w:firstLineChars="200"/>
              <w:rPr>
                <w:rFonts w:hint="eastAsia"/>
                <w:highlight w:val="none"/>
                <w:lang w:val="en-US" w:eastAsia="zh-CN"/>
              </w:rPr>
            </w:pPr>
            <w:r>
              <w:rPr>
                <w:rFonts w:hint="eastAsia" w:ascii="Times New Roman" w:hAnsi="Times New Roman" w:eastAsia="宋体" w:cs="Times New Roman"/>
                <w:color w:val="auto"/>
                <w:sz w:val="24"/>
                <w:szCs w:val="24"/>
                <w:highlight w:val="none"/>
                <w:lang w:val="en-US" w:eastAsia="zh-CN"/>
              </w:rPr>
              <w:t>本项目用水为员工生活用水和生产用水，其中生产用水包括</w:t>
            </w:r>
            <w:r>
              <w:rPr>
                <w:rFonts w:hint="eastAsia" w:cs="Times New Roman"/>
                <w:color w:val="auto"/>
                <w:sz w:val="24"/>
                <w:szCs w:val="24"/>
                <w:highlight w:val="none"/>
                <w:lang w:val="en-US" w:eastAsia="zh-CN"/>
              </w:rPr>
              <w:t>雾炮</w:t>
            </w:r>
            <w:r>
              <w:rPr>
                <w:rFonts w:hint="eastAsia" w:ascii="Times New Roman" w:hAnsi="Times New Roman" w:eastAsia="宋体" w:cs="Times New Roman"/>
                <w:color w:val="auto"/>
                <w:sz w:val="24"/>
                <w:szCs w:val="24"/>
                <w:highlight w:val="none"/>
                <w:lang w:val="en-US" w:eastAsia="zh-CN"/>
              </w:rPr>
              <w:t>喷淋用水</w:t>
            </w:r>
            <w:r>
              <w:rPr>
                <w:rFonts w:hint="eastAsia" w:cs="Times New Roman"/>
                <w:color w:val="auto"/>
                <w:sz w:val="24"/>
                <w:szCs w:val="24"/>
                <w:highlight w:val="none"/>
                <w:lang w:val="en-US" w:eastAsia="zh-CN"/>
              </w:rPr>
              <w:t>、厂区内部道路</w:t>
            </w:r>
            <w:r>
              <w:rPr>
                <w:rFonts w:hint="eastAsia" w:ascii="Times New Roman" w:hAnsi="Times New Roman" w:eastAsia="宋体" w:cs="Times New Roman"/>
                <w:color w:val="auto"/>
                <w:sz w:val="24"/>
                <w:szCs w:val="24"/>
                <w:highlight w:val="none"/>
                <w:lang w:val="en-US" w:eastAsia="zh-CN"/>
              </w:rPr>
              <w:t>抑尘用水</w:t>
            </w:r>
            <w:r>
              <w:rPr>
                <w:rFonts w:hint="eastAsia" w:cs="Times New Roman"/>
                <w:color w:val="auto"/>
                <w:sz w:val="24"/>
                <w:szCs w:val="24"/>
                <w:highlight w:val="none"/>
                <w:lang w:val="en-US" w:eastAsia="zh-CN"/>
              </w:rPr>
              <w:t>和洗车用水</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废水产生包括生活废水和洗车废水。</w:t>
            </w:r>
          </w:p>
          <w:p>
            <w:pPr>
              <w:numPr>
                <w:ilvl w:val="0"/>
                <w:numId w:val="0"/>
              </w:numPr>
              <w:bidi w:val="0"/>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①生活用水：本项目职工人数为</w:t>
            </w:r>
            <w:r>
              <w:rPr>
                <w:rFonts w:hint="eastAsia" w:cs="Times New Roman"/>
                <w:color w:val="auto"/>
                <w:sz w:val="24"/>
                <w:szCs w:val="24"/>
                <w:highlight w:val="none"/>
                <w:lang w:val="en-US" w:eastAsia="zh-CN"/>
              </w:rPr>
              <w:t>20</w:t>
            </w:r>
            <w:r>
              <w:rPr>
                <w:rFonts w:hint="eastAsia" w:ascii="Times New Roman" w:hAnsi="Times New Roman" w:eastAsia="宋体" w:cs="Times New Roman"/>
                <w:color w:val="auto"/>
                <w:sz w:val="24"/>
                <w:szCs w:val="24"/>
                <w:highlight w:val="none"/>
                <w:lang w:val="en-US" w:eastAsia="zh-CN"/>
              </w:rPr>
              <w:t>人，工作3</w:t>
            </w:r>
            <w:r>
              <w:rPr>
                <w:rFonts w:hint="eastAsia" w:cs="Times New Roman"/>
                <w:color w:val="auto"/>
                <w:sz w:val="24"/>
                <w:szCs w:val="24"/>
                <w:highlight w:val="none"/>
                <w:lang w:val="en-US" w:eastAsia="zh-CN"/>
              </w:rPr>
              <w:t>30</w:t>
            </w:r>
            <w:r>
              <w:rPr>
                <w:rFonts w:hint="eastAsia" w:ascii="Times New Roman" w:hAnsi="Times New Roman" w:eastAsia="宋体" w:cs="Times New Roman"/>
                <w:color w:val="auto"/>
                <w:sz w:val="24"/>
                <w:szCs w:val="24"/>
                <w:highlight w:val="none"/>
                <w:lang w:val="en-US" w:eastAsia="zh-CN"/>
              </w:rPr>
              <w:t>天，《行业用水定额》(DB21/T 1237-</w:t>
            </w:r>
            <w:r>
              <w:rPr>
                <w:rFonts w:hint="eastAsia" w:cs="Times New Roman"/>
                <w:color w:val="auto"/>
                <w:sz w:val="24"/>
                <w:szCs w:val="24"/>
                <w:highlight w:val="none"/>
                <w:lang w:val="en-US" w:eastAsia="zh-CN"/>
              </w:rPr>
              <w:t>2026</w:t>
            </w:r>
            <w:r>
              <w:rPr>
                <w:rFonts w:hint="eastAsia" w:ascii="Times New Roman" w:hAnsi="Times New Roman" w:eastAsia="宋体" w:cs="Times New Roman"/>
                <w:color w:val="auto"/>
                <w:sz w:val="24"/>
                <w:szCs w:val="24"/>
                <w:highlight w:val="none"/>
                <w:lang w:val="en-US" w:eastAsia="zh-CN"/>
              </w:rPr>
              <w:t>)未列明工业企业生活用水定额，用水定额类比《行业用水定额》(DB21/T 1237-202</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)“U、生活用水定额</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表</w:t>
            </w:r>
            <w:r>
              <w:rPr>
                <w:rFonts w:hint="eastAsia" w:cs="Times New Roman"/>
                <w:color w:val="auto"/>
                <w:sz w:val="24"/>
                <w:szCs w:val="24"/>
                <w:highlight w:val="none"/>
                <w:lang w:val="en-US" w:eastAsia="zh-CN"/>
              </w:rPr>
              <w:t>201 城镇</w:t>
            </w:r>
            <w:r>
              <w:rPr>
                <w:rFonts w:hint="eastAsia" w:ascii="Times New Roman" w:hAnsi="Times New Roman" w:eastAsia="宋体" w:cs="Times New Roman"/>
                <w:color w:val="auto"/>
                <w:sz w:val="24"/>
                <w:szCs w:val="24"/>
                <w:highlight w:val="none"/>
                <w:lang w:val="en-US" w:eastAsia="zh-CN"/>
              </w:rPr>
              <w:t>居民生活用水定额</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每人每天用水量</w:t>
            </w:r>
            <w:r>
              <w:rPr>
                <w:rFonts w:hint="eastAsia" w:cs="Times New Roman"/>
                <w:color w:val="auto"/>
                <w:sz w:val="24"/>
                <w:szCs w:val="24"/>
                <w:highlight w:val="none"/>
                <w:lang w:val="en-US" w:eastAsia="zh-CN"/>
              </w:rPr>
              <w:t>85</w:t>
            </w:r>
            <w:r>
              <w:rPr>
                <w:rFonts w:hint="eastAsia" w:ascii="Times New Roman" w:hAnsi="Times New Roman" w:eastAsia="宋体" w:cs="Times New Roman"/>
                <w:color w:val="auto"/>
                <w:sz w:val="24"/>
                <w:szCs w:val="24"/>
                <w:highlight w:val="none"/>
                <w:lang w:val="en-US" w:eastAsia="zh-CN"/>
              </w:rPr>
              <w:t>L计”</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生活用水量为</w:t>
            </w:r>
            <w:r>
              <w:rPr>
                <w:rFonts w:hint="eastAsia" w:cs="Times New Roman"/>
                <w:color w:val="auto"/>
                <w:sz w:val="24"/>
                <w:szCs w:val="24"/>
                <w:highlight w:val="none"/>
                <w:lang w:val="en-US" w:eastAsia="zh-CN"/>
              </w:rPr>
              <w:t>1.7m</w:t>
            </w:r>
            <w:r>
              <w:rPr>
                <w:rFonts w:hint="eastAsia"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w:t>
            </w:r>
            <w:r>
              <w:rPr>
                <w:rFonts w:hint="eastAsia" w:cs="Times New Roman"/>
                <w:color w:val="auto"/>
                <w:sz w:val="24"/>
                <w:szCs w:val="24"/>
                <w:highlight w:val="none"/>
                <w:lang w:val="en-US" w:eastAsia="zh-CN"/>
              </w:rPr>
              <w:t>，561m</w:t>
            </w:r>
            <w:r>
              <w:rPr>
                <w:rFonts w:hint="eastAsia"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/a。生活废水按生活用水量的80%计算，生活污水产生量为</w:t>
            </w:r>
            <w:r>
              <w:rPr>
                <w:rFonts w:hint="eastAsia" w:cs="Times New Roman"/>
                <w:color w:val="auto"/>
                <w:sz w:val="24"/>
                <w:szCs w:val="24"/>
                <w:highlight w:val="none"/>
                <w:lang w:val="en-US" w:eastAsia="zh-CN"/>
              </w:rPr>
              <w:t>1.36m</w:t>
            </w:r>
            <w:r>
              <w:rPr>
                <w:rFonts w:hint="eastAsia"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w:t>
            </w:r>
            <w:r>
              <w:rPr>
                <w:rFonts w:hint="eastAsia" w:cs="Times New Roman"/>
                <w:color w:val="auto"/>
                <w:sz w:val="24"/>
                <w:szCs w:val="24"/>
                <w:highlight w:val="none"/>
                <w:lang w:val="en-US" w:eastAsia="zh-CN"/>
              </w:rPr>
              <w:t>，448.8m</w:t>
            </w:r>
            <w:r>
              <w:rPr>
                <w:rFonts w:hint="eastAsia"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/a。生活污水排入</w:t>
            </w:r>
            <w:r>
              <w:rPr>
                <w:rFonts w:hint="eastAsia" w:cs="Times New Roman"/>
                <w:color w:val="auto"/>
                <w:sz w:val="24"/>
                <w:szCs w:val="24"/>
                <w:highlight w:val="none"/>
                <w:lang w:val="en-US" w:eastAsia="zh-CN"/>
              </w:rPr>
              <w:t>化粪池，定期委托清掏</w:t>
            </w:r>
            <w:r>
              <w:rPr>
                <w:rFonts w:hint="eastAsia" w:ascii="Times New Roman" w:hAnsi="Times New Roman" w:eastAsia="宋体" w:cs="Times New Roman"/>
                <w:color w:val="auto"/>
                <w:sz w:val="24"/>
                <w:szCs w:val="24"/>
                <w:highlight w:val="none"/>
                <w:lang w:val="en-US" w:eastAsia="zh-CN"/>
              </w:rPr>
              <w:t>。</w:t>
            </w:r>
          </w:p>
          <w:p>
            <w:pPr>
              <w:numPr>
                <w:ilvl w:val="0"/>
                <w:numId w:val="0"/>
              </w:numPr>
              <w:bidi w:val="0"/>
              <w:spacing w:line="360" w:lineRule="auto"/>
              <w:ind w:firstLine="480" w:firstLineChars="200"/>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②</w:t>
            </w:r>
            <w:r>
              <w:rPr>
                <w:rFonts w:hint="eastAsia" w:cs="Times New Roman"/>
                <w:color w:val="auto"/>
                <w:sz w:val="24"/>
                <w:szCs w:val="24"/>
                <w:highlight w:val="none"/>
                <w:lang w:val="en-US" w:eastAsia="zh-CN"/>
              </w:rPr>
              <w:t>雾炮</w:t>
            </w:r>
            <w:r>
              <w:rPr>
                <w:rFonts w:hint="eastAsia" w:ascii="Times New Roman" w:hAnsi="Times New Roman" w:eastAsia="宋体" w:cs="Times New Roman"/>
                <w:color w:val="auto"/>
                <w:sz w:val="24"/>
                <w:szCs w:val="24"/>
                <w:highlight w:val="none"/>
                <w:lang w:val="en-US" w:eastAsia="zh-CN"/>
              </w:rPr>
              <w:t>喷淋用水：</w:t>
            </w:r>
            <w:r>
              <w:rPr>
                <w:rFonts w:hint="eastAsia" w:cs="Times New Roman"/>
                <w:color w:val="auto"/>
                <w:sz w:val="24"/>
                <w:szCs w:val="24"/>
                <w:highlight w:val="none"/>
                <w:lang w:val="en-US" w:eastAsia="zh-CN"/>
              </w:rPr>
              <w:t>厂区配备5台移动雾炮机</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雾炮机用水量为200L/min，</w:t>
            </w:r>
            <w:r>
              <w:rPr>
                <w:rFonts w:hint="eastAsia" w:ascii="Times New Roman" w:hAnsi="Times New Roman" w:eastAsia="宋体" w:cs="Times New Roman"/>
                <w:color w:val="auto"/>
                <w:sz w:val="24"/>
                <w:szCs w:val="24"/>
                <w:highlight w:val="none"/>
                <w:lang w:val="en-US" w:eastAsia="zh-CN"/>
              </w:rPr>
              <w:t>每天运行</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h</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每天运行</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次，每次</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eastAsia="zh-CN"/>
              </w:rPr>
              <w:t>分钟</w:t>
            </w:r>
            <w:r>
              <w:rPr>
                <w:rFonts w:hint="eastAsia" w:cs="Times New Roman"/>
                <w:color w:val="auto"/>
                <w:sz w:val="24"/>
                <w:szCs w:val="24"/>
                <w:highlight w:val="none"/>
                <w:lang w:val="en-US" w:eastAsia="zh-CN"/>
              </w:rPr>
              <w:t>），年运行330天，</w:t>
            </w:r>
            <w:r>
              <w:rPr>
                <w:rFonts w:hint="eastAsia" w:ascii="Times New Roman" w:hAnsi="Times New Roman" w:eastAsia="宋体" w:cs="Times New Roman"/>
                <w:color w:val="auto"/>
                <w:sz w:val="24"/>
                <w:szCs w:val="24"/>
                <w:highlight w:val="none"/>
                <w:lang w:val="en-US" w:eastAsia="zh-CN"/>
              </w:rPr>
              <w:t>即用水量为</w:t>
            </w:r>
            <w:r>
              <w:rPr>
                <w:rFonts w:hint="eastAsia" w:cs="Times New Roman"/>
                <w:color w:val="auto"/>
                <w:sz w:val="24"/>
                <w:szCs w:val="24"/>
                <w:highlight w:val="none"/>
                <w:lang w:val="en-US" w:eastAsia="zh-CN"/>
              </w:rPr>
              <w:t>24</w:t>
            </w:r>
            <w:r>
              <w:rPr>
                <w:rFonts w:hint="eastAsia" w:ascii="Times New Roman" w:hAnsi="Times New Roman" w:eastAsia="宋体" w:cs="Times New Roman"/>
                <w:color w:val="auto"/>
                <w:sz w:val="24"/>
                <w:szCs w:val="24"/>
                <w:highlight w:val="none"/>
                <w:lang w:val="en-US" w:eastAsia="zh-CN"/>
              </w:rPr>
              <w:t>m</w:t>
            </w:r>
            <w:r>
              <w:rPr>
                <w:rFonts w:hint="eastAsia"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w:t>
            </w:r>
            <w:r>
              <w:rPr>
                <w:rFonts w:hint="eastAsia" w:cs="Times New Roman"/>
                <w:color w:val="auto"/>
                <w:sz w:val="24"/>
                <w:szCs w:val="24"/>
                <w:highlight w:val="none"/>
                <w:lang w:val="en-US" w:eastAsia="zh-CN"/>
              </w:rPr>
              <w:t>，7920</w:t>
            </w:r>
            <w:r>
              <w:rPr>
                <w:rFonts w:hint="eastAsia" w:ascii="Times New Roman" w:hAnsi="Times New Roman" w:eastAsia="宋体" w:cs="Times New Roman"/>
                <w:color w:val="auto"/>
                <w:sz w:val="24"/>
                <w:szCs w:val="24"/>
                <w:highlight w:val="none"/>
                <w:lang w:val="en-US" w:eastAsia="zh-CN"/>
              </w:rPr>
              <w:t>m</w:t>
            </w:r>
            <w:r>
              <w:rPr>
                <w:rFonts w:hint="eastAsia"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/a</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蒸发</w:t>
            </w:r>
            <w:r>
              <w:rPr>
                <w:rFonts w:hint="eastAsia" w:cs="Times New Roman"/>
                <w:color w:val="auto"/>
                <w:sz w:val="24"/>
                <w:szCs w:val="24"/>
                <w:highlight w:val="none"/>
                <w:lang w:val="en-US" w:eastAsia="zh-CN"/>
              </w:rPr>
              <w:t>损耗。</w:t>
            </w:r>
          </w:p>
          <w:p>
            <w:pPr>
              <w:numPr>
                <w:ilvl w:val="0"/>
                <w:numId w:val="0"/>
              </w:numPr>
              <w:bidi w:val="0"/>
              <w:spacing w:line="360" w:lineRule="auto"/>
              <w:ind w:firstLine="480" w:firstLineChars="200"/>
              <w:rPr>
                <w:rFonts w:hint="default"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③洒水抑尘用水：项目厂内</w:t>
            </w:r>
            <w:r>
              <w:rPr>
                <w:rFonts w:hint="eastAsia" w:cs="Times New Roman"/>
                <w:color w:val="auto"/>
                <w:sz w:val="24"/>
                <w:szCs w:val="24"/>
                <w:highlight w:val="none"/>
                <w:lang w:val="en-US" w:eastAsia="zh-CN"/>
              </w:rPr>
              <w:t>需</w:t>
            </w:r>
            <w:r>
              <w:rPr>
                <w:rFonts w:hint="eastAsia" w:ascii="Times New Roman" w:hAnsi="Times New Roman" w:eastAsia="宋体" w:cs="Times New Roman"/>
                <w:color w:val="auto"/>
                <w:sz w:val="24"/>
                <w:szCs w:val="24"/>
                <w:highlight w:val="none"/>
                <w:lang w:val="en-US" w:eastAsia="zh-CN"/>
              </w:rPr>
              <w:t>洒水</w:t>
            </w:r>
            <w:r>
              <w:rPr>
                <w:rFonts w:hint="eastAsia" w:cs="Times New Roman"/>
                <w:color w:val="auto"/>
                <w:sz w:val="24"/>
                <w:szCs w:val="24"/>
                <w:highlight w:val="none"/>
                <w:lang w:val="en-US" w:eastAsia="zh-CN"/>
              </w:rPr>
              <w:t>降尘</w:t>
            </w:r>
            <w:r>
              <w:rPr>
                <w:rFonts w:hint="eastAsia" w:ascii="Times New Roman" w:hAnsi="Times New Roman" w:eastAsia="宋体" w:cs="Times New Roman"/>
                <w:color w:val="auto"/>
                <w:sz w:val="24"/>
                <w:szCs w:val="24"/>
                <w:highlight w:val="none"/>
                <w:lang w:val="en-US" w:eastAsia="zh-CN"/>
              </w:rPr>
              <w:t>面积约</w:t>
            </w:r>
            <w:r>
              <w:rPr>
                <w:rFonts w:hint="eastAsia" w:cs="Times New Roman"/>
                <w:color w:val="auto"/>
                <w:sz w:val="24"/>
                <w:szCs w:val="24"/>
                <w:highlight w:val="none"/>
                <w:lang w:val="en-US" w:eastAsia="zh-CN"/>
              </w:rPr>
              <w:t>27256</w:t>
            </w:r>
            <w:r>
              <w:rPr>
                <w:rFonts w:hint="eastAsia" w:ascii="Times New Roman" w:hAnsi="Times New Roman" w:eastAsia="宋体" w:cs="Times New Roman"/>
                <w:color w:val="auto"/>
                <w:sz w:val="24"/>
                <w:szCs w:val="24"/>
                <w:highlight w:val="none"/>
                <w:lang w:val="en-US" w:eastAsia="zh-CN"/>
              </w:rPr>
              <w:t>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val="en-US" w:eastAsia="zh-CN"/>
              </w:rPr>
              <w:t>（场内车辆室外运输道路长约665m，宽9m。室内煤堆洒水抑尘面积总计21271</w:t>
            </w:r>
            <w:r>
              <w:rPr>
                <w:rFonts w:hint="eastAsia" w:ascii="Times New Roman" w:hAnsi="Times New Roman" w:eastAsia="宋体" w:cs="Times New Roman"/>
                <w:color w:val="auto"/>
                <w:sz w:val="24"/>
                <w:szCs w:val="24"/>
                <w:highlight w:val="none"/>
                <w:lang w:val="en-US" w:eastAsia="zh-CN"/>
              </w:rPr>
              <w:t>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参照《行业用水定额》(DB21/T 1237-202</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)表178</w:t>
            </w:r>
            <w:r>
              <w:rPr>
                <w:rFonts w:hint="eastAsia"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N782</w:t>
            </w:r>
            <w:r>
              <w:rPr>
                <w:rFonts w:hint="eastAsia"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环境卫生管理用水定额中道路、场地浇洒用水定额1.</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L/(m</w:t>
            </w:r>
            <w:r>
              <w:rPr>
                <w:rFonts w:hint="eastAsia" w:cs="Times New Roman"/>
                <w:color w:val="auto"/>
                <w:sz w:val="24"/>
                <w:szCs w:val="24"/>
                <w:highlight w:val="none"/>
                <w:vertAlign w:val="superscript"/>
                <w:lang w:val="en-US" w:eastAsia="zh-CN"/>
              </w:rPr>
              <w:t>2</w:t>
            </w:r>
            <w:r>
              <w:rPr>
                <w:rFonts w:hint="eastAsia" w:ascii="Times New Roman" w:hAnsi="Times New Roman" w:eastAsia="宋体" w:cs="Times New Roman"/>
                <w:color w:val="auto"/>
                <w:sz w:val="24"/>
                <w:szCs w:val="24"/>
                <w:highlight w:val="none"/>
                <w:lang w:val="en-US" w:eastAsia="zh-CN"/>
              </w:rPr>
              <w:t>·d)计，</w:t>
            </w:r>
            <w:r>
              <w:rPr>
                <w:rFonts w:hint="eastAsia" w:cs="Times New Roman"/>
                <w:color w:val="auto"/>
                <w:sz w:val="24"/>
                <w:szCs w:val="24"/>
                <w:highlight w:val="none"/>
                <w:lang w:val="en-US" w:eastAsia="zh-CN"/>
              </w:rPr>
              <w:t>室内洒水天数按330天计，道路</w:t>
            </w:r>
            <w:r>
              <w:rPr>
                <w:rFonts w:hint="eastAsia" w:ascii="Times New Roman" w:hAnsi="Times New Roman" w:eastAsia="宋体" w:cs="Times New Roman"/>
                <w:color w:val="auto"/>
                <w:sz w:val="24"/>
                <w:szCs w:val="24"/>
                <w:highlight w:val="none"/>
                <w:lang w:val="en-US" w:eastAsia="zh-CN"/>
              </w:rPr>
              <w:t>洒水天数按</w:t>
            </w:r>
            <w:r>
              <w:rPr>
                <w:rFonts w:hint="eastAsia" w:cs="Times New Roman"/>
                <w:color w:val="auto"/>
                <w:sz w:val="24"/>
                <w:szCs w:val="24"/>
                <w:highlight w:val="none"/>
                <w:lang w:val="en-US" w:eastAsia="zh-CN"/>
              </w:rPr>
              <w:t>160</w:t>
            </w:r>
            <w:r>
              <w:rPr>
                <w:rFonts w:hint="eastAsia" w:ascii="Times New Roman" w:hAnsi="Times New Roman" w:eastAsia="宋体" w:cs="Times New Roman"/>
                <w:color w:val="auto"/>
                <w:sz w:val="24"/>
                <w:szCs w:val="24"/>
                <w:highlight w:val="none"/>
                <w:lang w:val="en-US" w:eastAsia="zh-CN"/>
              </w:rPr>
              <w:t>d计(雨天和结冰期道路不洒水)</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则洒水抑尘用水量为</w:t>
            </w:r>
            <w:r>
              <w:rPr>
                <w:rFonts w:hint="eastAsia" w:cs="Times New Roman"/>
                <w:color w:val="auto"/>
                <w:sz w:val="24"/>
                <w:szCs w:val="24"/>
                <w:highlight w:val="none"/>
                <w:lang w:val="en-US" w:eastAsia="zh-CN"/>
              </w:rPr>
              <w:t>11965.5</w:t>
            </w:r>
            <w:r>
              <w:rPr>
                <w:rFonts w:hint="eastAsia" w:ascii="Times New Roman" w:hAnsi="Times New Roman" w:eastAsia="宋体" w:cs="Times New Roman"/>
                <w:color w:val="auto"/>
                <w:sz w:val="24"/>
                <w:szCs w:val="24"/>
                <w:highlight w:val="none"/>
                <w:lang w:val="en-US" w:eastAsia="zh-CN"/>
              </w:rPr>
              <w:t>m</w:t>
            </w:r>
            <w:r>
              <w:rPr>
                <w:rFonts w:hint="eastAsia"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/a。</w:t>
            </w:r>
            <w:r>
              <w:rPr>
                <w:rFonts w:hint="eastAsia" w:cs="Times New Roman"/>
                <w:color w:val="auto"/>
                <w:sz w:val="24"/>
                <w:szCs w:val="24"/>
                <w:highlight w:val="none"/>
                <w:shd w:val="clear" w:color="auto" w:fill="auto"/>
                <w:lang w:val="en-US" w:eastAsia="zh-CN"/>
              </w:rPr>
              <w:t>全部</w:t>
            </w:r>
            <w:r>
              <w:rPr>
                <w:rFonts w:hint="eastAsia" w:ascii="Times New Roman" w:hAnsi="Times New Roman" w:eastAsia="宋体" w:cs="Times New Roman"/>
                <w:color w:val="auto"/>
                <w:sz w:val="24"/>
                <w:szCs w:val="24"/>
                <w:highlight w:val="none"/>
                <w:shd w:val="clear" w:color="auto" w:fill="auto"/>
                <w:lang w:val="en-US" w:eastAsia="zh-CN"/>
              </w:rPr>
              <w:t>用</w:t>
            </w:r>
            <w:r>
              <w:rPr>
                <w:rFonts w:hint="eastAsia" w:cs="Times New Roman"/>
                <w:color w:val="auto"/>
                <w:sz w:val="24"/>
                <w:szCs w:val="24"/>
                <w:highlight w:val="none"/>
                <w:shd w:val="clear" w:color="auto" w:fill="auto"/>
                <w:lang w:val="en-US" w:eastAsia="zh-CN"/>
              </w:rPr>
              <w:t>沉淀后的回用水</w:t>
            </w:r>
            <w:r>
              <w:rPr>
                <w:rFonts w:hint="eastAsia" w:ascii="Times New Roman" w:hAnsi="Times New Roman" w:eastAsia="宋体" w:cs="Times New Roman"/>
                <w:color w:val="auto"/>
                <w:sz w:val="24"/>
                <w:szCs w:val="24"/>
                <w:highlight w:val="none"/>
                <w:shd w:val="clear" w:color="auto" w:fill="auto"/>
                <w:lang w:val="en-US" w:eastAsia="zh-CN"/>
              </w:rPr>
              <w:t>，</w:t>
            </w:r>
            <w:r>
              <w:rPr>
                <w:rFonts w:hint="eastAsia" w:ascii="Times New Roman" w:hAnsi="Times New Roman" w:eastAsia="宋体" w:cs="Times New Roman"/>
                <w:color w:val="auto"/>
                <w:sz w:val="24"/>
                <w:szCs w:val="24"/>
                <w:highlight w:val="none"/>
                <w:lang w:val="en-US" w:eastAsia="zh-CN"/>
              </w:rPr>
              <w:t>水量为</w:t>
            </w:r>
            <w:r>
              <w:rPr>
                <w:rFonts w:hint="eastAsia" w:cs="Times New Roman"/>
                <w:color w:val="auto"/>
                <w:sz w:val="24"/>
                <w:szCs w:val="24"/>
                <w:highlight w:val="none"/>
                <w:lang w:val="en-US" w:eastAsia="zh-CN"/>
              </w:rPr>
              <w:t>51.2</w:t>
            </w:r>
            <w:r>
              <w:rPr>
                <w:rFonts w:hint="eastAsia" w:ascii="Times New Roman" w:hAnsi="Times New Roman" w:eastAsia="宋体" w:cs="Times New Roman"/>
                <w:color w:val="auto"/>
                <w:sz w:val="24"/>
                <w:szCs w:val="24"/>
                <w:highlight w:val="none"/>
                <w:lang w:val="en-US" w:eastAsia="zh-CN"/>
              </w:rPr>
              <w:t>m</w:t>
            </w:r>
            <w:r>
              <w:rPr>
                <w:rFonts w:hint="eastAsia"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/a</w:t>
            </w:r>
            <w:r>
              <w:rPr>
                <w:rFonts w:hint="eastAsia" w:cs="Times New Roman"/>
                <w:color w:val="auto"/>
                <w:sz w:val="24"/>
                <w:szCs w:val="24"/>
                <w:highlight w:val="none"/>
                <w:lang w:val="en-US" w:eastAsia="zh-CN"/>
              </w:rPr>
              <w:t>，用于储煤库煤堆洒水。抑尘用水全部蒸发，无废水产生。</w:t>
            </w:r>
          </w:p>
          <w:p>
            <w:pPr>
              <w:numPr>
                <w:ilvl w:val="0"/>
                <w:numId w:val="0"/>
              </w:numPr>
              <w:spacing w:line="360" w:lineRule="auto"/>
              <w:ind w:firstLine="480" w:firstLineChars="200"/>
              <w:rPr>
                <w:rFonts w:hint="default"/>
                <w:highlight w:val="none"/>
                <w:lang w:val="en-US" w:eastAsia="zh-CN"/>
              </w:rPr>
            </w:pPr>
            <w:r>
              <w:rPr>
                <w:rFonts w:hint="eastAsia" w:ascii="Times New Roman" w:hAnsi="Times New Roman" w:eastAsia="宋体" w:cs="Times New Roman"/>
                <w:color w:val="auto"/>
                <w:highlight w:val="none"/>
                <w:lang w:val="en-US" w:eastAsia="zh-CN"/>
              </w:rPr>
              <w:t>④</w:t>
            </w:r>
            <w:r>
              <w:rPr>
                <w:rFonts w:hint="eastAsia" w:cs="Times New Roman"/>
                <w:color w:val="auto"/>
                <w:highlight w:val="none"/>
                <w:lang w:val="en-US" w:eastAsia="zh-CN"/>
              </w:rPr>
              <w:t>洗车</w:t>
            </w:r>
            <w:r>
              <w:rPr>
                <w:rFonts w:hint="eastAsia" w:ascii="Times New Roman" w:hAnsi="Times New Roman" w:eastAsia="宋体" w:cs="Times New Roman"/>
                <w:color w:val="auto"/>
                <w:highlight w:val="none"/>
                <w:lang w:val="en-US" w:eastAsia="zh-CN"/>
              </w:rPr>
              <w:t>用水：参照《行业用水定额》(DB21T/1237-2026)中“大型车辆洗车用水”为0.04m</w:t>
            </w:r>
            <w:r>
              <w:rPr>
                <w:rFonts w:hint="eastAsia" w:cs="Times New Roman"/>
                <w:color w:val="auto"/>
                <w:highlight w:val="none"/>
                <w:vertAlign w:val="superscript"/>
                <w:lang w:val="en-US" w:eastAsia="zh-CN"/>
              </w:rPr>
              <w:t>3</w:t>
            </w:r>
            <w:r>
              <w:rPr>
                <w:rFonts w:hint="eastAsia" w:ascii="Times New Roman" w:hAnsi="Times New Roman" w:eastAsia="宋体" w:cs="Times New Roman"/>
                <w:color w:val="auto"/>
                <w:highlight w:val="none"/>
                <w:lang w:val="en-US" w:eastAsia="zh-CN"/>
              </w:rPr>
              <w:t>/车·次，汽车清洗</w:t>
            </w:r>
            <w:r>
              <w:rPr>
                <w:rFonts w:hint="eastAsia" w:cs="Times New Roman"/>
                <w:color w:val="auto"/>
                <w:highlight w:val="none"/>
                <w:lang w:val="en-US" w:eastAsia="zh-CN"/>
              </w:rPr>
              <w:t>2</w:t>
            </w:r>
            <w:r>
              <w:rPr>
                <w:rFonts w:hint="eastAsia" w:ascii="Times New Roman" w:hAnsi="Times New Roman" w:eastAsia="宋体" w:cs="Times New Roman"/>
                <w:color w:val="auto"/>
                <w:highlight w:val="none"/>
                <w:lang w:val="en-US" w:eastAsia="zh-CN"/>
              </w:rPr>
              <w:t>000次，每次1车，</w:t>
            </w:r>
            <w:r>
              <w:rPr>
                <w:rFonts w:hint="eastAsia" w:cs="Times New Roman"/>
                <w:color w:val="auto"/>
                <w:highlight w:val="none"/>
                <w:lang w:val="en-US" w:eastAsia="zh-CN"/>
              </w:rPr>
              <w:t>清洗车辆轮胎，</w:t>
            </w:r>
            <w:r>
              <w:rPr>
                <w:rFonts w:hint="eastAsia" w:ascii="Times New Roman" w:hAnsi="Times New Roman" w:eastAsia="宋体" w:cs="Times New Roman"/>
                <w:color w:val="auto"/>
                <w:highlight w:val="none"/>
                <w:lang w:val="en-US" w:eastAsia="zh-CN"/>
              </w:rPr>
              <w:t>用水量为</w:t>
            </w:r>
            <w:r>
              <w:rPr>
                <w:rFonts w:hint="eastAsia" w:cs="Times New Roman"/>
                <w:color w:val="auto"/>
                <w:highlight w:val="none"/>
                <w:lang w:val="en-US" w:eastAsia="zh-CN"/>
              </w:rPr>
              <w:t>80m</w:t>
            </w:r>
            <w:r>
              <w:rPr>
                <w:rFonts w:hint="eastAsia" w:cs="Times New Roman"/>
                <w:color w:val="auto"/>
                <w:highlight w:val="none"/>
                <w:vertAlign w:val="superscript"/>
                <w:lang w:val="en-US" w:eastAsia="zh-CN"/>
              </w:rPr>
              <w:t>3</w:t>
            </w:r>
            <w:r>
              <w:rPr>
                <w:rFonts w:hint="eastAsia" w:ascii="Times New Roman" w:hAnsi="Times New Roman" w:eastAsia="宋体" w:cs="Times New Roman"/>
                <w:color w:val="auto"/>
                <w:highlight w:val="none"/>
                <w:lang w:val="en-US" w:eastAsia="zh-CN"/>
              </w:rPr>
              <w:t>/a</w:t>
            </w:r>
            <w:r>
              <w:rPr>
                <w:rFonts w:hint="eastAsia" w:cs="Times New Roman"/>
                <w:color w:val="auto"/>
                <w:highlight w:val="none"/>
                <w:lang w:val="en-US" w:eastAsia="zh-CN"/>
              </w:rPr>
              <w:t>。洗车用新水，</w:t>
            </w:r>
            <w:r>
              <w:rPr>
                <w:rFonts w:hint="eastAsia" w:ascii="Times New Roman" w:hAnsi="Times New Roman" w:eastAsia="宋体" w:cs="Times New Roman"/>
                <w:color w:val="auto"/>
                <w:highlight w:val="none"/>
                <w:lang w:val="en-US" w:eastAsia="zh-CN"/>
              </w:rPr>
              <w:t>洗车</w:t>
            </w:r>
            <w:r>
              <w:rPr>
                <w:rFonts w:hint="eastAsia" w:cs="Times New Roman"/>
                <w:color w:val="auto"/>
                <w:highlight w:val="none"/>
                <w:lang w:val="en-US" w:eastAsia="zh-CN"/>
              </w:rPr>
              <w:t>废水进入二级沉淀池</w:t>
            </w:r>
            <w:r>
              <w:rPr>
                <w:rFonts w:hint="eastAsia" w:ascii="Times New Roman" w:hAnsi="Times New Roman" w:eastAsia="宋体" w:cs="Times New Roman"/>
                <w:color w:val="auto"/>
                <w:highlight w:val="none"/>
                <w:lang w:val="en-US" w:eastAsia="zh-CN"/>
              </w:rPr>
              <w:t>，沉淀后</w:t>
            </w:r>
            <w:r>
              <w:rPr>
                <w:rFonts w:hint="eastAsia" w:cs="Times New Roman"/>
                <w:color w:val="auto"/>
                <w:highlight w:val="none"/>
                <w:lang w:val="en-US" w:eastAsia="zh-CN"/>
              </w:rPr>
              <w:t>暂存于回用水池，整体蒸发损耗按20%计，进入回用水池的水为64m</w:t>
            </w:r>
            <w:r>
              <w:rPr>
                <w:rFonts w:hint="eastAsia" w:cs="Times New Roman"/>
                <w:color w:val="auto"/>
                <w:highlight w:val="none"/>
                <w:vertAlign w:val="superscript"/>
                <w:lang w:val="en-US" w:eastAsia="zh-CN"/>
              </w:rPr>
              <w:t>3</w:t>
            </w:r>
            <w:r>
              <w:rPr>
                <w:rFonts w:hint="eastAsia" w:ascii="Times New Roman" w:hAnsi="Times New Roman" w:eastAsia="宋体" w:cs="Times New Roman"/>
                <w:color w:val="auto"/>
                <w:highlight w:val="none"/>
                <w:lang w:val="en-US" w:eastAsia="zh-CN"/>
              </w:rPr>
              <w:t>/a</w:t>
            </w:r>
            <w:r>
              <w:rPr>
                <w:rFonts w:hint="eastAsia" w:cs="Times New Roman"/>
                <w:color w:val="auto"/>
                <w:highlight w:val="none"/>
                <w:lang w:val="en-US" w:eastAsia="zh-CN"/>
              </w:rPr>
              <w:t>（废水处理系统整体损耗量按进水的20%计，包括蒸发损耗和煤泥。煤泥损耗2.33</w:t>
            </w:r>
            <w:r>
              <w:rPr>
                <w:rFonts w:hint="eastAsia" w:ascii="Times New Roman" w:hAnsi="Times New Roman" w:eastAsia="宋体" w:cs="Times New Roman"/>
                <w:color w:val="auto"/>
                <w:highlight w:val="none"/>
                <w:lang w:val="en-US" w:eastAsia="zh-CN"/>
              </w:rPr>
              <w:t>m</w:t>
            </w:r>
            <w:r>
              <w:rPr>
                <w:rFonts w:hint="eastAsia" w:cs="Times New Roman"/>
                <w:color w:val="auto"/>
                <w:highlight w:val="none"/>
                <w:vertAlign w:val="superscript"/>
                <w:lang w:val="en-US" w:eastAsia="zh-CN"/>
              </w:rPr>
              <w:t>3</w:t>
            </w:r>
            <w:r>
              <w:rPr>
                <w:rFonts w:hint="eastAsia" w:ascii="Times New Roman" w:hAnsi="Times New Roman" w:eastAsia="宋体" w:cs="Times New Roman"/>
                <w:color w:val="auto"/>
                <w:highlight w:val="none"/>
                <w:lang w:val="en-US" w:eastAsia="zh-CN"/>
              </w:rPr>
              <w:t>/a</w:t>
            </w:r>
            <w:r>
              <w:rPr>
                <w:rFonts w:hint="eastAsia" w:cs="Times New Roman"/>
                <w:color w:val="auto"/>
                <w:highlight w:val="none"/>
                <w:lang w:val="en-US" w:eastAsia="zh-CN"/>
              </w:rPr>
              <w:t>，蒸发总损耗26.47</w:t>
            </w:r>
            <w:r>
              <w:rPr>
                <w:rFonts w:hint="eastAsia" w:ascii="Times New Roman" w:hAnsi="Times New Roman" w:eastAsia="宋体" w:cs="Times New Roman"/>
                <w:color w:val="auto"/>
                <w:highlight w:val="none"/>
                <w:lang w:val="en-US" w:eastAsia="zh-CN"/>
              </w:rPr>
              <w:t>m</w:t>
            </w:r>
            <w:r>
              <w:rPr>
                <w:rFonts w:hint="eastAsia" w:cs="Times New Roman"/>
                <w:color w:val="auto"/>
                <w:highlight w:val="none"/>
                <w:vertAlign w:val="superscript"/>
                <w:lang w:val="en-US" w:eastAsia="zh-CN"/>
              </w:rPr>
              <w:t>3</w:t>
            </w:r>
            <w:r>
              <w:rPr>
                <w:rFonts w:hint="eastAsia" w:ascii="Times New Roman" w:hAnsi="Times New Roman" w:eastAsia="宋体" w:cs="Times New Roman"/>
                <w:color w:val="auto"/>
                <w:highlight w:val="none"/>
                <w:lang w:val="en-US" w:eastAsia="zh-CN"/>
              </w:rPr>
              <w:t>/a，</w:t>
            </w:r>
            <w:r>
              <w:rPr>
                <w:rFonts w:hint="eastAsia" w:cs="Times New Roman"/>
                <w:color w:val="auto"/>
                <w:highlight w:val="none"/>
                <w:lang w:val="en-US" w:eastAsia="zh-CN"/>
              </w:rPr>
              <w:t>所有损耗总计28.8</w:t>
            </w:r>
            <w:r>
              <w:rPr>
                <w:rFonts w:hint="eastAsia" w:ascii="Times New Roman" w:hAnsi="Times New Roman" w:eastAsia="宋体" w:cs="Times New Roman"/>
                <w:color w:val="auto"/>
                <w:highlight w:val="none"/>
                <w:lang w:val="en-US" w:eastAsia="zh-CN"/>
              </w:rPr>
              <w:t>m</w:t>
            </w:r>
            <w:r>
              <w:rPr>
                <w:rFonts w:hint="eastAsia" w:cs="Times New Roman"/>
                <w:color w:val="auto"/>
                <w:highlight w:val="none"/>
                <w:vertAlign w:val="superscript"/>
                <w:lang w:val="en-US" w:eastAsia="zh-CN"/>
              </w:rPr>
              <w:t>3</w:t>
            </w:r>
            <w:r>
              <w:rPr>
                <w:rFonts w:hint="eastAsia" w:ascii="Times New Roman" w:hAnsi="Times New Roman" w:eastAsia="宋体" w:cs="Times New Roman"/>
                <w:color w:val="auto"/>
                <w:highlight w:val="none"/>
                <w:lang w:val="en-US" w:eastAsia="zh-CN"/>
              </w:rPr>
              <w:t>/a</w:t>
            </w:r>
            <w:r>
              <w:rPr>
                <w:rFonts w:hint="eastAsia" w:cs="Times New Roman"/>
                <w:color w:val="auto"/>
                <w:highlight w:val="none"/>
                <w:lang w:val="en-US" w:eastAsia="zh-CN"/>
              </w:rPr>
              <w:t>，则进入回用水暂存池的水量为51.2</w:t>
            </w:r>
            <w:r>
              <w:rPr>
                <w:rFonts w:hint="eastAsia" w:ascii="Times New Roman" w:hAnsi="Times New Roman" w:eastAsia="宋体" w:cs="Times New Roman"/>
                <w:color w:val="auto"/>
                <w:highlight w:val="none"/>
                <w:lang w:val="en-US" w:eastAsia="zh-CN"/>
              </w:rPr>
              <w:t>m</w:t>
            </w:r>
            <w:r>
              <w:rPr>
                <w:rFonts w:hint="eastAsia" w:cs="Times New Roman"/>
                <w:color w:val="auto"/>
                <w:highlight w:val="none"/>
                <w:vertAlign w:val="superscript"/>
                <w:lang w:val="en-US" w:eastAsia="zh-CN"/>
              </w:rPr>
              <w:t>3</w:t>
            </w:r>
            <w:r>
              <w:rPr>
                <w:rFonts w:hint="eastAsia" w:ascii="Times New Roman" w:hAnsi="Times New Roman" w:eastAsia="宋体" w:cs="Times New Roman"/>
                <w:color w:val="auto"/>
                <w:highlight w:val="none"/>
                <w:lang w:val="en-US" w:eastAsia="zh-CN"/>
              </w:rPr>
              <w:t>/a</w:t>
            </w:r>
            <w:r>
              <w:rPr>
                <w:rFonts w:hint="eastAsia" w:cs="Times New Roman"/>
                <w:color w:val="auto"/>
                <w:highlight w:val="none"/>
                <w:lang w:val="en-US" w:eastAsia="zh-CN"/>
              </w:rPr>
              <w:t>，回用水暂存池水损耗忽略不计）</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本项目预计建设两个80m</w:t>
            </w:r>
            <w:r>
              <w:rPr>
                <w:rFonts w:hint="eastAsia" w:cs="Times New Roman"/>
                <w:color w:val="auto"/>
                <w:highlight w:val="none"/>
                <w:vertAlign w:val="superscript"/>
                <w:lang w:val="en-US" w:eastAsia="zh-CN"/>
              </w:rPr>
              <w:t>3</w:t>
            </w:r>
            <w:r>
              <w:rPr>
                <w:rFonts w:hint="eastAsia" w:cs="Times New Roman"/>
                <w:color w:val="auto"/>
                <w:highlight w:val="none"/>
                <w:lang w:val="en-US" w:eastAsia="zh-CN"/>
              </w:rPr>
              <w:t>的沉淀池和65m</w:t>
            </w:r>
            <w:r>
              <w:rPr>
                <w:rFonts w:hint="eastAsia" w:cs="Times New Roman"/>
                <w:color w:val="auto"/>
                <w:highlight w:val="none"/>
                <w:vertAlign w:val="superscript"/>
                <w:lang w:val="en-US" w:eastAsia="zh-CN"/>
              </w:rPr>
              <w:t>3</w:t>
            </w:r>
            <w:r>
              <w:rPr>
                <w:rFonts w:hint="eastAsia" w:cs="Times New Roman"/>
                <w:color w:val="auto"/>
                <w:highlight w:val="none"/>
                <w:lang w:val="en-US" w:eastAsia="zh-CN"/>
              </w:rPr>
              <w:t>的回用水暂存池，容积与废水排放所需相符。</w:t>
            </w:r>
          </w:p>
          <w:p>
            <w:pPr>
              <w:numPr>
                <w:ilvl w:val="0"/>
                <w:numId w:val="0"/>
              </w:numPr>
              <w:bidi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本项目用排水情况详见表2-</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，本项目水平衡图详见图2-1。</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lang w:val="en-US" w:eastAsia="zh-CN"/>
              </w:rPr>
              <w:t>2-8</w:t>
            </w:r>
            <w:r>
              <w:rPr>
                <w:rFonts w:hint="eastAsia"/>
                <w:b/>
                <w:bCs/>
                <w:color w:val="auto"/>
                <w:sz w:val="21"/>
                <w:szCs w:val="21"/>
                <w:highlight w:val="none"/>
              </w:rPr>
              <w:t xml:space="preserve"> </w:t>
            </w:r>
            <w:r>
              <w:rPr>
                <w:rFonts w:hint="eastAsia"/>
                <w:b/>
                <w:bCs/>
                <w:color w:val="auto"/>
                <w:sz w:val="21"/>
                <w:szCs w:val="21"/>
                <w:highlight w:val="none"/>
                <w:lang w:eastAsia="zh-CN"/>
              </w:rPr>
              <w:t>本</w:t>
            </w:r>
            <w:r>
              <w:rPr>
                <w:rFonts w:hint="eastAsia"/>
                <w:b/>
                <w:bCs/>
                <w:color w:val="auto"/>
                <w:sz w:val="21"/>
                <w:szCs w:val="21"/>
                <w:highlight w:val="none"/>
                <w:lang w:val="en-US" w:eastAsia="zh-CN"/>
              </w:rPr>
              <w:t>项目用排水情况一览</w:t>
            </w:r>
            <w:r>
              <w:rPr>
                <w:rFonts w:hint="eastAsia"/>
                <w:b/>
                <w:bCs/>
                <w:color w:val="auto"/>
                <w:sz w:val="21"/>
                <w:szCs w:val="21"/>
                <w:highlight w:val="none"/>
                <w:lang w:eastAsia="zh-CN"/>
              </w:rPr>
              <w:t>表（</w:t>
            </w:r>
            <w:r>
              <w:rPr>
                <w:rFonts w:hint="eastAsia"/>
                <w:b/>
                <w:bCs/>
                <w:color w:val="auto"/>
                <w:sz w:val="21"/>
                <w:szCs w:val="21"/>
                <w:highlight w:val="none"/>
                <w:lang w:val="en-US" w:eastAsia="zh-CN"/>
              </w:rPr>
              <w:t>m³/a</w:t>
            </w:r>
            <w:r>
              <w:rPr>
                <w:rFonts w:hint="eastAsia"/>
                <w:b/>
                <w:bCs/>
                <w:color w:val="auto"/>
                <w:sz w:val="21"/>
                <w:szCs w:val="21"/>
                <w:highlight w:val="none"/>
                <w:lang w:eastAsia="zh-CN"/>
              </w:rPr>
              <w:t>）</w:t>
            </w:r>
          </w:p>
          <w:tbl>
            <w:tblPr>
              <w:tblStyle w:val="21"/>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23"/>
              <w:gridCol w:w="1085"/>
              <w:gridCol w:w="983"/>
              <w:gridCol w:w="1233"/>
              <w:gridCol w:w="1095"/>
              <w:gridCol w:w="1085"/>
              <w:gridCol w:w="818"/>
              <w:gridCol w:w="108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47" w:type="pct"/>
                  <w:vMerge w:val="restart"/>
                  <w:noWrap w:val="0"/>
                  <w:vAlign w:val="center"/>
                </w:tcPr>
                <w:p>
                  <w:pPr>
                    <w:pStyle w:val="39"/>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用水项目</w:t>
                  </w:r>
                </w:p>
              </w:tc>
              <w:tc>
                <w:tcPr>
                  <w:tcW w:w="2021" w:type="pct"/>
                  <w:gridSpan w:val="3"/>
                  <w:noWrap w:val="0"/>
                  <w:vAlign w:val="center"/>
                </w:tcPr>
                <w:p>
                  <w:pPr>
                    <w:pStyle w:val="39"/>
                    <w:jc w:val="center"/>
                    <w:rPr>
                      <w:rFonts w:hint="eastAsia"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进水</w:t>
                  </w:r>
                </w:p>
              </w:tc>
              <w:tc>
                <w:tcPr>
                  <w:tcW w:w="2231" w:type="pct"/>
                  <w:gridSpan w:val="4"/>
                  <w:noWrap w:val="0"/>
                  <w:vAlign w:val="center"/>
                </w:tcPr>
                <w:p>
                  <w:pPr>
                    <w:pStyle w:val="39"/>
                    <w:jc w:val="center"/>
                    <w:rPr>
                      <w:rFonts w:hint="eastAsia"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出水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47" w:type="pct"/>
                  <w:vMerge w:val="continue"/>
                  <w:noWrap w:val="0"/>
                  <w:vAlign w:val="center"/>
                </w:tcPr>
                <w:p>
                  <w:pPr>
                    <w:pStyle w:val="39"/>
                    <w:jc w:val="center"/>
                    <w:rPr>
                      <w:rFonts w:hint="default" w:ascii="Times New Roman" w:hAnsi="Times New Roman" w:eastAsia="宋体" w:cs="Times New Roman"/>
                      <w:b/>
                      <w:bCs/>
                      <w:color w:val="auto"/>
                      <w:sz w:val="21"/>
                      <w:szCs w:val="21"/>
                      <w:highlight w:val="none"/>
                    </w:rPr>
                  </w:pPr>
                </w:p>
              </w:tc>
              <w:tc>
                <w:tcPr>
                  <w:tcW w:w="634" w:type="pct"/>
                  <w:noWrap w:val="0"/>
                  <w:vAlign w:val="center"/>
                </w:tcPr>
                <w:p>
                  <w:pPr>
                    <w:pStyle w:val="39"/>
                    <w:jc w:val="center"/>
                    <w:rPr>
                      <w:rFonts w:hint="eastAsia" w:ascii="Times New Roman" w:hAnsi="Times New Roman"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新鲜水</w:t>
                  </w:r>
                </w:p>
              </w:tc>
              <w:tc>
                <w:tcPr>
                  <w:tcW w:w="635" w:type="pct"/>
                  <w:noWrap w:val="0"/>
                  <w:vAlign w:val="center"/>
                </w:tcPr>
                <w:p>
                  <w:pPr>
                    <w:pStyle w:val="39"/>
                    <w:jc w:val="center"/>
                    <w:rPr>
                      <w:rFonts w:hint="eastAsia" w:ascii="Times New Roman" w:hAnsi="Times New Roman"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回用水</w:t>
                  </w:r>
                </w:p>
              </w:tc>
              <w:tc>
                <w:tcPr>
                  <w:tcW w:w="752" w:type="pct"/>
                  <w:noWrap w:val="0"/>
                  <w:vAlign w:val="center"/>
                </w:tcPr>
                <w:p>
                  <w:pPr>
                    <w:pStyle w:val="39"/>
                    <w:tabs>
                      <w:tab w:val="left" w:pos="238"/>
                    </w:tabs>
                    <w:jc w:val="center"/>
                    <w:rPr>
                      <w:rFonts w:hint="eastAsia"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合计</w:t>
                  </w:r>
                </w:p>
              </w:tc>
              <w:tc>
                <w:tcPr>
                  <w:tcW w:w="672" w:type="pct"/>
                  <w:noWrap w:val="0"/>
                  <w:vAlign w:val="center"/>
                </w:tcPr>
                <w:p>
                  <w:pPr>
                    <w:pStyle w:val="39"/>
                    <w:jc w:val="center"/>
                    <w:rPr>
                      <w:rFonts w:hint="eastAsia" w:ascii="Times New Roman" w:hAnsi="Times New Roman"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回用池</w:t>
                  </w:r>
                </w:p>
              </w:tc>
              <w:tc>
                <w:tcPr>
                  <w:tcW w:w="647" w:type="pct"/>
                  <w:noWrap w:val="0"/>
                  <w:vAlign w:val="center"/>
                </w:tcPr>
                <w:p>
                  <w:pPr>
                    <w:pStyle w:val="39"/>
                    <w:jc w:val="center"/>
                    <w:rPr>
                      <w:rFonts w:hint="eastAsia" w:ascii="Times New Roman" w:hAnsi="Times New Roman"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损耗</w:t>
                  </w:r>
                </w:p>
              </w:tc>
              <w:tc>
                <w:tcPr>
                  <w:tcW w:w="451" w:type="pct"/>
                  <w:noWrap w:val="0"/>
                  <w:vAlign w:val="center"/>
                </w:tcPr>
                <w:p>
                  <w:pPr>
                    <w:pStyle w:val="39"/>
                    <w:jc w:val="center"/>
                    <w:rPr>
                      <w:rFonts w:hint="eastAsia" w:ascii="Times New Roman" w:hAnsi="Times New Roman"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外委</w:t>
                  </w:r>
                </w:p>
              </w:tc>
              <w:tc>
                <w:tcPr>
                  <w:tcW w:w="460" w:type="pct"/>
                  <w:noWrap w:val="0"/>
                  <w:vAlign w:val="center"/>
                </w:tcPr>
                <w:p>
                  <w:pPr>
                    <w:pStyle w:val="39"/>
                    <w:jc w:val="center"/>
                    <w:rPr>
                      <w:rFonts w:hint="eastAsia"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合计</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47" w:type="pct"/>
                  <w:noWrap w:val="0"/>
                  <w:vAlign w:val="center"/>
                </w:tcPr>
                <w:p>
                  <w:pPr>
                    <w:pStyle w:val="39"/>
                    <w:jc w:val="center"/>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zh-CN" w:eastAsia="zh-CN"/>
                    </w:rPr>
                    <w:t>雾炮喷淋</w:t>
                  </w:r>
                </w:p>
              </w:tc>
              <w:tc>
                <w:tcPr>
                  <w:tcW w:w="634"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7920</w:t>
                  </w:r>
                </w:p>
              </w:tc>
              <w:tc>
                <w:tcPr>
                  <w:tcW w:w="635"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0</w:t>
                  </w:r>
                </w:p>
              </w:tc>
              <w:tc>
                <w:tcPr>
                  <w:tcW w:w="752"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7920</w:t>
                  </w:r>
                </w:p>
              </w:tc>
              <w:tc>
                <w:tcPr>
                  <w:tcW w:w="672"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0</w:t>
                  </w:r>
                </w:p>
              </w:tc>
              <w:tc>
                <w:tcPr>
                  <w:tcW w:w="647"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7920</w:t>
                  </w:r>
                </w:p>
              </w:tc>
              <w:tc>
                <w:tcPr>
                  <w:tcW w:w="451" w:type="pct"/>
                  <w:noWrap w:val="0"/>
                  <w:vAlign w:val="center"/>
                </w:tcPr>
                <w:p>
                  <w:pPr>
                    <w:pStyle w:val="39"/>
                    <w:jc w:val="center"/>
                    <w:rPr>
                      <w:rFonts w:hint="eastAsia"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0</w:t>
                  </w:r>
                </w:p>
              </w:tc>
              <w:tc>
                <w:tcPr>
                  <w:tcW w:w="460"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7920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47" w:type="pct"/>
                  <w:noWrap w:val="0"/>
                  <w:vAlign w:val="center"/>
                </w:tcPr>
                <w:p>
                  <w:pPr>
                    <w:pStyle w:val="39"/>
                    <w:jc w:val="center"/>
                    <w:rPr>
                      <w:rFonts w:hint="eastAsia"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eastAsia="zh-CN"/>
                    </w:rPr>
                    <w:t>车辆冲洗</w:t>
                  </w:r>
                </w:p>
              </w:tc>
              <w:tc>
                <w:tcPr>
                  <w:tcW w:w="634"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80</w:t>
                  </w:r>
                </w:p>
              </w:tc>
              <w:tc>
                <w:tcPr>
                  <w:tcW w:w="635"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0</w:t>
                  </w:r>
                </w:p>
              </w:tc>
              <w:tc>
                <w:tcPr>
                  <w:tcW w:w="752"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80</w:t>
                  </w:r>
                </w:p>
              </w:tc>
              <w:tc>
                <w:tcPr>
                  <w:tcW w:w="672"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51.2</w:t>
                  </w:r>
                </w:p>
              </w:tc>
              <w:tc>
                <w:tcPr>
                  <w:tcW w:w="647"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28.8</w:t>
                  </w:r>
                </w:p>
              </w:tc>
              <w:tc>
                <w:tcPr>
                  <w:tcW w:w="451"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0</w:t>
                  </w:r>
                </w:p>
              </w:tc>
              <w:tc>
                <w:tcPr>
                  <w:tcW w:w="460"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80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47" w:type="pct"/>
                  <w:noWrap w:val="0"/>
                  <w:vAlign w:val="center"/>
                </w:tcPr>
                <w:p>
                  <w:pPr>
                    <w:pStyle w:val="39"/>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生活用水</w:t>
                  </w:r>
                </w:p>
              </w:tc>
              <w:tc>
                <w:tcPr>
                  <w:tcW w:w="634"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561</w:t>
                  </w:r>
                </w:p>
              </w:tc>
              <w:tc>
                <w:tcPr>
                  <w:tcW w:w="635"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0</w:t>
                  </w:r>
                </w:p>
              </w:tc>
              <w:tc>
                <w:tcPr>
                  <w:tcW w:w="752"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561</w:t>
                  </w:r>
                </w:p>
              </w:tc>
              <w:tc>
                <w:tcPr>
                  <w:tcW w:w="672"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0</w:t>
                  </w:r>
                </w:p>
              </w:tc>
              <w:tc>
                <w:tcPr>
                  <w:tcW w:w="647"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112.2</w:t>
                  </w:r>
                </w:p>
              </w:tc>
              <w:tc>
                <w:tcPr>
                  <w:tcW w:w="451"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448.8</w:t>
                  </w:r>
                </w:p>
              </w:tc>
              <w:tc>
                <w:tcPr>
                  <w:tcW w:w="460"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561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47" w:type="pct"/>
                  <w:noWrap w:val="0"/>
                  <w:vAlign w:val="center"/>
                </w:tcPr>
                <w:p>
                  <w:pPr>
                    <w:pStyle w:val="39"/>
                    <w:jc w:val="center"/>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zh-CN" w:eastAsia="zh-CN"/>
                    </w:rPr>
                    <w:t>洒水</w:t>
                  </w:r>
                  <w:r>
                    <w:rPr>
                      <w:rFonts w:hint="default" w:ascii="Times New Roman" w:hAnsi="Times New Roman" w:eastAsia="宋体" w:cs="Times New Roman"/>
                      <w:color w:val="auto"/>
                      <w:sz w:val="21"/>
                      <w:szCs w:val="21"/>
                      <w:highlight w:val="none"/>
                      <w:lang w:val="zh-CN" w:eastAsia="zh-CN"/>
                    </w:rPr>
                    <w:t>抑尘</w:t>
                  </w:r>
                </w:p>
              </w:tc>
              <w:tc>
                <w:tcPr>
                  <w:tcW w:w="634"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11914.3</w:t>
                  </w:r>
                </w:p>
              </w:tc>
              <w:tc>
                <w:tcPr>
                  <w:tcW w:w="635"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51.2</w:t>
                  </w:r>
                </w:p>
              </w:tc>
              <w:tc>
                <w:tcPr>
                  <w:tcW w:w="752"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11965.5</w:t>
                  </w:r>
                </w:p>
              </w:tc>
              <w:tc>
                <w:tcPr>
                  <w:tcW w:w="672" w:type="pct"/>
                  <w:noWrap w:val="0"/>
                  <w:vAlign w:val="center"/>
                </w:tcPr>
                <w:p>
                  <w:pPr>
                    <w:pStyle w:val="39"/>
                    <w:jc w:val="center"/>
                    <w:rPr>
                      <w:rFonts w:hint="eastAsia"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0</w:t>
                  </w:r>
                </w:p>
              </w:tc>
              <w:tc>
                <w:tcPr>
                  <w:tcW w:w="647"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11965.5</w:t>
                  </w:r>
                </w:p>
              </w:tc>
              <w:tc>
                <w:tcPr>
                  <w:tcW w:w="451" w:type="pct"/>
                  <w:noWrap w:val="0"/>
                  <w:vAlign w:val="center"/>
                </w:tcPr>
                <w:p>
                  <w:pPr>
                    <w:pStyle w:val="39"/>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0</w:t>
                  </w:r>
                </w:p>
              </w:tc>
              <w:tc>
                <w:tcPr>
                  <w:tcW w:w="460"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11965.5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47" w:type="pct"/>
                  <w:noWrap w:val="0"/>
                  <w:vAlign w:val="center"/>
                </w:tcPr>
                <w:p>
                  <w:pPr>
                    <w:pStyle w:val="39"/>
                    <w:jc w:val="center"/>
                    <w:rPr>
                      <w:rFonts w:hint="eastAsia" w:eastAsia="宋体" w:cs="Times New Roman"/>
                      <w:color w:val="auto"/>
                      <w:sz w:val="21"/>
                      <w:szCs w:val="21"/>
                      <w:highlight w:val="none"/>
                      <w:lang w:eastAsia="zh-CN"/>
                    </w:rPr>
                  </w:pPr>
                  <w:r>
                    <w:rPr>
                      <w:rFonts w:hint="eastAsia" w:eastAsia="宋体" w:cs="Times New Roman"/>
                      <w:color w:val="auto"/>
                      <w:sz w:val="21"/>
                      <w:szCs w:val="21"/>
                      <w:highlight w:val="none"/>
                      <w:lang w:eastAsia="zh-CN"/>
                    </w:rPr>
                    <w:t>合计</w:t>
                  </w:r>
                </w:p>
              </w:tc>
              <w:tc>
                <w:tcPr>
                  <w:tcW w:w="634"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20475.3</w:t>
                  </w:r>
                </w:p>
              </w:tc>
              <w:tc>
                <w:tcPr>
                  <w:tcW w:w="635"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51.2</w:t>
                  </w:r>
                </w:p>
              </w:tc>
              <w:tc>
                <w:tcPr>
                  <w:tcW w:w="752"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20526.5</w:t>
                  </w:r>
                </w:p>
              </w:tc>
              <w:tc>
                <w:tcPr>
                  <w:tcW w:w="672"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51.2</w:t>
                  </w:r>
                </w:p>
              </w:tc>
              <w:tc>
                <w:tcPr>
                  <w:tcW w:w="647"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20026.5</w:t>
                  </w:r>
                </w:p>
              </w:tc>
              <w:tc>
                <w:tcPr>
                  <w:tcW w:w="451" w:type="pct"/>
                  <w:noWrap w:val="0"/>
                  <w:vAlign w:val="center"/>
                </w:tcPr>
                <w:p>
                  <w:pPr>
                    <w:pStyle w:val="39"/>
                    <w:jc w:val="both"/>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448.8</w:t>
                  </w:r>
                </w:p>
              </w:tc>
              <w:tc>
                <w:tcPr>
                  <w:tcW w:w="460" w:type="pct"/>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20526.5</w:t>
                  </w:r>
                </w:p>
              </w:tc>
            </w:tr>
          </w:tbl>
          <w:p>
            <w:pPr>
              <w:pStyle w:val="2"/>
              <w:keepNext w:val="0"/>
              <w:keepLines w:val="0"/>
              <w:pageBreakBefore w:val="0"/>
              <w:widowControl w:val="0"/>
              <w:kinsoku/>
              <w:wordWrap/>
              <w:overflowPunct/>
              <w:topLinePunct w:val="0"/>
              <w:autoSpaceDE/>
              <w:autoSpaceDN/>
              <w:bidi w:val="0"/>
              <w:adjustRightInd/>
              <w:snapToGrid/>
              <w:spacing w:before="0"/>
              <w:ind w:right="0" w:firstLine="0"/>
              <w:jc w:val="center"/>
              <w:textAlignment w:val="auto"/>
              <w:rPr>
                <w:rFonts w:hint="eastAsia" w:cs="Times New Roman"/>
                <w:color w:val="auto"/>
                <w:sz w:val="2"/>
                <w:szCs w:val="2"/>
                <w:highlight w:val="none"/>
                <w:lang w:val="en-US" w:eastAsia="zh-CN"/>
              </w:rPr>
            </w:pPr>
          </w:p>
          <w:p>
            <w:pPr>
              <w:pStyle w:val="20"/>
              <w:rPr>
                <w:rFonts w:hint="eastAsia" w:cs="Times New Roman"/>
                <w:color w:val="auto"/>
                <w:highlight w:val="none"/>
                <w:lang w:val="en-US" w:eastAsia="zh-CN"/>
              </w:rPr>
            </w:pPr>
            <w:r>
              <w:rPr>
                <w:rFonts w:hint="eastAsia" w:cs="Times New Roman"/>
                <w:color w:val="auto"/>
                <w:highlight w:val="none"/>
                <w:lang w:val="en-US" w:eastAsia="zh-CN"/>
              </w:rPr>
              <w:drawing>
                <wp:inline distT="0" distB="0" distL="114300" distR="114300">
                  <wp:extent cx="5142865" cy="3183890"/>
                  <wp:effectExtent l="0" t="0" r="0" b="0"/>
                  <wp:docPr id="141" name="E657119C-6982-421D-8BA7-E74DEB70A7D9-1" descr="C:/Users/Administrator/AppData/Roaming/Kingsoft/wps/addons/data/win-i386/kinsertprocesson/insertimage.UMkIoLinsertimag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1" name="E657119C-6982-421D-8BA7-E74DEB70A7D9-1" descr="C:/Users/Administrator/AppData/Roaming/Kingsoft/wps/addons/data/win-i386/kinsertprocesson/insertimage.UMkIoLinsertimage"/>
                          <pic:cNvPicPr>
                            <a:picLocks noChangeAspect="true"/>
                          </pic:cNvPicPr>
                        </pic:nvPicPr>
                        <pic:blipFill>
                          <a:blip r:embed="rId13"/>
                          <a:stretch>
                            <a:fillRect/>
                          </a:stretch>
                        </pic:blipFill>
                        <pic:spPr>
                          <a:xfrm>
                            <a:off x="0" y="0"/>
                            <a:ext cx="5142865" cy="3183890"/>
                          </a:xfrm>
                          <a:prstGeom prst="rect">
                            <a:avLst/>
                          </a:prstGeom>
                          <a:noFill/>
                          <a:ln>
                            <a:noFill/>
                          </a:ln>
                        </pic:spPr>
                      </pic:pic>
                    </a:graphicData>
                  </a:graphic>
                </wp:inline>
              </w:drawing>
            </w:r>
          </w:p>
          <w:p>
            <w:pPr>
              <w:pStyle w:val="5"/>
              <w:spacing w:line="240" w:lineRule="auto"/>
              <w:ind w:left="0" w:leftChars="0" w:firstLine="0" w:firstLineChars="0"/>
              <w:jc w:val="center"/>
              <w:rPr>
                <w:rFonts w:hint="eastAsia"/>
                <w:b/>
                <w:bCs/>
                <w:color w:val="auto"/>
                <w:sz w:val="21"/>
                <w:szCs w:val="21"/>
                <w:highlight w:val="none"/>
                <w:lang w:eastAsia="zh-CN"/>
              </w:rPr>
            </w:pPr>
            <w:r>
              <w:rPr>
                <w:rFonts w:hint="eastAsia"/>
                <w:b/>
                <w:bCs/>
                <w:color w:val="auto"/>
                <w:sz w:val="21"/>
                <w:szCs w:val="21"/>
                <w:highlight w:val="none"/>
              </w:rPr>
              <w:t>图</w:t>
            </w:r>
            <w:r>
              <w:rPr>
                <w:rFonts w:hint="eastAsia"/>
                <w:b/>
                <w:bCs/>
                <w:color w:val="auto"/>
                <w:sz w:val="21"/>
                <w:szCs w:val="21"/>
                <w:highlight w:val="none"/>
                <w:lang w:val="en-US" w:eastAsia="zh-CN"/>
              </w:rPr>
              <w:t>2-1</w:t>
            </w:r>
            <w:r>
              <w:rPr>
                <w:rFonts w:hint="eastAsia"/>
                <w:b/>
                <w:bCs/>
                <w:color w:val="auto"/>
                <w:sz w:val="21"/>
                <w:szCs w:val="21"/>
                <w:highlight w:val="none"/>
              </w:rPr>
              <w:t xml:space="preserve"> </w:t>
            </w:r>
            <w:r>
              <w:rPr>
                <w:rFonts w:hint="eastAsia"/>
                <w:b/>
                <w:bCs/>
                <w:color w:val="auto"/>
                <w:sz w:val="21"/>
                <w:szCs w:val="21"/>
                <w:highlight w:val="none"/>
                <w:lang w:eastAsia="zh-CN"/>
              </w:rPr>
              <w:t>本项目水平衡图（</w:t>
            </w:r>
            <w:r>
              <w:rPr>
                <w:rFonts w:hint="eastAsia"/>
                <w:b/>
                <w:bCs/>
                <w:color w:val="auto"/>
                <w:sz w:val="21"/>
                <w:szCs w:val="21"/>
                <w:highlight w:val="none"/>
                <w:lang w:val="en-US" w:eastAsia="zh-CN"/>
              </w:rPr>
              <w:t>m</w:t>
            </w:r>
            <w:r>
              <w:rPr>
                <w:rFonts w:hint="eastAsia"/>
                <w:b/>
                <w:bCs/>
                <w:color w:val="auto"/>
                <w:sz w:val="21"/>
                <w:szCs w:val="21"/>
                <w:highlight w:val="none"/>
                <w:vertAlign w:val="superscript"/>
                <w:lang w:val="en-US" w:eastAsia="zh-CN"/>
              </w:rPr>
              <w:t>3</w:t>
            </w:r>
            <w:r>
              <w:rPr>
                <w:rFonts w:hint="default"/>
                <w:b/>
                <w:bCs/>
                <w:color w:val="auto"/>
                <w:sz w:val="21"/>
                <w:szCs w:val="21"/>
                <w:highlight w:val="none"/>
                <w:lang w:val="en-US" w:eastAsia="zh-CN"/>
              </w:rPr>
              <w:t>/a</w:t>
            </w:r>
            <w:r>
              <w:rPr>
                <w:rFonts w:hint="eastAsia"/>
                <w:b/>
                <w:bCs/>
                <w:color w:val="auto"/>
                <w:sz w:val="21"/>
                <w:szCs w:val="21"/>
                <w:highlight w:val="none"/>
                <w:lang w:eastAsia="zh-CN"/>
              </w:rPr>
              <w:t>）</w:t>
            </w:r>
          </w:p>
          <w:p>
            <w:pPr>
              <w:pStyle w:val="2"/>
              <w:numPr>
                <w:ilvl w:val="0"/>
                <w:numId w:val="0"/>
              </w:numPr>
              <w:spacing w:line="360" w:lineRule="auto"/>
              <w:ind w:left="0" w:leftChars="0" w:right="113" w:rightChars="0" w:firstLine="0" w:firstLineChars="0"/>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（2）供电：本项目供电由市政供电公司供给</w:t>
            </w:r>
            <w:r>
              <w:rPr>
                <w:rFonts w:hint="eastAsia" w:cs="Times New Roman"/>
                <w:color w:val="auto"/>
                <w:kern w:val="2"/>
                <w:sz w:val="24"/>
                <w:szCs w:val="24"/>
                <w:highlight w:val="none"/>
                <w:lang w:val="en-US" w:eastAsia="zh-CN" w:bidi="ar-SA"/>
              </w:rPr>
              <w:t>。</w:t>
            </w:r>
          </w:p>
          <w:p>
            <w:pPr>
              <w:numPr>
                <w:ilvl w:val="0"/>
                <w:numId w:val="0"/>
              </w:numPr>
              <w:spacing w:line="360" w:lineRule="auto"/>
              <w:ind w:firstLine="0"/>
              <w:rPr>
                <w:rFonts w:hint="eastAsia"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（3）供暖：本项目厂区无需供暖，办公室门卫等采用电取暖。</w:t>
            </w:r>
          </w:p>
          <w:p>
            <w:pPr>
              <w:pStyle w:val="2"/>
              <w:rPr>
                <w:rFonts w:hint="eastAsia" w:cs="Times New Roman"/>
                <w:color w:val="auto"/>
                <w:kern w:val="2"/>
                <w:sz w:val="24"/>
                <w:szCs w:val="24"/>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cs="Times New Roman"/>
                <w:b/>
                <w:bCs/>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6、工作制度及</w:t>
            </w:r>
            <w:r>
              <w:rPr>
                <w:rFonts w:hint="default" w:ascii="Times New Roman" w:hAnsi="Times New Roman" w:eastAsia="宋体" w:cs="Times New Roman"/>
                <w:b/>
                <w:bCs/>
                <w:color w:val="auto"/>
                <w:sz w:val="24"/>
                <w:szCs w:val="24"/>
                <w:highlight w:val="none"/>
                <w:lang w:val="en-US" w:eastAsia="zh-CN"/>
              </w:rPr>
              <w:t>劳动定员</w:t>
            </w:r>
          </w:p>
          <w:p>
            <w:pPr>
              <w:numPr>
                <w:ilvl w:val="0"/>
                <w:numId w:val="0"/>
              </w:numPr>
              <w:bidi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本</w:t>
            </w:r>
            <w:r>
              <w:rPr>
                <w:rFonts w:hint="default" w:ascii="Times New Roman" w:hAnsi="Times New Roman" w:eastAsia="宋体" w:cs="Times New Roman"/>
                <w:color w:val="auto"/>
                <w:sz w:val="24"/>
                <w:szCs w:val="24"/>
                <w:highlight w:val="none"/>
                <w:lang w:val="en-US" w:eastAsia="zh-CN"/>
              </w:rPr>
              <w:t>项目</w:t>
            </w:r>
            <w:r>
              <w:rPr>
                <w:rFonts w:hint="eastAsia" w:cs="Times New Roman"/>
                <w:color w:val="auto"/>
                <w:sz w:val="24"/>
                <w:szCs w:val="24"/>
                <w:highlight w:val="none"/>
                <w:lang w:val="en-US" w:eastAsia="zh-CN"/>
              </w:rPr>
              <w:t>总计劳动定员20人，其中设备司机13</w:t>
            </w:r>
            <w:r>
              <w:rPr>
                <w:rFonts w:hint="default" w:ascii="Times New Roman" w:hAnsi="Times New Roman" w:eastAsia="宋体" w:cs="Times New Roman"/>
                <w:color w:val="auto"/>
                <w:sz w:val="24"/>
                <w:szCs w:val="24"/>
                <w:highlight w:val="none"/>
                <w:lang w:val="en-US" w:eastAsia="zh-CN"/>
              </w:rPr>
              <w:t>人。</w:t>
            </w:r>
            <w:r>
              <w:rPr>
                <w:rFonts w:hint="eastAsia" w:cs="Times New Roman"/>
                <w:color w:val="auto"/>
                <w:sz w:val="24"/>
                <w:szCs w:val="24"/>
                <w:highlight w:val="none"/>
                <w:lang w:val="en-US" w:eastAsia="zh-CN"/>
              </w:rPr>
              <w:t>白天运行，每天工作8</w:t>
            </w:r>
            <w:r>
              <w:rPr>
                <w:rFonts w:hint="default" w:ascii="Times New Roman" w:hAnsi="Times New Roman" w:eastAsia="宋体" w:cs="Times New Roman"/>
                <w:color w:val="auto"/>
                <w:sz w:val="24"/>
                <w:szCs w:val="24"/>
                <w:highlight w:val="none"/>
                <w:lang w:val="en-US" w:eastAsia="zh-CN"/>
              </w:rPr>
              <w:t>小时，</w:t>
            </w:r>
            <w:r>
              <w:rPr>
                <w:rFonts w:hint="eastAsia" w:cs="Times New Roman"/>
                <w:color w:val="auto"/>
                <w:sz w:val="24"/>
                <w:szCs w:val="24"/>
                <w:highlight w:val="none"/>
                <w:lang w:val="en-US" w:eastAsia="zh-CN"/>
              </w:rPr>
              <w:t>每</w:t>
            </w:r>
            <w:r>
              <w:rPr>
                <w:rFonts w:hint="default" w:ascii="Times New Roman" w:hAnsi="Times New Roman" w:eastAsia="宋体" w:cs="Times New Roman"/>
                <w:color w:val="auto"/>
                <w:sz w:val="24"/>
                <w:szCs w:val="24"/>
                <w:highlight w:val="none"/>
                <w:lang w:val="en-US" w:eastAsia="zh-CN"/>
              </w:rPr>
              <w:t>年工作</w:t>
            </w:r>
            <w:r>
              <w:rPr>
                <w:rFonts w:hint="eastAsia" w:ascii="Times New Roman" w:hAnsi="Times New Roman" w:eastAsia="宋体" w:cs="Times New Roman"/>
                <w:color w:val="auto"/>
                <w:sz w:val="24"/>
                <w:szCs w:val="24"/>
                <w:highlight w:val="none"/>
                <w:lang w:val="en-US" w:eastAsia="zh-CN"/>
              </w:rPr>
              <w:t>3</w:t>
            </w:r>
            <w:r>
              <w:rPr>
                <w:rFonts w:hint="eastAsia" w:cs="Times New Roman"/>
                <w:color w:val="auto"/>
                <w:sz w:val="24"/>
                <w:szCs w:val="24"/>
                <w:highlight w:val="none"/>
                <w:lang w:val="en-US" w:eastAsia="zh-CN"/>
              </w:rPr>
              <w:t>30天。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宋体" w:cs="Times New Roman"/>
                <w:color w:val="auto"/>
                <w:sz w:val="24"/>
                <w:szCs w:val="24"/>
                <w:highlight w:val="none"/>
                <w:lang w:val="en-US" w:eastAsia="zh-CN"/>
              </w:rPr>
            </w:pPr>
            <w:r>
              <w:rPr>
                <w:rFonts w:hint="eastAsia" w:cs="Times New Roman"/>
                <w:b/>
                <w:bCs/>
                <w:color w:val="auto"/>
                <w:sz w:val="24"/>
                <w:szCs w:val="24"/>
                <w:highlight w:val="none"/>
                <w:lang w:val="en-US" w:eastAsia="zh-CN"/>
              </w:rPr>
              <w:t>7、平面布置</w:t>
            </w:r>
          </w:p>
          <w:p>
            <w:pPr>
              <w:pStyle w:val="2"/>
              <w:spacing w:line="360" w:lineRule="auto"/>
              <w:ind w:left="0" w:leftChars="0" w:right="113" w:rightChars="0" w:firstLine="480" w:firstLineChars="200"/>
              <w:rPr>
                <w:rFonts w:hint="eastAsia" w:cs="Times New Roman"/>
                <w:color w:val="auto"/>
                <w:sz w:val="24"/>
                <w:highlight w:val="none"/>
                <w:lang w:val="en-US" w:eastAsia="zh-CN"/>
              </w:rPr>
            </w:pPr>
            <w:r>
              <w:rPr>
                <w:rFonts w:hint="default" w:ascii="Times New Roman" w:hAnsi="Times New Roman" w:eastAsia="宋体" w:cs="Times New Roman"/>
                <w:color w:val="auto"/>
                <w:sz w:val="24"/>
                <w:highlight w:val="none"/>
              </w:rPr>
              <w:t>厂区平面布置</w:t>
            </w:r>
            <w:r>
              <w:rPr>
                <w:rFonts w:hint="eastAsia" w:cs="Times New Roman"/>
                <w:color w:val="auto"/>
                <w:sz w:val="24"/>
                <w:highlight w:val="none"/>
                <w:lang w:val="en-US" w:eastAsia="zh-CN"/>
              </w:rPr>
              <w:t>主要为两部分</w:t>
            </w:r>
            <w:r>
              <w:rPr>
                <w:rFonts w:hint="default" w:ascii="Times New Roman" w:hAnsi="Times New Roman" w:eastAsia="宋体" w:cs="Times New Roman"/>
                <w:color w:val="auto"/>
                <w:sz w:val="24"/>
                <w:highlight w:val="none"/>
              </w:rPr>
              <w:t>：</w:t>
            </w:r>
            <w:r>
              <w:rPr>
                <w:rFonts w:hint="eastAsia" w:cs="Times New Roman"/>
                <w:color w:val="auto"/>
                <w:sz w:val="24"/>
                <w:highlight w:val="none"/>
                <w:lang w:val="en-US" w:eastAsia="zh-CN"/>
              </w:rPr>
              <w:t>工作区和生活区</w:t>
            </w:r>
            <w:r>
              <w:rPr>
                <w:rFonts w:hint="default" w:ascii="Times New Roman" w:hAnsi="Times New Roman" w:eastAsia="宋体" w:cs="Times New Roman"/>
                <w:color w:val="auto"/>
                <w:sz w:val="24"/>
                <w:highlight w:val="none"/>
              </w:rPr>
              <w:t>；</w:t>
            </w:r>
            <w:r>
              <w:rPr>
                <w:rFonts w:hint="eastAsia" w:cs="Times New Roman"/>
                <w:color w:val="auto"/>
                <w:sz w:val="24"/>
                <w:highlight w:val="none"/>
                <w:lang w:val="en-US" w:eastAsia="zh-CN"/>
              </w:rPr>
              <w:t>工作区主要为三座密闭厂房，分别位于厂区西南、东南和东北侧。其他设施包含地秤及铁路管线。生活区主要为办公室和门卫。</w:t>
            </w:r>
            <w:r>
              <w:rPr>
                <w:rFonts w:hint="default" w:ascii="Times New Roman" w:hAnsi="Times New Roman" w:eastAsia="宋体" w:cs="Times New Roman"/>
                <w:color w:val="auto"/>
                <w:sz w:val="24"/>
                <w:highlight w:val="none"/>
              </w:rPr>
              <w:t>总体布局按照便于生产使用，且生产区和生活区分开的原则进行布设，布局较为合理。</w:t>
            </w:r>
            <w:r>
              <w:rPr>
                <w:rFonts w:hint="eastAsia" w:cs="Times New Roman"/>
                <w:color w:val="auto"/>
                <w:sz w:val="24"/>
                <w:highlight w:val="none"/>
                <w:lang w:val="en-US" w:eastAsia="zh-CN"/>
              </w:rPr>
              <w:t>本项目平面布置图详见附图4。</w:t>
            </w:r>
          </w:p>
          <w:p>
            <w:pPr>
              <w:rPr>
                <w:rFonts w:hint="eastAsia" w:cs="Times New Roman"/>
                <w:color w:val="auto"/>
                <w:sz w:val="24"/>
                <w:highlight w:val="none"/>
                <w:lang w:val="en-US" w:eastAsia="zh-CN"/>
              </w:rPr>
            </w:pPr>
          </w:p>
          <w:p>
            <w:pPr>
              <w:pStyle w:val="2"/>
              <w:rPr>
                <w:rFonts w:hint="eastAsia" w:cs="Times New Roman"/>
                <w:color w:val="auto"/>
                <w:sz w:val="24"/>
                <w:highlight w:val="none"/>
                <w:lang w:val="en-US" w:eastAsia="zh-CN"/>
              </w:rPr>
            </w:pPr>
          </w:p>
          <w:p>
            <w:pPr>
              <w:rPr>
                <w:rFonts w:hint="eastAsia" w:cs="Times New Roman"/>
                <w:color w:val="auto"/>
                <w:sz w:val="24"/>
                <w:highlight w:val="none"/>
                <w:lang w:val="en-US" w:eastAsia="zh-CN"/>
              </w:rPr>
            </w:pPr>
          </w:p>
          <w:p>
            <w:pPr>
              <w:pStyle w:val="2"/>
              <w:rPr>
                <w:rFonts w:hint="eastAsia" w:cs="Times New Roman"/>
                <w:color w:val="auto"/>
                <w:sz w:val="24"/>
                <w:highlight w:val="none"/>
                <w:lang w:val="en-US" w:eastAsia="zh-CN"/>
              </w:rPr>
            </w:pPr>
          </w:p>
          <w:p>
            <w:pPr>
              <w:rPr>
                <w:rFonts w:hint="eastAsia" w:cs="Times New Roman"/>
                <w:color w:val="auto"/>
                <w:sz w:val="24"/>
                <w:highlight w:val="none"/>
                <w:lang w:val="en-US" w:eastAsia="zh-CN"/>
              </w:rPr>
            </w:pPr>
          </w:p>
          <w:p>
            <w:pPr>
              <w:pStyle w:val="2"/>
              <w:rPr>
                <w:rFonts w:hint="eastAsia" w:cs="Times New Roman"/>
                <w:color w:val="auto"/>
                <w:sz w:val="24"/>
                <w:highlight w:val="none"/>
                <w:lang w:val="en-US" w:eastAsia="zh-CN"/>
              </w:rPr>
            </w:pPr>
          </w:p>
          <w:p>
            <w:pPr>
              <w:rPr>
                <w:rFonts w:hint="eastAsia"/>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061" w:hRule="atLeast"/>
          <w:jc w:val="center"/>
        </w:trPr>
        <w:tc>
          <w:tcPr>
            <w:tcW w:w="228" w:type="pct"/>
            <w:noWrap w:val="0"/>
            <w:vAlign w:val="center"/>
          </w:tcPr>
          <w:p>
            <w:pPr>
              <w:pStyle w:val="18"/>
              <w:adjustRightInd w:val="0"/>
              <w:snapToGrid w:val="0"/>
              <w:spacing w:before="0" w:beforeAutospacing="0" w:after="0" w:afterAutospacing="0"/>
              <w:jc w:val="center"/>
              <w:rPr>
                <w:rFonts w:cs="宋体"/>
                <w:sz w:val="21"/>
                <w:szCs w:val="21"/>
                <w:highlight w:val="none"/>
              </w:rPr>
            </w:pPr>
            <w:r>
              <w:rPr>
                <w:rFonts w:hint="eastAsia" w:cs="宋体"/>
                <w:sz w:val="24"/>
                <w:szCs w:val="24"/>
                <w:highlight w:val="none"/>
              </w:rPr>
              <w:t>工艺流程和产排污环节</w:t>
            </w:r>
          </w:p>
        </w:tc>
        <w:tc>
          <w:tcPr>
            <w:tcW w:w="8837"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b/>
                <w:bCs/>
                <w:color w:val="auto"/>
                <w:sz w:val="24"/>
                <w:szCs w:val="24"/>
                <w:highlight w:val="none"/>
              </w:rPr>
            </w:pPr>
            <w:r>
              <w:rPr>
                <w:rFonts w:hint="eastAsia"/>
                <w:b/>
                <w:bCs/>
                <w:color w:val="auto"/>
                <w:sz w:val="24"/>
                <w:szCs w:val="24"/>
                <w:highlight w:val="none"/>
              </w:rPr>
              <w:t>工艺流程简述</w:t>
            </w:r>
          </w:p>
          <w:p>
            <w:pPr>
              <w:autoSpaceDE w:val="0"/>
              <w:autoSpaceDN w:val="0"/>
              <w:spacing w:line="360" w:lineRule="auto"/>
              <w:rPr>
                <w:rFonts w:hint="eastAsia"/>
                <w:color w:val="auto"/>
                <w:sz w:val="24"/>
                <w:szCs w:val="24"/>
                <w:highlight w:val="none"/>
              </w:rPr>
            </w:pPr>
            <w:r>
              <w:rPr>
                <w:rFonts w:hint="eastAsia"/>
                <w:color w:val="auto"/>
                <w:sz w:val="24"/>
                <w:szCs w:val="24"/>
                <w:highlight w:val="none"/>
                <w:lang w:val="en-US" w:eastAsia="zh-CN"/>
              </w:rPr>
              <w:t xml:space="preserve">    1、</w:t>
            </w:r>
            <w:r>
              <w:rPr>
                <w:rFonts w:hint="eastAsia"/>
                <w:color w:val="auto"/>
                <w:sz w:val="24"/>
                <w:szCs w:val="24"/>
                <w:highlight w:val="none"/>
              </w:rPr>
              <w:t>施工期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本项目租用现有厂区，密闭厂房预计存</w:t>
            </w:r>
            <w:r>
              <w:rPr>
                <w:rFonts w:hint="default" w:ascii="Times New Roman" w:hAnsi="Times New Roman" w:eastAsia="宋体" w:cs="Times New Roman"/>
                <w:color w:val="000000"/>
                <w:kern w:val="0"/>
                <w:sz w:val="24"/>
                <w:szCs w:val="24"/>
                <w:highlight w:val="none"/>
                <w:lang w:val="en-US" w:eastAsia="zh-CN" w:bidi="ar"/>
              </w:rPr>
              <w:t>储总量达</w:t>
            </w:r>
            <w:r>
              <w:rPr>
                <w:rFonts w:hint="eastAsia" w:cs="Times New Roman"/>
                <w:color w:val="000000"/>
                <w:kern w:val="0"/>
                <w:sz w:val="24"/>
                <w:szCs w:val="24"/>
                <w:highlight w:val="none"/>
                <w:lang w:val="en-US" w:eastAsia="zh-CN" w:bidi="ar"/>
              </w:rPr>
              <w:t>10</w:t>
            </w:r>
            <w:r>
              <w:rPr>
                <w:rFonts w:hint="default" w:ascii="Times New Roman" w:hAnsi="Times New Roman" w:eastAsia="宋体" w:cs="Times New Roman"/>
                <w:color w:val="000000"/>
                <w:kern w:val="0"/>
                <w:sz w:val="24"/>
                <w:szCs w:val="24"/>
                <w:highlight w:val="none"/>
                <w:lang w:val="en-US" w:eastAsia="zh-CN" w:bidi="ar"/>
              </w:rPr>
              <w:t>万t，</w:t>
            </w:r>
            <w:r>
              <w:rPr>
                <w:rFonts w:hint="eastAsia" w:ascii="宋体" w:hAnsi="宋体" w:eastAsia="宋体" w:cs="宋体"/>
                <w:color w:val="000000"/>
                <w:kern w:val="0"/>
                <w:sz w:val="24"/>
                <w:szCs w:val="24"/>
                <w:highlight w:val="none"/>
                <w:lang w:val="en-US" w:eastAsia="zh-CN" w:bidi="ar"/>
              </w:rPr>
              <w:t>不新建厂房</w:t>
            </w:r>
            <w:r>
              <w:rPr>
                <w:rFonts w:hint="eastAsia" w:ascii="宋体" w:hAnsi="宋体"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施工期主要</w:t>
            </w:r>
            <w:r>
              <w:rPr>
                <w:rFonts w:hint="eastAsia"/>
                <w:color w:val="auto"/>
                <w:sz w:val="24"/>
                <w:szCs w:val="24"/>
                <w:highlight w:val="none"/>
              </w:rPr>
              <w:t>包括</w:t>
            </w:r>
            <w:r>
              <w:rPr>
                <w:rFonts w:hint="eastAsia"/>
                <w:color w:val="auto"/>
                <w:sz w:val="24"/>
                <w:szCs w:val="24"/>
                <w:highlight w:val="none"/>
                <w:lang w:val="en-US" w:eastAsia="zh-CN"/>
              </w:rPr>
              <w:t>设备搬迁、火车卸料区密闭传送皮带及配套设施建设、沉淀池及其他环保设备的建设安装</w:t>
            </w:r>
            <w:r>
              <w:rPr>
                <w:rFonts w:hint="eastAsia"/>
                <w:color w:val="auto"/>
                <w:sz w:val="24"/>
                <w:szCs w:val="24"/>
                <w:highlight w:val="none"/>
              </w:rPr>
              <w:t>等</w:t>
            </w:r>
            <w:r>
              <w:rPr>
                <w:rFonts w:hint="eastAsia"/>
                <w:color w:val="auto"/>
                <w:sz w:val="24"/>
                <w:szCs w:val="24"/>
                <w:highlight w:val="none"/>
                <w:lang w:eastAsia="zh-CN"/>
              </w:rPr>
              <w:t>。</w:t>
            </w:r>
            <w:r>
              <w:rPr>
                <w:rFonts w:hint="eastAsia"/>
                <w:color w:val="auto"/>
                <w:sz w:val="24"/>
                <w:szCs w:val="24"/>
                <w:highlight w:val="none"/>
                <w:lang w:val="en-US" w:eastAsia="zh-CN"/>
              </w:rPr>
              <w:t>主要产生扬尘、施工废水、机械噪声、建筑垃圾、车辆尾气等，施工期对环境的影响均为常规污染，且具有暂时性，待施工结束后，此部分污染也随之消除</w:t>
            </w:r>
            <w:r>
              <w:rPr>
                <w:color w:val="auto"/>
                <w:sz w:val="24"/>
                <w:szCs w:val="24"/>
                <w:highlight w:val="none"/>
              </w:rPr>
              <w:t>。</w:t>
            </w:r>
            <w:r>
              <w:rPr>
                <w:rFonts w:hint="eastAsia"/>
                <w:color w:val="auto"/>
                <w:sz w:val="24"/>
                <w:szCs w:val="24"/>
                <w:highlight w:val="none"/>
              </w:rPr>
              <w:t>施工期主要工序及</w:t>
            </w:r>
            <w:r>
              <w:rPr>
                <w:rFonts w:hint="eastAsia"/>
                <w:color w:val="auto"/>
                <w:sz w:val="24"/>
                <w:szCs w:val="24"/>
                <w:highlight w:val="none"/>
                <w:lang w:eastAsia="zh-CN"/>
              </w:rPr>
              <w:t>排污情况如下，详见图</w:t>
            </w:r>
            <w:r>
              <w:rPr>
                <w:rFonts w:hint="eastAsia"/>
                <w:color w:val="auto"/>
                <w:sz w:val="24"/>
                <w:szCs w:val="24"/>
                <w:highlight w:val="none"/>
                <w:lang w:val="en-US" w:eastAsia="zh-CN"/>
              </w:rPr>
              <w:t>2-2。</w:t>
            </w:r>
          </w:p>
          <w:p>
            <w:pPr>
              <w:pStyle w:val="2"/>
              <w:jc w:val="center"/>
              <w:rPr>
                <w:rFonts w:hint="eastAsia"/>
                <w:color w:val="auto"/>
                <w:sz w:val="24"/>
                <w:szCs w:val="24"/>
                <w:highlight w:val="none"/>
                <w:lang w:val="en-US" w:eastAsia="zh-CN"/>
              </w:rPr>
            </w:pPr>
            <w:r>
              <w:rPr>
                <w:rFonts w:hint="default"/>
                <w:highlight w:val="none"/>
                <w:lang w:val="en-US" w:eastAsia="zh-CN"/>
              </w:rPr>
              <w:drawing>
                <wp:inline distT="0" distB="0" distL="114300" distR="114300">
                  <wp:extent cx="4862195" cy="1461135"/>
                  <wp:effectExtent l="0" t="0" r="14605" b="5715"/>
                  <wp:docPr id="18" name="F360BE8B-6686-4F3D-AEAF-501FE73E4058-2" descr="绘图1(3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 name="F360BE8B-6686-4F3D-AEAF-501FE73E4058-2" descr="绘图1(34)"/>
                          <pic:cNvPicPr>
                            <a:picLocks noChangeAspect="true"/>
                          </pic:cNvPicPr>
                        </pic:nvPicPr>
                        <pic:blipFill>
                          <a:blip r:embed="rId14"/>
                          <a:stretch>
                            <a:fillRect/>
                          </a:stretch>
                        </pic:blipFill>
                        <pic:spPr>
                          <a:xfrm>
                            <a:off x="0" y="0"/>
                            <a:ext cx="4862195" cy="1461135"/>
                          </a:xfrm>
                          <a:prstGeom prst="rect">
                            <a:avLst/>
                          </a:prstGeom>
                        </pic:spPr>
                      </pic:pic>
                    </a:graphicData>
                  </a:graphic>
                </wp:inline>
              </w:drawing>
            </w:r>
          </w:p>
          <w:p>
            <w:pPr>
              <w:jc w:val="center"/>
              <w:rPr>
                <w:rFonts w:hint="eastAsia" w:ascii="Times New Roman" w:hAnsi="Times New Roman" w:eastAsia="宋体" w:cs="Times New Roman"/>
                <w:b/>
                <w:bCs/>
                <w:color w:val="auto"/>
                <w:sz w:val="22"/>
                <w:szCs w:val="22"/>
                <w:highlight w:val="none"/>
                <w:lang w:val="en-US" w:eastAsia="zh-CN"/>
              </w:rPr>
            </w:pPr>
            <w:r>
              <w:rPr>
                <w:rFonts w:hint="eastAsia" w:ascii="Times New Roman" w:hAnsi="Times New Roman" w:eastAsia="宋体" w:cs="Times New Roman"/>
                <w:b/>
                <w:bCs/>
                <w:color w:val="auto"/>
                <w:sz w:val="22"/>
                <w:szCs w:val="22"/>
                <w:highlight w:val="none"/>
                <w:lang w:eastAsia="zh-CN"/>
              </w:rPr>
              <w:t>图</w:t>
            </w:r>
            <w:r>
              <w:rPr>
                <w:rFonts w:hint="eastAsia" w:ascii="Times New Roman" w:hAnsi="Times New Roman" w:eastAsia="宋体" w:cs="Times New Roman"/>
                <w:b/>
                <w:bCs/>
                <w:color w:val="auto"/>
                <w:sz w:val="22"/>
                <w:szCs w:val="22"/>
                <w:highlight w:val="none"/>
                <w:lang w:val="en-US" w:eastAsia="zh-CN"/>
              </w:rPr>
              <w:t>2-2 施工期工艺流程及产污节点图</w:t>
            </w:r>
          </w:p>
          <w:p>
            <w:pPr>
              <w:pStyle w:val="2"/>
              <w:rPr>
                <w:rFonts w:hint="eastAsia"/>
                <w:sz w:val="6"/>
                <w:szCs w:val="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1" w:firstLineChars="200"/>
              <w:textAlignment w:val="auto"/>
              <w:rPr>
                <w:rFonts w:hint="eastAsia"/>
                <w:color w:val="auto"/>
                <w:sz w:val="24"/>
                <w:szCs w:val="24"/>
                <w:highlight w:val="none"/>
                <w:lang w:eastAsia="zh-CN"/>
              </w:rPr>
            </w:pPr>
            <w:r>
              <w:rPr>
                <w:rFonts w:hint="eastAsia"/>
                <w:b/>
                <w:bCs/>
                <w:color w:val="auto"/>
                <w:sz w:val="24"/>
                <w:szCs w:val="24"/>
                <w:highlight w:val="none"/>
                <w:lang w:eastAsia="zh-CN"/>
              </w:rPr>
              <w:t>废气：</w:t>
            </w:r>
            <w:r>
              <w:rPr>
                <w:rFonts w:hint="eastAsia"/>
                <w:color w:val="auto"/>
                <w:sz w:val="24"/>
                <w:szCs w:val="24"/>
                <w:highlight w:val="none"/>
                <w:lang w:eastAsia="zh-CN"/>
              </w:rPr>
              <w:t>施工废气主要来自施工扬尘和施工机械、运输车辆产生的尾气。本项施工扬尘主要来自施工使用的砂石、白灰及其他建筑材料装卸、堆放过程中产生的扬尘及扫尾工程中平整现场过程中产生的扬尘。本项目施工机械及车辆尾气排放的主要污染物为NO</w:t>
            </w:r>
            <w:r>
              <w:rPr>
                <w:rFonts w:hint="eastAsia"/>
                <w:color w:val="auto"/>
                <w:sz w:val="24"/>
                <w:szCs w:val="24"/>
                <w:highlight w:val="none"/>
                <w:vertAlign w:val="subscript"/>
                <w:lang w:val="en-US" w:eastAsia="zh-CN"/>
              </w:rPr>
              <w:t>2</w:t>
            </w:r>
            <w:r>
              <w:rPr>
                <w:rFonts w:hint="eastAsia"/>
                <w:color w:val="auto"/>
                <w:sz w:val="24"/>
                <w:szCs w:val="24"/>
                <w:highlight w:val="none"/>
                <w:lang w:eastAsia="zh-CN"/>
              </w:rPr>
              <w:t>、CO、THC等。</w:t>
            </w:r>
          </w:p>
          <w:p>
            <w:pPr>
              <w:keepNext w:val="0"/>
              <w:keepLines w:val="0"/>
              <w:pageBreakBefore w:val="0"/>
              <w:widowControl w:val="0"/>
              <w:kinsoku/>
              <w:wordWrap/>
              <w:overflowPunct/>
              <w:topLinePunct w:val="0"/>
              <w:autoSpaceDE/>
              <w:autoSpaceDN/>
              <w:bidi w:val="0"/>
              <w:adjustRightInd/>
              <w:snapToGrid/>
              <w:spacing w:line="360" w:lineRule="auto"/>
              <w:ind w:firstLine="481" w:firstLineChars="200"/>
              <w:textAlignment w:val="auto"/>
              <w:rPr>
                <w:rFonts w:hint="eastAsia"/>
                <w:color w:val="auto"/>
                <w:sz w:val="24"/>
                <w:szCs w:val="24"/>
                <w:highlight w:val="none"/>
                <w:lang w:eastAsia="zh-CN"/>
              </w:rPr>
            </w:pPr>
            <w:r>
              <w:rPr>
                <w:rFonts w:hint="eastAsia"/>
                <w:b/>
                <w:bCs/>
                <w:color w:val="auto"/>
                <w:sz w:val="24"/>
                <w:szCs w:val="24"/>
                <w:highlight w:val="none"/>
                <w:lang w:eastAsia="zh-CN"/>
              </w:rPr>
              <w:t>废水：</w:t>
            </w:r>
            <w:r>
              <w:rPr>
                <w:rFonts w:hint="eastAsia"/>
                <w:color w:val="auto"/>
                <w:sz w:val="24"/>
                <w:szCs w:val="24"/>
                <w:highlight w:val="none"/>
                <w:lang w:eastAsia="zh-CN"/>
              </w:rPr>
              <w:t>施工废水主要为施工人员少量生活污水和施工排水，排放的污染物主要为CODcr和SS等。</w:t>
            </w:r>
          </w:p>
          <w:p>
            <w:pPr>
              <w:keepNext w:val="0"/>
              <w:keepLines w:val="0"/>
              <w:pageBreakBefore w:val="0"/>
              <w:widowControl w:val="0"/>
              <w:kinsoku/>
              <w:wordWrap/>
              <w:overflowPunct/>
              <w:topLinePunct w:val="0"/>
              <w:autoSpaceDE/>
              <w:autoSpaceDN/>
              <w:bidi w:val="0"/>
              <w:adjustRightInd/>
              <w:snapToGrid/>
              <w:spacing w:line="360" w:lineRule="auto"/>
              <w:ind w:firstLine="481" w:firstLineChars="200"/>
              <w:textAlignment w:val="auto"/>
              <w:rPr>
                <w:rFonts w:hint="eastAsia"/>
                <w:color w:val="auto"/>
                <w:sz w:val="24"/>
                <w:szCs w:val="24"/>
                <w:highlight w:val="none"/>
                <w:lang w:eastAsia="zh-CN"/>
              </w:rPr>
            </w:pPr>
            <w:r>
              <w:rPr>
                <w:rFonts w:hint="eastAsia"/>
                <w:b/>
                <w:bCs/>
                <w:color w:val="auto"/>
                <w:sz w:val="24"/>
                <w:szCs w:val="24"/>
                <w:highlight w:val="none"/>
                <w:lang w:eastAsia="zh-CN"/>
              </w:rPr>
              <w:t>噪声：</w:t>
            </w:r>
            <w:r>
              <w:rPr>
                <w:rFonts w:hint="eastAsia"/>
                <w:color w:val="auto"/>
                <w:sz w:val="24"/>
                <w:szCs w:val="24"/>
                <w:highlight w:val="none"/>
                <w:lang w:eastAsia="zh-CN"/>
              </w:rPr>
              <w:t>施工噪声主要来自各种施工机械和车辆行驶噪声。</w:t>
            </w:r>
          </w:p>
          <w:p>
            <w:pPr>
              <w:keepNext w:val="0"/>
              <w:keepLines w:val="0"/>
              <w:widowControl/>
              <w:suppressLineNumbers w:val="0"/>
              <w:spacing w:line="360" w:lineRule="auto"/>
              <w:ind w:firstLine="481" w:firstLineChars="200"/>
              <w:jc w:val="left"/>
              <w:rPr>
                <w:rFonts w:hint="eastAsia" w:ascii="宋体" w:hAnsi="宋体" w:eastAsia="宋体" w:cs="宋体"/>
                <w:color w:val="000000"/>
                <w:kern w:val="0"/>
                <w:sz w:val="24"/>
                <w:szCs w:val="24"/>
                <w:highlight w:val="none"/>
                <w:lang w:val="en-US" w:eastAsia="zh-CN" w:bidi="ar"/>
              </w:rPr>
            </w:pPr>
            <w:r>
              <w:rPr>
                <w:rFonts w:hint="eastAsia"/>
                <w:b/>
                <w:bCs/>
                <w:color w:val="auto"/>
                <w:sz w:val="24"/>
                <w:szCs w:val="24"/>
                <w:highlight w:val="none"/>
                <w:lang w:eastAsia="zh-CN"/>
              </w:rPr>
              <w:t>固体废物：</w:t>
            </w:r>
            <w:r>
              <w:rPr>
                <w:rFonts w:hint="eastAsia"/>
                <w:color w:val="auto"/>
                <w:sz w:val="24"/>
                <w:szCs w:val="24"/>
                <w:highlight w:val="none"/>
                <w:lang w:eastAsia="zh-CN"/>
              </w:rPr>
              <w:t>固体废物产生来源主要是以下几方面：①</w:t>
            </w:r>
            <w:r>
              <w:rPr>
                <w:rFonts w:hint="eastAsia"/>
                <w:color w:val="auto"/>
                <w:sz w:val="24"/>
                <w:szCs w:val="24"/>
                <w:highlight w:val="none"/>
                <w:lang w:val="en-US" w:eastAsia="zh-CN"/>
              </w:rPr>
              <w:t>材料</w:t>
            </w:r>
            <w:r>
              <w:rPr>
                <w:rFonts w:hint="eastAsia"/>
                <w:color w:val="auto"/>
                <w:sz w:val="24"/>
                <w:szCs w:val="24"/>
                <w:highlight w:val="none"/>
                <w:lang w:eastAsia="zh-CN"/>
              </w:rPr>
              <w:t>切割、搅拌浇筑混凝土、砌筑非承重构件时产生的</w:t>
            </w:r>
            <w:r>
              <w:rPr>
                <w:rFonts w:hint="eastAsia"/>
                <w:color w:val="auto"/>
                <w:sz w:val="24"/>
                <w:szCs w:val="24"/>
                <w:highlight w:val="none"/>
                <w:lang w:val="en-US" w:eastAsia="zh-CN"/>
              </w:rPr>
              <w:t>建筑废料</w:t>
            </w:r>
            <w:r>
              <w:rPr>
                <w:rFonts w:hint="eastAsia"/>
                <w:color w:val="auto"/>
                <w:sz w:val="24"/>
                <w:szCs w:val="24"/>
                <w:highlight w:val="none"/>
                <w:lang w:eastAsia="zh-CN"/>
              </w:rPr>
              <w:t>等；②内外装修工程产生的建筑垃圾及残土。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eastAsia="zh-CN"/>
              </w:rPr>
            </w:pPr>
            <w:r>
              <w:rPr>
                <w:rFonts w:hint="default"/>
                <w:color w:val="auto"/>
                <w:sz w:val="24"/>
                <w:szCs w:val="24"/>
                <w:highlight w:val="none"/>
                <w:lang w:val="en-US" w:eastAsia="zh-CN"/>
              </w:rPr>
              <w:t>2</w:t>
            </w:r>
            <w:r>
              <w:rPr>
                <w:rFonts w:hint="eastAsia"/>
                <w:color w:val="auto"/>
                <w:sz w:val="24"/>
                <w:szCs w:val="24"/>
                <w:highlight w:val="none"/>
                <w:lang w:val="en-US" w:eastAsia="zh-CN"/>
              </w:rPr>
              <w:t>、运营</w:t>
            </w:r>
            <w:r>
              <w:rPr>
                <w:rFonts w:hint="eastAsia"/>
                <w:color w:val="auto"/>
                <w:sz w:val="24"/>
                <w:szCs w:val="24"/>
                <w:highlight w:val="none"/>
                <w:lang w:eastAsia="zh-CN"/>
              </w:rPr>
              <w:t>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（1）进厂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煤炭由厂家利用铁路货用车厢运输至储煤库1南端卸料区，铁运一年进厂80次，一次运进1250吨煤炭，该过程会产生噪声N1。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（2）卸车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eastAsia="zh-CN"/>
              </w:rPr>
            </w:pPr>
            <w:r>
              <w:rPr>
                <w:rFonts w:hint="eastAsia"/>
                <w:color w:val="auto"/>
                <w:sz w:val="24"/>
                <w:szCs w:val="24"/>
                <w:highlight w:val="none"/>
                <w:lang w:val="en-US" w:eastAsia="zh-CN"/>
              </w:rPr>
              <w:t>火车驶入卸料区后，采用贝式挖掘机将煤炭从车厢卸至半封闭卸料口，煤炭经卸料口进入密闭传送带，经由密闭传送带运至全封闭储煤库1、2。储煤库3的煤炭由车辆自储煤库1、2运入。该过程会产生废气颗粒物G1、</w:t>
            </w:r>
            <w:r>
              <w:rPr>
                <w:rFonts w:hint="default"/>
                <w:color w:val="auto"/>
                <w:sz w:val="24"/>
                <w:szCs w:val="24"/>
                <w:highlight w:val="none"/>
                <w:lang w:eastAsia="zh-CN"/>
              </w:rPr>
              <w:t>噪声</w:t>
            </w:r>
            <w:r>
              <w:rPr>
                <w:rFonts w:hint="eastAsia"/>
                <w:color w:val="auto"/>
                <w:sz w:val="24"/>
                <w:szCs w:val="24"/>
                <w:highlight w:val="none"/>
                <w:lang w:val="en-US" w:eastAsia="zh-CN"/>
              </w:rPr>
              <w:t>N2。火车卸料区采用雾炮机、半封闭卸料口和密闭传送带控制扬尘</w:t>
            </w:r>
            <w:r>
              <w:rPr>
                <w:rFonts w:hint="default"/>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val="en-US" w:eastAsia="zh-CN"/>
              </w:rPr>
              <w:t>3</w:t>
            </w:r>
            <w:r>
              <w:rPr>
                <w:rFonts w:hint="eastAsia"/>
                <w:color w:val="auto"/>
                <w:sz w:val="24"/>
                <w:szCs w:val="24"/>
                <w:highlight w:val="none"/>
                <w:lang w:eastAsia="zh-CN"/>
              </w:rPr>
              <w:t>）</w:t>
            </w:r>
            <w:r>
              <w:rPr>
                <w:rFonts w:hint="default"/>
                <w:color w:val="auto"/>
                <w:sz w:val="24"/>
                <w:szCs w:val="24"/>
                <w:highlight w:val="none"/>
                <w:lang w:eastAsia="zh-CN"/>
              </w:rPr>
              <w:t>储存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lang w:val="en-US" w:eastAsia="zh-CN"/>
              </w:rPr>
            </w:pPr>
            <w:r>
              <w:rPr>
                <w:rFonts w:hint="default"/>
                <w:color w:val="auto"/>
                <w:sz w:val="24"/>
                <w:szCs w:val="24"/>
                <w:highlight w:val="none"/>
                <w:lang w:eastAsia="zh-CN"/>
              </w:rPr>
              <w:t>煤炭储存</w:t>
            </w:r>
            <w:r>
              <w:rPr>
                <w:rFonts w:hint="eastAsia"/>
                <w:color w:val="auto"/>
                <w:sz w:val="24"/>
                <w:szCs w:val="24"/>
                <w:highlight w:val="none"/>
                <w:lang w:val="en-US" w:eastAsia="zh-CN"/>
              </w:rPr>
              <w:t>在密闭</w:t>
            </w:r>
            <w:r>
              <w:rPr>
                <w:rFonts w:hint="eastAsia"/>
                <w:color w:val="auto"/>
                <w:sz w:val="24"/>
                <w:szCs w:val="24"/>
                <w:highlight w:val="none"/>
                <w:lang w:eastAsia="zh-CN"/>
              </w:rPr>
              <w:t>仓</w:t>
            </w:r>
            <w:r>
              <w:rPr>
                <w:rFonts w:hint="default"/>
                <w:color w:val="auto"/>
                <w:sz w:val="24"/>
                <w:szCs w:val="24"/>
                <w:highlight w:val="none"/>
                <w:lang w:eastAsia="zh-CN"/>
              </w:rPr>
              <w:t>库，</w:t>
            </w:r>
            <w:r>
              <w:rPr>
                <w:rFonts w:hint="eastAsia"/>
                <w:color w:val="auto"/>
                <w:sz w:val="24"/>
                <w:szCs w:val="24"/>
                <w:highlight w:val="none"/>
                <w:lang w:eastAsia="zh-CN"/>
              </w:rPr>
              <w:t>年储运量</w:t>
            </w:r>
            <w:r>
              <w:rPr>
                <w:rFonts w:hint="eastAsia"/>
                <w:color w:val="auto"/>
                <w:sz w:val="24"/>
                <w:szCs w:val="24"/>
                <w:highlight w:val="none"/>
                <w:lang w:val="en-US" w:eastAsia="zh-CN"/>
              </w:rPr>
              <w:t>10万吨，</w:t>
            </w:r>
            <w:r>
              <w:rPr>
                <w:rFonts w:hint="eastAsia"/>
                <w:color w:val="auto"/>
                <w:sz w:val="24"/>
                <w:szCs w:val="24"/>
                <w:highlight w:val="none"/>
                <w:lang w:eastAsia="zh-CN"/>
              </w:rPr>
              <w:t>使用</w:t>
            </w:r>
            <w:r>
              <w:rPr>
                <w:rFonts w:hint="eastAsia"/>
                <w:color w:val="auto"/>
                <w:sz w:val="24"/>
                <w:szCs w:val="24"/>
                <w:highlight w:val="none"/>
                <w:lang w:val="en-US" w:eastAsia="zh-CN"/>
              </w:rPr>
              <w:t>装载机</w:t>
            </w:r>
            <w:r>
              <w:rPr>
                <w:rFonts w:hint="eastAsia"/>
                <w:color w:val="auto"/>
                <w:sz w:val="24"/>
                <w:szCs w:val="24"/>
                <w:highlight w:val="none"/>
                <w:lang w:eastAsia="zh-CN"/>
              </w:rPr>
              <w:t>堆高（</w:t>
            </w:r>
            <w:r>
              <w:rPr>
                <w:rFonts w:hint="eastAsia"/>
                <w:color w:val="auto"/>
                <w:sz w:val="24"/>
                <w:szCs w:val="24"/>
                <w:highlight w:val="none"/>
                <w:lang w:val="en-US" w:eastAsia="zh-CN"/>
              </w:rPr>
              <w:t>储煤库1、2、3分别堆高6m、6-4.5m、4.5m</w:t>
            </w:r>
            <w:r>
              <w:rPr>
                <w:rFonts w:hint="eastAsia"/>
                <w:color w:val="auto"/>
                <w:sz w:val="24"/>
                <w:szCs w:val="24"/>
                <w:highlight w:val="none"/>
                <w:lang w:eastAsia="zh-CN"/>
              </w:rPr>
              <w:t>）。</w:t>
            </w:r>
            <w:r>
              <w:rPr>
                <w:rFonts w:hint="default"/>
                <w:color w:val="auto"/>
                <w:sz w:val="24"/>
                <w:szCs w:val="24"/>
                <w:highlight w:val="none"/>
                <w:lang w:eastAsia="zh-CN"/>
              </w:rPr>
              <w:t>产生</w:t>
            </w:r>
            <w:r>
              <w:rPr>
                <w:rFonts w:hint="eastAsia"/>
                <w:color w:val="auto"/>
                <w:sz w:val="24"/>
                <w:szCs w:val="24"/>
                <w:highlight w:val="none"/>
                <w:lang w:eastAsia="zh-CN"/>
              </w:rPr>
              <w:t>废气</w:t>
            </w:r>
            <w:r>
              <w:rPr>
                <w:rFonts w:hint="default"/>
                <w:color w:val="auto"/>
                <w:sz w:val="24"/>
                <w:szCs w:val="24"/>
                <w:highlight w:val="none"/>
                <w:lang w:eastAsia="zh-CN"/>
              </w:rPr>
              <w:t>颗粒物</w:t>
            </w:r>
            <w:r>
              <w:rPr>
                <w:rFonts w:hint="eastAsia"/>
                <w:color w:val="auto"/>
                <w:sz w:val="24"/>
                <w:szCs w:val="24"/>
                <w:highlight w:val="none"/>
                <w:lang w:val="en-US" w:eastAsia="zh-CN"/>
              </w:rPr>
              <w:t>G2和噪声N3，采用洒水车和移动雾炮机洒水降尘</w:t>
            </w:r>
            <w:r>
              <w:rPr>
                <w:rFonts w:hint="default"/>
                <w:color w:val="auto"/>
                <w:sz w:val="24"/>
                <w:szCs w:val="24"/>
                <w:highlight w:val="none"/>
                <w:lang w:eastAsia="zh-CN"/>
              </w:rPr>
              <w:t>。</w:t>
            </w:r>
          </w:p>
          <w:p>
            <w:pPr>
              <w:bidi w:val="0"/>
              <w:spacing w:line="360" w:lineRule="auto"/>
              <w:ind w:firstLine="480" w:firstLineChars="200"/>
              <w:rPr>
                <w:rFonts w:hint="default"/>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4</w:t>
            </w:r>
            <w:r>
              <w:rPr>
                <w:rFonts w:hint="eastAsia"/>
                <w:sz w:val="24"/>
                <w:szCs w:val="24"/>
                <w:highlight w:val="none"/>
                <w:lang w:eastAsia="zh-CN"/>
              </w:rPr>
              <w:t>）</w:t>
            </w:r>
            <w:r>
              <w:rPr>
                <w:rFonts w:hint="default"/>
                <w:sz w:val="24"/>
                <w:szCs w:val="24"/>
                <w:highlight w:val="none"/>
                <w:lang w:eastAsia="zh-CN"/>
              </w:rPr>
              <w:t>装车</w:t>
            </w:r>
          </w:p>
          <w:p>
            <w:pPr>
              <w:bidi w:val="0"/>
              <w:spacing w:line="360" w:lineRule="auto"/>
              <w:ind w:firstLine="480" w:firstLineChars="200"/>
              <w:rPr>
                <w:rFonts w:hint="eastAsia" w:eastAsia="宋体"/>
                <w:color w:val="auto"/>
                <w:sz w:val="24"/>
                <w:szCs w:val="24"/>
                <w:highlight w:val="none"/>
                <w:lang w:val="en-US" w:eastAsia="zh-CN"/>
              </w:rPr>
            </w:pPr>
            <w:r>
              <w:rPr>
                <w:rFonts w:hint="eastAsia"/>
                <w:sz w:val="24"/>
                <w:szCs w:val="24"/>
                <w:highlight w:val="none"/>
                <w:lang w:eastAsia="zh-CN"/>
              </w:rPr>
              <w:t>车辆进入仓库后封闭仓库，</w:t>
            </w:r>
            <w:r>
              <w:rPr>
                <w:rFonts w:hint="default"/>
                <w:sz w:val="24"/>
                <w:szCs w:val="24"/>
                <w:highlight w:val="none"/>
                <w:lang w:eastAsia="zh-CN"/>
              </w:rPr>
              <w:t>用装载机装入</w:t>
            </w:r>
            <w:r>
              <w:rPr>
                <w:rFonts w:hint="eastAsia"/>
                <w:sz w:val="24"/>
                <w:szCs w:val="24"/>
                <w:highlight w:val="none"/>
                <w:lang w:val="en-US" w:eastAsia="zh-CN"/>
              </w:rPr>
              <w:t>自卸车。</w:t>
            </w:r>
            <w:r>
              <w:rPr>
                <w:rFonts w:hint="default"/>
                <w:sz w:val="24"/>
                <w:szCs w:val="24"/>
                <w:highlight w:val="none"/>
                <w:lang w:eastAsia="zh-CN"/>
              </w:rPr>
              <w:t>该过程会产生</w:t>
            </w:r>
            <w:r>
              <w:rPr>
                <w:rFonts w:hint="eastAsia"/>
                <w:sz w:val="24"/>
                <w:szCs w:val="24"/>
                <w:highlight w:val="none"/>
                <w:lang w:val="en-US" w:eastAsia="zh-CN"/>
              </w:rPr>
              <w:t>运输扬尘G3</w:t>
            </w:r>
            <w:r>
              <w:rPr>
                <w:rFonts w:hint="default"/>
                <w:sz w:val="24"/>
                <w:szCs w:val="24"/>
                <w:highlight w:val="none"/>
                <w:lang w:eastAsia="zh-CN"/>
              </w:rPr>
              <w:t>和噪声</w:t>
            </w:r>
            <w:r>
              <w:rPr>
                <w:rFonts w:hint="eastAsia"/>
                <w:sz w:val="24"/>
                <w:szCs w:val="24"/>
                <w:highlight w:val="none"/>
                <w:lang w:val="en-US" w:eastAsia="zh-CN"/>
              </w:rPr>
              <w:t>N</w:t>
            </w:r>
            <w:r>
              <w:rPr>
                <w:rFonts w:hint="eastAsia"/>
                <w:color w:val="auto"/>
                <w:sz w:val="24"/>
                <w:szCs w:val="24"/>
                <w:highlight w:val="none"/>
                <w:lang w:val="en-US" w:eastAsia="zh-CN"/>
              </w:rPr>
              <w:t>4，采用密闭厂房控制扬尘，采用洒水车、移动雾炮机洒水降尘</w:t>
            </w:r>
            <w:r>
              <w:rPr>
                <w:rFonts w:hint="default"/>
                <w:color w:val="auto"/>
                <w:sz w:val="24"/>
                <w:szCs w:val="24"/>
                <w:highlight w:val="none"/>
                <w:lang w:eastAsia="zh-CN"/>
              </w:rPr>
              <w:t>。</w:t>
            </w:r>
          </w:p>
          <w:p>
            <w:pPr>
              <w:bidi w:val="0"/>
              <w:spacing w:line="360" w:lineRule="auto"/>
              <w:ind w:firstLine="480" w:firstLineChars="200"/>
              <w:rPr>
                <w:rFonts w:hint="default"/>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val="en-US" w:eastAsia="zh-CN"/>
              </w:rPr>
              <w:t>5</w:t>
            </w:r>
            <w:r>
              <w:rPr>
                <w:rFonts w:hint="eastAsia"/>
                <w:color w:val="auto"/>
                <w:sz w:val="24"/>
                <w:szCs w:val="24"/>
                <w:highlight w:val="none"/>
                <w:lang w:eastAsia="zh-CN"/>
              </w:rPr>
              <w:t>）</w:t>
            </w:r>
            <w:r>
              <w:rPr>
                <w:rFonts w:hint="eastAsia"/>
                <w:color w:val="auto"/>
                <w:sz w:val="24"/>
                <w:szCs w:val="24"/>
                <w:highlight w:val="none"/>
                <w:lang w:val="en-US" w:eastAsia="zh-CN"/>
              </w:rPr>
              <w:t>运输</w:t>
            </w:r>
          </w:p>
          <w:p>
            <w:pPr>
              <w:bidi w:val="0"/>
              <w:spacing w:line="360" w:lineRule="auto"/>
              <w:ind w:firstLine="480" w:firstLineChars="200"/>
              <w:rPr>
                <w:rFonts w:hint="default"/>
                <w:sz w:val="24"/>
                <w:szCs w:val="24"/>
                <w:highlight w:val="none"/>
                <w:lang w:eastAsia="zh-CN"/>
              </w:rPr>
            </w:pPr>
            <w:r>
              <w:rPr>
                <w:rFonts w:hint="eastAsia"/>
                <w:sz w:val="24"/>
                <w:szCs w:val="24"/>
                <w:highlight w:val="none"/>
                <w:lang w:val="en-US" w:eastAsia="zh-CN"/>
              </w:rPr>
              <w:t>车辆装填过称后运至热电厂，出厂时驶入洗车平台进行清洗。洗车废水通过沟渠进入二沉池，</w:t>
            </w:r>
            <w:r>
              <w:rPr>
                <w:rFonts w:hint="eastAsia"/>
                <w:highlight w:val="none"/>
                <w:lang w:eastAsia="zh-CN"/>
              </w:rPr>
              <w:t>沉淀处理后回用于</w:t>
            </w:r>
            <w:r>
              <w:rPr>
                <w:rFonts w:hint="eastAsia"/>
                <w:highlight w:val="none"/>
                <w:lang w:val="en-US" w:eastAsia="zh-CN"/>
              </w:rPr>
              <w:t>厂区洒水降尘，沉淀池煤泥定期清理，作为产品与煤炭一同外售。</w:t>
            </w:r>
            <w:r>
              <w:rPr>
                <w:rFonts w:hint="default"/>
                <w:sz w:val="24"/>
                <w:szCs w:val="24"/>
                <w:highlight w:val="none"/>
                <w:lang w:eastAsia="zh-CN"/>
              </w:rPr>
              <w:t>该过程会产生</w:t>
            </w:r>
            <w:r>
              <w:rPr>
                <w:rFonts w:hint="eastAsia"/>
                <w:sz w:val="24"/>
                <w:szCs w:val="24"/>
                <w:highlight w:val="none"/>
                <w:lang w:eastAsia="zh-CN"/>
              </w:rPr>
              <w:t>废气</w:t>
            </w:r>
            <w:r>
              <w:rPr>
                <w:rFonts w:hint="default"/>
                <w:sz w:val="24"/>
                <w:szCs w:val="24"/>
                <w:highlight w:val="none"/>
                <w:lang w:eastAsia="zh-CN"/>
              </w:rPr>
              <w:t>颗粒物</w:t>
            </w:r>
            <w:r>
              <w:rPr>
                <w:rFonts w:hint="eastAsia"/>
                <w:sz w:val="24"/>
                <w:szCs w:val="24"/>
                <w:highlight w:val="none"/>
                <w:lang w:val="en-US" w:eastAsia="zh-CN"/>
              </w:rPr>
              <w:t>G4、</w:t>
            </w:r>
            <w:r>
              <w:rPr>
                <w:rFonts w:hint="default"/>
                <w:sz w:val="24"/>
                <w:szCs w:val="24"/>
                <w:highlight w:val="none"/>
                <w:lang w:eastAsia="zh-CN"/>
              </w:rPr>
              <w:t>噪声N</w:t>
            </w:r>
            <w:r>
              <w:rPr>
                <w:rFonts w:hint="eastAsia"/>
                <w:sz w:val="24"/>
                <w:szCs w:val="24"/>
                <w:highlight w:val="none"/>
                <w:lang w:val="en-US" w:eastAsia="zh-CN"/>
              </w:rPr>
              <w:t>5、洗车废水W1和沉淀池底泥S1</w:t>
            </w:r>
            <w:r>
              <w:rPr>
                <w:rFonts w:hint="default"/>
                <w:sz w:val="24"/>
                <w:szCs w:val="24"/>
                <w:highlight w:val="none"/>
                <w:lang w:eastAsia="zh-CN"/>
              </w:rPr>
              <w:t>。</w:t>
            </w:r>
          </w:p>
          <w:p>
            <w:pPr>
              <w:bidi w:val="0"/>
              <w:ind w:firstLine="480" w:firstLineChars="200"/>
              <w:rPr>
                <w:rFonts w:hint="eastAsia"/>
                <w:sz w:val="24"/>
                <w:szCs w:val="24"/>
                <w:highlight w:val="none"/>
                <w:lang w:val="en-US" w:eastAsia="zh-CN"/>
              </w:rPr>
            </w:pPr>
            <w:r>
              <w:rPr>
                <w:rFonts w:hint="eastAsia"/>
                <w:sz w:val="24"/>
                <w:szCs w:val="24"/>
                <w:highlight w:val="none"/>
                <w:lang w:val="en-US" w:eastAsia="zh-CN"/>
              </w:rPr>
              <w:t>主要工序及产排污节点详见图2-3，产排污环节及污染因子详见表2-8。</w:t>
            </w:r>
          </w:p>
          <w:p>
            <w:pPr>
              <w:pStyle w:val="2"/>
              <w:jc w:val="center"/>
              <w:rPr>
                <w:rFonts w:hint="default"/>
                <w:highlight w:val="none"/>
                <w:lang w:val="en-US" w:eastAsia="zh-CN"/>
              </w:rPr>
            </w:pPr>
            <w:r>
              <w:rPr>
                <w:rFonts w:hint="default"/>
                <w:highlight w:val="none"/>
                <w:lang w:val="en-US" w:eastAsia="zh-CN"/>
              </w:rPr>
              <w:drawing>
                <wp:inline distT="0" distB="0" distL="114300" distR="114300">
                  <wp:extent cx="4291330" cy="881380"/>
                  <wp:effectExtent l="0" t="0" r="0" b="0"/>
                  <wp:docPr id="19" name="E657119C-6982-421D-8BA7-E74DEB70A7D9-3" descr="C:/Users/Administrator/AppData/Roaming/Kingsoft/wps/addons/data/win-i386/kinsertprocesson/insertimage.RMpaKwinsertimag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 name="E657119C-6982-421D-8BA7-E74DEB70A7D9-3" descr="C:/Users/Administrator/AppData/Roaming/Kingsoft/wps/addons/data/win-i386/kinsertprocesson/insertimage.RMpaKwinsertimage"/>
                          <pic:cNvPicPr>
                            <a:picLocks noChangeAspect="true"/>
                          </pic:cNvPicPr>
                        </pic:nvPicPr>
                        <pic:blipFill>
                          <a:blip r:embed="rId15"/>
                          <a:stretch>
                            <a:fillRect/>
                          </a:stretch>
                        </pic:blipFill>
                        <pic:spPr>
                          <a:xfrm>
                            <a:off x="0" y="0"/>
                            <a:ext cx="4291330" cy="881380"/>
                          </a:xfrm>
                          <a:prstGeom prst="rect">
                            <a:avLst/>
                          </a:prstGeom>
                        </pic:spPr>
                      </pic:pic>
                    </a:graphicData>
                  </a:graphic>
                </wp:inline>
              </w:drawing>
            </w:r>
          </w:p>
          <w:p>
            <w:pPr>
              <w:spacing w:line="360" w:lineRule="auto"/>
              <w:jc w:val="center"/>
              <w:rPr>
                <w:rFonts w:hint="default"/>
                <w:b/>
                <w:bCs/>
                <w:color w:val="auto"/>
                <w:sz w:val="21"/>
                <w:szCs w:val="21"/>
                <w:highlight w:val="none"/>
                <w:lang w:eastAsia="zh-CN"/>
              </w:rPr>
            </w:pPr>
            <w:r>
              <w:rPr>
                <w:rFonts w:hint="eastAsia"/>
                <w:b/>
                <w:bCs/>
                <w:color w:val="auto"/>
                <w:sz w:val="21"/>
                <w:szCs w:val="21"/>
                <w:highlight w:val="none"/>
                <w:lang w:eastAsia="zh-CN"/>
              </w:rPr>
              <w:t>图</w:t>
            </w:r>
            <w:r>
              <w:rPr>
                <w:rFonts w:hint="eastAsia"/>
                <w:b/>
                <w:bCs/>
                <w:color w:val="auto"/>
                <w:sz w:val="21"/>
                <w:szCs w:val="21"/>
                <w:highlight w:val="none"/>
                <w:lang w:val="en-US" w:eastAsia="zh-CN"/>
              </w:rPr>
              <w:t>2-3 运营期工艺流程及产排污节点图</w:t>
            </w: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b/>
                <w:bCs/>
                <w:sz w:val="21"/>
                <w:szCs w:val="21"/>
                <w:highlight w:val="none"/>
                <w:lang w:eastAsia="zh-CN"/>
              </w:rPr>
            </w:pPr>
            <w:r>
              <w:rPr>
                <w:rFonts w:hint="eastAsia"/>
                <w:b/>
                <w:bCs/>
                <w:sz w:val="21"/>
                <w:szCs w:val="21"/>
                <w:highlight w:val="none"/>
              </w:rPr>
              <w:t>表</w:t>
            </w:r>
            <w:r>
              <w:rPr>
                <w:rFonts w:hint="eastAsia"/>
                <w:b/>
                <w:bCs/>
                <w:sz w:val="21"/>
                <w:szCs w:val="21"/>
                <w:highlight w:val="none"/>
                <w:lang w:val="en-US" w:eastAsia="zh-CN"/>
              </w:rPr>
              <w:t>2-9</w:t>
            </w:r>
            <w:r>
              <w:rPr>
                <w:rFonts w:hint="eastAsia"/>
                <w:b/>
                <w:bCs/>
                <w:sz w:val="21"/>
                <w:szCs w:val="21"/>
                <w:highlight w:val="none"/>
              </w:rPr>
              <w:t xml:space="preserve"> </w:t>
            </w:r>
            <w:r>
              <w:rPr>
                <w:rFonts w:hint="eastAsia"/>
                <w:b/>
                <w:bCs/>
                <w:sz w:val="21"/>
                <w:szCs w:val="21"/>
                <w:highlight w:val="none"/>
                <w:lang w:eastAsia="zh-CN"/>
              </w:rPr>
              <w:t>本项目</w:t>
            </w:r>
            <w:r>
              <w:rPr>
                <w:rFonts w:hint="eastAsia"/>
                <w:b/>
                <w:bCs/>
                <w:sz w:val="21"/>
                <w:szCs w:val="21"/>
                <w:highlight w:val="none"/>
                <w:lang w:val="en-US" w:eastAsia="zh-CN"/>
              </w:rPr>
              <w:t>运营期</w:t>
            </w:r>
            <w:r>
              <w:rPr>
                <w:rFonts w:hint="eastAsia"/>
                <w:b/>
                <w:bCs/>
                <w:sz w:val="21"/>
                <w:szCs w:val="21"/>
                <w:highlight w:val="none"/>
                <w:lang w:eastAsia="zh-CN"/>
              </w:rPr>
              <w:t>产排污环节污染因子</w:t>
            </w:r>
            <w:r>
              <w:rPr>
                <w:rFonts w:hint="eastAsia"/>
                <w:b/>
                <w:bCs/>
                <w:sz w:val="21"/>
                <w:szCs w:val="21"/>
                <w:highlight w:val="none"/>
                <w:lang w:val="en-US" w:eastAsia="zh-CN"/>
              </w:rPr>
              <w:t>一览</w:t>
            </w:r>
            <w:r>
              <w:rPr>
                <w:rFonts w:hint="eastAsia"/>
                <w:b/>
                <w:bCs/>
                <w:sz w:val="21"/>
                <w:szCs w:val="21"/>
                <w:highlight w:val="none"/>
                <w:lang w:eastAsia="zh-CN"/>
              </w:rPr>
              <w:t>表</w:t>
            </w:r>
          </w:p>
          <w:tbl>
            <w:tblPr>
              <w:tblStyle w:val="22"/>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41"/>
              <w:gridCol w:w="1641"/>
              <w:gridCol w:w="1849"/>
              <w:gridCol w:w="1696"/>
              <w:gridCol w:w="1780"/>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tcBorders>
                    <w:tl2br w:val="nil"/>
                    <w:tr2bl w:val="nil"/>
                  </w:tcBorders>
                  <w:noWrap w:val="0"/>
                  <w:vAlign w:val="top"/>
                </w:tcPr>
                <w:p>
                  <w:pPr>
                    <w:pStyle w:val="39"/>
                    <w:jc w:val="center"/>
                    <w:rPr>
                      <w:rFonts w:hint="default" w:eastAsia="宋体" w:cs="Times New Roman"/>
                      <w:b/>
                      <w:bCs/>
                      <w:color w:val="auto"/>
                      <w:sz w:val="21"/>
                      <w:szCs w:val="21"/>
                      <w:highlight w:val="none"/>
                      <w:lang w:val="en-US" w:eastAsia="zh-CN"/>
                    </w:rPr>
                  </w:pPr>
                  <w:r>
                    <w:rPr>
                      <w:rFonts w:hint="eastAsia" w:eastAsia="宋体" w:cs="Times New Roman"/>
                      <w:b/>
                      <w:bCs/>
                      <w:color w:val="auto"/>
                      <w:sz w:val="21"/>
                      <w:szCs w:val="21"/>
                      <w:highlight w:val="none"/>
                      <w:lang w:val="en-US" w:eastAsia="zh-CN"/>
                    </w:rPr>
                    <w:t>类型</w:t>
                  </w:r>
                </w:p>
              </w:tc>
              <w:tc>
                <w:tcPr>
                  <w:tcW w:w="2027" w:type="pct"/>
                  <w:gridSpan w:val="2"/>
                  <w:tcBorders>
                    <w:tl2br w:val="nil"/>
                    <w:tr2bl w:val="nil"/>
                  </w:tcBorders>
                  <w:noWrap w:val="0"/>
                  <w:vAlign w:val="top"/>
                </w:tcPr>
                <w:p>
                  <w:pPr>
                    <w:pStyle w:val="39"/>
                    <w:jc w:val="center"/>
                    <w:rPr>
                      <w:rFonts w:hint="default" w:eastAsia="宋体" w:cs="Times New Roman"/>
                      <w:b/>
                      <w:bCs/>
                      <w:color w:val="auto"/>
                      <w:sz w:val="21"/>
                      <w:szCs w:val="21"/>
                      <w:highlight w:val="none"/>
                      <w:lang w:val="en-US" w:eastAsia="zh-CN"/>
                    </w:rPr>
                  </w:pPr>
                  <w:r>
                    <w:rPr>
                      <w:rFonts w:hint="eastAsia" w:eastAsia="宋体" w:cs="Times New Roman"/>
                      <w:b/>
                      <w:bCs/>
                      <w:color w:val="auto"/>
                      <w:sz w:val="21"/>
                      <w:szCs w:val="21"/>
                      <w:highlight w:val="none"/>
                      <w:lang w:val="en-US" w:eastAsia="zh-CN"/>
                    </w:rPr>
                    <w:t>污染源</w:t>
                  </w:r>
                </w:p>
              </w:tc>
              <w:tc>
                <w:tcPr>
                  <w:tcW w:w="985" w:type="pct"/>
                  <w:tcBorders>
                    <w:tl2br w:val="nil"/>
                    <w:tr2bl w:val="nil"/>
                  </w:tcBorders>
                  <w:noWrap w:val="0"/>
                  <w:vAlign w:val="top"/>
                </w:tcPr>
                <w:p>
                  <w:pPr>
                    <w:pStyle w:val="39"/>
                    <w:jc w:val="center"/>
                    <w:rPr>
                      <w:rFonts w:hint="default" w:eastAsia="宋体" w:cs="Times New Roman"/>
                      <w:b/>
                      <w:bCs/>
                      <w:color w:val="auto"/>
                      <w:sz w:val="21"/>
                      <w:szCs w:val="21"/>
                      <w:highlight w:val="none"/>
                      <w:lang w:val="en-US" w:eastAsia="zh-CN"/>
                    </w:rPr>
                  </w:pPr>
                  <w:r>
                    <w:rPr>
                      <w:rFonts w:hint="eastAsia" w:eastAsia="宋体" w:cs="Times New Roman"/>
                      <w:b/>
                      <w:bCs/>
                      <w:color w:val="auto"/>
                      <w:sz w:val="21"/>
                      <w:szCs w:val="21"/>
                      <w:highlight w:val="none"/>
                      <w:lang w:val="en-US" w:eastAsia="zh-CN"/>
                    </w:rPr>
                    <w:t>污染因子</w:t>
                  </w:r>
                </w:p>
              </w:tc>
              <w:tc>
                <w:tcPr>
                  <w:tcW w:w="1033" w:type="pct"/>
                  <w:tcBorders>
                    <w:tl2br w:val="nil"/>
                    <w:tr2bl w:val="nil"/>
                  </w:tcBorders>
                  <w:noWrap w:val="0"/>
                  <w:vAlign w:val="top"/>
                </w:tcPr>
                <w:p>
                  <w:pPr>
                    <w:pStyle w:val="39"/>
                    <w:jc w:val="center"/>
                    <w:rPr>
                      <w:rFonts w:hint="default" w:eastAsia="宋体" w:cs="Times New Roman"/>
                      <w:b/>
                      <w:bCs/>
                      <w:color w:val="auto"/>
                      <w:sz w:val="21"/>
                      <w:szCs w:val="21"/>
                      <w:highlight w:val="none"/>
                      <w:lang w:val="en-US" w:eastAsia="zh-CN"/>
                    </w:rPr>
                  </w:pPr>
                  <w:r>
                    <w:rPr>
                      <w:rFonts w:hint="eastAsia" w:eastAsia="宋体" w:cs="Times New Roman"/>
                      <w:b/>
                      <w:bCs/>
                      <w:color w:val="auto"/>
                      <w:sz w:val="21"/>
                      <w:szCs w:val="21"/>
                      <w:highlight w:val="none"/>
                      <w:lang w:val="en-US" w:eastAsia="zh-CN"/>
                    </w:rPr>
                    <w:t>处理措施</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Merge w:val="restar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废气</w:t>
                  </w:r>
                </w:p>
              </w:tc>
              <w:tc>
                <w:tcPr>
                  <w:tcW w:w="95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G1、G2、G4</w:t>
                  </w:r>
                </w:p>
              </w:tc>
              <w:tc>
                <w:tcPr>
                  <w:tcW w:w="1074"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装卸、储存扬尘</w:t>
                  </w:r>
                </w:p>
              </w:tc>
              <w:tc>
                <w:tcPr>
                  <w:tcW w:w="985" w:type="pct"/>
                  <w:vMerge w:val="restar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TSP</w:t>
                  </w:r>
                </w:p>
              </w:tc>
              <w:tc>
                <w:tcPr>
                  <w:tcW w:w="103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封闭厂房、洒水喷淋</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Merge w:val="continue"/>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p>
              </w:tc>
              <w:tc>
                <w:tcPr>
                  <w:tcW w:w="95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G3</w:t>
                  </w:r>
                </w:p>
              </w:tc>
              <w:tc>
                <w:tcPr>
                  <w:tcW w:w="1074"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运输扬尘</w:t>
                  </w:r>
                </w:p>
              </w:tc>
              <w:tc>
                <w:tcPr>
                  <w:tcW w:w="985" w:type="pct"/>
                  <w:vMerge w:val="continue"/>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p>
              </w:tc>
              <w:tc>
                <w:tcPr>
                  <w:tcW w:w="103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限速、道路洒水清扫</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953" w:type="pct"/>
                  <w:vMerge w:val="restar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废水</w:t>
                  </w:r>
                </w:p>
              </w:tc>
              <w:tc>
                <w:tcPr>
                  <w:tcW w:w="95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W1</w:t>
                  </w:r>
                </w:p>
              </w:tc>
              <w:tc>
                <w:tcPr>
                  <w:tcW w:w="1074"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洗车废水</w:t>
                  </w:r>
                </w:p>
              </w:tc>
              <w:tc>
                <w:tcPr>
                  <w:tcW w:w="985"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SS</w:t>
                  </w:r>
                </w:p>
              </w:tc>
              <w:tc>
                <w:tcPr>
                  <w:tcW w:w="103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经二级沉淀池处理后，用于储煤库内洒水抑尘。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953" w:type="pct"/>
                  <w:vMerge w:val="continue"/>
                  <w:tcBorders>
                    <w:tl2br w:val="nil"/>
                    <w:tr2bl w:val="nil"/>
                  </w:tcBorders>
                  <w:noWrap w:val="0"/>
                  <w:vAlign w:val="center"/>
                </w:tcPr>
                <w:p>
                  <w:pPr>
                    <w:pStyle w:val="39"/>
                    <w:jc w:val="center"/>
                    <w:rPr>
                      <w:rFonts w:hint="eastAsia" w:eastAsia="宋体" w:cs="Times New Roman"/>
                      <w:color w:val="auto"/>
                      <w:sz w:val="21"/>
                      <w:szCs w:val="21"/>
                      <w:highlight w:val="none"/>
                      <w:lang w:val="en-US" w:eastAsia="zh-CN"/>
                    </w:rPr>
                  </w:pPr>
                </w:p>
              </w:tc>
              <w:tc>
                <w:tcPr>
                  <w:tcW w:w="95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W2</w:t>
                  </w:r>
                </w:p>
              </w:tc>
              <w:tc>
                <w:tcPr>
                  <w:tcW w:w="1074"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生活废水</w:t>
                  </w:r>
                </w:p>
              </w:tc>
              <w:tc>
                <w:tcPr>
                  <w:tcW w:w="985"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COD</w:t>
                  </w:r>
                  <w:r>
                    <w:rPr>
                      <w:rFonts w:hint="eastAsia" w:eastAsia="宋体" w:cs="Times New Roman"/>
                      <w:color w:val="auto"/>
                      <w:sz w:val="21"/>
                      <w:szCs w:val="21"/>
                      <w:highlight w:val="none"/>
                      <w:vertAlign w:val="subscript"/>
                      <w:lang w:val="en-US" w:eastAsia="zh-CN"/>
                    </w:rPr>
                    <w:t>cr</w:t>
                  </w:r>
                  <w:r>
                    <w:rPr>
                      <w:rFonts w:hint="eastAsia" w:eastAsia="宋体" w:cs="Times New Roman"/>
                      <w:color w:val="auto"/>
                      <w:sz w:val="21"/>
                      <w:szCs w:val="21"/>
                      <w:highlight w:val="none"/>
                      <w:lang w:val="en-US" w:eastAsia="zh-CN"/>
                    </w:rPr>
                    <w:t>、BOD</w:t>
                  </w:r>
                  <w:r>
                    <w:rPr>
                      <w:rFonts w:hint="eastAsia" w:eastAsia="宋体" w:cs="Times New Roman"/>
                      <w:color w:val="auto"/>
                      <w:sz w:val="21"/>
                      <w:szCs w:val="21"/>
                      <w:highlight w:val="none"/>
                      <w:vertAlign w:val="subscript"/>
                      <w:lang w:val="en-US" w:eastAsia="zh-CN"/>
                    </w:rPr>
                    <w:t>5</w:t>
                  </w:r>
                  <w:r>
                    <w:rPr>
                      <w:rFonts w:hint="eastAsia" w:eastAsia="宋体" w:cs="Times New Roman"/>
                      <w:color w:val="auto"/>
                      <w:sz w:val="21"/>
                      <w:szCs w:val="21"/>
                      <w:highlight w:val="none"/>
                      <w:lang w:val="en-US" w:eastAsia="zh-CN"/>
                    </w:rPr>
                    <w:t>、TP、TN、NH</w:t>
                  </w:r>
                  <w:r>
                    <w:rPr>
                      <w:rFonts w:hint="eastAsia" w:eastAsia="宋体" w:cs="Times New Roman"/>
                      <w:color w:val="auto"/>
                      <w:sz w:val="21"/>
                      <w:szCs w:val="21"/>
                      <w:highlight w:val="none"/>
                      <w:vertAlign w:val="subscript"/>
                      <w:lang w:val="en-US" w:eastAsia="zh-CN"/>
                    </w:rPr>
                    <w:t>3</w:t>
                  </w:r>
                  <w:r>
                    <w:rPr>
                      <w:rFonts w:hint="eastAsia" w:eastAsia="宋体" w:cs="Times New Roman"/>
                      <w:color w:val="auto"/>
                      <w:sz w:val="21"/>
                      <w:szCs w:val="21"/>
                      <w:highlight w:val="none"/>
                      <w:lang w:val="en-US" w:eastAsia="zh-CN"/>
                    </w:rPr>
                    <w:t>-N、动植物油</w:t>
                  </w:r>
                </w:p>
              </w:tc>
              <w:tc>
                <w:tcPr>
                  <w:tcW w:w="103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排入防渗化粪池，定期清掏。</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噪声</w:t>
                  </w:r>
                </w:p>
              </w:tc>
              <w:tc>
                <w:tcPr>
                  <w:tcW w:w="95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N1、N2、N3、N4、N5</w:t>
                  </w:r>
                </w:p>
              </w:tc>
              <w:tc>
                <w:tcPr>
                  <w:tcW w:w="1074"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设备运行</w:t>
                  </w:r>
                </w:p>
              </w:tc>
              <w:tc>
                <w:tcPr>
                  <w:tcW w:w="985"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噪声</w:t>
                  </w:r>
                </w:p>
              </w:tc>
              <w:tc>
                <w:tcPr>
                  <w:tcW w:w="103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选用低噪声设备、加强维护、厂房隔声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53" w:type="pct"/>
                  <w:vMerge w:val="restar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固废</w:t>
                  </w:r>
                </w:p>
              </w:tc>
              <w:tc>
                <w:tcPr>
                  <w:tcW w:w="95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S1</w:t>
                  </w:r>
                </w:p>
              </w:tc>
              <w:tc>
                <w:tcPr>
                  <w:tcW w:w="1074"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煤泥</w:t>
                  </w:r>
                </w:p>
              </w:tc>
              <w:tc>
                <w:tcPr>
                  <w:tcW w:w="985"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SS</w:t>
                  </w:r>
                </w:p>
              </w:tc>
              <w:tc>
                <w:tcPr>
                  <w:tcW w:w="103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定期清掏，作为产品外售。</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53" w:type="pct"/>
                  <w:vMerge w:val="continue"/>
                  <w:tcBorders>
                    <w:tl2br w:val="nil"/>
                    <w:tr2bl w:val="nil"/>
                  </w:tcBorders>
                  <w:noWrap w:val="0"/>
                  <w:vAlign w:val="center"/>
                </w:tcPr>
                <w:p>
                  <w:pPr>
                    <w:pStyle w:val="39"/>
                    <w:jc w:val="center"/>
                    <w:rPr>
                      <w:rFonts w:hint="eastAsia" w:eastAsia="宋体" w:cs="Times New Roman"/>
                      <w:color w:val="auto"/>
                      <w:sz w:val="21"/>
                      <w:szCs w:val="21"/>
                      <w:highlight w:val="none"/>
                      <w:lang w:val="en-US" w:eastAsia="zh-CN"/>
                    </w:rPr>
                  </w:pPr>
                </w:p>
              </w:tc>
              <w:tc>
                <w:tcPr>
                  <w:tcW w:w="953" w:type="pct"/>
                  <w:tcBorders>
                    <w:tl2br w:val="nil"/>
                    <w:tr2bl w:val="nil"/>
                  </w:tcBorders>
                  <w:noWrap w:val="0"/>
                  <w:vAlign w:val="center"/>
                </w:tcPr>
                <w:p>
                  <w:pPr>
                    <w:pStyle w:val="39"/>
                    <w:jc w:val="center"/>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S2</w:t>
                  </w:r>
                </w:p>
              </w:tc>
              <w:tc>
                <w:tcPr>
                  <w:tcW w:w="1074" w:type="pct"/>
                  <w:tcBorders>
                    <w:tl2br w:val="nil"/>
                    <w:tr2bl w:val="nil"/>
                  </w:tcBorders>
                  <w:shd w:val="clear" w:color="auto" w:fill="auto"/>
                  <w:noWrap w:val="0"/>
                  <w:vAlign w:val="center"/>
                </w:tcPr>
                <w:p>
                  <w:pPr>
                    <w:pStyle w:val="39"/>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sz w:val="21"/>
                      <w:szCs w:val="21"/>
                      <w:highlight w:val="none"/>
                      <w:lang w:val="en-US" w:eastAsia="zh-CN"/>
                    </w:rPr>
                    <w:t>职工办公</w:t>
                  </w:r>
                </w:p>
              </w:tc>
              <w:tc>
                <w:tcPr>
                  <w:tcW w:w="985" w:type="pct"/>
                  <w:tcBorders>
                    <w:tl2br w:val="nil"/>
                    <w:tr2bl w:val="nil"/>
                  </w:tcBorders>
                  <w:shd w:val="clear" w:color="auto" w:fill="auto"/>
                  <w:noWrap w:val="0"/>
                  <w:vAlign w:val="center"/>
                </w:tcPr>
                <w:p>
                  <w:pPr>
                    <w:pStyle w:val="39"/>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sz w:val="21"/>
                      <w:szCs w:val="21"/>
                      <w:highlight w:val="none"/>
                      <w:lang w:val="en-US" w:eastAsia="zh-CN"/>
                    </w:rPr>
                    <w:t>生活垃圾</w:t>
                  </w:r>
                </w:p>
              </w:tc>
              <w:tc>
                <w:tcPr>
                  <w:tcW w:w="1033" w:type="pct"/>
                  <w:tcBorders>
                    <w:tl2br w:val="nil"/>
                    <w:tr2bl w:val="nil"/>
                  </w:tcBorders>
                  <w:shd w:val="clear" w:color="auto" w:fill="auto"/>
                  <w:noWrap w:val="0"/>
                  <w:vAlign w:val="center"/>
                </w:tcPr>
                <w:p>
                  <w:pPr>
                    <w:pStyle w:val="39"/>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sz w:val="21"/>
                      <w:szCs w:val="21"/>
                      <w:highlight w:val="none"/>
                      <w:lang w:val="en-US" w:eastAsia="zh-CN"/>
                    </w:rPr>
                    <w:t>垃圾桶暂存，委托环卫部门处置。</w:t>
                  </w:r>
                </w:p>
              </w:tc>
            </w:tr>
          </w:tbl>
          <w:p>
            <w:pPr>
              <w:adjustRightInd w:val="0"/>
              <w:snapToGrid w:val="0"/>
              <w:rPr>
                <w:rFonts w:hint="default"/>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79" w:hRule="atLeast"/>
          <w:jc w:val="center"/>
        </w:trPr>
        <w:tc>
          <w:tcPr>
            <w:tcW w:w="228" w:type="pct"/>
            <w:noWrap w:val="0"/>
            <w:vAlign w:val="center"/>
          </w:tcPr>
          <w:p>
            <w:pPr>
              <w:pStyle w:val="18"/>
              <w:adjustRightInd w:val="0"/>
              <w:snapToGrid w:val="0"/>
              <w:spacing w:before="0" w:beforeAutospacing="0" w:after="0" w:afterAutospacing="0"/>
              <w:jc w:val="center"/>
              <w:rPr>
                <w:rFonts w:hint="eastAsia" w:cs="宋体"/>
                <w:sz w:val="21"/>
                <w:szCs w:val="21"/>
                <w:highlight w:val="none"/>
              </w:rPr>
            </w:pPr>
            <w:r>
              <w:rPr>
                <w:rFonts w:hint="eastAsia" w:cs="宋体"/>
                <w:bCs/>
                <w:kern w:val="2"/>
                <w:sz w:val="24"/>
                <w:szCs w:val="24"/>
                <w:highlight w:val="none"/>
              </w:rPr>
              <w:t>原有环境污染问题</w:t>
            </w:r>
          </w:p>
        </w:tc>
        <w:tc>
          <w:tcPr>
            <w:tcW w:w="8837" w:type="dxa"/>
            <w:noWrap w:val="0"/>
            <w:vAlign w:val="top"/>
          </w:tcPr>
          <w:p>
            <w:pPr>
              <w:pStyle w:val="2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cs="Times New Roman"/>
                <w:b w:val="0"/>
                <w:bCs/>
                <w:sz w:val="24"/>
                <w:szCs w:val="24"/>
                <w:highlight w:val="none"/>
                <w:lang w:val="en-US" w:eastAsia="zh-CN"/>
              </w:rPr>
            </w:pPr>
            <w:r>
              <w:rPr>
                <w:rFonts w:hint="default" w:ascii="Times New Roman" w:hAnsi="Times New Roman" w:cs="Times New Roman"/>
                <w:highlight w:val="none"/>
                <w:lang w:val="en-US" w:eastAsia="zh-CN"/>
              </w:rPr>
              <w:t>本项目为新建项目，建设地点位于阜新市太平区城南街道，借用辽宁金石膨润土有限公司鑫元膨润土制品分公司闲置厂房</w:t>
            </w:r>
            <w:r>
              <w:rPr>
                <w:rFonts w:hint="eastAsia" w:ascii="Times New Roman" w:hAnsi="Times New Roman" w:cs="Times New Roman"/>
                <w:highlight w:val="none"/>
                <w:lang w:val="en-US" w:eastAsia="zh-CN"/>
              </w:rPr>
              <w:t>及配套设施。</w:t>
            </w:r>
            <w:r>
              <w:rPr>
                <w:rFonts w:hint="default" w:ascii="Times New Roman" w:hAnsi="Times New Roman" w:cs="Times New Roman"/>
                <w:highlight w:val="none"/>
                <w:lang w:val="en-US" w:eastAsia="zh-CN"/>
              </w:rPr>
              <w:t>该地块最初为建筑材料厂，后经内部改制于2003年改建为水泥公司，因水泥行业淘汰落后产能计划，原水泥厂于2011年末关停，成立包装公司，最后转至膨润土公司</w:t>
            </w:r>
            <w:r>
              <w:rPr>
                <w:rFonts w:hint="eastAsia" w:ascii="Times New Roman" w:hAnsi="Times New Roman" w:cs="Times New Roman"/>
                <w:highlight w:val="none"/>
                <w:lang w:val="en-US" w:eastAsia="zh-CN"/>
              </w:rPr>
              <w:t>。</w:t>
            </w:r>
            <w:r>
              <w:rPr>
                <w:rFonts w:hint="default" w:ascii="Times New Roman" w:hAnsi="Times New Roman" w:eastAsia="宋体" w:cs="Times New Roman"/>
                <w:b w:val="0"/>
                <w:bCs/>
                <w:sz w:val="24"/>
                <w:szCs w:val="24"/>
                <w:highlight w:val="none"/>
                <w:lang w:val="en-US" w:eastAsia="zh-CN"/>
              </w:rPr>
              <w:t>辽宁金石膨润土公司因持续亏损</w:t>
            </w:r>
            <w:r>
              <w:rPr>
                <w:rFonts w:hint="eastAsia" w:ascii="Times New Roman" w:hAnsi="Times New Roman" w:cs="Times New Roman"/>
                <w:b w:val="0"/>
                <w:bCs/>
                <w:sz w:val="24"/>
                <w:szCs w:val="24"/>
                <w:highlight w:val="none"/>
                <w:lang w:val="en-US" w:eastAsia="zh-CN"/>
              </w:rPr>
              <w:t>于</w:t>
            </w:r>
            <w:r>
              <w:rPr>
                <w:rFonts w:hint="default" w:ascii="Times New Roman" w:hAnsi="Times New Roman" w:cs="Times New Roman"/>
                <w:highlight w:val="none"/>
                <w:lang w:val="en-US" w:eastAsia="zh-CN"/>
              </w:rPr>
              <w:t>2</w:t>
            </w:r>
            <w:r>
              <w:rPr>
                <w:rFonts w:hint="default" w:ascii="Times New Roman" w:hAnsi="Times New Roman" w:eastAsia="宋体" w:cs="Times New Roman"/>
                <w:b w:val="0"/>
                <w:bCs/>
                <w:sz w:val="24"/>
                <w:szCs w:val="24"/>
                <w:highlight w:val="none"/>
                <w:lang w:val="en-US" w:eastAsia="zh-CN"/>
              </w:rPr>
              <w:t>016年停止经营活动，</w:t>
            </w:r>
            <w:r>
              <w:rPr>
                <w:rFonts w:hint="eastAsia" w:ascii="Times New Roman" w:hAnsi="Times New Roman" w:cs="Times New Roman"/>
                <w:b w:val="0"/>
                <w:bCs/>
                <w:sz w:val="24"/>
                <w:szCs w:val="24"/>
                <w:highlight w:val="none"/>
                <w:lang w:val="en-US" w:eastAsia="zh-CN"/>
              </w:rPr>
              <w:t>后续不再运行。膨润土生产过程可能导致土地盐碱化，</w:t>
            </w:r>
            <w:r>
              <w:rPr>
                <w:rFonts w:hint="default" w:ascii="Times New Roman" w:hAnsi="Times New Roman" w:eastAsia="宋体" w:cs="Times New Roman"/>
                <w:b w:val="0"/>
                <w:bCs/>
                <w:sz w:val="24"/>
                <w:szCs w:val="24"/>
                <w:highlight w:val="none"/>
                <w:lang w:val="en-US" w:eastAsia="zh-CN"/>
              </w:rPr>
              <w:t>经实地勘察</w:t>
            </w:r>
            <w:r>
              <w:rPr>
                <w:rFonts w:hint="eastAsia" w:ascii="Times New Roman" w:hAnsi="Times New Roman" w:cs="Times New Roman"/>
                <w:b w:val="0"/>
                <w:bCs/>
                <w:sz w:val="24"/>
                <w:szCs w:val="24"/>
                <w:highlight w:val="none"/>
                <w:lang w:val="en-US" w:eastAsia="zh-CN"/>
              </w:rPr>
              <w:t>厂房地面均已硬化，</w:t>
            </w:r>
            <w:r>
              <w:rPr>
                <w:rFonts w:hint="eastAsia" w:hAnsi="宋体"/>
                <w:color w:val="auto"/>
                <w:sz w:val="24"/>
                <w:highlight w:val="none"/>
                <w:lang w:val="en-US" w:eastAsia="zh-CN"/>
              </w:rPr>
              <w:t>车间内现状为清空状态，无残留污染物，</w:t>
            </w:r>
            <w:r>
              <w:rPr>
                <w:rFonts w:hint="eastAsia" w:hAnsi="宋体"/>
                <w:color w:val="auto"/>
                <w:sz w:val="24"/>
                <w:highlight w:val="none"/>
              </w:rPr>
              <w:t>不存在与本项目有关的原有环境污染问题。</w:t>
            </w:r>
            <w:r>
              <w:rPr>
                <w:rFonts w:hint="eastAsia" w:hAnsi="宋体"/>
                <w:color w:val="auto"/>
                <w:sz w:val="24"/>
                <w:highlight w:val="none"/>
                <w:lang w:val="en-US" w:eastAsia="zh-CN"/>
              </w:rPr>
              <w:t>现场勘查期间照片详见图</w:t>
            </w:r>
            <w:r>
              <w:rPr>
                <w:rFonts w:hint="eastAsia" w:ascii="Times New Roman" w:hAnsi="Times New Roman" w:cs="Times New Roman"/>
                <w:b w:val="0"/>
                <w:bCs/>
                <w:sz w:val="24"/>
                <w:szCs w:val="24"/>
                <w:highlight w:val="none"/>
                <w:lang w:val="en-US" w:eastAsia="zh-CN"/>
              </w:rPr>
              <w:t>2-4所示。</w:t>
            </w:r>
          </w:p>
          <w:p>
            <w:pPr>
              <w:pStyle w:val="28"/>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Times New Roman" w:hAnsi="Times New Roman" w:cs="Times New Roman"/>
                <w:b w:val="0"/>
                <w:bCs/>
                <w:sz w:val="24"/>
                <w:szCs w:val="24"/>
                <w:highlight w:val="none"/>
                <w:lang w:val="en-US" w:eastAsia="zh-CN"/>
              </w:rPr>
            </w:pPr>
            <w:r>
              <w:rPr>
                <w:rFonts w:hint="eastAsia" w:ascii="Times New Roman" w:hAnsi="Times New Roman" w:cs="Times New Roman"/>
                <w:b w:val="0"/>
                <w:bCs/>
                <w:sz w:val="24"/>
                <w:szCs w:val="24"/>
                <w:highlight w:val="none"/>
                <w:lang w:val="en-US" w:eastAsia="zh-CN"/>
              </w:rPr>
              <w:drawing>
                <wp:inline distT="0" distB="0" distL="114300" distR="114300">
                  <wp:extent cx="4007485" cy="2812415"/>
                  <wp:effectExtent l="0" t="0" r="0" b="0"/>
                  <wp:docPr id="16" name="图片 16" descr="4849a680f3524a56a80333ecd2e4476b"/>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 name="图片 16" descr="4849a680f3524a56a80333ecd2e4476b"/>
                          <pic:cNvPicPr>
                            <a:picLocks noChangeAspect="true"/>
                          </pic:cNvPicPr>
                        </pic:nvPicPr>
                        <pic:blipFill>
                          <a:blip r:embed="rId16"/>
                          <a:srcRect r="10317"/>
                          <a:stretch>
                            <a:fillRect/>
                          </a:stretch>
                        </pic:blipFill>
                        <pic:spPr>
                          <a:xfrm>
                            <a:off x="0" y="0"/>
                            <a:ext cx="4007485" cy="2812415"/>
                          </a:xfrm>
                          <a:prstGeom prst="rect">
                            <a:avLst/>
                          </a:prstGeom>
                        </pic:spPr>
                      </pic:pic>
                    </a:graphicData>
                  </a:graphic>
                </wp:inline>
              </w:drawing>
            </w:r>
          </w:p>
          <w:p>
            <w:pPr>
              <w:jc w:val="center"/>
              <w:rPr>
                <w:rFonts w:hint="eastAsia"/>
                <w:b/>
                <w:bCs/>
                <w:color w:val="auto"/>
                <w:sz w:val="21"/>
                <w:szCs w:val="21"/>
                <w:highlight w:val="none"/>
                <w:lang w:val="en-US" w:eastAsia="zh-CN"/>
              </w:rPr>
            </w:pPr>
            <w:r>
              <w:rPr>
                <w:rFonts w:hint="eastAsia"/>
                <w:b/>
                <w:bCs/>
                <w:color w:val="auto"/>
                <w:sz w:val="21"/>
                <w:szCs w:val="21"/>
                <w:highlight w:val="none"/>
                <w:lang w:eastAsia="zh-CN"/>
              </w:rPr>
              <w:t>图</w:t>
            </w:r>
            <w:r>
              <w:rPr>
                <w:rFonts w:hint="eastAsia"/>
                <w:b/>
                <w:bCs/>
                <w:color w:val="auto"/>
                <w:sz w:val="21"/>
                <w:szCs w:val="21"/>
                <w:highlight w:val="none"/>
                <w:lang w:val="en-US" w:eastAsia="zh-CN"/>
              </w:rPr>
              <w:t>2-4 厂房地面硬化情况</w:t>
            </w:r>
          </w:p>
          <w:p>
            <w:pPr>
              <w:pStyle w:val="2"/>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tc>
      </w:tr>
    </w:tbl>
    <w:p>
      <w:pPr>
        <w:pStyle w:val="18"/>
        <w:jc w:val="both"/>
        <w:rPr>
          <w:rFonts w:ascii="黑体" w:hAnsi="黑体" w:eastAsia="黑体"/>
          <w:snapToGrid w:val="0"/>
          <w:sz w:val="36"/>
          <w:szCs w:val="36"/>
          <w:highlight w:val="none"/>
        </w:rPr>
        <w:sectPr>
          <w:footerReference r:id="rId7" w:type="default"/>
          <w:pgSz w:w="11906" w:h="16838"/>
          <w:pgMar w:top="1134" w:right="1417" w:bottom="1134" w:left="1417" w:header="851" w:footer="851" w:gutter="0"/>
          <w:pgBorders>
            <w:top w:val="none" w:sz="0" w:space="0"/>
            <w:left w:val="none" w:sz="0" w:space="0"/>
            <w:bottom w:val="none" w:sz="0" w:space="0"/>
            <w:right w:val="none" w:sz="0" w:space="0"/>
          </w:pgBorders>
          <w:pgNumType w:fmt="decimal" w:start="1"/>
          <w:cols w:space="720" w:num="1"/>
          <w:docGrid w:linePitch="312" w:charSpace="0"/>
        </w:sectPr>
      </w:pPr>
    </w:p>
    <w:p>
      <w:pPr>
        <w:pStyle w:val="18"/>
        <w:spacing w:line="240" w:lineRule="auto"/>
        <w:jc w:val="center"/>
        <w:outlineLvl w:val="0"/>
        <w:rPr>
          <w:rFonts w:ascii="黑体" w:hAnsi="黑体" w:eastAsia="黑体"/>
          <w:snapToGrid w:val="0"/>
          <w:sz w:val="30"/>
          <w:szCs w:val="30"/>
          <w:highlight w:val="none"/>
        </w:rPr>
      </w:pPr>
      <w:r>
        <w:rPr>
          <w:rFonts w:hint="eastAsia" w:ascii="黑体" w:hAnsi="黑体" w:eastAsia="黑体"/>
          <w:snapToGrid w:val="0"/>
          <w:sz w:val="30"/>
          <w:szCs w:val="30"/>
          <w:highlight w:val="none"/>
        </w:rPr>
        <w:t>三、区域环境质量现状、环境保护目标及评价标准</w:t>
      </w:r>
    </w:p>
    <w:tbl>
      <w:tblPr>
        <w:tblStyle w:val="2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54"/>
        <w:gridCol w:w="860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08" w:hRule="atLeast"/>
          <w:jc w:val="center"/>
        </w:trPr>
        <w:tc>
          <w:tcPr>
            <w:tcW w:w="454" w:type="dxa"/>
            <w:noWrap w:val="0"/>
            <w:vAlign w:val="center"/>
          </w:tcPr>
          <w:p>
            <w:pPr>
              <w:adjustRightInd w:val="0"/>
              <w:snapToGrid w:val="0"/>
              <w:jc w:val="center"/>
              <w:rPr>
                <w:rFonts w:hint="eastAsia" w:ascii="宋体" w:hAnsi="宋体" w:cs="宋体"/>
                <w:kern w:val="0"/>
                <w:szCs w:val="21"/>
                <w:highlight w:val="none"/>
              </w:rPr>
            </w:pPr>
            <w:r>
              <w:rPr>
                <w:rFonts w:hint="eastAsia" w:ascii="宋体" w:hAnsi="宋体" w:cs="宋体"/>
                <w:kern w:val="0"/>
                <w:szCs w:val="21"/>
                <w:highlight w:val="none"/>
              </w:rPr>
              <w:t>区域</w:t>
            </w:r>
          </w:p>
          <w:p>
            <w:pPr>
              <w:adjustRightInd w:val="0"/>
              <w:snapToGrid w:val="0"/>
              <w:jc w:val="center"/>
              <w:rPr>
                <w:rFonts w:hint="eastAsia" w:ascii="宋体" w:hAnsi="宋体" w:cs="宋体"/>
                <w:kern w:val="0"/>
                <w:szCs w:val="21"/>
                <w:highlight w:val="none"/>
              </w:rPr>
            </w:pPr>
            <w:r>
              <w:rPr>
                <w:rFonts w:hint="eastAsia" w:ascii="宋体" w:hAnsi="宋体" w:cs="宋体"/>
                <w:kern w:val="0"/>
                <w:szCs w:val="21"/>
                <w:highlight w:val="none"/>
              </w:rPr>
              <w:t>环境</w:t>
            </w:r>
          </w:p>
          <w:p>
            <w:pPr>
              <w:adjustRightInd w:val="0"/>
              <w:snapToGrid w:val="0"/>
              <w:jc w:val="center"/>
              <w:rPr>
                <w:rFonts w:hint="eastAsia" w:ascii="宋体" w:hAnsi="宋体" w:cs="宋体"/>
                <w:kern w:val="0"/>
                <w:szCs w:val="21"/>
                <w:highlight w:val="none"/>
              </w:rPr>
            </w:pPr>
            <w:r>
              <w:rPr>
                <w:rFonts w:hint="eastAsia" w:ascii="宋体" w:hAnsi="宋体" w:cs="宋体"/>
                <w:kern w:val="0"/>
                <w:szCs w:val="21"/>
                <w:highlight w:val="none"/>
              </w:rPr>
              <w:t>质量</w:t>
            </w:r>
          </w:p>
          <w:p>
            <w:pPr>
              <w:adjustRightInd w:val="0"/>
              <w:snapToGrid w:val="0"/>
              <w:jc w:val="center"/>
              <w:rPr>
                <w:rFonts w:ascii="宋体" w:hAnsi="宋体" w:cs="宋体"/>
                <w:kern w:val="0"/>
                <w:szCs w:val="21"/>
                <w:highlight w:val="none"/>
              </w:rPr>
            </w:pPr>
            <w:r>
              <w:rPr>
                <w:rFonts w:hint="eastAsia" w:ascii="宋体" w:hAnsi="宋体" w:cs="宋体"/>
                <w:kern w:val="0"/>
                <w:szCs w:val="21"/>
                <w:highlight w:val="none"/>
              </w:rPr>
              <w:t>现状</w:t>
            </w:r>
          </w:p>
        </w:tc>
        <w:tc>
          <w:tcPr>
            <w:tcW w:w="860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1、环境空气质量现状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color w:val="auto"/>
                <w:highlight w:val="none"/>
                <w:lang w:val="en-US" w:eastAsia="zh-CN"/>
              </w:rPr>
              <w:t>为了解本项目所在区域的环境空气质量现状，本报告采用辽宁省阜新市生态环境局发布的《“十四五”阜新市生态环境质量报告书》中的相关环境空气质量数据，如下表所示：</w:t>
            </w:r>
          </w:p>
          <w:p>
            <w:pPr>
              <w:spacing w:line="240" w:lineRule="auto"/>
              <w:ind w:firstLine="441" w:firstLineChars="200"/>
              <w:jc w:val="center"/>
              <w:rPr>
                <w:rFonts w:hint="eastAsia"/>
                <w:b/>
                <w:bCs/>
                <w:color w:val="auto"/>
                <w:highlight w:val="none"/>
                <w:vertAlign w:val="superscript"/>
                <w:lang w:val="en-US" w:eastAsia="zh-CN"/>
              </w:rPr>
            </w:pPr>
            <w:r>
              <w:rPr>
                <w:rFonts w:hint="eastAsia"/>
                <w:b/>
                <w:bCs/>
                <w:color w:val="auto"/>
                <w:sz w:val="22"/>
                <w:szCs w:val="22"/>
                <w:highlight w:val="none"/>
                <w:lang w:val="en-US" w:eastAsia="zh-CN"/>
              </w:rPr>
              <w:t xml:space="preserve">表3-1 环境空气质量现状评价结果一览表 </w:t>
            </w:r>
            <w:r>
              <w:rPr>
                <w:rFonts w:hint="eastAsia"/>
                <w:b/>
                <w:bCs/>
                <w:color w:val="auto"/>
                <w:sz w:val="22"/>
                <w:szCs w:val="22"/>
                <w:highlight w:val="none"/>
              </w:rPr>
              <w:t xml:space="preserve"> </w:t>
            </w:r>
            <w:r>
              <w:rPr>
                <w:rFonts w:hint="eastAsia"/>
                <w:b/>
                <w:bCs/>
                <w:color w:val="auto"/>
                <w:sz w:val="22"/>
                <w:szCs w:val="22"/>
                <w:highlight w:val="none"/>
                <w:lang w:val="en-US" w:eastAsia="zh-CN"/>
              </w:rPr>
              <w:t>单位：µg/m</w:t>
            </w:r>
            <w:r>
              <w:rPr>
                <w:rFonts w:hint="eastAsia"/>
                <w:b/>
                <w:bCs/>
                <w:color w:val="auto"/>
                <w:sz w:val="22"/>
                <w:szCs w:val="22"/>
                <w:highlight w:val="none"/>
                <w:vertAlign w:val="superscript"/>
                <w:lang w:val="en-US" w:eastAsia="zh-CN"/>
              </w:rPr>
              <w:t>3</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2317"/>
              <w:gridCol w:w="1108"/>
              <w:gridCol w:w="873"/>
              <w:gridCol w:w="1496"/>
              <w:gridCol w:w="648"/>
              <w:gridCol w:w="1076"/>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1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default"/>
                      <w:b/>
                      <w:bCs/>
                      <w:color w:val="auto"/>
                      <w:sz w:val="21"/>
                      <w:szCs w:val="21"/>
                      <w:highlight w:val="none"/>
                      <w:lang w:val="en-US" w:eastAsia="zh-CN"/>
                    </w:rPr>
                    <w:t>污染物</w:t>
                  </w:r>
                </w:p>
              </w:tc>
              <w:tc>
                <w:tcPr>
                  <w:tcW w:w="13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val="en-US" w:eastAsia="zh-CN"/>
                    </w:rPr>
                  </w:pPr>
                  <w:r>
                    <w:rPr>
                      <w:rFonts w:hint="eastAsia"/>
                      <w:b/>
                      <w:bCs/>
                      <w:color w:val="auto"/>
                      <w:sz w:val="21"/>
                      <w:szCs w:val="21"/>
                      <w:highlight w:val="none"/>
                      <w:lang w:val="en-US" w:eastAsia="zh-CN"/>
                    </w:rPr>
                    <w:t>年评价指标</w:t>
                  </w:r>
                </w:p>
              </w:tc>
              <w:tc>
                <w:tcPr>
                  <w:tcW w:w="66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eastAsia="zh-CN"/>
                    </w:rPr>
                    <w:t>现状浓度</w:t>
                  </w:r>
                </w:p>
              </w:tc>
              <w:tc>
                <w:tcPr>
                  <w:tcW w:w="5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eastAsia="zh-CN"/>
                    </w:rPr>
                    <w:t>标准值</w:t>
                  </w:r>
                </w:p>
              </w:tc>
              <w:tc>
                <w:tcPr>
                  <w:tcW w:w="891" w:type="pct"/>
                  <w:tcBorders>
                    <w:tl2br w:val="nil"/>
                    <w:tr2bl w:val="nil"/>
                  </w:tcBorders>
                  <w:noWrap w:val="0"/>
                  <w:vAlign w:val="center"/>
                </w:tcPr>
                <w:p>
                  <w:pPr>
                    <w:jc w:val="center"/>
                    <w:rPr>
                      <w:rFonts w:hint="eastAsia"/>
                      <w:b/>
                      <w:bCs/>
                      <w:color w:val="auto"/>
                      <w:sz w:val="21"/>
                      <w:szCs w:val="21"/>
                      <w:highlight w:val="none"/>
                    </w:rPr>
                  </w:pPr>
                  <w:r>
                    <w:rPr>
                      <w:rFonts w:hint="eastAsia"/>
                      <w:b/>
                      <w:bCs/>
                      <w:color w:val="auto"/>
                      <w:sz w:val="21"/>
                      <w:szCs w:val="21"/>
                      <w:highlight w:val="none"/>
                    </w:rPr>
                    <w:t>最大浓度占标率/%</w:t>
                  </w:r>
                </w:p>
              </w:tc>
              <w:tc>
                <w:tcPr>
                  <w:tcW w:w="386" w:type="pct"/>
                  <w:tcBorders>
                    <w:tl2br w:val="nil"/>
                    <w:tr2bl w:val="nil"/>
                  </w:tcBorders>
                  <w:noWrap w:val="0"/>
                  <w:vAlign w:val="center"/>
                </w:tcPr>
                <w:p>
                  <w:pPr>
                    <w:jc w:val="center"/>
                    <w:rPr>
                      <w:rFonts w:hint="default"/>
                      <w:b/>
                      <w:bCs/>
                      <w:color w:val="auto"/>
                      <w:sz w:val="21"/>
                      <w:szCs w:val="21"/>
                      <w:highlight w:val="none"/>
                      <w:lang w:val="en-US" w:eastAsia="zh-CN"/>
                    </w:rPr>
                  </w:pPr>
                  <w:r>
                    <w:rPr>
                      <w:rFonts w:hint="eastAsia"/>
                      <w:b/>
                      <w:bCs/>
                      <w:color w:val="auto"/>
                      <w:sz w:val="21"/>
                      <w:szCs w:val="21"/>
                      <w:highlight w:val="none"/>
                    </w:rPr>
                    <w:t>超标倍数</w:t>
                  </w:r>
                </w:p>
              </w:tc>
              <w:tc>
                <w:tcPr>
                  <w:tcW w:w="64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达标情况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518"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SO</w:t>
                  </w:r>
                  <w:r>
                    <w:rPr>
                      <w:rFonts w:hint="default"/>
                      <w:color w:val="auto"/>
                      <w:sz w:val="21"/>
                      <w:szCs w:val="21"/>
                      <w:highlight w:val="none"/>
                      <w:vertAlign w:val="subscript"/>
                      <w:lang w:val="en-US" w:eastAsia="zh-CN"/>
                    </w:rPr>
                    <w:t>2</w:t>
                  </w:r>
                </w:p>
              </w:tc>
              <w:tc>
                <w:tcPr>
                  <w:tcW w:w="1381" w:type="pct"/>
                  <w:vMerge w:val="restar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年平均浓度</w:t>
                  </w:r>
                </w:p>
              </w:tc>
              <w:tc>
                <w:tcPr>
                  <w:tcW w:w="66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13</w:t>
                  </w:r>
                </w:p>
              </w:tc>
              <w:tc>
                <w:tcPr>
                  <w:tcW w:w="52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default"/>
                      <w:color w:val="auto"/>
                      <w:sz w:val="21"/>
                      <w:szCs w:val="21"/>
                      <w:highlight w:val="none"/>
                    </w:rPr>
                    <w:t>60</w:t>
                  </w:r>
                </w:p>
              </w:tc>
              <w:tc>
                <w:tcPr>
                  <w:tcW w:w="891" w:type="pct"/>
                  <w:tcBorders>
                    <w:tl2br w:val="nil"/>
                    <w:tr2bl w:val="nil"/>
                  </w:tcBorders>
                  <w:noWrap w:val="0"/>
                  <w:vAlign w:val="center"/>
                </w:tcPr>
                <w:p>
                  <w:pPr>
                    <w:pStyle w:val="7"/>
                    <w:widowControl w:val="0"/>
                    <w:snapToGrid/>
                    <w:spacing w:before="0" w:after="0" w:line="240" w:lineRule="auto"/>
                    <w:ind w:right="0" w:rightChars="0"/>
                    <w:jc w:val="center"/>
                    <w:rPr>
                      <w:rFonts w:hint="eastAsia"/>
                      <w:color w:val="auto"/>
                      <w:sz w:val="21"/>
                      <w:szCs w:val="21"/>
                      <w:highlight w:val="none"/>
                    </w:rPr>
                  </w:pPr>
                  <w:r>
                    <w:rPr>
                      <w:rFonts w:hint="eastAsia" w:cs="Times New Roman"/>
                      <w:color w:val="auto"/>
                      <w:sz w:val="21"/>
                      <w:szCs w:val="21"/>
                      <w:highlight w:val="none"/>
                      <w:lang w:val="en-US" w:eastAsia="zh-CN"/>
                    </w:rPr>
                    <w:t>21.67</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NO</w:t>
                  </w:r>
                  <w:r>
                    <w:rPr>
                      <w:rFonts w:hint="default"/>
                      <w:color w:val="auto"/>
                      <w:sz w:val="21"/>
                      <w:szCs w:val="21"/>
                      <w:highlight w:val="none"/>
                      <w:vertAlign w:val="subscript"/>
                      <w:lang w:val="en-US" w:eastAsia="zh-CN"/>
                    </w:rPr>
                    <w:t>2</w:t>
                  </w:r>
                </w:p>
              </w:tc>
              <w:tc>
                <w:tcPr>
                  <w:tcW w:w="1381" w:type="pct"/>
                  <w:vMerge w:val="continue"/>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p>
              </w:tc>
              <w:tc>
                <w:tcPr>
                  <w:tcW w:w="66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20</w:t>
                  </w:r>
                </w:p>
              </w:tc>
              <w:tc>
                <w:tcPr>
                  <w:tcW w:w="52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default"/>
                      <w:color w:val="auto"/>
                      <w:sz w:val="21"/>
                      <w:szCs w:val="21"/>
                      <w:highlight w:val="none"/>
                    </w:rPr>
                    <w:t>40</w:t>
                  </w:r>
                </w:p>
              </w:tc>
              <w:tc>
                <w:tcPr>
                  <w:tcW w:w="891" w:type="pct"/>
                  <w:tcBorders>
                    <w:tl2br w:val="nil"/>
                    <w:tr2bl w:val="nil"/>
                  </w:tcBorders>
                  <w:noWrap w:val="0"/>
                  <w:vAlign w:val="center"/>
                </w:tcPr>
                <w:p>
                  <w:pPr>
                    <w:pStyle w:val="7"/>
                    <w:widowControl w:val="0"/>
                    <w:snapToGrid/>
                    <w:spacing w:before="0" w:after="0" w:line="240" w:lineRule="auto"/>
                    <w:ind w:right="0" w:rightChars="0"/>
                    <w:jc w:val="center"/>
                    <w:rPr>
                      <w:rFonts w:hint="eastAsia"/>
                      <w:color w:val="auto"/>
                      <w:sz w:val="21"/>
                      <w:szCs w:val="21"/>
                      <w:highlight w:val="none"/>
                    </w:rPr>
                  </w:pPr>
                  <w:r>
                    <w:rPr>
                      <w:rFonts w:hint="eastAsia" w:cs="Times New Roman"/>
                      <w:color w:val="auto"/>
                      <w:sz w:val="21"/>
                      <w:szCs w:val="21"/>
                      <w:highlight w:val="none"/>
                      <w:lang w:val="en-US" w:eastAsia="zh-CN"/>
                    </w:rPr>
                    <w:t>50.00</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PM</w:t>
                  </w:r>
                  <w:r>
                    <w:rPr>
                      <w:rFonts w:hint="default"/>
                      <w:color w:val="auto"/>
                      <w:sz w:val="21"/>
                      <w:szCs w:val="21"/>
                      <w:highlight w:val="none"/>
                      <w:vertAlign w:val="subscript"/>
                      <w:lang w:val="en-US" w:eastAsia="zh-CN"/>
                    </w:rPr>
                    <w:t>10</w:t>
                  </w:r>
                </w:p>
              </w:tc>
              <w:tc>
                <w:tcPr>
                  <w:tcW w:w="1381" w:type="pct"/>
                  <w:vMerge w:val="continue"/>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color w:val="auto"/>
                      <w:sz w:val="21"/>
                      <w:szCs w:val="21"/>
                      <w:highlight w:val="none"/>
                      <w:lang w:val="en-US" w:eastAsia="zh-CN"/>
                    </w:rPr>
                  </w:pPr>
                </w:p>
              </w:tc>
              <w:tc>
                <w:tcPr>
                  <w:tcW w:w="66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53</w:t>
                  </w:r>
                </w:p>
              </w:tc>
              <w:tc>
                <w:tcPr>
                  <w:tcW w:w="52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color w:val="auto"/>
                      <w:sz w:val="21"/>
                      <w:szCs w:val="21"/>
                      <w:highlight w:val="none"/>
                      <w:lang w:val="en-US" w:eastAsia="zh-CN"/>
                    </w:rPr>
                  </w:pPr>
                  <w:r>
                    <w:rPr>
                      <w:rFonts w:hint="eastAsia"/>
                      <w:color w:val="auto"/>
                      <w:sz w:val="21"/>
                      <w:szCs w:val="21"/>
                      <w:highlight w:val="none"/>
                      <w:lang w:val="en-US" w:eastAsia="zh-CN"/>
                    </w:rPr>
                    <w:t>6</w:t>
                  </w:r>
                  <w:r>
                    <w:rPr>
                      <w:rFonts w:hint="default"/>
                      <w:color w:val="auto"/>
                      <w:sz w:val="21"/>
                      <w:szCs w:val="21"/>
                      <w:highlight w:val="none"/>
                    </w:rPr>
                    <w:t>0</w:t>
                  </w:r>
                </w:p>
              </w:tc>
              <w:tc>
                <w:tcPr>
                  <w:tcW w:w="891" w:type="pct"/>
                  <w:tcBorders>
                    <w:tl2br w:val="nil"/>
                    <w:tr2bl w:val="nil"/>
                  </w:tcBorders>
                  <w:shd w:val="clear" w:color="auto" w:fill="auto"/>
                  <w:noWrap w:val="0"/>
                  <w:vAlign w:val="center"/>
                </w:tcPr>
                <w:p>
                  <w:pPr>
                    <w:spacing w:line="26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88.33</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PM</w:t>
                  </w:r>
                  <w:r>
                    <w:rPr>
                      <w:rFonts w:hint="default"/>
                      <w:color w:val="auto"/>
                      <w:sz w:val="21"/>
                      <w:szCs w:val="21"/>
                      <w:highlight w:val="none"/>
                      <w:vertAlign w:val="subscript"/>
                      <w:lang w:val="en-US" w:eastAsia="zh-CN"/>
                    </w:rPr>
                    <w:t>2.5</w:t>
                  </w:r>
                </w:p>
              </w:tc>
              <w:tc>
                <w:tcPr>
                  <w:tcW w:w="1381" w:type="pct"/>
                  <w:vMerge w:val="continue"/>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color w:val="auto"/>
                      <w:sz w:val="21"/>
                      <w:szCs w:val="21"/>
                      <w:highlight w:val="none"/>
                      <w:lang w:val="en-US" w:eastAsia="zh-CN"/>
                    </w:rPr>
                  </w:pPr>
                </w:p>
              </w:tc>
              <w:tc>
                <w:tcPr>
                  <w:tcW w:w="66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28</w:t>
                  </w:r>
                </w:p>
              </w:tc>
              <w:tc>
                <w:tcPr>
                  <w:tcW w:w="52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eastAsia="宋体"/>
                      <w:color w:val="auto"/>
                      <w:sz w:val="21"/>
                      <w:szCs w:val="21"/>
                      <w:highlight w:val="none"/>
                      <w:lang w:val="en-US" w:eastAsia="zh-CN"/>
                    </w:rPr>
                  </w:pPr>
                  <w:r>
                    <w:rPr>
                      <w:rFonts w:hint="default"/>
                      <w:color w:val="auto"/>
                      <w:sz w:val="21"/>
                      <w:szCs w:val="21"/>
                      <w:highlight w:val="none"/>
                    </w:rPr>
                    <w:t>3</w:t>
                  </w:r>
                  <w:r>
                    <w:rPr>
                      <w:rFonts w:hint="eastAsia"/>
                      <w:color w:val="auto"/>
                      <w:sz w:val="21"/>
                      <w:szCs w:val="21"/>
                      <w:highlight w:val="none"/>
                      <w:lang w:val="en-US" w:eastAsia="zh-CN"/>
                    </w:rPr>
                    <w:t>0</w:t>
                  </w:r>
                </w:p>
              </w:tc>
              <w:tc>
                <w:tcPr>
                  <w:tcW w:w="891" w:type="pct"/>
                  <w:tcBorders>
                    <w:tl2br w:val="nil"/>
                    <w:tr2bl w:val="nil"/>
                  </w:tcBorders>
                  <w:noWrap w:val="0"/>
                  <w:vAlign w:val="center"/>
                </w:tcPr>
                <w:p>
                  <w:pPr>
                    <w:pStyle w:val="7"/>
                    <w:widowControl w:val="0"/>
                    <w:snapToGrid/>
                    <w:spacing w:before="0" w:after="0" w:line="240" w:lineRule="auto"/>
                    <w:ind w:right="0" w:rightChars="0"/>
                    <w:jc w:val="center"/>
                    <w:rPr>
                      <w:rFonts w:hint="eastAsia"/>
                      <w:color w:val="auto"/>
                      <w:sz w:val="21"/>
                      <w:szCs w:val="21"/>
                      <w:highlight w:val="none"/>
                    </w:rPr>
                  </w:pPr>
                  <w:r>
                    <w:rPr>
                      <w:rFonts w:hint="eastAsia" w:cs="Times New Roman"/>
                      <w:color w:val="auto"/>
                      <w:sz w:val="21"/>
                      <w:szCs w:val="21"/>
                      <w:highlight w:val="none"/>
                      <w:lang w:val="en-US" w:eastAsia="zh-CN"/>
                    </w:rPr>
                    <w:t>93.33</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CO</w:t>
                  </w:r>
                </w:p>
              </w:tc>
              <w:tc>
                <w:tcPr>
                  <w:tcW w:w="1381"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日平均值的第95百分位数浓度</w:t>
                  </w:r>
                </w:p>
              </w:tc>
              <w:tc>
                <w:tcPr>
                  <w:tcW w:w="66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1300</w:t>
                  </w:r>
                </w:p>
              </w:tc>
              <w:tc>
                <w:tcPr>
                  <w:tcW w:w="52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sz w:val="21"/>
                      <w:szCs w:val="21"/>
                      <w:highlight w:val="none"/>
                      <w:lang w:val="en-US" w:eastAsia="zh-CN"/>
                    </w:rPr>
                    <w:t>4000</w:t>
                  </w:r>
                </w:p>
              </w:tc>
              <w:tc>
                <w:tcPr>
                  <w:tcW w:w="1496" w:type="dxa"/>
                  <w:tcBorders>
                    <w:tl2br w:val="nil"/>
                    <w:tr2bl w:val="nil"/>
                  </w:tcBorders>
                  <w:noWrap w:val="0"/>
                  <w:vAlign w:val="center"/>
                </w:tcPr>
                <w:p>
                  <w:pPr>
                    <w:spacing w:line="260" w:lineRule="exact"/>
                    <w:jc w:val="center"/>
                    <w:rPr>
                      <w:rFonts w:hint="eastAsia"/>
                      <w:color w:val="auto"/>
                      <w:sz w:val="21"/>
                      <w:szCs w:val="21"/>
                      <w:highlight w:val="none"/>
                    </w:rPr>
                  </w:pPr>
                  <w:r>
                    <w:rPr>
                      <w:rFonts w:hint="default" w:ascii="Times New Roman" w:hAnsi="Times New Roman" w:eastAsia="宋体" w:cs="Times New Roman"/>
                      <w:color w:val="auto"/>
                      <w:sz w:val="21"/>
                      <w:szCs w:val="21"/>
                      <w:highlight w:val="none"/>
                      <w:lang w:val="en-US" w:eastAsia="zh-CN"/>
                    </w:rPr>
                    <w:t>32.50%</w:t>
                  </w:r>
                </w:p>
              </w:tc>
              <w:tc>
                <w:tcPr>
                  <w:tcW w:w="386" w:type="pct"/>
                  <w:tcBorders>
                    <w:tl2br w:val="nil"/>
                    <w:tr2bl w:val="nil"/>
                  </w:tcBorders>
                  <w:noWrap w:val="0"/>
                  <w:vAlign w:val="center"/>
                </w:tcPr>
                <w:p>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O</w:t>
                  </w:r>
                  <w:r>
                    <w:rPr>
                      <w:rFonts w:hint="default"/>
                      <w:color w:val="auto"/>
                      <w:sz w:val="21"/>
                      <w:szCs w:val="21"/>
                      <w:highlight w:val="none"/>
                      <w:vertAlign w:val="subscript"/>
                      <w:lang w:val="en-US" w:eastAsia="zh-CN"/>
                    </w:rPr>
                    <w:t>3</w:t>
                  </w:r>
                </w:p>
              </w:tc>
              <w:tc>
                <w:tcPr>
                  <w:tcW w:w="1381"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日最大8小时平均值的第90百分位数浓度</w:t>
                  </w:r>
                </w:p>
              </w:tc>
              <w:tc>
                <w:tcPr>
                  <w:tcW w:w="66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140</w:t>
                  </w:r>
                </w:p>
              </w:tc>
              <w:tc>
                <w:tcPr>
                  <w:tcW w:w="52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default"/>
                      <w:color w:val="auto"/>
                      <w:sz w:val="21"/>
                      <w:szCs w:val="21"/>
                      <w:highlight w:val="none"/>
                    </w:rPr>
                    <w:t>160</w:t>
                  </w:r>
                </w:p>
              </w:tc>
              <w:tc>
                <w:tcPr>
                  <w:tcW w:w="1496" w:type="dxa"/>
                  <w:tcBorders>
                    <w:tl2br w:val="nil"/>
                    <w:tr2bl w:val="nil"/>
                  </w:tcBorders>
                  <w:noWrap w:val="0"/>
                  <w:vAlign w:val="center"/>
                </w:tcPr>
                <w:p>
                  <w:pPr>
                    <w:spacing w:line="260" w:lineRule="exact"/>
                    <w:jc w:val="center"/>
                    <w:rPr>
                      <w:rFonts w:hint="eastAsia"/>
                      <w:color w:val="auto"/>
                      <w:sz w:val="21"/>
                      <w:szCs w:val="21"/>
                      <w:highlight w:val="none"/>
                    </w:rPr>
                  </w:pPr>
                  <w:r>
                    <w:rPr>
                      <w:rFonts w:hint="eastAsia" w:cs="Times New Roman"/>
                      <w:color w:val="auto"/>
                      <w:sz w:val="21"/>
                      <w:szCs w:val="21"/>
                      <w:highlight w:val="none"/>
                      <w:lang w:val="en-US" w:eastAsia="zh-CN"/>
                    </w:rPr>
                    <w:t>87.5</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color w:val="auto"/>
                <w:highlight w:val="none"/>
                <w:lang w:val="en-US" w:eastAsia="zh-CN"/>
              </w:rPr>
            </w:pPr>
            <w:r>
              <w:rPr>
                <w:rFonts w:hint="eastAsia"/>
                <w:color w:val="auto"/>
                <w:highlight w:val="none"/>
                <w:lang w:val="en-US" w:eastAsia="zh-CN"/>
              </w:rPr>
              <w:t>2025年阜新市城市空气污染物，可吸入颗粒物PM</w:t>
            </w:r>
            <w:r>
              <w:rPr>
                <w:rFonts w:hint="eastAsia"/>
                <w:color w:val="auto"/>
                <w:highlight w:val="none"/>
                <w:vertAlign w:val="subscript"/>
                <w:lang w:val="en-US" w:eastAsia="zh-CN"/>
              </w:rPr>
              <w:t>10</w:t>
            </w:r>
            <w:r>
              <w:rPr>
                <w:rFonts w:hint="eastAsia"/>
                <w:color w:val="auto"/>
                <w:highlight w:val="none"/>
                <w:lang w:val="en-US" w:eastAsia="zh-CN"/>
              </w:rPr>
              <w:t>年均值为53µg/m</w:t>
            </w:r>
            <w:r>
              <w:rPr>
                <w:rFonts w:hint="eastAsia"/>
                <w:color w:val="auto"/>
                <w:highlight w:val="none"/>
                <w:vertAlign w:val="superscript"/>
                <w:lang w:val="en-US" w:eastAsia="zh-CN"/>
              </w:rPr>
              <w:t>3</w:t>
            </w:r>
            <w:r>
              <w:rPr>
                <w:rFonts w:hint="eastAsia"/>
                <w:color w:val="auto"/>
                <w:highlight w:val="none"/>
                <w:lang w:val="en-US" w:eastAsia="zh-CN"/>
              </w:rPr>
              <w:t>，细颗粒物PM</w:t>
            </w:r>
            <w:r>
              <w:rPr>
                <w:rFonts w:hint="eastAsia"/>
                <w:color w:val="auto"/>
                <w:highlight w:val="none"/>
                <w:vertAlign w:val="subscript"/>
                <w:lang w:val="en-US" w:eastAsia="zh-CN"/>
              </w:rPr>
              <w:t>2.5</w:t>
            </w:r>
            <w:r>
              <w:rPr>
                <w:rFonts w:hint="eastAsia"/>
                <w:color w:val="auto"/>
                <w:highlight w:val="none"/>
                <w:lang w:val="en-US" w:eastAsia="zh-CN"/>
              </w:rPr>
              <w:t>年均值为28µg/m</w:t>
            </w:r>
            <w:r>
              <w:rPr>
                <w:rFonts w:hint="eastAsia"/>
                <w:color w:val="auto"/>
                <w:highlight w:val="none"/>
                <w:vertAlign w:val="superscript"/>
                <w:lang w:val="en-US" w:eastAsia="zh-CN"/>
              </w:rPr>
              <w:t>3</w:t>
            </w:r>
            <w:r>
              <w:rPr>
                <w:rFonts w:hint="eastAsia"/>
                <w:color w:val="auto"/>
                <w:highlight w:val="none"/>
                <w:lang w:val="en-US" w:eastAsia="zh-CN"/>
              </w:rPr>
              <w:t>，SO</w:t>
            </w:r>
            <w:r>
              <w:rPr>
                <w:rFonts w:hint="eastAsia"/>
                <w:color w:val="auto"/>
                <w:highlight w:val="none"/>
                <w:vertAlign w:val="subscript"/>
                <w:lang w:val="en-US" w:eastAsia="zh-CN"/>
              </w:rPr>
              <w:t>2</w:t>
            </w:r>
            <w:r>
              <w:rPr>
                <w:rFonts w:hint="eastAsia"/>
                <w:color w:val="auto"/>
                <w:highlight w:val="none"/>
                <w:lang w:val="en-US" w:eastAsia="zh-CN"/>
              </w:rPr>
              <w:t>年均值为13µg/m</w:t>
            </w:r>
            <w:r>
              <w:rPr>
                <w:rFonts w:hint="eastAsia"/>
                <w:color w:val="auto"/>
                <w:highlight w:val="none"/>
                <w:vertAlign w:val="superscript"/>
                <w:lang w:val="en-US" w:eastAsia="zh-CN"/>
              </w:rPr>
              <w:t>3</w:t>
            </w:r>
            <w:r>
              <w:rPr>
                <w:rFonts w:hint="eastAsia"/>
                <w:color w:val="auto"/>
                <w:highlight w:val="none"/>
                <w:lang w:val="en-US" w:eastAsia="zh-CN"/>
              </w:rPr>
              <w:t>，NO</w:t>
            </w:r>
            <w:r>
              <w:rPr>
                <w:rFonts w:hint="eastAsia"/>
                <w:color w:val="auto"/>
                <w:highlight w:val="none"/>
                <w:vertAlign w:val="subscript"/>
                <w:lang w:val="en-US" w:eastAsia="zh-CN"/>
              </w:rPr>
              <w:t>2</w:t>
            </w:r>
            <w:r>
              <w:rPr>
                <w:rFonts w:hint="eastAsia"/>
                <w:color w:val="auto"/>
                <w:highlight w:val="none"/>
                <w:lang w:val="en-US" w:eastAsia="zh-CN"/>
              </w:rPr>
              <w:t>年均值为20µg/m</w:t>
            </w:r>
            <w:r>
              <w:rPr>
                <w:rFonts w:hint="eastAsia"/>
                <w:color w:val="auto"/>
                <w:highlight w:val="none"/>
                <w:vertAlign w:val="superscript"/>
                <w:lang w:val="en-US" w:eastAsia="zh-CN"/>
              </w:rPr>
              <w:t>3</w:t>
            </w:r>
            <w:r>
              <w:rPr>
                <w:rFonts w:hint="eastAsia"/>
                <w:color w:val="auto"/>
                <w:highlight w:val="none"/>
                <w:lang w:val="en-US" w:eastAsia="zh-CN"/>
              </w:rPr>
              <w:t>，CO-95per日均值为1.3mg/m</w:t>
            </w:r>
            <w:r>
              <w:rPr>
                <w:rFonts w:hint="eastAsia"/>
                <w:color w:val="auto"/>
                <w:highlight w:val="none"/>
                <w:vertAlign w:val="superscript"/>
                <w:lang w:val="en-US" w:eastAsia="zh-CN"/>
              </w:rPr>
              <w:t>3</w:t>
            </w:r>
            <w:r>
              <w:rPr>
                <w:rFonts w:hint="eastAsia"/>
                <w:color w:val="auto"/>
                <w:highlight w:val="none"/>
                <w:lang w:val="en-US" w:eastAsia="zh-CN"/>
              </w:rPr>
              <w:t>，O</w:t>
            </w:r>
            <w:r>
              <w:rPr>
                <w:rFonts w:hint="eastAsia"/>
                <w:color w:val="auto"/>
                <w:highlight w:val="none"/>
                <w:vertAlign w:val="subscript"/>
                <w:lang w:val="en-US" w:eastAsia="zh-CN"/>
              </w:rPr>
              <w:t>3</w:t>
            </w:r>
            <w:r>
              <w:rPr>
                <w:rFonts w:hint="eastAsia"/>
                <w:color w:val="auto"/>
                <w:highlight w:val="none"/>
                <w:lang w:val="en-US" w:eastAsia="zh-CN"/>
              </w:rPr>
              <w:t>-90per日最大8小时均值为140µg/m</w:t>
            </w:r>
            <w:r>
              <w:rPr>
                <w:rFonts w:hint="eastAsia"/>
                <w:color w:val="auto"/>
                <w:highlight w:val="none"/>
                <w:vertAlign w:val="superscript"/>
                <w:lang w:val="en-US" w:eastAsia="zh-CN"/>
              </w:rPr>
              <w:t>3</w:t>
            </w:r>
            <w:r>
              <w:rPr>
                <w:rFonts w:hint="eastAsia"/>
                <w:color w:val="auto"/>
                <w:highlight w:val="none"/>
                <w:lang w:val="en-US" w:eastAsia="zh-CN"/>
              </w:rPr>
              <w:t>。全部污染物年均浓度值符合《环境空气质量标准》（GB3095-2026）表1中过渡阶段浓度限值中二级标准要求，故本项目评价区域为达标区。</w:t>
            </w:r>
          </w:p>
          <w:p>
            <w:pPr>
              <w:bidi w:val="0"/>
              <w:spacing w:line="360" w:lineRule="auto"/>
              <w:ind w:firstLine="480" w:firstLineChars="200"/>
              <w:rPr>
                <w:rFonts w:hint="eastAsia" w:cs="Times New Roman"/>
                <w:sz w:val="24"/>
                <w:szCs w:val="24"/>
                <w:highlight w:val="none"/>
                <w:lang w:val="en-US" w:eastAsia="zh-CN"/>
              </w:rPr>
            </w:pPr>
            <w:r>
              <w:rPr>
                <w:rFonts w:hint="eastAsia"/>
                <w:sz w:val="24"/>
                <w:szCs w:val="24"/>
                <w:highlight w:val="none"/>
                <w:lang w:val="en-US" w:eastAsia="zh-CN"/>
              </w:rPr>
              <w:t>除六项基本污染物外，本项目排放的特征污染物为总悬浮颗粒物</w:t>
            </w:r>
            <w:r>
              <w:rPr>
                <w:rFonts w:hint="default"/>
                <w:sz w:val="24"/>
                <w:szCs w:val="24"/>
                <w:highlight w:val="none"/>
                <w:lang w:val="en-US" w:eastAsia="zh-CN"/>
              </w:rPr>
              <w:t>TSP</w:t>
            </w:r>
            <w:r>
              <w:rPr>
                <w:rFonts w:hint="eastAsia"/>
                <w:sz w:val="24"/>
                <w:szCs w:val="24"/>
                <w:highlight w:val="none"/>
                <w:lang w:val="en-US" w:eastAsia="zh-CN"/>
              </w:rPr>
              <w:t>，</w:t>
            </w:r>
            <w:r>
              <w:rPr>
                <w:rFonts w:hint="eastAsia"/>
                <w:color w:val="auto"/>
                <w:sz w:val="24"/>
                <w:szCs w:val="24"/>
                <w:highlight w:val="none"/>
                <w:lang w:val="en-US" w:eastAsia="zh-CN"/>
              </w:rPr>
              <w:t>引用阜新鑫源检验检测技术有限公司</w:t>
            </w:r>
            <w:r>
              <w:rPr>
                <w:rFonts w:hint="eastAsia" w:cs="Times New Roman"/>
                <w:color w:val="auto"/>
                <w:sz w:val="24"/>
                <w:szCs w:val="24"/>
                <w:highlight w:val="none"/>
                <w:lang w:val="en-US" w:eastAsia="zh-CN"/>
              </w:rPr>
              <w:t>于</w:t>
            </w:r>
            <w:r>
              <w:rPr>
                <w:rFonts w:hint="eastAsia"/>
                <w:color w:val="auto"/>
                <w:sz w:val="24"/>
                <w:szCs w:val="24"/>
                <w:highlight w:val="none"/>
                <w:lang w:val="en-US" w:eastAsia="zh-CN"/>
              </w:rPr>
              <w:t>2024年8月25日至2024年8月27日对环境空气进行采样并在2024年8月30日出具的阜新东胜达实业发展有限公司环境检测报告（报告编号DW0802400，详见附件7）</w:t>
            </w:r>
            <w:r>
              <w:rPr>
                <w:rFonts w:hint="eastAsia" w:cs="Times New Roman"/>
                <w:color w:val="auto"/>
                <w:sz w:val="24"/>
                <w:szCs w:val="24"/>
                <w:highlight w:val="none"/>
                <w:lang w:val="en-US" w:eastAsia="zh-CN"/>
              </w:rPr>
              <w:t>环境空气监测</w:t>
            </w:r>
            <w:r>
              <w:rPr>
                <w:rFonts w:hint="eastAsia"/>
                <w:color w:val="auto"/>
                <w:sz w:val="24"/>
                <w:szCs w:val="24"/>
                <w:highlight w:val="none"/>
                <w:lang w:val="en-US" w:eastAsia="zh-CN"/>
              </w:rPr>
              <w:t>数据，监测点位详见附图5，监测点距离本厂界2.353km，</w:t>
            </w:r>
            <w:r>
              <w:rPr>
                <w:rFonts w:hint="eastAsia" w:eastAsia="宋体" w:cs="Times New Roman"/>
                <w:sz w:val="24"/>
                <w:szCs w:val="24"/>
                <w:highlight w:val="none"/>
                <w:lang w:val="en-US" w:eastAsia="zh-CN"/>
              </w:rPr>
              <w:t>符合《建设项目环境影响报告表编制技术指南（污染影响类）（试行）》</w:t>
            </w:r>
            <w:r>
              <w:rPr>
                <w:rFonts w:hint="eastAsia" w:cs="Times New Roman"/>
                <w:sz w:val="24"/>
                <w:szCs w:val="24"/>
                <w:highlight w:val="none"/>
                <w:lang w:val="en-US" w:eastAsia="zh-CN"/>
              </w:rPr>
              <w:t>中</w:t>
            </w:r>
            <w:r>
              <w:rPr>
                <w:rFonts w:hint="eastAsia" w:eastAsia="宋体" w:cs="Times New Roman"/>
                <w:sz w:val="24"/>
                <w:szCs w:val="24"/>
                <w:highlight w:val="none"/>
                <w:lang w:val="en-US" w:eastAsia="zh-CN"/>
              </w:rPr>
              <w:t>“引用建设项目周边5千米范围内近3年的现有监测数据”</w:t>
            </w:r>
            <w:r>
              <w:rPr>
                <w:rFonts w:hint="eastAsia" w:cs="Times New Roman"/>
                <w:sz w:val="24"/>
                <w:szCs w:val="24"/>
                <w:highlight w:val="none"/>
                <w:lang w:val="en-US" w:eastAsia="zh-CN"/>
              </w:rPr>
              <w:t>的</w:t>
            </w:r>
            <w:r>
              <w:rPr>
                <w:rFonts w:hint="eastAsia" w:eastAsia="宋体" w:cs="Times New Roman"/>
                <w:sz w:val="24"/>
                <w:szCs w:val="24"/>
                <w:highlight w:val="none"/>
                <w:lang w:val="en-US" w:eastAsia="zh-CN"/>
              </w:rPr>
              <w:t>要求。</w:t>
            </w:r>
            <w:r>
              <w:rPr>
                <w:rFonts w:hint="eastAsia" w:cs="Times New Roman"/>
                <w:sz w:val="24"/>
                <w:szCs w:val="24"/>
                <w:highlight w:val="none"/>
                <w:lang w:val="en-US" w:eastAsia="zh-CN"/>
              </w:rPr>
              <w:t>引用的监测点位基本信息详见表3-2，引用监测结果见表3-3，TSP现状达标情况见表3-4。</w:t>
            </w:r>
          </w:p>
          <w:p>
            <w:pPr>
              <w:pStyle w:val="2"/>
              <w:rPr>
                <w:rFonts w:hint="eastAsia" w:cs="Times New Roman"/>
                <w:sz w:val="24"/>
                <w:szCs w:val="24"/>
                <w:highlight w:val="none"/>
                <w:lang w:val="en-US" w:eastAsia="zh-CN"/>
              </w:rPr>
            </w:pPr>
          </w:p>
          <w:p>
            <w:pPr>
              <w:pStyle w:val="20"/>
              <w:rPr>
                <w:rFonts w:hint="default"/>
                <w:highlight w:val="none"/>
                <w:lang w:val="en-US" w:eastAsia="zh-CN"/>
              </w:rPr>
            </w:pPr>
          </w:p>
          <w:p>
            <w:pPr>
              <w:pStyle w:val="5"/>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b/>
                <w:bCs/>
                <w:sz w:val="21"/>
                <w:szCs w:val="21"/>
                <w:highlight w:val="none"/>
                <w:lang w:val="en-US" w:eastAsia="zh-CN"/>
              </w:rPr>
            </w:pPr>
            <w:r>
              <w:rPr>
                <w:rFonts w:hint="eastAsia"/>
                <w:b/>
                <w:bCs/>
                <w:sz w:val="21"/>
                <w:szCs w:val="21"/>
                <w:highlight w:val="none"/>
                <w:lang w:val="en-US" w:eastAsia="zh-CN"/>
              </w:rPr>
              <w:t>表3-2 引用监测点位基本信息一览表</w:t>
            </w:r>
          </w:p>
          <w:tbl>
            <w:tblPr>
              <w:tblStyle w:val="22"/>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30"/>
              <w:gridCol w:w="1340"/>
              <w:gridCol w:w="12"/>
              <w:gridCol w:w="1486"/>
              <w:gridCol w:w="863"/>
              <w:gridCol w:w="1606"/>
              <w:gridCol w:w="877"/>
              <w:gridCol w:w="877"/>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47" w:type="pct"/>
                  <w:vMerge w:val="restart"/>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b/>
                      <w:bCs/>
                      <w:sz w:val="21"/>
                      <w:szCs w:val="21"/>
                      <w:highlight w:val="none"/>
                      <w:lang w:val="en-US" w:eastAsia="zh-CN"/>
                    </w:rPr>
                  </w:pPr>
                  <w:r>
                    <w:rPr>
                      <w:rFonts w:hint="eastAsia"/>
                      <w:b/>
                      <w:bCs/>
                      <w:sz w:val="21"/>
                      <w:szCs w:val="21"/>
                      <w:highlight w:val="none"/>
                      <w:lang w:val="en-US" w:eastAsia="zh-CN"/>
                    </w:rPr>
                    <w:t>监测点位</w:t>
                  </w:r>
                </w:p>
              </w:tc>
              <w:tc>
                <w:tcPr>
                  <w:tcW w:w="1416" w:type="pct"/>
                  <w:gridSpan w:val="3"/>
                  <w:tcBorders>
                    <w:tl2br w:val="nil"/>
                    <w:tr2bl w:val="nil"/>
                  </w:tcBorders>
                  <w:shd w:val="clear" w:color="auto" w:fill="auto"/>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highlight w:val="none"/>
                      <w:lang w:val="en-US" w:eastAsia="zh-CN" w:bidi="ar-SA"/>
                    </w:rPr>
                  </w:pPr>
                  <w:r>
                    <w:rPr>
                      <w:rFonts w:hint="eastAsia"/>
                      <w:b/>
                      <w:bCs/>
                      <w:sz w:val="21"/>
                      <w:szCs w:val="21"/>
                      <w:highlight w:val="none"/>
                      <w:lang w:val="en-US" w:eastAsia="zh-CN"/>
                    </w:rPr>
                    <w:t>监测点位坐标</w:t>
                  </w:r>
                </w:p>
              </w:tc>
              <w:tc>
                <w:tcPr>
                  <w:tcW w:w="569" w:type="pct"/>
                  <w:vMerge w:val="restart"/>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b/>
                      <w:bCs/>
                      <w:sz w:val="21"/>
                      <w:szCs w:val="21"/>
                      <w:highlight w:val="none"/>
                      <w:lang w:val="en-US" w:eastAsia="zh-CN"/>
                    </w:rPr>
                  </w:pPr>
                  <w:r>
                    <w:rPr>
                      <w:rFonts w:hint="eastAsia"/>
                      <w:b/>
                      <w:bCs/>
                      <w:sz w:val="21"/>
                      <w:szCs w:val="21"/>
                      <w:highlight w:val="none"/>
                      <w:lang w:val="en-US" w:eastAsia="zh-CN"/>
                    </w:rPr>
                    <w:t>监测</w:t>
                  </w:r>
                </w:p>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b/>
                      <w:bCs/>
                      <w:sz w:val="21"/>
                      <w:szCs w:val="21"/>
                      <w:highlight w:val="none"/>
                      <w:lang w:val="en-US" w:eastAsia="zh-CN"/>
                    </w:rPr>
                  </w:pPr>
                  <w:r>
                    <w:rPr>
                      <w:rFonts w:hint="eastAsia"/>
                      <w:b/>
                      <w:bCs/>
                      <w:sz w:val="21"/>
                      <w:szCs w:val="21"/>
                      <w:highlight w:val="none"/>
                      <w:lang w:val="en-US" w:eastAsia="zh-CN"/>
                    </w:rPr>
                    <w:t>因子</w:t>
                  </w:r>
                </w:p>
              </w:tc>
              <w:tc>
                <w:tcPr>
                  <w:tcW w:w="1011" w:type="pct"/>
                  <w:vMerge w:val="restart"/>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b/>
                      <w:bCs/>
                      <w:sz w:val="21"/>
                      <w:szCs w:val="21"/>
                      <w:highlight w:val="none"/>
                      <w:lang w:val="en-US" w:eastAsia="zh-CN"/>
                    </w:rPr>
                  </w:pPr>
                  <w:r>
                    <w:rPr>
                      <w:rFonts w:hint="eastAsia"/>
                      <w:b/>
                      <w:bCs/>
                      <w:sz w:val="21"/>
                      <w:szCs w:val="21"/>
                      <w:highlight w:val="none"/>
                      <w:lang w:val="en-US" w:eastAsia="zh-CN"/>
                    </w:rPr>
                    <w:t>监测时段</w:t>
                  </w:r>
                </w:p>
              </w:tc>
              <w:tc>
                <w:tcPr>
                  <w:tcW w:w="577" w:type="pct"/>
                  <w:vMerge w:val="restart"/>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b/>
                      <w:bCs/>
                      <w:sz w:val="21"/>
                      <w:szCs w:val="21"/>
                      <w:highlight w:val="none"/>
                      <w:lang w:val="en-US" w:eastAsia="zh-CN"/>
                    </w:rPr>
                  </w:pPr>
                  <w:r>
                    <w:rPr>
                      <w:rFonts w:hint="eastAsia"/>
                      <w:b/>
                      <w:bCs/>
                      <w:sz w:val="21"/>
                      <w:szCs w:val="21"/>
                      <w:highlight w:val="none"/>
                      <w:lang w:val="en-US" w:eastAsia="zh-CN"/>
                    </w:rPr>
                    <w:t>相对厂址方位</w:t>
                  </w:r>
                </w:p>
              </w:tc>
              <w:tc>
                <w:tcPr>
                  <w:tcW w:w="577" w:type="pct"/>
                  <w:vMerge w:val="restart"/>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b/>
                      <w:bCs/>
                      <w:sz w:val="21"/>
                      <w:szCs w:val="21"/>
                      <w:highlight w:val="none"/>
                      <w:lang w:val="en-US" w:eastAsia="zh-CN"/>
                    </w:rPr>
                  </w:pPr>
                  <w:r>
                    <w:rPr>
                      <w:rFonts w:hint="eastAsia"/>
                      <w:b/>
                      <w:bCs/>
                      <w:sz w:val="21"/>
                      <w:szCs w:val="21"/>
                      <w:highlight w:val="none"/>
                      <w:lang w:val="en-US" w:eastAsia="zh-CN"/>
                    </w:rPr>
                    <w:t>相对厂界距离/km</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847" w:type="pct"/>
                  <w:vMerge w:val="continue"/>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b/>
                      <w:bCs/>
                      <w:sz w:val="21"/>
                      <w:szCs w:val="21"/>
                      <w:highlight w:val="none"/>
                      <w:lang w:val="en-US" w:eastAsia="zh-CN"/>
                    </w:rPr>
                  </w:pPr>
                </w:p>
              </w:tc>
              <w:tc>
                <w:tcPr>
                  <w:tcW w:w="687" w:type="pct"/>
                  <w:tcBorders>
                    <w:tl2br w:val="nil"/>
                    <w:tr2bl w:val="nil"/>
                  </w:tcBorders>
                  <w:shd w:val="clear" w:color="auto" w:fill="auto"/>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highlight w:val="none"/>
                      <w:lang w:val="en-US" w:eastAsia="zh-CN" w:bidi="ar-SA"/>
                    </w:rPr>
                  </w:pPr>
                  <w:r>
                    <w:rPr>
                      <w:rFonts w:hint="eastAsia"/>
                      <w:b/>
                      <w:bCs/>
                      <w:sz w:val="21"/>
                      <w:szCs w:val="21"/>
                      <w:highlight w:val="none"/>
                      <w:lang w:val="en-US" w:eastAsia="zh-CN"/>
                    </w:rPr>
                    <w:t>x</w:t>
                  </w:r>
                </w:p>
              </w:tc>
              <w:tc>
                <w:tcPr>
                  <w:tcW w:w="729" w:type="pct"/>
                  <w:gridSpan w:val="2"/>
                  <w:tcBorders>
                    <w:tl2br w:val="nil"/>
                    <w:tr2bl w:val="nil"/>
                  </w:tcBorders>
                  <w:shd w:val="clear" w:color="auto" w:fill="auto"/>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highlight w:val="none"/>
                      <w:lang w:val="en-US" w:eastAsia="zh-CN" w:bidi="ar-SA"/>
                    </w:rPr>
                  </w:pPr>
                  <w:r>
                    <w:rPr>
                      <w:rFonts w:hint="eastAsia"/>
                      <w:b/>
                      <w:bCs/>
                      <w:sz w:val="21"/>
                      <w:szCs w:val="21"/>
                      <w:highlight w:val="none"/>
                      <w:lang w:val="en-US" w:eastAsia="zh-CN"/>
                    </w:rPr>
                    <w:t>y</w:t>
                  </w:r>
                </w:p>
              </w:tc>
              <w:tc>
                <w:tcPr>
                  <w:tcW w:w="569" w:type="pct"/>
                  <w:vMerge w:val="continue"/>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b/>
                      <w:bCs/>
                      <w:sz w:val="21"/>
                      <w:szCs w:val="21"/>
                      <w:highlight w:val="none"/>
                      <w:lang w:val="en-US" w:eastAsia="zh-CN"/>
                    </w:rPr>
                  </w:pPr>
                </w:p>
              </w:tc>
              <w:tc>
                <w:tcPr>
                  <w:tcW w:w="1011" w:type="pct"/>
                  <w:vMerge w:val="continue"/>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b/>
                      <w:bCs/>
                      <w:sz w:val="21"/>
                      <w:szCs w:val="21"/>
                      <w:highlight w:val="none"/>
                      <w:lang w:val="en-US" w:eastAsia="zh-CN"/>
                    </w:rPr>
                  </w:pPr>
                </w:p>
              </w:tc>
              <w:tc>
                <w:tcPr>
                  <w:tcW w:w="577" w:type="pct"/>
                  <w:vMerge w:val="continue"/>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b/>
                      <w:bCs/>
                      <w:sz w:val="21"/>
                      <w:szCs w:val="21"/>
                      <w:highlight w:val="none"/>
                      <w:lang w:val="en-US" w:eastAsia="zh-CN"/>
                    </w:rPr>
                  </w:pPr>
                </w:p>
              </w:tc>
              <w:tc>
                <w:tcPr>
                  <w:tcW w:w="577" w:type="pct"/>
                  <w:vMerge w:val="continue"/>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b/>
                      <w:bCs/>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847" w:type="pct"/>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cs="Times New Roman"/>
                      <w:color w:val="auto"/>
                      <w:sz w:val="21"/>
                      <w:szCs w:val="21"/>
                      <w:highlight w:val="none"/>
                      <w:lang w:val="en-US" w:eastAsia="zh-CN"/>
                    </w:rPr>
                  </w:pPr>
                  <w:r>
                    <w:rPr>
                      <w:rFonts w:hint="eastAsia"/>
                      <w:sz w:val="21"/>
                      <w:szCs w:val="21"/>
                      <w:highlight w:val="none"/>
                      <w:lang w:val="en-US" w:eastAsia="zh-CN"/>
                    </w:rPr>
                    <w:t>厂区下风向前营子村</w:t>
                  </w:r>
                </w:p>
              </w:tc>
              <w:tc>
                <w:tcPr>
                  <w:tcW w:w="693" w:type="pct"/>
                  <w:gridSpan w:val="2"/>
                  <w:tcBorders>
                    <w:tl2br w:val="nil"/>
                    <w:tr2bl w:val="nil"/>
                  </w:tcBorders>
                  <w:shd w:val="clear" w:color="auto" w:fill="auto"/>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397453.35</w:t>
                  </w:r>
                </w:p>
              </w:tc>
              <w:tc>
                <w:tcPr>
                  <w:tcW w:w="723" w:type="pct"/>
                  <w:tcBorders>
                    <w:tl2br w:val="nil"/>
                    <w:tr2bl w:val="nil"/>
                  </w:tcBorders>
                  <w:shd w:val="clear" w:color="auto" w:fill="auto"/>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4654427.34</w:t>
                  </w:r>
                </w:p>
              </w:tc>
              <w:tc>
                <w:tcPr>
                  <w:tcW w:w="569" w:type="pct"/>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TSP</w:t>
                  </w:r>
                </w:p>
              </w:tc>
              <w:tc>
                <w:tcPr>
                  <w:tcW w:w="1011" w:type="pct"/>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2024年8月25日-8月27日；1次/天，共3天</w:t>
                  </w:r>
                </w:p>
              </w:tc>
              <w:tc>
                <w:tcPr>
                  <w:tcW w:w="577" w:type="pct"/>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SE</w:t>
                  </w:r>
                </w:p>
              </w:tc>
              <w:tc>
                <w:tcPr>
                  <w:tcW w:w="577" w:type="pct"/>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2.353</w:t>
                  </w:r>
                </w:p>
              </w:tc>
            </w:tr>
          </w:tbl>
          <w:p>
            <w:pPr>
              <w:keepNext w:val="0"/>
              <w:keepLines w:val="0"/>
              <w:pageBreakBefore w:val="0"/>
              <w:widowControl w:val="0"/>
              <w:kinsoku/>
              <w:wordWrap/>
              <w:overflowPunct/>
              <w:topLinePunct w:val="0"/>
              <w:autoSpaceDE/>
              <w:autoSpaceDN/>
              <w:bidi w:val="0"/>
              <w:adjustRightInd/>
              <w:snapToGrid/>
              <w:ind w:firstLine="220" w:firstLineChars="200"/>
              <w:jc w:val="left"/>
              <w:textAlignment w:val="auto"/>
              <w:rPr>
                <w:rFonts w:ascii="Times New Roman" w:hAnsi="Times New Roman" w:eastAsia="宋体" w:cs="Times New Roman"/>
                <w:b/>
                <w:sz w:val="11"/>
                <w:szCs w:val="11"/>
                <w:highlight w:val="none"/>
              </w:rPr>
            </w:pPr>
          </w:p>
          <w:p>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eastAsia="宋体" w:cs="Times New Roman"/>
                <w:b/>
                <w:sz w:val="21"/>
                <w:szCs w:val="21"/>
                <w:highlight w:val="none"/>
              </w:rPr>
            </w:pPr>
            <w:r>
              <w:rPr>
                <w:rFonts w:ascii="Times New Roman" w:hAnsi="Times New Roman" w:eastAsia="宋体" w:cs="Times New Roman"/>
                <w:b/>
                <w:sz w:val="21"/>
                <w:szCs w:val="21"/>
                <w:highlight w:val="none"/>
              </w:rPr>
              <w:t>表</w:t>
            </w:r>
            <w:r>
              <w:rPr>
                <w:rFonts w:hint="eastAsia" w:cs="Times New Roman"/>
                <w:b/>
                <w:sz w:val="21"/>
                <w:szCs w:val="21"/>
                <w:highlight w:val="none"/>
                <w:lang w:val="en-US" w:eastAsia="zh-CN"/>
              </w:rPr>
              <w:t>3-3</w:t>
            </w:r>
            <w:r>
              <w:rPr>
                <w:rFonts w:hint="eastAsia" w:ascii="Times New Roman" w:hAnsi="Times New Roman" w:eastAsia="宋体" w:cs="Times New Roman"/>
                <w:b/>
                <w:sz w:val="21"/>
                <w:szCs w:val="21"/>
                <w:highlight w:val="none"/>
                <w:lang w:val="en-US" w:eastAsia="zh-CN"/>
              </w:rPr>
              <w:t xml:space="preserve"> </w:t>
            </w:r>
            <w:r>
              <w:rPr>
                <w:rFonts w:hint="eastAsia" w:cs="Times New Roman"/>
                <w:b/>
                <w:color w:val="auto"/>
                <w:sz w:val="21"/>
                <w:szCs w:val="21"/>
                <w:highlight w:val="none"/>
                <w:lang w:val="en-US" w:eastAsia="zh-CN"/>
              </w:rPr>
              <w:t>引用的TSP环境空气质量现状监</w:t>
            </w:r>
            <w:r>
              <w:rPr>
                <w:rFonts w:hint="eastAsia" w:ascii="Times New Roman" w:hAnsi="Times New Roman" w:eastAsia="宋体" w:cs="Times New Roman"/>
                <w:b/>
                <w:color w:val="auto"/>
                <w:sz w:val="21"/>
                <w:szCs w:val="21"/>
                <w:highlight w:val="none"/>
              </w:rPr>
              <w:t>测结果</w:t>
            </w:r>
            <w:r>
              <w:rPr>
                <w:rFonts w:hint="eastAsia" w:cs="Times New Roman"/>
                <w:b/>
                <w:color w:val="auto"/>
                <w:sz w:val="21"/>
                <w:szCs w:val="21"/>
                <w:highlight w:val="none"/>
                <w:lang w:eastAsia="zh-CN"/>
              </w:rPr>
              <w:t>一览表</w:t>
            </w:r>
          </w:p>
          <w:tbl>
            <w:tblPr>
              <w:tblStyle w:val="21"/>
              <w:tblW w:w="8473"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2057"/>
              <w:gridCol w:w="2200"/>
              <w:gridCol w:w="2797"/>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85" w:type="dxa"/>
                  <w:tcBorders>
                    <w:tl2br w:val="nil"/>
                    <w:tr2bl w:val="nil"/>
                  </w:tcBorders>
                  <w:noWrap w:val="0"/>
                  <w:vAlign w:val="center"/>
                </w:tcPr>
                <w:p>
                  <w:pPr>
                    <w:jc w:val="center"/>
                    <w:rPr>
                      <w:rFonts w:hint="eastAsia"/>
                      <w:b/>
                      <w:bCs/>
                      <w:sz w:val="21"/>
                      <w:szCs w:val="21"/>
                      <w:highlight w:val="none"/>
                    </w:rPr>
                  </w:pPr>
                  <w:r>
                    <w:rPr>
                      <w:rFonts w:hint="eastAsia"/>
                      <w:b/>
                      <w:bCs/>
                      <w:sz w:val="21"/>
                      <w:szCs w:val="21"/>
                      <w:highlight w:val="none"/>
                    </w:rPr>
                    <w:t>采样日期</w:t>
                  </w:r>
                </w:p>
              </w:tc>
              <w:tc>
                <w:tcPr>
                  <w:tcW w:w="2072" w:type="dxa"/>
                  <w:tcBorders>
                    <w:tl2br w:val="nil"/>
                    <w:tr2bl w:val="nil"/>
                  </w:tcBorders>
                  <w:noWrap w:val="0"/>
                  <w:vAlign w:val="center"/>
                </w:tcPr>
                <w:p>
                  <w:pPr>
                    <w:jc w:val="center"/>
                    <w:rPr>
                      <w:rFonts w:hint="default" w:eastAsia="宋体"/>
                      <w:b/>
                      <w:bCs/>
                      <w:sz w:val="21"/>
                      <w:szCs w:val="21"/>
                      <w:highlight w:val="none"/>
                      <w:lang w:val="en-US" w:eastAsia="zh-CN"/>
                    </w:rPr>
                  </w:pPr>
                  <w:r>
                    <w:rPr>
                      <w:rFonts w:hint="eastAsia"/>
                      <w:b/>
                      <w:bCs/>
                      <w:sz w:val="21"/>
                      <w:szCs w:val="21"/>
                      <w:highlight w:val="none"/>
                      <w:lang w:val="en-US" w:eastAsia="zh-CN"/>
                    </w:rPr>
                    <w:t>检测点位</w:t>
                  </w:r>
                </w:p>
              </w:tc>
              <w:tc>
                <w:tcPr>
                  <w:tcW w:w="2203" w:type="dxa"/>
                  <w:tcBorders>
                    <w:tl2br w:val="nil"/>
                    <w:tr2bl w:val="nil"/>
                  </w:tcBorders>
                  <w:noWrap w:val="0"/>
                  <w:vAlign w:val="center"/>
                </w:tcPr>
                <w:p>
                  <w:pPr>
                    <w:jc w:val="center"/>
                    <w:rPr>
                      <w:rFonts w:hint="default"/>
                      <w:b/>
                      <w:bCs/>
                      <w:sz w:val="21"/>
                      <w:szCs w:val="21"/>
                      <w:highlight w:val="none"/>
                      <w:lang w:val="en-US" w:eastAsia="zh-CN"/>
                    </w:rPr>
                  </w:pPr>
                  <w:r>
                    <w:rPr>
                      <w:rFonts w:hint="eastAsia"/>
                      <w:b/>
                      <w:bCs/>
                      <w:sz w:val="21"/>
                      <w:szCs w:val="21"/>
                      <w:highlight w:val="none"/>
                      <w:lang w:val="en-US" w:eastAsia="zh-CN"/>
                    </w:rPr>
                    <w:t>样品编号</w:t>
                  </w:r>
                </w:p>
              </w:tc>
              <w:tc>
                <w:tcPr>
                  <w:tcW w:w="28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eastAsia"/>
                      <w:b/>
                      <w:bCs/>
                      <w:sz w:val="21"/>
                      <w:szCs w:val="21"/>
                      <w:highlight w:val="none"/>
                      <w:lang w:val="en-US" w:eastAsia="zh-CN"/>
                    </w:rPr>
                  </w:pPr>
                  <w:r>
                    <w:rPr>
                      <w:rFonts w:hint="eastAsia"/>
                      <w:b/>
                      <w:bCs/>
                      <w:sz w:val="21"/>
                      <w:szCs w:val="21"/>
                      <w:highlight w:val="none"/>
                    </w:rPr>
                    <w:t>检测结果（日均值</w:t>
                  </w:r>
                  <w:r>
                    <w:rPr>
                      <w:rFonts w:hint="eastAsia" w:eastAsia="宋体" w:cs="Times New Roman"/>
                      <w:b/>
                      <w:sz w:val="21"/>
                      <w:szCs w:val="21"/>
                      <w:highlight w:val="none"/>
                      <w:lang w:eastAsia="zh-CN"/>
                    </w:rPr>
                    <w:t>μ</w:t>
                  </w:r>
                  <w:r>
                    <w:rPr>
                      <w:rFonts w:ascii="Times New Roman" w:hAnsi="Times New Roman" w:eastAsia="宋体" w:cs="Times New Roman"/>
                      <w:b/>
                      <w:sz w:val="21"/>
                      <w:szCs w:val="21"/>
                      <w:highlight w:val="none"/>
                    </w:rPr>
                    <w:t>g/m</w:t>
                  </w:r>
                  <w:r>
                    <w:rPr>
                      <w:rFonts w:ascii="Times New Roman" w:hAnsi="Times New Roman" w:eastAsia="宋体" w:cs="Times New Roman"/>
                      <w:b/>
                      <w:sz w:val="21"/>
                      <w:szCs w:val="21"/>
                      <w:highlight w:val="none"/>
                      <w:vertAlign w:val="superscript"/>
                    </w:rPr>
                    <w:t>3</w:t>
                  </w:r>
                  <w:r>
                    <w:rPr>
                      <w:rFonts w:hint="eastAsia"/>
                      <w:b/>
                      <w:bCs/>
                      <w:sz w:val="21"/>
                      <w:szCs w:val="21"/>
                      <w:highlight w:val="none"/>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85" w:type="dxa"/>
                  <w:tcBorders>
                    <w:tl2br w:val="nil"/>
                    <w:tr2bl w:val="nil"/>
                  </w:tcBorders>
                  <w:noWrap w:val="0"/>
                  <w:vAlign w:val="center"/>
                </w:tcPr>
                <w:p>
                  <w:pPr>
                    <w:jc w:val="center"/>
                    <w:rPr>
                      <w:rFonts w:hint="default" w:eastAsia="宋体"/>
                      <w:sz w:val="21"/>
                      <w:szCs w:val="21"/>
                      <w:highlight w:val="none"/>
                      <w:lang w:val="en-US" w:eastAsia="zh-CN"/>
                    </w:rPr>
                  </w:pPr>
                  <w:r>
                    <w:rPr>
                      <w:rFonts w:hint="eastAsia"/>
                      <w:sz w:val="21"/>
                      <w:szCs w:val="21"/>
                      <w:highlight w:val="none"/>
                      <w:lang w:eastAsia="zh-CN"/>
                    </w:rPr>
                    <w:t>202</w:t>
                  </w:r>
                  <w:r>
                    <w:rPr>
                      <w:rFonts w:hint="eastAsia"/>
                      <w:sz w:val="21"/>
                      <w:szCs w:val="21"/>
                      <w:highlight w:val="none"/>
                      <w:lang w:val="en-US" w:eastAsia="zh-CN"/>
                    </w:rPr>
                    <w:t>4</w:t>
                  </w:r>
                  <w:r>
                    <w:rPr>
                      <w:rFonts w:hint="eastAsia"/>
                      <w:sz w:val="21"/>
                      <w:szCs w:val="21"/>
                      <w:highlight w:val="none"/>
                      <w:lang w:eastAsia="zh-CN"/>
                    </w:rPr>
                    <w:t>.</w:t>
                  </w:r>
                  <w:r>
                    <w:rPr>
                      <w:rFonts w:hint="eastAsia"/>
                      <w:sz w:val="21"/>
                      <w:szCs w:val="21"/>
                      <w:highlight w:val="none"/>
                      <w:lang w:val="en-US" w:eastAsia="zh-CN"/>
                    </w:rPr>
                    <w:t>08.25</w:t>
                  </w:r>
                </w:p>
              </w:tc>
              <w:tc>
                <w:tcPr>
                  <w:tcW w:w="2072" w:type="dxa"/>
                  <w:vMerge w:val="restart"/>
                  <w:tcBorders>
                    <w:tl2br w:val="nil"/>
                    <w:tr2bl w:val="nil"/>
                  </w:tcBorders>
                  <w:noWrap w:val="0"/>
                  <w:vAlign w:val="center"/>
                </w:tcPr>
                <w:p>
                  <w:pPr>
                    <w:jc w:val="center"/>
                    <w:rPr>
                      <w:rFonts w:hint="default"/>
                      <w:kern w:val="2"/>
                      <w:sz w:val="21"/>
                      <w:szCs w:val="21"/>
                      <w:highlight w:val="none"/>
                      <w:lang w:val="en-US" w:eastAsia="zh-CN" w:bidi="ar-SA"/>
                    </w:rPr>
                  </w:pPr>
                  <w:r>
                    <w:rPr>
                      <w:rFonts w:hint="eastAsia"/>
                      <w:sz w:val="21"/>
                      <w:szCs w:val="21"/>
                      <w:highlight w:val="none"/>
                      <w:lang w:val="en-US" w:eastAsia="zh-CN"/>
                    </w:rPr>
                    <w:t>厂区下风向前营子村</w:t>
                  </w:r>
                </w:p>
              </w:tc>
              <w:tc>
                <w:tcPr>
                  <w:tcW w:w="2203" w:type="dxa"/>
                  <w:tcBorders>
                    <w:tl2br w:val="nil"/>
                    <w:tr2bl w:val="nil"/>
                  </w:tcBorders>
                  <w:noWrap w:val="0"/>
                  <w:vAlign w:val="center"/>
                </w:tcPr>
                <w:p>
                  <w:pPr>
                    <w:jc w:val="center"/>
                    <w:rPr>
                      <w:rFonts w:hint="default" w:eastAsia="宋体"/>
                      <w:sz w:val="21"/>
                      <w:szCs w:val="21"/>
                      <w:highlight w:val="none"/>
                      <w:lang w:val="en-US" w:eastAsia="zh-CN"/>
                    </w:rPr>
                  </w:pPr>
                  <w:r>
                    <w:rPr>
                      <w:rFonts w:hint="eastAsia" w:eastAsia="宋体"/>
                      <w:sz w:val="21"/>
                      <w:szCs w:val="21"/>
                      <w:highlight w:val="none"/>
                      <w:lang w:val="en-US" w:eastAsia="zh-CN"/>
                    </w:rPr>
                    <w:t>DW0802405001</w:t>
                  </w:r>
                </w:p>
              </w:tc>
              <w:tc>
                <w:tcPr>
                  <w:tcW w:w="2813" w:type="dxa"/>
                  <w:tcBorders>
                    <w:tl2br w:val="nil"/>
                    <w:tr2bl w:val="nil"/>
                  </w:tcBorders>
                  <w:noWrap w:val="0"/>
                  <w:vAlign w:val="center"/>
                </w:tcPr>
                <w:p>
                  <w:pPr>
                    <w:jc w:val="center"/>
                    <w:rPr>
                      <w:rFonts w:hint="default" w:eastAsia="宋体"/>
                      <w:sz w:val="21"/>
                      <w:szCs w:val="21"/>
                      <w:highlight w:val="none"/>
                      <w:lang w:val="en-US" w:eastAsia="zh-CN"/>
                    </w:rPr>
                  </w:pPr>
                  <w:r>
                    <w:rPr>
                      <w:rFonts w:hint="eastAsia"/>
                      <w:sz w:val="21"/>
                      <w:szCs w:val="21"/>
                      <w:highlight w:val="none"/>
                      <w:lang w:val="en-US" w:eastAsia="zh-CN"/>
                    </w:rPr>
                    <w:t>268</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85" w:type="dxa"/>
                  <w:tcBorders>
                    <w:tl2br w:val="nil"/>
                    <w:tr2bl w:val="nil"/>
                  </w:tcBorders>
                  <w:noWrap w:val="0"/>
                  <w:vAlign w:val="center"/>
                </w:tcPr>
                <w:p>
                  <w:pPr>
                    <w:jc w:val="center"/>
                    <w:rPr>
                      <w:rFonts w:hint="default" w:eastAsia="宋体"/>
                      <w:sz w:val="21"/>
                      <w:szCs w:val="21"/>
                      <w:highlight w:val="none"/>
                      <w:lang w:val="en-US" w:eastAsia="zh-CN"/>
                    </w:rPr>
                  </w:pPr>
                  <w:r>
                    <w:rPr>
                      <w:rFonts w:hint="eastAsia"/>
                      <w:sz w:val="21"/>
                      <w:szCs w:val="21"/>
                      <w:highlight w:val="none"/>
                      <w:lang w:eastAsia="zh-CN"/>
                    </w:rPr>
                    <w:t>202</w:t>
                  </w:r>
                  <w:r>
                    <w:rPr>
                      <w:rFonts w:hint="eastAsia"/>
                      <w:sz w:val="21"/>
                      <w:szCs w:val="21"/>
                      <w:highlight w:val="none"/>
                      <w:lang w:val="en-US" w:eastAsia="zh-CN"/>
                    </w:rPr>
                    <w:t>4</w:t>
                  </w:r>
                  <w:r>
                    <w:rPr>
                      <w:rFonts w:hint="eastAsia"/>
                      <w:sz w:val="21"/>
                      <w:szCs w:val="21"/>
                      <w:highlight w:val="none"/>
                      <w:lang w:eastAsia="zh-CN"/>
                    </w:rPr>
                    <w:t>.0</w:t>
                  </w:r>
                  <w:r>
                    <w:rPr>
                      <w:rFonts w:hint="eastAsia"/>
                      <w:sz w:val="21"/>
                      <w:szCs w:val="21"/>
                      <w:highlight w:val="none"/>
                      <w:lang w:val="en-US" w:eastAsia="zh-CN"/>
                    </w:rPr>
                    <w:t>8.26</w:t>
                  </w:r>
                </w:p>
              </w:tc>
              <w:tc>
                <w:tcPr>
                  <w:tcW w:w="2072" w:type="dxa"/>
                  <w:vMerge w:val="continue"/>
                  <w:tcBorders>
                    <w:tl2br w:val="nil"/>
                    <w:tr2bl w:val="nil"/>
                  </w:tcBorders>
                  <w:noWrap w:val="0"/>
                  <w:vAlign w:val="center"/>
                </w:tcPr>
                <w:p>
                  <w:pPr>
                    <w:jc w:val="center"/>
                    <w:rPr>
                      <w:rFonts w:hint="default"/>
                      <w:kern w:val="2"/>
                      <w:sz w:val="21"/>
                      <w:szCs w:val="21"/>
                      <w:highlight w:val="none"/>
                      <w:lang w:val="en-US" w:eastAsia="zh-CN" w:bidi="ar-SA"/>
                    </w:rPr>
                  </w:pPr>
                </w:p>
              </w:tc>
              <w:tc>
                <w:tcPr>
                  <w:tcW w:w="2203" w:type="dxa"/>
                  <w:tcBorders>
                    <w:tl2br w:val="nil"/>
                    <w:tr2bl w:val="nil"/>
                  </w:tcBorders>
                  <w:noWrap w:val="0"/>
                  <w:vAlign w:val="center"/>
                </w:tcPr>
                <w:p>
                  <w:pPr>
                    <w:jc w:val="center"/>
                    <w:rPr>
                      <w:rFonts w:hint="default" w:eastAsia="宋体"/>
                      <w:sz w:val="21"/>
                      <w:szCs w:val="21"/>
                      <w:highlight w:val="none"/>
                      <w:lang w:val="en-US" w:eastAsia="zh-CN"/>
                    </w:rPr>
                  </w:pPr>
                  <w:r>
                    <w:rPr>
                      <w:rFonts w:hint="eastAsia" w:eastAsia="宋体"/>
                      <w:sz w:val="21"/>
                      <w:szCs w:val="21"/>
                      <w:highlight w:val="none"/>
                      <w:lang w:val="en-US" w:eastAsia="zh-CN"/>
                    </w:rPr>
                    <w:t>DW0802405002</w:t>
                  </w:r>
                </w:p>
              </w:tc>
              <w:tc>
                <w:tcPr>
                  <w:tcW w:w="2813" w:type="dxa"/>
                  <w:tcBorders>
                    <w:tl2br w:val="nil"/>
                    <w:tr2bl w:val="nil"/>
                  </w:tcBorders>
                  <w:noWrap w:val="0"/>
                  <w:vAlign w:val="center"/>
                </w:tcPr>
                <w:p>
                  <w:pPr>
                    <w:jc w:val="center"/>
                    <w:rPr>
                      <w:rFonts w:hint="default" w:eastAsia="宋体"/>
                      <w:sz w:val="21"/>
                      <w:szCs w:val="21"/>
                      <w:highlight w:val="none"/>
                      <w:lang w:val="en-US" w:eastAsia="zh-CN"/>
                    </w:rPr>
                  </w:pPr>
                  <w:r>
                    <w:rPr>
                      <w:rFonts w:hint="eastAsia" w:eastAsia="宋体"/>
                      <w:sz w:val="21"/>
                      <w:szCs w:val="21"/>
                      <w:highlight w:val="none"/>
                      <w:lang w:val="en-US" w:eastAsia="zh-CN"/>
                    </w:rPr>
                    <w:t>224</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85" w:type="dxa"/>
                  <w:tcBorders>
                    <w:tl2br w:val="nil"/>
                    <w:tr2bl w:val="nil"/>
                  </w:tcBorders>
                  <w:noWrap w:val="0"/>
                  <w:vAlign w:val="center"/>
                </w:tcPr>
                <w:p>
                  <w:pPr>
                    <w:jc w:val="center"/>
                    <w:rPr>
                      <w:rFonts w:hint="default" w:eastAsia="宋体"/>
                      <w:sz w:val="21"/>
                      <w:szCs w:val="21"/>
                      <w:highlight w:val="none"/>
                      <w:lang w:val="en-US" w:eastAsia="zh-CN"/>
                    </w:rPr>
                  </w:pPr>
                  <w:r>
                    <w:rPr>
                      <w:rFonts w:hint="eastAsia"/>
                      <w:sz w:val="21"/>
                      <w:szCs w:val="21"/>
                      <w:highlight w:val="none"/>
                      <w:lang w:eastAsia="zh-CN"/>
                    </w:rPr>
                    <w:t>202</w:t>
                  </w:r>
                  <w:r>
                    <w:rPr>
                      <w:rFonts w:hint="eastAsia"/>
                      <w:sz w:val="21"/>
                      <w:szCs w:val="21"/>
                      <w:highlight w:val="none"/>
                      <w:lang w:val="en-US" w:eastAsia="zh-CN"/>
                    </w:rPr>
                    <w:t>4</w:t>
                  </w:r>
                  <w:r>
                    <w:rPr>
                      <w:rFonts w:hint="eastAsia"/>
                      <w:sz w:val="21"/>
                      <w:szCs w:val="21"/>
                      <w:highlight w:val="none"/>
                      <w:lang w:eastAsia="zh-CN"/>
                    </w:rPr>
                    <w:t>.0</w:t>
                  </w:r>
                  <w:r>
                    <w:rPr>
                      <w:rFonts w:hint="eastAsia"/>
                      <w:sz w:val="21"/>
                      <w:szCs w:val="21"/>
                      <w:highlight w:val="none"/>
                      <w:lang w:val="en-US" w:eastAsia="zh-CN"/>
                    </w:rPr>
                    <w:t>8.27</w:t>
                  </w:r>
                </w:p>
              </w:tc>
              <w:tc>
                <w:tcPr>
                  <w:tcW w:w="2072" w:type="dxa"/>
                  <w:vMerge w:val="continue"/>
                  <w:tcBorders>
                    <w:tl2br w:val="nil"/>
                    <w:tr2bl w:val="nil"/>
                  </w:tcBorders>
                  <w:noWrap w:val="0"/>
                  <w:vAlign w:val="center"/>
                </w:tcPr>
                <w:p>
                  <w:pPr>
                    <w:jc w:val="center"/>
                    <w:rPr>
                      <w:rFonts w:hint="default"/>
                      <w:kern w:val="2"/>
                      <w:sz w:val="21"/>
                      <w:szCs w:val="21"/>
                      <w:highlight w:val="none"/>
                      <w:lang w:val="en-US" w:eastAsia="zh-CN" w:bidi="ar-SA"/>
                    </w:rPr>
                  </w:pPr>
                </w:p>
              </w:tc>
              <w:tc>
                <w:tcPr>
                  <w:tcW w:w="2203" w:type="dxa"/>
                  <w:tcBorders>
                    <w:tl2br w:val="nil"/>
                    <w:tr2bl w:val="nil"/>
                  </w:tcBorders>
                  <w:noWrap w:val="0"/>
                  <w:vAlign w:val="center"/>
                </w:tcPr>
                <w:p>
                  <w:pPr>
                    <w:jc w:val="center"/>
                    <w:rPr>
                      <w:rFonts w:hint="default" w:eastAsia="宋体"/>
                      <w:sz w:val="21"/>
                      <w:szCs w:val="21"/>
                      <w:highlight w:val="none"/>
                      <w:lang w:val="en-US" w:eastAsia="zh-CN"/>
                    </w:rPr>
                  </w:pPr>
                  <w:r>
                    <w:rPr>
                      <w:rFonts w:hint="eastAsia" w:eastAsia="宋体"/>
                      <w:sz w:val="21"/>
                      <w:szCs w:val="21"/>
                      <w:highlight w:val="none"/>
                      <w:lang w:val="en-US" w:eastAsia="zh-CN"/>
                    </w:rPr>
                    <w:t>DW0802405003</w:t>
                  </w:r>
                </w:p>
              </w:tc>
              <w:tc>
                <w:tcPr>
                  <w:tcW w:w="2813" w:type="dxa"/>
                  <w:tcBorders>
                    <w:tl2br w:val="nil"/>
                    <w:tr2bl w:val="nil"/>
                  </w:tcBorders>
                  <w:noWrap w:val="0"/>
                  <w:vAlign w:val="center"/>
                </w:tcPr>
                <w:p>
                  <w:pPr>
                    <w:jc w:val="center"/>
                    <w:rPr>
                      <w:rFonts w:hint="default" w:eastAsia="宋体"/>
                      <w:sz w:val="21"/>
                      <w:szCs w:val="21"/>
                      <w:highlight w:val="none"/>
                      <w:lang w:val="en-US" w:eastAsia="zh-CN"/>
                    </w:rPr>
                  </w:pPr>
                  <w:r>
                    <w:rPr>
                      <w:rFonts w:hint="eastAsia" w:eastAsia="宋体"/>
                      <w:sz w:val="21"/>
                      <w:szCs w:val="21"/>
                      <w:highlight w:val="none"/>
                      <w:lang w:val="en-US" w:eastAsia="zh-CN"/>
                    </w:rPr>
                    <w:t>245</w:t>
                  </w:r>
                </w:p>
              </w:tc>
            </w:tr>
          </w:tbl>
          <w:p>
            <w:pPr>
              <w:keepNext w:val="0"/>
              <w:keepLines w:val="0"/>
              <w:pageBreakBefore w:val="0"/>
              <w:widowControl w:val="0"/>
              <w:kinsoku/>
              <w:wordWrap/>
              <w:overflowPunct/>
              <w:topLinePunct w:val="0"/>
              <w:autoSpaceDE/>
              <w:autoSpaceDN/>
              <w:bidi w:val="0"/>
              <w:adjustRightInd/>
              <w:snapToGrid/>
              <w:spacing w:line="240" w:lineRule="auto"/>
              <w:ind w:firstLine="220" w:firstLineChars="200"/>
              <w:jc w:val="center"/>
              <w:textAlignment w:val="auto"/>
              <w:rPr>
                <w:rFonts w:hint="eastAsia" w:ascii="Times New Roman" w:hAnsi="Times New Roman" w:eastAsia="宋体" w:cs="Times New Roman"/>
                <w:b/>
                <w:sz w:val="11"/>
                <w:szCs w:val="1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1" w:firstLineChars="200"/>
              <w:jc w:val="center"/>
              <w:textAlignment w:val="auto"/>
              <w:rPr>
                <w:rFonts w:hint="default"/>
                <w:b/>
                <w:bCs/>
                <w:sz w:val="21"/>
                <w:szCs w:val="21"/>
                <w:highlight w:val="none"/>
                <w:lang w:val="en-US" w:eastAsia="zh-CN"/>
              </w:rPr>
            </w:pPr>
            <w:r>
              <w:rPr>
                <w:rFonts w:hint="eastAsia" w:ascii="Times New Roman" w:hAnsi="Times New Roman" w:eastAsia="宋体" w:cs="Times New Roman"/>
                <w:b/>
                <w:sz w:val="21"/>
                <w:szCs w:val="21"/>
                <w:highlight w:val="none"/>
                <w:lang w:val="en-US" w:eastAsia="zh-CN"/>
              </w:rPr>
              <w:t>表3-4</w:t>
            </w:r>
            <w:r>
              <w:rPr>
                <w:rFonts w:hint="eastAsia" w:eastAsia="宋体" w:cs="Times New Roman"/>
                <w:b/>
                <w:sz w:val="21"/>
                <w:szCs w:val="21"/>
                <w:highlight w:val="none"/>
                <w:lang w:val="en-US" w:eastAsia="zh-CN"/>
              </w:rPr>
              <w:t xml:space="preserve"> </w:t>
            </w:r>
            <w:r>
              <w:rPr>
                <w:rFonts w:hint="eastAsia" w:cs="Times New Roman"/>
                <w:b/>
                <w:sz w:val="21"/>
                <w:szCs w:val="21"/>
                <w:highlight w:val="none"/>
                <w:lang w:val="en-US" w:eastAsia="zh-CN"/>
              </w:rPr>
              <w:t xml:space="preserve"> </w:t>
            </w:r>
            <w:r>
              <w:rPr>
                <w:rFonts w:hint="eastAsia" w:eastAsia="宋体" w:cs="Times New Roman"/>
                <w:b/>
                <w:sz w:val="21"/>
                <w:szCs w:val="21"/>
                <w:highlight w:val="none"/>
                <w:lang w:val="en-US" w:eastAsia="zh-CN"/>
              </w:rPr>
              <w:t>TSP现状达标情况一览表</w:t>
            </w:r>
          </w:p>
          <w:tbl>
            <w:tblPr>
              <w:tblStyle w:val="22"/>
              <w:tblW w:w="4997"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43"/>
              <w:gridCol w:w="950"/>
              <w:gridCol w:w="1895"/>
              <w:gridCol w:w="1595"/>
              <w:gridCol w:w="1722"/>
              <w:gridCol w:w="881"/>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806" w:type="pct"/>
                  <w:tcBorders>
                    <w:tl2br w:val="nil"/>
                    <w:tr2bl w:val="nil"/>
                  </w:tcBorders>
                  <w:noWrap w:val="0"/>
                  <w:vAlign w:val="center"/>
                </w:tcPr>
                <w:p>
                  <w:pPr>
                    <w:bidi w:val="0"/>
                    <w:spacing w:line="240" w:lineRule="auto"/>
                    <w:jc w:val="center"/>
                    <w:rPr>
                      <w:rFonts w:hint="default"/>
                      <w:b/>
                      <w:bCs/>
                      <w:color w:val="auto"/>
                      <w:sz w:val="21"/>
                      <w:szCs w:val="21"/>
                      <w:highlight w:val="none"/>
                      <w:vertAlign w:val="baseline"/>
                      <w:lang w:val="en-US" w:eastAsia="zh-CN"/>
                    </w:rPr>
                  </w:pPr>
                  <w:r>
                    <w:rPr>
                      <w:rFonts w:hint="eastAsia"/>
                      <w:b/>
                      <w:bCs/>
                      <w:color w:val="auto"/>
                      <w:sz w:val="21"/>
                      <w:szCs w:val="21"/>
                      <w:highlight w:val="none"/>
                      <w:vertAlign w:val="baseline"/>
                      <w:lang w:val="en-US" w:eastAsia="zh-CN"/>
                    </w:rPr>
                    <w:t>监测点位</w:t>
                  </w:r>
                </w:p>
              </w:tc>
              <w:tc>
                <w:tcPr>
                  <w:tcW w:w="572" w:type="pct"/>
                  <w:tcBorders>
                    <w:tl2br w:val="nil"/>
                    <w:tr2bl w:val="nil"/>
                  </w:tcBorders>
                  <w:noWrap w:val="0"/>
                  <w:vAlign w:val="center"/>
                </w:tcPr>
                <w:p>
                  <w:pPr>
                    <w:bidi w:val="0"/>
                    <w:spacing w:line="240" w:lineRule="auto"/>
                    <w:jc w:val="center"/>
                    <w:rPr>
                      <w:rFonts w:hint="eastAsia"/>
                      <w:b/>
                      <w:bCs/>
                      <w:sz w:val="21"/>
                      <w:szCs w:val="21"/>
                      <w:highlight w:val="none"/>
                      <w:vertAlign w:val="baseline"/>
                      <w:lang w:val="en-US" w:eastAsia="zh-CN"/>
                    </w:rPr>
                  </w:pPr>
                  <w:r>
                    <w:rPr>
                      <w:rFonts w:hint="eastAsia"/>
                      <w:b/>
                      <w:bCs/>
                      <w:sz w:val="21"/>
                      <w:szCs w:val="21"/>
                      <w:highlight w:val="none"/>
                      <w:vertAlign w:val="baseline"/>
                      <w:lang w:val="en-US" w:eastAsia="zh-CN"/>
                    </w:rPr>
                    <w:t>污染物</w:t>
                  </w:r>
                </w:p>
              </w:tc>
              <w:tc>
                <w:tcPr>
                  <w:tcW w:w="1135" w:type="pct"/>
                  <w:tcBorders>
                    <w:tl2br w:val="nil"/>
                    <w:tr2bl w:val="nil"/>
                  </w:tcBorders>
                  <w:noWrap w:val="0"/>
                  <w:vAlign w:val="center"/>
                </w:tcPr>
                <w:p>
                  <w:pPr>
                    <w:bidi w:val="0"/>
                    <w:spacing w:line="240" w:lineRule="auto"/>
                    <w:jc w:val="center"/>
                    <w:rPr>
                      <w:rFonts w:hint="default"/>
                      <w:b/>
                      <w:bCs/>
                      <w:sz w:val="21"/>
                      <w:szCs w:val="21"/>
                      <w:highlight w:val="none"/>
                      <w:vertAlign w:val="baseline"/>
                      <w:lang w:val="en-US" w:eastAsia="zh-CN"/>
                    </w:rPr>
                  </w:pPr>
                  <w:r>
                    <w:rPr>
                      <w:rFonts w:hint="eastAsia"/>
                      <w:b/>
                      <w:bCs/>
                      <w:sz w:val="21"/>
                      <w:szCs w:val="21"/>
                      <w:highlight w:val="none"/>
                      <w:vertAlign w:val="baseline"/>
                      <w:lang w:val="en-US" w:eastAsia="zh-CN"/>
                    </w:rPr>
                    <w:t>评价标准（日均值）</w:t>
                  </w:r>
                  <w:r>
                    <w:rPr>
                      <w:rFonts w:ascii="Times New Roman" w:hAnsi="Times New Roman" w:eastAsia="宋体" w:cs="Times New Roman"/>
                      <w:b/>
                      <w:sz w:val="21"/>
                      <w:szCs w:val="21"/>
                      <w:highlight w:val="none"/>
                    </w:rPr>
                    <w:t>mg/m</w:t>
                  </w:r>
                  <w:r>
                    <w:rPr>
                      <w:rFonts w:ascii="Times New Roman" w:hAnsi="Times New Roman" w:eastAsia="宋体" w:cs="Times New Roman"/>
                      <w:b/>
                      <w:sz w:val="21"/>
                      <w:szCs w:val="21"/>
                      <w:highlight w:val="none"/>
                      <w:vertAlign w:val="superscript"/>
                    </w:rPr>
                    <w:t>3</w:t>
                  </w:r>
                </w:p>
              </w:tc>
              <w:tc>
                <w:tcPr>
                  <w:tcW w:w="921" w:type="pct"/>
                  <w:tcBorders>
                    <w:tl2br w:val="nil"/>
                    <w:tr2bl w:val="nil"/>
                  </w:tcBorders>
                  <w:noWrap w:val="0"/>
                  <w:vAlign w:val="center"/>
                </w:tcPr>
                <w:p>
                  <w:pPr>
                    <w:bidi w:val="0"/>
                    <w:spacing w:line="240" w:lineRule="auto"/>
                    <w:jc w:val="center"/>
                    <w:rPr>
                      <w:rFonts w:hint="default"/>
                      <w:b/>
                      <w:bCs/>
                      <w:sz w:val="21"/>
                      <w:szCs w:val="21"/>
                      <w:highlight w:val="none"/>
                      <w:vertAlign w:val="baseline"/>
                      <w:lang w:val="en-US" w:eastAsia="zh-CN"/>
                    </w:rPr>
                  </w:pPr>
                  <w:r>
                    <w:rPr>
                      <w:rFonts w:hint="eastAsia"/>
                      <w:b/>
                      <w:bCs/>
                      <w:sz w:val="21"/>
                      <w:szCs w:val="21"/>
                      <w:highlight w:val="none"/>
                      <w:vertAlign w:val="baseline"/>
                      <w:lang w:val="en-US" w:eastAsia="zh-CN"/>
                    </w:rPr>
                    <w:t>监测浓度范围</w:t>
                  </w:r>
                  <w:r>
                    <w:rPr>
                      <w:rFonts w:ascii="Times New Roman" w:hAnsi="Times New Roman" w:eastAsia="宋体" w:cs="Times New Roman"/>
                      <w:b/>
                      <w:sz w:val="21"/>
                      <w:szCs w:val="21"/>
                      <w:highlight w:val="none"/>
                    </w:rPr>
                    <w:t>mg/m</w:t>
                  </w:r>
                  <w:r>
                    <w:rPr>
                      <w:rFonts w:ascii="Times New Roman" w:hAnsi="Times New Roman" w:eastAsia="宋体" w:cs="Times New Roman"/>
                      <w:b/>
                      <w:sz w:val="21"/>
                      <w:szCs w:val="21"/>
                      <w:highlight w:val="none"/>
                      <w:vertAlign w:val="superscript"/>
                    </w:rPr>
                    <w:t>3</w:t>
                  </w:r>
                </w:p>
              </w:tc>
              <w:tc>
                <w:tcPr>
                  <w:tcW w:w="1032" w:type="pct"/>
                  <w:tcBorders>
                    <w:tl2br w:val="nil"/>
                    <w:tr2bl w:val="nil"/>
                  </w:tcBorders>
                  <w:noWrap w:val="0"/>
                  <w:vAlign w:val="center"/>
                </w:tcPr>
                <w:p>
                  <w:pPr>
                    <w:bidi w:val="0"/>
                    <w:spacing w:line="240" w:lineRule="auto"/>
                    <w:jc w:val="center"/>
                    <w:rPr>
                      <w:rFonts w:hint="default"/>
                      <w:b/>
                      <w:bCs/>
                      <w:sz w:val="21"/>
                      <w:szCs w:val="21"/>
                      <w:highlight w:val="none"/>
                      <w:vertAlign w:val="baseline"/>
                      <w:lang w:val="en-US" w:eastAsia="zh-CN"/>
                    </w:rPr>
                  </w:pPr>
                  <w:r>
                    <w:rPr>
                      <w:rFonts w:hint="eastAsia"/>
                      <w:b/>
                      <w:bCs/>
                      <w:sz w:val="21"/>
                      <w:szCs w:val="21"/>
                      <w:highlight w:val="none"/>
                      <w:vertAlign w:val="baseline"/>
                      <w:lang w:val="en-US" w:eastAsia="zh-CN"/>
                    </w:rPr>
                    <w:t>最大浓度占标率%</w:t>
                  </w:r>
                </w:p>
              </w:tc>
              <w:tc>
                <w:tcPr>
                  <w:tcW w:w="531" w:type="pct"/>
                  <w:tcBorders>
                    <w:tl2br w:val="nil"/>
                    <w:tr2bl w:val="nil"/>
                  </w:tcBorders>
                  <w:noWrap w:val="0"/>
                  <w:vAlign w:val="center"/>
                </w:tcPr>
                <w:p>
                  <w:pPr>
                    <w:bidi w:val="0"/>
                    <w:spacing w:line="240" w:lineRule="auto"/>
                    <w:jc w:val="center"/>
                    <w:rPr>
                      <w:rFonts w:hint="eastAsia"/>
                      <w:b/>
                      <w:bCs/>
                      <w:sz w:val="21"/>
                      <w:szCs w:val="21"/>
                      <w:highlight w:val="none"/>
                      <w:vertAlign w:val="baseline"/>
                      <w:lang w:val="en-US" w:eastAsia="zh-CN"/>
                    </w:rPr>
                  </w:pPr>
                  <w:r>
                    <w:rPr>
                      <w:rFonts w:hint="eastAsia"/>
                      <w:b/>
                      <w:bCs/>
                      <w:sz w:val="21"/>
                      <w:szCs w:val="21"/>
                      <w:highlight w:val="none"/>
                      <w:vertAlign w:val="baseline"/>
                      <w:lang w:val="en-US" w:eastAsia="zh-CN"/>
                    </w:rPr>
                    <w:t>达标</w:t>
                  </w:r>
                </w:p>
                <w:p>
                  <w:pPr>
                    <w:bidi w:val="0"/>
                    <w:spacing w:line="240" w:lineRule="auto"/>
                    <w:jc w:val="center"/>
                    <w:rPr>
                      <w:rFonts w:hint="eastAsia"/>
                      <w:b/>
                      <w:bCs/>
                      <w:sz w:val="21"/>
                      <w:szCs w:val="21"/>
                      <w:highlight w:val="none"/>
                      <w:vertAlign w:val="baseline"/>
                      <w:lang w:val="en-US" w:eastAsia="zh-CN"/>
                    </w:rPr>
                  </w:pPr>
                  <w:r>
                    <w:rPr>
                      <w:rFonts w:hint="eastAsia"/>
                      <w:b/>
                      <w:bCs/>
                      <w:sz w:val="21"/>
                      <w:szCs w:val="21"/>
                      <w:highlight w:val="none"/>
                      <w:vertAlign w:val="baseline"/>
                      <w:lang w:val="en-US" w:eastAsia="zh-CN"/>
                    </w:rPr>
                    <w:t>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06" w:type="pct"/>
                  <w:tcBorders>
                    <w:tl2br w:val="nil"/>
                    <w:tr2bl w:val="nil"/>
                  </w:tcBorders>
                  <w:noWrap w:val="0"/>
                  <w:vAlign w:val="center"/>
                </w:tcPr>
                <w:p>
                  <w:pPr>
                    <w:bidi w:val="0"/>
                    <w:spacing w:line="240" w:lineRule="auto"/>
                    <w:jc w:val="center"/>
                    <w:rPr>
                      <w:rFonts w:hint="default"/>
                      <w:color w:val="auto"/>
                      <w:sz w:val="21"/>
                      <w:szCs w:val="21"/>
                      <w:highlight w:val="none"/>
                      <w:vertAlign w:val="baseline"/>
                      <w:lang w:val="en-US" w:eastAsia="zh-CN"/>
                    </w:rPr>
                  </w:pPr>
                  <w:r>
                    <w:rPr>
                      <w:rFonts w:hint="eastAsia"/>
                      <w:sz w:val="21"/>
                      <w:szCs w:val="21"/>
                      <w:highlight w:val="none"/>
                      <w:lang w:val="en-US" w:eastAsia="zh-CN"/>
                    </w:rPr>
                    <w:t>厂区下风向前营子村</w:t>
                  </w:r>
                </w:p>
              </w:tc>
              <w:tc>
                <w:tcPr>
                  <w:tcW w:w="572" w:type="pct"/>
                  <w:tcBorders>
                    <w:tl2br w:val="nil"/>
                    <w:tr2bl w:val="nil"/>
                  </w:tcBorders>
                  <w:noWrap w:val="0"/>
                  <w:vAlign w:val="center"/>
                </w:tcPr>
                <w:p>
                  <w:pPr>
                    <w:bidi w:val="0"/>
                    <w:spacing w:line="240" w:lineRule="auto"/>
                    <w:jc w:val="center"/>
                    <w:rPr>
                      <w:rFonts w:hint="default"/>
                      <w:sz w:val="21"/>
                      <w:szCs w:val="21"/>
                      <w:highlight w:val="none"/>
                      <w:vertAlign w:val="baseline"/>
                      <w:lang w:val="en-US" w:eastAsia="zh-CN"/>
                    </w:rPr>
                  </w:pPr>
                  <w:r>
                    <w:rPr>
                      <w:rFonts w:hint="eastAsia"/>
                      <w:sz w:val="21"/>
                      <w:szCs w:val="21"/>
                      <w:highlight w:val="none"/>
                      <w:vertAlign w:val="baseline"/>
                      <w:lang w:val="en-US" w:eastAsia="zh-CN"/>
                    </w:rPr>
                    <w:t>TSP</w:t>
                  </w:r>
                </w:p>
              </w:tc>
              <w:tc>
                <w:tcPr>
                  <w:tcW w:w="1135" w:type="pct"/>
                  <w:tcBorders>
                    <w:tl2br w:val="nil"/>
                    <w:tr2bl w:val="nil"/>
                  </w:tcBorders>
                  <w:noWrap w:val="0"/>
                  <w:vAlign w:val="center"/>
                </w:tcPr>
                <w:p>
                  <w:pPr>
                    <w:bidi w:val="0"/>
                    <w:spacing w:line="240" w:lineRule="auto"/>
                    <w:jc w:val="center"/>
                    <w:rPr>
                      <w:rFonts w:hint="default"/>
                      <w:sz w:val="21"/>
                      <w:szCs w:val="21"/>
                      <w:highlight w:val="none"/>
                      <w:vertAlign w:val="baseline"/>
                      <w:lang w:val="en-US" w:eastAsia="zh-CN"/>
                    </w:rPr>
                  </w:pPr>
                  <w:r>
                    <w:rPr>
                      <w:rFonts w:hint="eastAsia"/>
                      <w:sz w:val="21"/>
                      <w:szCs w:val="21"/>
                      <w:highlight w:val="none"/>
                      <w:vertAlign w:val="baseline"/>
                      <w:lang w:val="en-US" w:eastAsia="zh-CN"/>
                    </w:rPr>
                    <w:t>0.3</w:t>
                  </w:r>
                </w:p>
              </w:tc>
              <w:tc>
                <w:tcPr>
                  <w:tcW w:w="921" w:type="pct"/>
                  <w:tcBorders>
                    <w:tl2br w:val="nil"/>
                    <w:tr2bl w:val="nil"/>
                  </w:tcBorders>
                  <w:noWrap w:val="0"/>
                  <w:vAlign w:val="center"/>
                </w:tcPr>
                <w:p>
                  <w:pPr>
                    <w:bidi w:val="0"/>
                    <w:spacing w:line="240" w:lineRule="auto"/>
                    <w:jc w:val="center"/>
                    <w:rPr>
                      <w:rFonts w:hint="default"/>
                      <w:sz w:val="21"/>
                      <w:szCs w:val="21"/>
                      <w:highlight w:val="none"/>
                      <w:vertAlign w:val="baseline"/>
                      <w:lang w:val="en-US" w:eastAsia="zh-CN"/>
                    </w:rPr>
                  </w:pPr>
                  <w:r>
                    <w:rPr>
                      <w:rFonts w:hint="eastAsia"/>
                      <w:sz w:val="21"/>
                      <w:szCs w:val="21"/>
                      <w:highlight w:val="none"/>
                      <w:vertAlign w:val="baseline"/>
                      <w:lang w:val="en-US" w:eastAsia="zh-CN"/>
                    </w:rPr>
                    <w:t>0.224~0.268</w:t>
                  </w:r>
                </w:p>
              </w:tc>
              <w:tc>
                <w:tcPr>
                  <w:tcW w:w="1032" w:type="pct"/>
                  <w:tcBorders>
                    <w:tl2br w:val="nil"/>
                    <w:tr2bl w:val="nil"/>
                  </w:tcBorders>
                  <w:noWrap w:val="0"/>
                  <w:vAlign w:val="center"/>
                </w:tcPr>
                <w:p>
                  <w:pPr>
                    <w:bidi w:val="0"/>
                    <w:spacing w:line="240" w:lineRule="auto"/>
                    <w:jc w:val="center"/>
                    <w:rPr>
                      <w:rFonts w:hint="default"/>
                      <w:sz w:val="21"/>
                      <w:szCs w:val="21"/>
                      <w:highlight w:val="none"/>
                      <w:vertAlign w:val="baseline"/>
                      <w:lang w:val="en-US" w:eastAsia="zh-CN"/>
                    </w:rPr>
                  </w:pPr>
                  <w:r>
                    <w:rPr>
                      <w:rFonts w:hint="eastAsia"/>
                      <w:sz w:val="21"/>
                      <w:szCs w:val="21"/>
                      <w:highlight w:val="none"/>
                      <w:vertAlign w:val="baseline"/>
                      <w:lang w:val="en-US" w:eastAsia="zh-CN"/>
                    </w:rPr>
                    <w:t>89.3</w:t>
                  </w:r>
                </w:p>
              </w:tc>
              <w:tc>
                <w:tcPr>
                  <w:tcW w:w="531" w:type="pct"/>
                  <w:tcBorders>
                    <w:tl2br w:val="nil"/>
                    <w:tr2bl w:val="nil"/>
                  </w:tcBorders>
                  <w:noWrap w:val="0"/>
                  <w:vAlign w:val="center"/>
                </w:tcPr>
                <w:p>
                  <w:pPr>
                    <w:bidi w:val="0"/>
                    <w:spacing w:line="240" w:lineRule="auto"/>
                    <w:jc w:val="center"/>
                    <w:rPr>
                      <w:rFonts w:hint="default"/>
                      <w:sz w:val="21"/>
                      <w:szCs w:val="21"/>
                      <w:highlight w:val="none"/>
                      <w:vertAlign w:val="baseline"/>
                      <w:lang w:val="en-US" w:eastAsia="zh-CN"/>
                    </w:rPr>
                  </w:pPr>
                  <w:r>
                    <w:rPr>
                      <w:rFonts w:hint="eastAsia"/>
                      <w:sz w:val="21"/>
                      <w:szCs w:val="21"/>
                      <w:highlight w:val="none"/>
                      <w:vertAlign w:val="baseline"/>
                      <w:lang w:val="en-US" w:eastAsia="zh-CN"/>
                    </w:rPr>
                    <w:t>达标</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由</w:t>
            </w:r>
            <w:r>
              <w:rPr>
                <w:rFonts w:hint="eastAsia" w:ascii="宋体" w:hAnsi="宋体" w:cs="宋体"/>
                <w:sz w:val="24"/>
                <w:szCs w:val="24"/>
                <w:highlight w:val="none"/>
                <w:lang w:val="en-US" w:eastAsia="zh-CN"/>
              </w:rPr>
              <w:t>上表</w:t>
            </w:r>
            <w:r>
              <w:rPr>
                <w:rFonts w:hint="eastAsia" w:ascii="宋体" w:hAnsi="宋体" w:eastAsia="宋体" w:cs="宋体"/>
                <w:sz w:val="24"/>
                <w:szCs w:val="24"/>
                <w:highlight w:val="none"/>
              </w:rPr>
              <w:t>可知，</w:t>
            </w:r>
            <w:r>
              <w:rPr>
                <w:rFonts w:hint="default"/>
                <w:sz w:val="24"/>
                <w:szCs w:val="24"/>
                <w:highlight w:val="none"/>
                <w:lang w:val="en-US" w:eastAsia="zh-CN"/>
              </w:rPr>
              <w:t>TSP</w:t>
            </w:r>
            <w:r>
              <w:rPr>
                <w:rFonts w:hint="eastAsia" w:ascii="宋体" w:hAnsi="宋体" w:cs="宋体"/>
                <w:sz w:val="24"/>
                <w:szCs w:val="24"/>
                <w:highlight w:val="none"/>
                <w:lang w:eastAsia="zh-CN"/>
              </w:rPr>
              <w:t>满足</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环境空气质量标准</w:t>
            </w:r>
            <w:r>
              <w:rPr>
                <w:rFonts w:hint="eastAsia" w:ascii="宋体" w:hAnsi="宋体" w:eastAsia="宋体" w:cs="宋体"/>
                <w:sz w:val="24"/>
                <w:szCs w:val="24"/>
                <w:highlight w:val="none"/>
              </w:rPr>
              <w:t>》</w:t>
            </w:r>
            <w:r>
              <w:rPr>
                <w:rFonts w:hint="eastAsia" w:ascii="宋体" w:hAnsi="宋体" w:cs="宋体"/>
                <w:sz w:val="24"/>
                <w:szCs w:val="24"/>
                <w:highlight w:val="none"/>
                <w:lang w:eastAsia="zh-CN"/>
              </w:rPr>
              <w:t>（</w:t>
            </w:r>
            <w:r>
              <w:rPr>
                <w:rFonts w:hint="default" w:ascii="Times New Roman Regular" w:hAnsi="Times New Roman Regular" w:cs="Times New Roman Regular"/>
                <w:sz w:val="24"/>
                <w:szCs w:val="24"/>
                <w:highlight w:val="none"/>
                <w:lang w:val="en-US" w:eastAsia="zh-CN"/>
              </w:rPr>
              <w:t>GB 3095-20</w:t>
            </w:r>
            <w:r>
              <w:rPr>
                <w:rFonts w:hint="eastAsia" w:ascii="Times New Roman Regular" w:hAnsi="Times New Roman Regular" w:cs="Times New Roman Regular"/>
                <w:sz w:val="24"/>
                <w:szCs w:val="24"/>
                <w:highlight w:val="none"/>
                <w:lang w:val="en-US" w:eastAsia="zh-CN"/>
              </w:rPr>
              <w:t>26）</w:t>
            </w:r>
            <w:r>
              <w:rPr>
                <w:rFonts w:hint="eastAsia" w:ascii="宋体" w:hAnsi="宋体" w:cs="宋体"/>
                <w:sz w:val="24"/>
                <w:szCs w:val="24"/>
                <w:highlight w:val="none"/>
                <w:lang w:val="en-US" w:eastAsia="zh-CN"/>
              </w:rPr>
              <w:t>表</w:t>
            </w:r>
            <w:r>
              <w:rPr>
                <w:rFonts w:hint="default" w:ascii="Times New Roman" w:hAnsi="Times New Roman" w:cs="Times New Roman"/>
                <w:sz w:val="24"/>
                <w:szCs w:val="24"/>
                <w:highlight w:val="none"/>
                <w:lang w:val="en-US" w:eastAsia="zh-CN"/>
              </w:rPr>
              <w:t>2</w:t>
            </w:r>
            <w:r>
              <w:rPr>
                <w:rFonts w:hint="eastAsia" w:ascii="宋体" w:hAnsi="宋体" w:cs="宋体"/>
                <w:sz w:val="24"/>
                <w:szCs w:val="24"/>
                <w:highlight w:val="none"/>
                <w:lang w:val="en-US" w:eastAsia="zh-CN"/>
              </w:rPr>
              <w:t>中二级浓度限值要求。</w:t>
            </w:r>
          </w:p>
          <w:p>
            <w:pPr>
              <w:bidi w:val="0"/>
              <w:spacing w:line="360" w:lineRule="auto"/>
              <w:ind w:firstLine="480" w:firstLineChars="200"/>
              <w:rPr>
                <w:rFonts w:hint="default" w:eastAsia="宋体"/>
                <w:b w:val="0"/>
                <w:bCs w:val="0"/>
                <w:sz w:val="24"/>
                <w:szCs w:val="24"/>
                <w:highlight w:val="none"/>
                <w:lang w:val="en-US" w:eastAsia="zh-CN"/>
              </w:rPr>
            </w:pPr>
            <w:r>
              <w:rPr>
                <w:rFonts w:hint="eastAsia"/>
                <w:b w:val="0"/>
                <w:bCs w:val="0"/>
                <w:sz w:val="24"/>
                <w:szCs w:val="24"/>
                <w:highlight w:val="none"/>
                <w:lang w:val="en-US" w:eastAsia="zh-CN"/>
              </w:rPr>
              <w:t>2、地表水环境质量现状</w:t>
            </w:r>
          </w:p>
          <w:p>
            <w:pPr>
              <w:widowControl/>
              <w:spacing w:line="360" w:lineRule="auto"/>
              <w:ind w:firstLine="482"/>
              <w:rPr>
                <w:rFonts w:hAnsi="宋体"/>
                <w:sz w:val="21"/>
                <w:szCs w:val="21"/>
                <w:highlight w:val="none"/>
              </w:rPr>
            </w:pPr>
            <w:r>
              <w:rPr>
                <w:rFonts w:hint="eastAsia"/>
                <w:sz w:val="24"/>
                <w:szCs w:val="24"/>
                <w:highlight w:val="none"/>
                <w:lang w:val="en-US" w:eastAsia="zh-CN"/>
              </w:rPr>
              <w:t>本项目位于阜新市太平区城南街道，属于细河流域，距离本项目下游最近的水功能区控制断面为细河高台子断面，高台子断面执行《</w:t>
            </w:r>
            <w:r>
              <w:rPr>
                <w:rFonts w:hint="default" w:ascii="Times New Roman" w:hAnsi="Times New Roman" w:cs="Times New Roman"/>
                <w:color w:val="auto"/>
                <w:sz w:val="24"/>
                <w:szCs w:val="24"/>
                <w:highlight w:val="none"/>
                <w:lang w:val="en-US" w:eastAsia="zh-CN"/>
              </w:rPr>
              <w:t>地表水环境质量标准》</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GB</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3838-2002</w:t>
            </w:r>
            <w:r>
              <w:rPr>
                <w:rFonts w:hint="eastAsia" w:cs="Times New Roman"/>
                <w:color w:val="auto"/>
                <w:sz w:val="24"/>
                <w:szCs w:val="24"/>
                <w:highlight w:val="none"/>
                <w:lang w:val="en-US" w:eastAsia="zh-CN"/>
              </w:rPr>
              <w:t>）</w:t>
            </w:r>
            <w:r>
              <w:rPr>
                <w:rFonts w:hint="default" w:ascii="Times New Roman" w:hAnsi="Times New Roman" w:cs="Times New Roman"/>
                <w:sz w:val="24"/>
                <w:szCs w:val="24"/>
                <w:highlight w:val="none"/>
              </w:rPr>
              <w:t>Ⅳ</w:t>
            </w:r>
            <w:r>
              <w:rPr>
                <w:rFonts w:hint="default" w:ascii="Times New Roman" w:hAnsi="Times New Roman" w:cs="Times New Roman"/>
                <w:color w:val="auto"/>
                <w:sz w:val="24"/>
                <w:szCs w:val="24"/>
                <w:highlight w:val="none"/>
                <w:lang w:val="en-US" w:eastAsia="zh-CN"/>
              </w:rPr>
              <w:t>类标准</w:t>
            </w:r>
            <w:r>
              <w:rPr>
                <w:rFonts w:hint="eastAsia"/>
                <w:sz w:val="24"/>
                <w:szCs w:val="24"/>
                <w:highlight w:val="none"/>
                <w:lang w:val="en-US" w:eastAsia="zh-CN"/>
              </w:rPr>
              <w:t>。因此，</w:t>
            </w:r>
            <w:bookmarkStart w:id="1" w:name="OLE_LINK388"/>
            <w:r>
              <w:rPr>
                <w:rFonts w:hint="eastAsia"/>
                <w:sz w:val="24"/>
                <w:highlight w:val="none"/>
              </w:rPr>
              <w:t>本次地表水环境质量现状评价引用辽宁省阜新生态环境监测中心发布的《“十四五”阜新市生态环境质量报告书》中2025年细河高台子断面</w:t>
            </w:r>
            <w:r>
              <w:rPr>
                <w:rFonts w:hint="eastAsia"/>
                <w:sz w:val="24"/>
                <w:szCs w:val="24"/>
                <w:highlight w:val="none"/>
              </w:rPr>
              <w:t>的监测数据，</w:t>
            </w:r>
            <w:bookmarkEnd w:id="1"/>
            <w:r>
              <w:rPr>
                <w:rFonts w:hint="eastAsia"/>
                <w:sz w:val="24"/>
                <w:szCs w:val="24"/>
                <w:highlight w:val="none"/>
              </w:rPr>
              <w:t>详见表3-3。</w:t>
            </w:r>
          </w:p>
          <w:p>
            <w:pPr>
              <w:ind w:firstLine="1756" w:firstLineChars="833"/>
              <w:jc w:val="left"/>
              <w:rPr>
                <w:sz w:val="21"/>
                <w:szCs w:val="21"/>
                <w:highlight w:val="none"/>
              </w:rPr>
            </w:pPr>
            <w:r>
              <w:rPr>
                <w:rFonts w:hint="eastAsia"/>
                <w:b/>
                <w:sz w:val="21"/>
                <w:szCs w:val="21"/>
                <w:highlight w:val="none"/>
              </w:rPr>
              <w:t>表3-</w:t>
            </w:r>
            <w:r>
              <w:rPr>
                <w:rFonts w:hint="eastAsia"/>
                <w:b/>
                <w:sz w:val="21"/>
                <w:szCs w:val="21"/>
                <w:highlight w:val="none"/>
                <w:lang w:val="en-US" w:eastAsia="zh-CN"/>
              </w:rPr>
              <w:t>5</w:t>
            </w:r>
            <w:r>
              <w:rPr>
                <w:rFonts w:hint="eastAsia"/>
                <w:b/>
                <w:sz w:val="21"/>
                <w:szCs w:val="21"/>
                <w:highlight w:val="none"/>
              </w:rPr>
              <w:t xml:space="preserve"> </w:t>
            </w:r>
            <w:r>
              <w:rPr>
                <w:b/>
                <w:sz w:val="21"/>
                <w:szCs w:val="21"/>
                <w:highlight w:val="none"/>
              </w:rPr>
              <w:t xml:space="preserve">   </w:t>
            </w:r>
            <w:r>
              <w:rPr>
                <w:rFonts w:hint="eastAsia"/>
                <w:b/>
                <w:sz w:val="21"/>
                <w:szCs w:val="21"/>
                <w:highlight w:val="none"/>
              </w:rPr>
              <w:t>2025年细河高台子断面监测结果</w:t>
            </w:r>
            <w:r>
              <w:rPr>
                <w:b/>
                <w:sz w:val="21"/>
                <w:szCs w:val="21"/>
                <w:highlight w:val="none"/>
              </w:rPr>
              <w:t xml:space="preserve">      </w:t>
            </w:r>
            <w:r>
              <w:rPr>
                <w:rFonts w:hint="eastAsia"/>
                <w:b/>
                <w:sz w:val="21"/>
                <w:szCs w:val="21"/>
                <w:highlight w:val="none"/>
              </w:rPr>
              <w:t>单位：</w:t>
            </w:r>
            <w:r>
              <w:rPr>
                <w:b/>
                <w:sz w:val="21"/>
                <w:szCs w:val="21"/>
                <w:highlight w:val="none"/>
              </w:rPr>
              <w:t>mg/L</w:t>
            </w:r>
          </w:p>
          <w:tbl>
            <w:tblPr>
              <w:tblStyle w:val="21"/>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55"/>
              <w:gridCol w:w="1324"/>
              <w:gridCol w:w="1724"/>
              <w:gridCol w:w="1101"/>
              <w:gridCol w:w="1158"/>
              <w:gridCol w:w="132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59" w:hRule="atLeast"/>
                <w:jc w:val="center"/>
              </w:trPr>
              <w:tc>
                <w:tcPr>
                  <w:tcW w:w="1046" w:type="pct"/>
                  <w:noWrap w:val="0"/>
                  <w:vAlign w:val="center"/>
                </w:tcPr>
                <w:p>
                  <w:pPr>
                    <w:jc w:val="center"/>
                    <w:rPr>
                      <w:b/>
                      <w:sz w:val="21"/>
                      <w:szCs w:val="21"/>
                      <w:highlight w:val="none"/>
                    </w:rPr>
                  </w:pPr>
                  <w:r>
                    <w:rPr>
                      <w:rFonts w:hint="eastAsia"/>
                      <w:b/>
                      <w:sz w:val="21"/>
                      <w:szCs w:val="21"/>
                      <w:highlight w:val="none"/>
                    </w:rPr>
                    <w:t>参数</w:t>
                  </w:r>
                </w:p>
              </w:tc>
              <w:tc>
                <w:tcPr>
                  <w:tcW w:w="789" w:type="pct"/>
                  <w:noWrap w:val="0"/>
                  <w:vAlign w:val="center"/>
                </w:tcPr>
                <w:p>
                  <w:pPr>
                    <w:jc w:val="center"/>
                    <w:rPr>
                      <w:b/>
                      <w:sz w:val="21"/>
                      <w:szCs w:val="21"/>
                      <w:highlight w:val="none"/>
                      <w:vertAlign w:val="subscript"/>
                    </w:rPr>
                  </w:pPr>
                  <w:r>
                    <w:rPr>
                      <w:b/>
                      <w:sz w:val="21"/>
                      <w:szCs w:val="21"/>
                      <w:highlight w:val="none"/>
                    </w:rPr>
                    <w:t>COD</w:t>
                  </w:r>
                  <w:r>
                    <w:rPr>
                      <w:b/>
                      <w:sz w:val="21"/>
                      <w:szCs w:val="21"/>
                      <w:highlight w:val="none"/>
                      <w:vertAlign w:val="subscript"/>
                    </w:rPr>
                    <w:t>cr</w:t>
                  </w:r>
                </w:p>
              </w:tc>
              <w:tc>
                <w:tcPr>
                  <w:tcW w:w="1027" w:type="pct"/>
                  <w:noWrap w:val="0"/>
                  <w:vAlign w:val="center"/>
                </w:tcPr>
                <w:p>
                  <w:pPr>
                    <w:jc w:val="center"/>
                    <w:rPr>
                      <w:b/>
                      <w:sz w:val="21"/>
                      <w:szCs w:val="21"/>
                      <w:highlight w:val="none"/>
                    </w:rPr>
                  </w:pPr>
                  <w:r>
                    <w:rPr>
                      <w:rFonts w:hint="eastAsia"/>
                      <w:b/>
                      <w:sz w:val="21"/>
                      <w:szCs w:val="21"/>
                      <w:highlight w:val="none"/>
                    </w:rPr>
                    <w:t>高锰酸盐指数</w:t>
                  </w:r>
                </w:p>
              </w:tc>
              <w:tc>
                <w:tcPr>
                  <w:tcW w:w="656" w:type="pct"/>
                  <w:noWrap w:val="0"/>
                  <w:vAlign w:val="center"/>
                </w:tcPr>
                <w:p>
                  <w:pPr>
                    <w:jc w:val="center"/>
                    <w:rPr>
                      <w:b/>
                      <w:sz w:val="21"/>
                      <w:szCs w:val="21"/>
                      <w:highlight w:val="none"/>
                    </w:rPr>
                  </w:pPr>
                  <w:r>
                    <w:rPr>
                      <w:b/>
                      <w:sz w:val="21"/>
                      <w:szCs w:val="21"/>
                      <w:highlight w:val="none"/>
                    </w:rPr>
                    <w:t>BOD</w:t>
                  </w:r>
                  <w:r>
                    <w:rPr>
                      <w:b/>
                      <w:sz w:val="21"/>
                      <w:szCs w:val="21"/>
                      <w:highlight w:val="none"/>
                      <w:vertAlign w:val="subscript"/>
                    </w:rPr>
                    <w:t>5</w:t>
                  </w:r>
                </w:p>
              </w:tc>
              <w:tc>
                <w:tcPr>
                  <w:tcW w:w="690" w:type="pct"/>
                  <w:noWrap w:val="0"/>
                  <w:vAlign w:val="center"/>
                </w:tcPr>
                <w:p>
                  <w:pPr>
                    <w:jc w:val="center"/>
                    <w:rPr>
                      <w:b/>
                      <w:sz w:val="21"/>
                      <w:szCs w:val="21"/>
                      <w:highlight w:val="none"/>
                    </w:rPr>
                  </w:pPr>
                  <w:r>
                    <w:rPr>
                      <w:rFonts w:hint="eastAsia"/>
                      <w:b/>
                      <w:sz w:val="21"/>
                      <w:szCs w:val="21"/>
                      <w:highlight w:val="none"/>
                    </w:rPr>
                    <w:t>氨氮</w:t>
                  </w:r>
                </w:p>
              </w:tc>
              <w:tc>
                <w:tcPr>
                  <w:tcW w:w="792" w:type="pct"/>
                  <w:noWrap w:val="0"/>
                  <w:vAlign w:val="center"/>
                </w:tcPr>
                <w:p>
                  <w:pPr>
                    <w:jc w:val="center"/>
                    <w:rPr>
                      <w:b/>
                      <w:sz w:val="21"/>
                      <w:szCs w:val="21"/>
                      <w:highlight w:val="none"/>
                    </w:rPr>
                  </w:pPr>
                  <w:r>
                    <w:rPr>
                      <w:rFonts w:hint="eastAsia"/>
                      <w:b/>
                      <w:sz w:val="21"/>
                      <w:szCs w:val="21"/>
                      <w:highlight w:val="none"/>
                    </w:rPr>
                    <w:t>总磷</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59" w:hRule="atLeast"/>
                <w:jc w:val="center"/>
              </w:trPr>
              <w:tc>
                <w:tcPr>
                  <w:tcW w:w="1046" w:type="pct"/>
                  <w:noWrap w:val="0"/>
                  <w:vAlign w:val="center"/>
                </w:tcPr>
                <w:p>
                  <w:pPr>
                    <w:jc w:val="center"/>
                    <w:rPr>
                      <w:sz w:val="21"/>
                      <w:szCs w:val="21"/>
                      <w:highlight w:val="none"/>
                    </w:rPr>
                  </w:pPr>
                  <w:r>
                    <w:rPr>
                      <w:rFonts w:hint="eastAsia"/>
                      <w:sz w:val="21"/>
                      <w:szCs w:val="21"/>
                      <w:highlight w:val="none"/>
                    </w:rPr>
                    <w:t>年均值</w:t>
                  </w:r>
                </w:p>
              </w:tc>
              <w:tc>
                <w:tcPr>
                  <w:tcW w:w="789" w:type="pct"/>
                  <w:noWrap w:val="0"/>
                  <w:vAlign w:val="center"/>
                </w:tcPr>
                <w:p>
                  <w:pPr>
                    <w:jc w:val="center"/>
                    <w:rPr>
                      <w:rFonts w:hint="eastAsia"/>
                      <w:sz w:val="21"/>
                      <w:szCs w:val="21"/>
                      <w:highlight w:val="none"/>
                    </w:rPr>
                  </w:pPr>
                  <w:r>
                    <w:rPr>
                      <w:rFonts w:hint="eastAsia"/>
                      <w:sz w:val="21"/>
                      <w:szCs w:val="21"/>
                      <w:highlight w:val="none"/>
                    </w:rPr>
                    <w:t>17.5</w:t>
                  </w:r>
                </w:p>
              </w:tc>
              <w:tc>
                <w:tcPr>
                  <w:tcW w:w="1027" w:type="pct"/>
                  <w:noWrap w:val="0"/>
                  <w:vAlign w:val="center"/>
                </w:tcPr>
                <w:p>
                  <w:pPr>
                    <w:jc w:val="center"/>
                    <w:rPr>
                      <w:rFonts w:hint="eastAsia"/>
                      <w:sz w:val="21"/>
                      <w:szCs w:val="21"/>
                      <w:highlight w:val="none"/>
                    </w:rPr>
                  </w:pPr>
                  <w:r>
                    <w:rPr>
                      <w:rFonts w:hint="eastAsia"/>
                      <w:sz w:val="21"/>
                      <w:szCs w:val="21"/>
                      <w:highlight w:val="none"/>
                    </w:rPr>
                    <w:t>4.4</w:t>
                  </w:r>
                </w:p>
              </w:tc>
              <w:tc>
                <w:tcPr>
                  <w:tcW w:w="656" w:type="pct"/>
                  <w:noWrap w:val="0"/>
                  <w:vAlign w:val="center"/>
                </w:tcPr>
                <w:p>
                  <w:pPr>
                    <w:jc w:val="center"/>
                    <w:rPr>
                      <w:rFonts w:hint="eastAsia"/>
                      <w:sz w:val="21"/>
                      <w:szCs w:val="21"/>
                      <w:highlight w:val="none"/>
                    </w:rPr>
                  </w:pPr>
                  <w:r>
                    <w:rPr>
                      <w:rFonts w:hint="eastAsia"/>
                      <w:sz w:val="21"/>
                      <w:szCs w:val="21"/>
                      <w:highlight w:val="none"/>
                    </w:rPr>
                    <w:t>3.0</w:t>
                  </w:r>
                </w:p>
              </w:tc>
              <w:tc>
                <w:tcPr>
                  <w:tcW w:w="690" w:type="pct"/>
                  <w:noWrap w:val="0"/>
                  <w:vAlign w:val="center"/>
                </w:tcPr>
                <w:p>
                  <w:pPr>
                    <w:jc w:val="center"/>
                    <w:rPr>
                      <w:rFonts w:hint="eastAsia"/>
                      <w:sz w:val="21"/>
                      <w:szCs w:val="21"/>
                      <w:highlight w:val="none"/>
                    </w:rPr>
                  </w:pPr>
                  <w:r>
                    <w:rPr>
                      <w:rFonts w:hint="eastAsia"/>
                      <w:sz w:val="21"/>
                      <w:szCs w:val="21"/>
                      <w:highlight w:val="none"/>
                    </w:rPr>
                    <w:t>0.55</w:t>
                  </w:r>
                </w:p>
              </w:tc>
              <w:tc>
                <w:tcPr>
                  <w:tcW w:w="792" w:type="pct"/>
                  <w:noWrap w:val="0"/>
                  <w:vAlign w:val="center"/>
                </w:tcPr>
                <w:p>
                  <w:pPr>
                    <w:jc w:val="center"/>
                    <w:rPr>
                      <w:rFonts w:hint="eastAsia"/>
                      <w:sz w:val="21"/>
                      <w:szCs w:val="21"/>
                      <w:highlight w:val="none"/>
                    </w:rPr>
                  </w:pPr>
                  <w:r>
                    <w:rPr>
                      <w:rFonts w:hint="eastAsia"/>
                      <w:sz w:val="21"/>
                      <w:szCs w:val="21"/>
                      <w:highlight w:val="none"/>
                    </w:rPr>
                    <w:t>0.095</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cs="Times New Roman"/>
                <w:color w:val="auto"/>
                <w:sz w:val="24"/>
                <w:szCs w:val="24"/>
                <w:highlight w:val="none"/>
                <w:lang w:val="en-US" w:eastAsia="zh-CN"/>
              </w:rPr>
            </w:pPr>
            <w:bookmarkStart w:id="2" w:name="OLE_LINK389"/>
            <w:r>
              <w:rPr>
                <w:rFonts w:hint="eastAsia"/>
                <w:sz w:val="24"/>
                <w:highlight w:val="none"/>
              </w:rPr>
              <w:t>由表3-3监测结果可知，细河高台子断面各污染物年均浓度符合《地表水环境质量标准》（</w:t>
            </w:r>
            <w:r>
              <w:rPr>
                <w:sz w:val="24"/>
                <w:highlight w:val="none"/>
              </w:rPr>
              <w:t>GB3838-2002</w:t>
            </w:r>
            <w:r>
              <w:rPr>
                <w:rFonts w:hint="eastAsia"/>
                <w:sz w:val="24"/>
                <w:highlight w:val="none"/>
              </w:rPr>
              <w:t>）Ⅳ类标准要求。</w:t>
            </w:r>
            <w:bookmarkEnd w:id="2"/>
          </w:p>
          <w:p>
            <w:pPr>
              <w:numPr>
                <w:ilvl w:val="0"/>
                <w:numId w:val="0"/>
              </w:numPr>
              <w:spacing w:line="360" w:lineRule="auto"/>
              <w:ind w:leftChars="200"/>
              <w:rPr>
                <w:rFonts w:hint="eastAsia" w:ascii="宋体" w:hAnsi="宋体" w:eastAsia="宋体" w:cs="宋体"/>
                <w:b/>
                <w:bCs/>
                <w:color w:val="auto"/>
                <w:sz w:val="24"/>
                <w:szCs w:val="24"/>
                <w:highlight w:val="none"/>
              </w:rPr>
            </w:pPr>
            <w:r>
              <w:rPr>
                <w:rFonts w:hint="default" w:ascii="Times New Roman Regular" w:hAnsi="Times New Roman Regular" w:cs="Times New Roman Regular"/>
                <w:b w:val="0"/>
                <w:bCs/>
                <w:color w:val="auto"/>
                <w:sz w:val="24"/>
                <w:szCs w:val="24"/>
                <w:highlight w:val="none"/>
                <w:lang w:val="en-US" w:eastAsia="zh-CN"/>
              </w:rPr>
              <w:t>3</w:t>
            </w:r>
            <w:r>
              <w:rPr>
                <w:rFonts w:hint="eastAsia" w:ascii="宋体" w:hAnsi="宋体" w:cs="宋体"/>
                <w:b/>
                <w:bCs/>
                <w:color w:val="auto"/>
                <w:sz w:val="24"/>
                <w:szCs w:val="24"/>
                <w:highlight w:val="none"/>
                <w:lang w:val="en-US" w:eastAsia="zh-CN"/>
              </w:rPr>
              <w:t>、</w:t>
            </w:r>
            <w:r>
              <w:rPr>
                <w:rFonts w:hint="eastAsia" w:ascii="宋体" w:hAnsi="宋体" w:eastAsia="宋体" w:cs="宋体"/>
                <w:b w:val="0"/>
                <w:bCs w:val="0"/>
                <w:color w:val="auto"/>
                <w:sz w:val="24"/>
                <w:szCs w:val="24"/>
                <w:highlight w:val="none"/>
              </w:rPr>
              <w:t>地下水</w:t>
            </w:r>
            <w:r>
              <w:rPr>
                <w:rFonts w:hint="eastAsia" w:ascii="宋体" w:hAnsi="宋体" w:cs="宋体"/>
                <w:b w:val="0"/>
                <w:bCs w:val="0"/>
                <w:color w:val="auto"/>
                <w:sz w:val="24"/>
                <w:szCs w:val="24"/>
                <w:highlight w:val="none"/>
                <w:lang w:eastAsia="zh-CN"/>
              </w:rPr>
              <w:t>、土壤环境</w:t>
            </w:r>
            <w:r>
              <w:rPr>
                <w:rFonts w:hint="eastAsia" w:ascii="宋体" w:hAnsi="宋体" w:eastAsia="宋体" w:cs="宋体"/>
                <w:b w:val="0"/>
                <w:bCs w:val="0"/>
                <w:color w:val="auto"/>
                <w:sz w:val="24"/>
                <w:szCs w:val="24"/>
                <w:highlight w:val="none"/>
              </w:rPr>
              <w:t>质量现状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本项目不存在</w:t>
            </w:r>
            <w:r>
              <w:rPr>
                <w:rFonts w:hint="eastAsia" w:cs="Times New Roman"/>
                <w:sz w:val="24"/>
                <w:szCs w:val="24"/>
                <w:highlight w:val="none"/>
                <w:lang w:val="en-US" w:eastAsia="zh-CN"/>
              </w:rPr>
              <w:t>土壤和地下水环境污染途径，</w:t>
            </w:r>
            <w:r>
              <w:rPr>
                <w:rFonts w:hint="eastAsia" w:ascii="Times New Roman" w:hAnsi="Times New Roman" w:eastAsia="宋体" w:cs="Times New Roman"/>
                <w:sz w:val="24"/>
                <w:szCs w:val="24"/>
                <w:highlight w:val="none"/>
                <w:lang w:val="en-US" w:eastAsia="zh-CN"/>
              </w:rPr>
              <w:t>因此</w:t>
            </w:r>
            <w:r>
              <w:rPr>
                <w:rFonts w:hint="eastAsia" w:cs="Times New Roman"/>
                <w:sz w:val="24"/>
                <w:szCs w:val="24"/>
                <w:highlight w:val="none"/>
                <w:lang w:val="en-US" w:eastAsia="zh-CN"/>
              </w:rPr>
              <w:t>无需开展土壤和</w:t>
            </w:r>
            <w:r>
              <w:rPr>
                <w:rFonts w:hint="eastAsia" w:ascii="Times New Roman" w:hAnsi="Times New Roman" w:eastAsia="宋体" w:cs="Times New Roman"/>
                <w:sz w:val="24"/>
                <w:szCs w:val="24"/>
                <w:highlight w:val="none"/>
                <w:lang w:val="en-US" w:eastAsia="zh-CN"/>
              </w:rPr>
              <w:t>地下水环境质量现状</w:t>
            </w:r>
            <w:r>
              <w:rPr>
                <w:rFonts w:hint="eastAsia" w:cs="Times New Roman"/>
                <w:sz w:val="24"/>
                <w:szCs w:val="24"/>
                <w:highlight w:val="none"/>
                <w:lang w:val="en-US" w:eastAsia="zh-CN"/>
              </w:rPr>
              <w:t>调查</w:t>
            </w:r>
            <w:r>
              <w:rPr>
                <w:rFonts w:hint="eastAsia" w:ascii="Times New Roman" w:hAnsi="Times New Roman" w:eastAsia="宋体" w:cs="Times New Roman"/>
                <w:sz w:val="24"/>
                <w:szCs w:val="24"/>
                <w:highlight w:val="none"/>
                <w:lang w:val="en-US" w:eastAsia="zh-CN"/>
              </w:rPr>
              <w:t>。</w:t>
            </w:r>
          </w:p>
          <w:p>
            <w:pPr>
              <w:pStyle w:val="3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sz w:val="24"/>
                <w:szCs w:val="24"/>
                <w:highlight w:val="none"/>
                <w:lang w:val="en-US" w:eastAsia="zh-CN"/>
              </w:rPr>
            </w:pPr>
            <w:r>
              <w:rPr>
                <w:rFonts w:hint="default" w:ascii="Times New Roman Regular" w:hAnsi="Times New Roman Regular" w:eastAsia="宋体" w:cs="Times New Roman Regular"/>
                <w:sz w:val="24"/>
                <w:szCs w:val="24"/>
                <w:highlight w:val="none"/>
                <w:lang w:val="en-US" w:eastAsia="zh-CN"/>
              </w:rPr>
              <w:t>4</w:t>
            </w:r>
            <w:r>
              <w:rPr>
                <w:rFonts w:hint="eastAsia" w:ascii="宋体" w:hAnsi="宋体" w:eastAsia="宋体" w:cs="宋体"/>
                <w:sz w:val="24"/>
                <w:szCs w:val="24"/>
                <w:highlight w:val="none"/>
                <w:lang w:val="en-US" w:eastAsia="zh-CN"/>
              </w:rPr>
              <w:t>、声环境质量现状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本项目厂界周边50米范围内不存在声环境保护目标，故本项目</w:t>
            </w:r>
            <w:r>
              <w:rPr>
                <w:rFonts w:hint="eastAsia" w:eastAsia="宋体" w:cs="Times New Roman"/>
                <w:sz w:val="24"/>
                <w:szCs w:val="24"/>
                <w:highlight w:val="none"/>
                <w:lang w:val="en-US" w:eastAsia="zh-CN"/>
              </w:rPr>
              <w:t>无需</w:t>
            </w:r>
            <w:r>
              <w:rPr>
                <w:rFonts w:hint="eastAsia" w:ascii="Times New Roman" w:hAnsi="Times New Roman" w:eastAsia="宋体" w:cs="Times New Roman"/>
                <w:sz w:val="24"/>
                <w:szCs w:val="24"/>
                <w:highlight w:val="none"/>
                <w:lang w:val="en-US" w:eastAsia="zh-CN"/>
              </w:rPr>
              <w:t>开展声环境质量现状</w:t>
            </w:r>
            <w:r>
              <w:rPr>
                <w:rFonts w:hint="eastAsia" w:eastAsia="宋体" w:cs="Times New Roman"/>
                <w:sz w:val="24"/>
                <w:szCs w:val="24"/>
                <w:highlight w:val="none"/>
                <w:lang w:val="en-US" w:eastAsia="zh-CN"/>
              </w:rPr>
              <w:t>调查。</w:t>
            </w:r>
          </w:p>
          <w:p>
            <w:pPr>
              <w:pStyle w:val="3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5、生态环境质量现状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highlight w:val="none"/>
                <w:lang w:val="en-US" w:eastAsia="zh-CN"/>
              </w:rPr>
            </w:pPr>
            <w:r>
              <w:rPr>
                <w:rFonts w:hint="eastAsia" w:ascii="Times New Roman" w:hAnsi="Times New Roman" w:eastAsia="宋体" w:cs="Times New Roman"/>
                <w:sz w:val="24"/>
                <w:szCs w:val="24"/>
                <w:highlight w:val="none"/>
                <w:lang w:val="en-US" w:eastAsia="zh-CN"/>
              </w:rPr>
              <w:t>本项目</w:t>
            </w:r>
            <w:r>
              <w:rPr>
                <w:rFonts w:hint="eastAsia" w:cs="Times New Roman"/>
                <w:sz w:val="24"/>
                <w:szCs w:val="24"/>
                <w:highlight w:val="none"/>
                <w:lang w:val="en-US" w:eastAsia="zh-CN"/>
              </w:rPr>
              <w:t>处在阜新市新型材料产业开发区范围内</w:t>
            </w:r>
            <w:r>
              <w:rPr>
                <w:rFonts w:hint="eastAsia" w:ascii="Times New Roman" w:hAnsi="Times New Roman" w:eastAsia="宋体" w:cs="Times New Roman"/>
                <w:sz w:val="24"/>
                <w:szCs w:val="24"/>
                <w:highlight w:val="none"/>
                <w:lang w:val="en-US" w:eastAsia="zh-CN"/>
              </w:rPr>
              <w:t>，故无需进行生态现状调查。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4" w:type="dxa"/>
            <w:noWrap w:val="0"/>
            <w:vAlign w:val="center"/>
          </w:tcPr>
          <w:p>
            <w:pPr>
              <w:adjustRightInd w:val="0"/>
              <w:snapToGrid w:val="0"/>
              <w:jc w:val="center"/>
              <w:rPr>
                <w:rFonts w:hint="eastAsia" w:ascii="宋体" w:hAnsi="宋体" w:cs="宋体"/>
                <w:kern w:val="0"/>
                <w:szCs w:val="21"/>
                <w:highlight w:val="none"/>
              </w:rPr>
            </w:pPr>
            <w:r>
              <w:rPr>
                <w:rFonts w:hint="eastAsia" w:ascii="宋体" w:hAnsi="宋体" w:cs="宋体"/>
                <w:kern w:val="0"/>
                <w:szCs w:val="21"/>
                <w:highlight w:val="none"/>
              </w:rPr>
              <w:t>环境</w:t>
            </w:r>
          </w:p>
          <w:p>
            <w:pPr>
              <w:adjustRightInd w:val="0"/>
              <w:snapToGrid w:val="0"/>
              <w:jc w:val="center"/>
              <w:rPr>
                <w:rFonts w:hint="eastAsia" w:ascii="宋体" w:hAnsi="宋体" w:cs="宋体"/>
                <w:kern w:val="0"/>
                <w:szCs w:val="21"/>
                <w:highlight w:val="none"/>
              </w:rPr>
            </w:pPr>
            <w:r>
              <w:rPr>
                <w:rFonts w:hint="eastAsia" w:ascii="宋体" w:hAnsi="宋体" w:cs="宋体"/>
                <w:kern w:val="0"/>
                <w:szCs w:val="21"/>
                <w:highlight w:val="none"/>
              </w:rPr>
              <w:t>保护</w:t>
            </w:r>
          </w:p>
          <w:p>
            <w:pPr>
              <w:adjustRightInd w:val="0"/>
              <w:snapToGrid w:val="0"/>
              <w:jc w:val="center"/>
              <w:rPr>
                <w:rFonts w:hint="eastAsia" w:ascii="宋体" w:hAnsi="宋体" w:cs="宋体"/>
                <w:kern w:val="0"/>
                <w:szCs w:val="21"/>
                <w:highlight w:val="none"/>
              </w:rPr>
            </w:pPr>
            <w:r>
              <w:rPr>
                <w:rFonts w:hint="eastAsia" w:ascii="宋体" w:hAnsi="宋体" w:cs="宋体"/>
                <w:kern w:val="0"/>
                <w:szCs w:val="21"/>
                <w:highlight w:val="none"/>
              </w:rPr>
              <w:t>目标</w:t>
            </w:r>
          </w:p>
        </w:tc>
        <w:tc>
          <w:tcPr>
            <w:tcW w:w="8607" w:type="dxa"/>
            <w:noWrap w:val="0"/>
            <w:vAlign w:val="center"/>
          </w:tcPr>
          <w:p>
            <w:pPr>
              <w:numPr>
                <w:ilvl w:val="0"/>
                <w:numId w:val="1"/>
              </w:numPr>
              <w:adjustRightInd w:val="0"/>
              <w:snapToGrid w:val="0"/>
              <w:spacing w:line="360" w:lineRule="auto"/>
              <w:ind w:firstLine="480" w:firstLineChars="200"/>
              <w:jc w:val="left"/>
              <w:rPr>
                <w:rFonts w:hint="eastAsia"/>
                <w:highlight w:val="none"/>
                <w:lang w:val="en-US" w:eastAsia="zh-CN"/>
              </w:rPr>
            </w:pPr>
            <w:r>
              <w:rPr>
                <w:rFonts w:hint="eastAsia"/>
                <w:color w:val="auto"/>
                <w:sz w:val="24"/>
                <w:szCs w:val="24"/>
                <w:highlight w:val="none"/>
                <w:lang w:val="en-US" w:eastAsia="zh-CN"/>
              </w:rPr>
              <w:t>大气环境保护目标：本项目环境影响评价范围内无自然保护区、风景名胜区、生态保护区等环境敏感目标。根据现场踏勘，确定本项目厂界外500米范围内的大气环境保护目标为项目附近的居民小区和散户（环境保护目标图详见附图6），大气环境保护目标详见表3-6。</w:t>
            </w:r>
          </w:p>
          <w:p>
            <w:pPr>
              <w:spacing w:line="240" w:lineRule="auto"/>
              <w:jc w:val="center"/>
              <w:rPr>
                <w:rFonts w:hint="default" w:ascii="Times New Roman" w:hAnsi="Times New Roman" w:eastAsia="宋体" w:cs="Times New Roman"/>
                <w:b/>
                <w:color w:val="auto"/>
                <w:kern w:val="0"/>
                <w:sz w:val="21"/>
                <w:szCs w:val="21"/>
                <w:highlight w:val="none"/>
                <w:lang w:val="en-US" w:eastAsia="zh-CN"/>
              </w:rPr>
            </w:pPr>
            <w:r>
              <w:rPr>
                <w:rFonts w:hint="default" w:ascii="Times New Roman" w:hAnsi="Times New Roman" w:cs="Times New Roman"/>
                <w:b/>
                <w:color w:val="auto"/>
                <w:kern w:val="0"/>
                <w:sz w:val="21"/>
                <w:szCs w:val="21"/>
                <w:highlight w:val="none"/>
                <w:shd w:val="clear" w:color="auto" w:fill="auto"/>
              </w:rPr>
              <w:t>表</w:t>
            </w:r>
            <w:r>
              <w:rPr>
                <w:rFonts w:hint="eastAsia" w:cs="Times New Roman"/>
                <w:b/>
                <w:color w:val="auto"/>
                <w:kern w:val="0"/>
                <w:sz w:val="21"/>
                <w:szCs w:val="21"/>
                <w:highlight w:val="none"/>
                <w:shd w:val="clear" w:color="auto" w:fill="auto"/>
                <w:lang w:val="en-US" w:eastAsia="zh-CN"/>
              </w:rPr>
              <w:t>3-6</w:t>
            </w:r>
            <w:r>
              <w:rPr>
                <w:rFonts w:hint="default" w:ascii="Times New Roman" w:hAnsi="Times New Roman" w:cs="Times New Roman"/>
                <w:b/>
                <w:color w:val="auto"/>
                <w:kern w:val="0"/>
                <w:sz w:val="21"/>
                <w:szCs w:val="21"/>
                <w:highlight w:val="none"/>
                <w:shd w:val="clear" w:color="auto" w:fill="auto"/>
              </w:rPr>
              <w:t xml:space="preserve"> </w:t>
            </w:r>
            <w:r>
              <w:rPr>
                <w:rFonts w:hint="eastAsia" w:cs="Times New Roman"/>
                <w:b/>
                <w:color w:val="auto"/>
                <w:kern w:val="0"/>
                <w:sz w:val="21"/>
                <w:szCs w:val="21"/>
                <w:highlight w:val="none"/>
                <w:shd w:val="clear" w:color="auto" w:fill="auto"/>
                <w:lang w:val="en-US" w:eastAsia="zh-CN"/>
              </w:rPr>
              <w:t>大气</w:t>
            </w:r>
            <w:r>
              <w:rPr>
                <w:rFonts w:hint="eastAsia" w:ascii="Times New Roman" w:hAnsi="Times New Roman" w:cs="Times New Roman"/>
                <w:b/>
                <w:color w:val="auto"/>
                <w:kern w:val="0"/>
                <w:sz w:val="21"/>
                <w:szCs w:val="21"/>
                <w:highlight w:val="none"/>
                <w:shd w:val="clear" w:color="auto" w:fill="auto"/>
                <w:lang w:val="en-US" w:eastAsia="zh-CN"/>
              </w:rPr>
              <w:t>环境保护目标</w:t>
            </w:r>
            <w:r>
              <w:rPr>
                <w:rFonts w:hint="eastAsia" w:cs="Times New Roman"/>
                <w:b/>
                <w:color w:val="auto"/>
                <w:kern w:val="0"/>
                <w:sz w:val="21"/>
                <w:szCs w:val="21"/>
                <w:highlight w:val="none"/>
                <w:shd w:val="clear" w:color="auto" w:fill="auto"/>
                <w:lang w:val="en-US" w:eastAsia="zh-CN"/>
              </w:rPr>
              <w:t>一览表</w:t>
            </w:r>
          </w:p>
          <w:tbl>
            <w:tblPr>
              <w:tblStyle w:val="22"/>
              <w:tblW w:w="4997"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12"/>
              <w:gridCol w:w="1268"/>
              <w:gridCol w:w="1352"/>
              <w:gridCol w:w="1486"/>
              <w:gridCol w:w="723"/>
              <w:gridCol w:w="1078"/>
              <w:gridCol w:w="1102"/>
              <w:gridCol w:w="76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685" w:type="dxa"/>
                  <w:vMerge w:val="restart"/>
                  <w:tcBorders>
                    <w:tl2br w:val="nil"/>
                    <w:tr2bl w:val="nil"/>
                  </w:tcBorders>
                  <w:noWrap w:val="0"/>
                  <w:vAlign w:val="center"/>
                </w:tcPr>
                <w:p>
                  <w:pPr>
                    <w:jc w:val="center"/>
                    <w:rPr>
                      <w:rFonts w:hint="eastAsia" w:eastAsia="宋体"/>
                      <w:color w:val="auto"/>
                      <w:sz w:val="21"/>
                      <w:szCs w:val="21"/>
                      <w:highlight w:val="none"/>
                      <w:lang w:val="en-US" w:eastAsia="zh-CN"/>
                    </w:rPr>
                  </w:pPr>
                  <w:r>
                    <w:rPr>
                      <w:rFonts w:hint="eastAsia" w:cs="Times New Roman"/>
                      <w:b/>
                      <w:bCs/>
                      <w:color w:val="auto"/>
                      <w:sz w:val="21"/>
                      <w:szCs w:val="21"/>
                      <w:highlight w:val="none"/>
                      <w:lang w:val="en-US" w:eastAsia="zh-CN"/>
                    </w:rPr>
                    <w:t>环境要素</w:t>
                  </w:r>
                </w:p>
              </w:tc>
              <w:tc>
                <w:tcPr>
                  <w:tcW w:w="1596" w:type="dxa"/>
                  <w:vMerge w:val="restart"/>
                  <w:tcBorders>
                    <w:tl2br w:val="nil"/>
                    <w:tr2bl w:val="nil"/>
                  </w:tcBorders>
                  <w:noWrap w:val="0"/>
                  <w:vAlign w:val="center"/>
                </w:tcPr>
                <w:p>
                  <w:pPr>
                    <w:jc w:val="center"/>
                    <w:rPr>
                      <w:rFonts w:hint="eastAsia" w:cs="Times New Roman"/>
                      <w:b/>
                      <w:bCs/>
                      <w:color w:val="auto"/>
                      <w:sz w:val="21"/>
                      <w:szCs w:val="21"/>
                      <w:highlight w:val="none"/>
                      <w:lang w:eastAsia="zh-CN"/>
                    </w:rPr>
                  </w:pPr>
                  <w:r>
                    <w:rPr>
                      <w:rFonts w:hint="eastAsia" w:cs="Times New Roman"/>
                      <w:b/>
                      <w:bCs/>
                      <w:color w:val="auto"/>
                      <w:sz w:val="21"/>
                      <w:szCs w:val="21"/>
                      <w:highlight w:val="none"/>
                      <w:lang w:eastAsia="zh-CN"/>
                    </w:rPr>
                    <w:t>保护目标</w:t>
                  </w:r>
                </w:p>
                <w:p>
                  <w:pPr>
                    <w:jc w:val="center"/>
                    <w:rPr>
                      <w:rFonts w:hint="eastAsia" w:ascii="Times New Roman" w:hAnsi="Times New Roman" w:eastAsia="宋体" w:cs="Times New Roman"/>
                      <w:b/>
                      <w:bCs/>
                      <w:color w:val="auto"/>
                      <w:sz w:val="21"/>
                      <w:szCs w:val="21"/>
                      <w:highlight w:val="none"/>
                      <w:lang w:eastAsia="zh-CN"/>
                    </w:rPr>
                  </w:pPr>
                  <w:r>
                    <w:rPr>
                      <w:rFonts w:hint="eastAsia" w:cs="Times New Roman"/>
                      <w:b/>
                      <w:bCs/>
                      <w:color w:val="auto"/>
                      <w:sz w:val="21"/>
                      <w:szCs w:val="21"/>
                      <w:highlight w:val="none"/>
                      <w:lang w:eastAsia="zh-CN"/>
                    </w:rPr>
                    <w:t>名称</w:t>
                  </w:r>
                </w:p>
              </w:tc>
              <w:tc>
                <w:tcPr>
                  <w:tcW w:w="2006" w:type="dxa"/>
                  <w:gridSpan w:val="2"/>
                  <w:tcBorders>
                    <w:tl2br w:val="nil"/>
                    <w:tr2bl w:val="nil"/>
                  </w:tcBorders>
                  <w:noWrap w:val="0"/>
                  <w:vAlign w:val="center"/>
                </w:tcPr>
                <w:p>
                  <w:pPr>
                    <w:jc w:val="center"/>
                    <w:rPr>
                      <w:rFonts w:hint="default"/>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坐标/UTM</w:t>
                  </w:r>
                </w:p>
              </w:tc>
              <w:tc>
                <w:tcPr>
                  <w:tcW w:w="838" w:type="dxa"/>
                  <w:vMerge w:val="restart"/>
                  <w:tcBorders>
                    <w:tl2br w:val="nil"/>
                    <w:tr2bl w:val="nil"/>
                  </w:tcBorders>
                  <w:noWrap w:val="0"/>
                  <w:vAlign w:val="center"/>
                </w:tcPr>
                <w:p>
                  <w:pPr>
                    <w:jc w:val="center"/>
                    <w:rPr>
                      <w:rFonts w:hint="eastAsia" w:eastAsia="宋体"/>
                      <w:b/>
                      <w:bCs/>
                      <w:color w:val="auto"/>
                      <w:sz w:val="21"/>
                      <w:szCs w:val="21"/>
                      <w:highlight w:val="none"/>
                      <w:lang w:val="en-US" w:eastAsia="zh-CN"/>
                    </w:rPr>
                  </w:pPr>
                  <w:r>
                    <w:rPr>
                      <w:rFonts w:hint="default" w:ascii="Times New Roman" w:hAnsi="Times New Roman" w:cs="Times New Roman"/>
                      <w:b/>
                      <w:bCs/>
                      <w:color w:val="auto"/>
                      <w:sz w:val="21"/>
                      <w:szCs w:val="21"/>
                      <w:highlight w:val="none"/>
                    </w:rPr>
                    <w:t>相对</w:t>
                  </w:r>
                  <w:r>
                    <w:rPr>
                      <w:rFonts w:hint="eastAsia" w:cs="Times New Roman"/>
                      <w:b/>
                      <w:bCs/>
                      <w:color w:val="auto"/>
                      <w:sz w:val="21"/>
                      <w:szCs w:val="21"/>
                      <w:highlight w:val="none"/>
                      <w:lang w:val="en-US" w:eastAsia="zh-CN"/>
                    </w:rPr>
                    <w:t>厂址方位</w:t>
                  </w:r>
                </w:p>
              </w:tc>
              <w:tc>
                <w:tcPr>
                  <w:tcW w:w="1164" w:type="dxa"/>
                  <w:vMerge w:val="restart"/>
                  <w:tcBorders>
                    <w:tl2br w:val="nil"/>
                    <w:tr2bl w:val="nil"/>
                  </w:tcBorders>
                  <w:noWrap w:val="0"/>
                  <w:vAlign w:val="center"/>
                </w:tcPr>
                <w:p>
                  <w:pPr>
                    <w:jc w:val="center"/>
                    <w:rPr>
                      <w:rFonts w:hint="default"/>
                      <w:b/>
                      <w:bCs/>
                      <w:color w:val="auto"/>
                      <w:sz w:val="21"/>
                      <w:szCs w:val="21"/>
                      <w:highlight w:val="none"/>
                      <w:lang w:val="en-US" w:eastAsia="zh-CN"/>
                    </w:rPr>
                  </w:pPr>
                  <w:r>
                    <w:rPr>
                      <w:rFonts w:hint="default" w:ascii="Times New Roman" w:hAnsi="Times New Roman" w:cs="Times New Roman"/>
                      <w:b/>
                      <w:bCs/>
                      <w:color w:val="auto"/>
                      <w:sz w:val="21"/>
                      <w:szCs w:val="21"/>
                      <w:highlight w:val="none"/>
                    </w:rPr>
                    <w:t>相对</w:t>
                  </w:r>
                  <w:r>
                    <w:rPr>
                      <w:rFonts w:hint="eastAsia" w:cs="Times New Roman"/>
                      <w:b/>
                      <w:bCs/>
                      <w:color w:val="auto"/>
                      <w:sz w:val="21"/>
                      <w:szCs w:val="21"/>
                      <w:highlight w:val="none"/>
                      <w:lang w:val="en-US" w:eastAsia="zh-CN"/>
                    </w:rPr>
                    <w:t>厂界</w:t>
                  </w:r>
                  <w:r>
                    <w:rPr>
                      <w:rFonts w:hint="default" w:ascii="Times New Roman" w:hAnsi="Times New Roman" w:cs="Times New Roman"/>
                      <w:b/>
                      <w:bCs/>
                      <w:color w:val="auto"/>
                      <w:sz w:val="21"/>
                      <w:szCs w:val="21"/>
                      <w:highlight w:val="none"/>
                    </w:rPr>
                    <w:t>距离（m）</w:t>
                  </w:r>
                </w:p>
              </w:tc>
              <w:tc>
                <w:tcPr>
                  <w:tcW w:w="1200" w:type="dxa"/>
                  <w:vMerge w:val="restart"/>
                  <w:tcBorders>
                    <w:tl2br w:val="nil"/>
                    <w:tr2bl w:val="nil"/>
                  </w:tcBorders>
                  <w:noWrap w:val="0"/>
                  <w:vAlign w:val="center"/>
                </w:tcPr>
                <w:p>
                  <w:pPr>
                    <w:jc w:val="center"/>
                    <w:rPr>
                      <w:rFonts w:hint="eastAsia" w:eastAsia="宋体"/>
                      <w:b/>
                      <w:bCs/>
                      <w:color w:val="auto"/>
                      <w:sz w:val="21"/>
                      <w:szCs w:val="21"/>
                      <w:highlight w:val="none"/>
                      <w:lang w:val="en-US" w:eastAsia="zh-CN"/>
                    </w:rPr>
                  </w:pPr>
                  <w:r>
                    <w:rPr>
                      <w:rFonts w:hint="eastAsia" w:cs="Times New Roman"/>
                      <w:b/>
                      <w:bCs/>
                      <w:color w:val="auto"/>
                      <w:sz w:val="21"/>
                      <w:szCs w:val="21"/>
                      <w:highlight w:val="none"/>
                      <w:lang w:val="en-US" w:eastAsia="zh-CN"/>
                    </w:rPr>
                    <w:t>保护对象（人）</w:t>
                  </w:r>
                </w:p>
              </w:tc>
              <w:tc>
                <w:tcPr>
                  <w:tcW w:w="897" w:type="dxa"/>
                  <w:vMerge w:val="restart"/>
                  <w:tcBorders>
                    <w:tl2br w:val="nil"/>
                    <w:tr2bl w:val="nil"/>
                  </w:tcBorders>
                  <w:noWrap w:val="0"/>
                  <w:vAlign w:val="center"/>
                </w:tcPr>
                <w:p>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环境</w:t>
                  </w:r>
                </w:p>
                <w:p>
                  <w:pPr>
                    <w:jc w:val="center"/>
                    <w:rPr>
                      <w:rFonts w:hint="default"/>
                      <w:b/>
                      <w:bCs/>
                      <w:color w:val="auto"/>
                      <w:sz w:val="21"/>
                      <w:szCs w:val="21"/>
                      <w:highlight w:val="none"/>
                      <w:lang w:val="en-US" w:eastAsia="zh-CN"/>
                    </w:rPr>
                  </w:pPr>
                  <w:r>
                    <w:rPr>
                      <w:rFonts w:hint="default" w:ascii="Times New Roman" w:hAnsi="Times New Roman" w:cs="Times New Roman"/>
                      <w:b/>
                      <w:bCs/>
                      <w:color w:val="auto"/>
                      <w:sz w:val="21"/>
                      <w:szCs w:val="21"/>
                      <w:highlight w:val="none"/>
                    </w:rPr>
                    <w:t>功能区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5" w:type="dxa"/>
                  <w:vMerge w:val="continue"/>
                  <w:tcBorders>
                    <w:tl2br w:val="nil"/>
                    <w:tr2bl w:val="nil"/>
                  </w:tcBorders>
                  <w:noWrap w:val="0"/>
                  <w:vAlign w:val="center"/>
                </w:tcPr>
                <w:p>
                  <w:pPr>
                    <w:jc w:val="center"/>
                    <w:rPr>
                      <w:rFonts w:hint="default"/>
                      <w:color w:val="auto"/>
                      <w:sz w:val="21"/>
                      <w:szCs w:val="21"/>
                      <w:highlight w:val="none"/>
                      <w:lang w:val="en-US" w:eastAsia="zh-CN"/>
                    </w:rPr>
                  </w:pPr>
                </w:p>
              </w:tc>
              <w:tc>
                <w:tcPr>
                  <w:tcW w:w="1596" w:type="dxa"/>
                  <w:vMerge w:val="continue"/>
                  <w:tcBorders>
                    <w:tl2br w:val="nil"/>
                    <w:tr2bl w:val="nil"/>
                  </w:tcBorders>
                  <w:noWrap w:val="0"/>
                  <w:vAlign w:val="center"/>
                </w:tcPr>
                <w:p>
                  <w:pPr>
                    <w:jc w:val="center"/>
                    <w:rPr>
                      <w:rFonts w:hint="default" w:ascii="Times New Roman" w:hAnsi="Times New Roman" w:cs="Times New Roman"/>
                      <w:bCs/>
                      <w:color w:val="auto"/>
                      <w:sz w:val="21"/>
                      <w:szCs w:val="21"/>
                      <w:highlight w:val="none"/>
                    </w:rPr>
                  </w:pPr>
                </w:p>
              </w:tc>
              <w:tc>
                <w:tcPr>
                  <w:tcW w:w="972" w:type="dxa"/>
                  <w:tcBorders>
                    <w:tl2br w:val="nil"/>
                    <w:tr2bl w:val="nil"/>
                  </w:tcBorders>
                  <w:noWrap w:val="0"/>
                  <w:vAlign w:val="center"/>
                </w:tcPr>
                <w:p>
                  <w:pPr>
                    <w:jc w:val="center"/>
                    <w:rPr>
                      <w:rFonts w:hint="default" w:ascii="Times New Roman"/>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X</w:t>
                  </w:r>
                </w:p>
              </w:tc>
              <w:tc>
                <w:tcPr>
                  <w:tcW w:w="1034" w:type="dxa"/>
                  <w:tcBorders>
                    <w:tl2br w:val="nil"/>
                    <w:tr2bl w:val="nil"/>
                  </w:tcBorders>
                  <w:noWrap w:val="0"/>
                  <w:vAlign w:val="center"/>
                </w:tcPr>
                <w:p>
                  <w:pPr>
                    <w:jc w:val="center"/>
                    <w:rPr>
                      <w:rFonts w:hint="default" w:ascii="Times New Roman"/>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Y</w:t>
                  </w:r>
                </w:p>
              </w:tc>
              <w:tc>
                <w:tcPr>
                  <w:tcW w:w="838" w:type="dxa"/>
                  <w:vMerge w:val="continue"/>
                  <w:tcBorders>
                    <w:tl2br w:val="nil"/>
                    <w:tr2bl w:val="nil"/>
                  </w:tcBorders>
                  <w:noWrap w:val="0"/>
                  <w:vAlign w:val="center"/>
                </w:tcPr>
                <w:p>
                  <w:pPr>
                    <w:jc w:val="center"/>
                    <w:rPr>
                      <w:rFonts w:hint="default" w:ascii="Times New Roman"/>
                      <w:color w:val="auto"/>
                      <w:sz w:val="21"/>
                      <w:szCs w:val="21"/>
                      <w:highlight w:val="none"/>
                      <w:lang w:val="en-US" w:eastAsia="zh-CN"/>
                    </w:rPr>
                  </w:pPr>
                </w:p>
              </w:tc>
              <w:tc>
                <w:tcPr>
                  <w:tcW w:w="1164" w:type="dxa"/>
                  <w:vMerge w:val="continue"/>
                  <w:tcBorders>
                    <w:tl2br w:val="nil"/>
                    <w:tr2bl w:val="nil"/>
                  </w:tcBorders>
                  <w:noWrap w:val="0"/>
                  <w:vAlign w:val="center"/>
                </w:tcPr>
                <w:p>
                  <w:pPr>
                    <w:jc w:val="center"/>
                    <w:rPr>
                      <w:rFonts w:hint="default" w:eastAsia="宋体"/>
                      <w:color w:val="auto"/>
                      <w:sz w:val="21"/>
                      <w:szCs w:val="21"/>
                      <w:highlight w:val="none"/>
                      <w:lang w:val="en-US" w:eastAsia="zh-CN"/>
                    </w:rPr>
                  </w:pPr>
                </w:p>
              </w:tc>
              <w:tc>
                <w:tcPr>
                  <w:tcW w:w="1200" w:type="dxa"/>
                  <w:vMerge w:val="continue"/>
                  <w:tcBorders>
                    <w:tl2br w:val="nil"/>
                    <w:tr2bl w:val="nil"/>
                  </w:tcBorders>
                  <w:noWrap w:val="0"/>
                  <w:vAlign w:val="center"/>
                </w:tcPr>
                <w:p>
                  <w:pPr>
                    <w:jc w:val="center"/>
                    <w:rPr>
                      <w:rFonts w:hint="default" w:eastAsia="宋体"/>
                      <w:color w:val="auto"/>
                      <w:sz w:val="21"/>
                      <w:szCs w:val="21"/>
                      <w:highlight w:val="none"/>
                      <w:lang w:val="en-US" w:eastAsia="zh-CN"/>
                    </w:rPr>
                  </w:pPr>
                </w:p>
              </w:tc>
              <w:tc>
                <w:tcPr>
                  <w:tcW w:w="897" w:type="dxa"/>
                  <w:vMerge w:val="continue"/>
                  <w:tcBorders>
                    <w:tl2br w:val="nil"/>
                    <w:tr2bl w:val="nil"/>
                  </w:tcBorders>
                  <w:noWrap w:val="0"/>
                  <w:vAlign w:val="center"/>
                </w:tcPr>
                <w:p>
                  <w:pPr>
                    <w:jc w:val="center"/>
                    <w:rPr>
                      <w:rFonts w:hint="default" w:eastAsia="宋体"/>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5" w:type="dxa"/>
                  <w:tcBorders>
                    <w:tl2br w:val="nil"/>
                    <w:tr2bl w:val="nil"/>
                  </w:tcBorders>
                  <w:noWrap w:val="0"/>
                  <w:vAlign w:val="center"/>
                </w:tcPr>
                <w:p>
                  <w:pPr>
                    <w:jc w:val="center"/>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环境</w:t>
                  </w:r>
                </w:p>
                <w:p>
                  <w:pPr>
                    <w:jc w:val="center"/>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空气</w:t>
                  </w:r>
                </w:p>
              </w:tc>
              <w:tc>
                <w:tcPr>
                  <w:tcW w:w="1596" w:type="dxa"/>
                  <w:tcBorders>
                    <w:tl2br w:val="nil"/>
                    <w:tr2bl w:val="nil"/>
                  </w:tcBorders>
                  <w:noWrap w:val="0"/>
                  <w:vAlign w:val="center"/>
                </w:tcPr>
                <w:p>
                  <w:pPr>
                    <w:spacing w:line="0" w:lineRule="atLeast"/>
                    <w:jc w:val="center"/>
                    <w:rPr>
                      <w:rFonts w:hint="default" w:ascii="Times New Roman" w:hAnsi="Times New Roman" w:eastAsia="宋体" w:cs="Times New Roman"/>
                      <w:bCs/>
                      <w:color w:val="auto"/>
                      <w:sz w:val="21"/>
                      <w:szCs w:val="21"/>
                      <w:highlight w:val="none"/>
                      <w:lang w:val="en-US" w:eastAsia="zh-CN"/>
                    </w:rPr>
                  </w:pPr>
                  <w:r>
                    <w:rPr>
                      <w:rFonts w:hint="eastAsia" w:cs="Times New Roman"/>
                      <w:bCs/>
                      <w:color w:val="auto"/>
                      <w:sz w:val="21"/>
                      <w:szCs w:val="21"/>
                      <w:highlight w:val="none"/>
                      <w:lang w:val="en-US" w:eastAsia="zh-CN"/>
                    </w:rPr>
                    <w:t>城南小区</w:t>
                  </w:r>
                </w:p>
              </w:tc>
              <w:tc>
                <w:tcPr>
                  <w:tcW w:w="972" w:type="dxa"/>
                  <w:tcBorders>
                    <w:tl2br w:val="nil"/>
                    <w:tr2bl w:val="nil"/>
                  </w:tcBorders>
                  <w:noWrap w:val="0"/>
                  <w:vAlign w:val="center"/>
                </w:tcPr>
                <w:p>
                  <w:pPr>
                    <w:spacing w:line="0" w:lineRule="atLeast"/>
                    <w:jc w:val="center"/>
                    <w:rPr>
                      <w:rFonts w:hint="default" w:ascii="Times New Roman" w:hAnsi="Times New Roman" w:cs="Times New Roman"/>
                      <w:bCs/>
                      <w:color w:val="auto"/>
                      <w:sz w:val="21"/>
                      <w:szCs w:val="21"/>
                      <w:highlight w:val="none"/>
                      <w:lang w:val="en-US" w:eastAsia="zh-CN"/>
                    </w:rPr>
                  </w:pPr>
                  <w:r>
                    <w:rPr>
                      <w:rFonts w:hint="eastAsia" w:cs="Times New Roman"/>
                      <w:bCs/>
                      <w:color w:val="auto"/>
                      <w:sz w:val="21"/>
                      <w:szCs w:val="21"/>
                      <w:highlight w:val="none"/>
                      <w:lang w:val="en-US" w:eastAsia="zh-CN"/>
                    </w:rPr>
                    <w:t>395309.23</w:t>
                  </w:r>
                </w:p>
              </w:tc>
              <w:tc>
                <w:tcPr>
                  <w:tcW w:w="1034" w:type="dxa"/>
                  <w:tcBorders>
                    <w:tl2br w:val="nil"/>
                    <w:tr2bl w:val="nil"/>
                  </w:tcBorders>
                  <w:noWrap w:val="0"/>
                  <w:vAlign w:val="center"/>
                </w:tcPr>
                <w:p>
                  <w:pPr>
                    <w:spacing w:line="0" w:lineRule="atLeast"/>
                    <w:jc w:val="center"/>
                    <w:rPr>
                      <w:rFonts w:hint="default" w:ascii="Times New Roman" w:hAnsi="Times New Roman" w:cs="Times New Roman"/>
                      <w:bCs/>
                      <w:color w:val="auto"/>
                      <w:sz w:val="21"/>
                      <w:szCs w:val="21"/>
                      <w:highlight w:val="none"/>
                      <w:lang w:val="en-US" w:eastAsia="zh-CN"/>
                    </w:rPr>
                  </w:pPr>
                  <w:r>
                    <w:rPr>
                      <w:rFonts w:hint="eastAsia" w:cs="Times New Roman"/>
                      <w:bCs/>
                      <w:color w:val="auto"/>
                      <w:sz w:val="21"/>
                      <w:szCs w:val="21"/>
                      <w:highlight w:val="none"/>
                      <w:lang w:val="en-US" w:eastAsia="zh-CN"/>
                    </w:rPr>
                    <w:t>4655496.48</w:t>
                  </w:r>
                </w:p>
              </w:tc>
              <w:tc>
                <w:tcPr>
                  <w:tcW w:w="838" w:type="dxa"/>
                  <w:tcBorders>
                    <w:tl2br w:val="nil"/>
                    <w:tr2bl w:val="nil"/>
                  </w:tcBorders>
                  <w:noWrap w:val="0"/>
                  <w:vAlign w:val="center"/>
                </w:tcPr>
                <w:p>
                  <w:pPr>
                    <w:spacing w:line="0" w:lineRule="atLeast"/>
                    <w:jc w:val="center"/>
                    <w:rPr>
                      <w:rFonts w:hint="default" w:ascii="Times New Roman" w:hAnsi="Times New Roman" w:eastAsia="宋体" w:cs="Times New Roman"/>
                      <w:bCs/>
                      <w:color w:val="auto"/>
                      <w:sz w:val="21"/>
                      <w:szCs w:val="21"/>
                      <w:highlight w:val="none"/>
                      <w:lang w:val="en-US" w:eastAsia="zh-CN"/>
                    </w:rPr>
                  </w:pPr>
                  <w:r>
                    <w:rPr>
                      <w:rFonts w:hint="eastAsia" w:cs="Times New Roman"/>
                      <w:bCs/>
                      <w:color w:val="auto"/>
                      <w:sz w:val="21"/>
                      <w:szCs w:val="21"/>
                      <w:highlight w:val="none"/>
                      <w:lang w:val="en-US" w:eastAsia="zh-CN"/>
                    </w:rPr>
                    <w:t>N</w:t>
                  </w:r>
                </w:p>
              </w:tc>
              <w:tc>
                <w:tcPr>
                  <w:tcW w:w="1164" w:type="dxa"/>
                  <w:tcBorders>
                    <w:tl2br w:val="nil"/>
                    <w:tr2bl w:val="nil"/>
                  </w:tcBorders>
                  <w:noWrap w:val="0"/>
                  <w:vAlign w:val="center"/>
                </w:tcPr>
                <w:p>
                  <w:pPr>
                    <w:spacing w:line="0" w:lineRule="atLeast"/>
                    <w:jc w:val="center"/>
                    <w:rPr>
                      <w:rFonts w:hint="default" w:ascii="Times New Roman" w:hAnsi="Times New Roman" w:cs="Times New Roman"/>
                      <w:bCs/>
                      <w:color w:val="auto"/>
                      <w:sz w:val="21"/>
                      <w:szCs w:val="21"/>
                      <w:highlight w:val="none"/>
                      <w:lang w:val="en-US" w:eastAsia="zh-CN"/>
                    </w:rPr>
                  </w:pPr>
                  <w:r>
                    <w:rPr>
                      <w:rFonts w:hint="eastAsia" w:cs="Times New Roman"/>
                      <w:bCs/>
                      <w:color w:val="auto"/>
                      <w:sz w:val="21"/>
                      <w:szCs w:val="21"/>
                      <w:highlight w:val="none"/>
                      <w:lang w:val="en-US" w:eastAsia="zh-CN"/>
                    </w:rPr>
                    <w:t>188</w:t>
                  </w:r>
                </w:p>
              </w:tc>
              <w:tc>
                <w:tcPr>
                  <w:tcW w:w="1200" w:type="dxa"/>
                  <w:tcBorders>
                    <w:tl2br w:val="nil"/>
                    <w:tr2bl w:val="nil"/>
                  </w:tcBorders>
                  <w:noWrap w:val="0"/>
                  <w:vAlign w:val="center"/>
                </w:tcPr>
                <w:p>
                  <w:pPr>
                    <w:spacing w:line="0" w:lineRule="atLeast"/>
                    <w:jc w:val="center"/>
                    <w:rPr>
                      <w:rFonts w:hint="default" w:ascii="Times New Roman" w:hAnsi="Times New Roman" w:cs="Times New Roman"/>
                      <w:bCs/>
                      <w:color w:val="auto"/>
                      <w:sz w:val="21"/>
                      <w:szCs w:val="21"/>
                      <w:highlight w:val="none"/>
                      <w:lang w:val="en-US" w:eastAsia="zh-CN"/>
                    </w:rPr>
                  </w:pPr>
                  <w:r>
                    <w:rPr>
                      <w:rFonts w:hint="eastAsia" w:cs="Times New Roman"/>
                      <w:bCs/>
                      <w:color w:val="auto"/>
                      <w:sz w:val="21"/>
                      <w:szCs w:val="21"/>
                      <w:highlight w:val="none"/>
                      <w:lang w:val="en-US" w:eastAsia="zh-CN"/>
                    </w:rPr>
                    <w:t>3380</w:t>
                  </w:r>
                </w:p>
              </w:tc>
              <w:tc>
                <w:tcPr>
                  <w:tcW w:w="897" w:type="dxa"/>
                  <w:tcBorders>
                    <w:tl2br w:val="nil"/>
                    <w:tr2bl w:val="nil"/>
                  </w:tcBorders>
                  <w:noWrap w:val="0"/>
                  <w:vAlign w:val="center"/>
                </w:tcPr>
                <w:p>
                  <w:pPr>
                    <w:jc w:val="center"/>
                    <w:rPr>
                      <w:rFonts w:hint="eastAsia" w:ascii="Times New Roman" w:hAnsi="Times New Roman"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二类区</w:t>
                  </w:r>
                </w:p>
              </w:tc>
            </w:tr>
          </w:tbl>
          <w:p>
            <w:pPr>
              <w:pStyle w:val="39"/>
              <w:numPr>
                <w:ilvl w:val="0"/>
                <w:numId w:val="0"/>
              </w:numPr>
              <w:rPr>
                <w:rFonts w:hint="eastAsia" w:ascii="宋体" w:hAnsi="宋体" w:eastAsia="宋体" w:cs="宋体"/>
                <w:b/>
                <w:bCs/>
                <w:color w:val="auto"/>
                <w:sz w:val="22"/>
                <w:szCs w:val="21"/>
                <w:highlight w:val="none"/>
                <w:lang w:val="en-US" w:eastAsia="zh-CN"/>
              </w:rPr>
            </w:pPr>
          </w:p>
          <w:p>
            <w:pPr>
              <w:pStyle w:val="5"/>
              <w:numPr>
                <w:ilvl w:val="0"/>
                <w:numId w:val="1"/>
              </w:numPr>
              <w:spacing w:line="360" w:lineRule="auto"/>
              <w:ind w:left="0" w:leftChars="0" w:firstLine="480" w:firstLineChars="200"/>
              <w:rPr>
                <w:rFonts w:hint="eastAsia"/>
                <w:highlight w:val="none"/>
                <w:lang w:val="en-US" w:eastAsia="zh-CN"/>
              </w:rPr>
            </w:pPr>
            <w:r>
              <w:rPr>
                <w:rFonts w:hint="eastAsia"/>
                <w:color w:val="auto"/>
                <w:sz w:val="24"/>
                <w:szCs w:val="24"/>
                <w:highlight w:val="none"/>
                <w:lang w:val="en-US" w:eastAsia="zh-CN"/>
              </w:rPr>
              <w:t>声环境保护目标：本项目厂界外50米范围内无声环境保护目标。</w:t>
            </w:r>
          </w:p>
          <w:p>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3、地表水环境：地表水保护目标为北侧1.7km细河。</w:t>
            </w:r>
          </w:p>
          <w:p>
            <w:pPr>
              <w:spacing w:line="360" w:lineRule="auto"/>
              <w:ind w:firstLine="480" w:firstLineChars="200"/>
              <w:rPr>
                <w:rFonts w:hint="eastAsia"/>
                <w:color w:val="auto"/>
                <w:sz w:val="24"/>
                <w:szCs w:val="24"/>
                <w:highlight w:val="none"/>
                <w:lang w:val="en-US" w:eastAsia="zh-CN"/>
              </w:rPr>
            </w:pPr>
            <w:r>
              <w:rPr>
                <w:rFonts w:hint="eastAsia" w:cs="Times New Roman"/>
                <w:color w:val="auto"/>
                <w:sz w:val="24"/>
                <w:szCs w:val="24"/>
                <w:highlight w:val="none"/>
                <w:lang w:val="en-US" w:eastAsia="zh-CN"/>
              </w:rPr>
              <w:t>4、</w:t>
            </w:r>
            <w:r>
              <w:rPr>
                <w:rFonts w:hint="eastAsia"/>
                <w:color w:val="auto"/>
                <w:sz w:val="24"/>
                <w:szCs w:val="24"/>
                <w:highlight w:val="none"/>
                <w:lang w:val="en-US" w:eastAsia="zh-CN"/>
              </w:rPr>
              <w:t>地下水环境：本项目厂界外500米范围内无地下水集中式饮用水源和热水、矿泉水、温泉等特殊地下水资源，无地下水环境保护目标。</w:t>
            </w:r>
          </w:p>
          <w:p>
            <w:pPr>
              <w:adjustRightInd w:val="0"/>
              <w:snapToGrid w:val="0"/>
              <w:ind w:firstLine="480" w:firstLineChars="200"/>
              <w:jc w:val="both"/>
              <w:rPr>
                <w:rFonts w:hint="eastAsia"/>
                <w:color w:val="auto"/>
                <w:sz w:val="24"/>
                <w:szCs w:val="24"/>
                <w:highlight w:val="none"/>
                <w:lang w:val="en-US" w:eastAsia="zh-CN"/>
              </w:rPr>
            </w:pPr>
            <w:r>
              <w:rPr>
                <w:rFonts w:hint="eastAsia" w:cs="Times New Roman"/>
                <w:color w:val="auto"/>
                <w:sz w:val="24"/>
                <w:szCs w:val="24"/>
                <w:highlight w:val="none"/>
                <w:lang w:val="en-US" w:eastAsia="zh-CN"/>
              </w:rPr>
              <w:t>5、生态</w:t>
            </w:r>
            <w:r>
              <w:rPr>
                <w:rFonts w:hint="eastAsia"/>
                <w:color w:val="auto"/>
                <w:sz w:val="24"/>
                <w:szCs w:val="24"/>
                <w:highlight w:val="none"/>
                <w:lang w:val="en-US" w:eastAsia="zh-CN"/>
              </w:rPr>
              <w:t>环境保护目标：本项目用地范围内无生态环境保护目标。</w:t>
            </w:r>
          </w:p>
          <w:p>
            <w:pPr>
              <w:pStyle w:val="20"/>
              <w:ind w:left="0" w:leftChars="0" w:right="113" w:rightChars="0" w:firstLine="0" w:firstLineChars="0"/>
              <w:rPr>
                <w:rFonts w:hint="default"/>
                <w:color w:val="auto"/>
                <w:highlight w:val="none"/>
                <w:lang w:val="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454" w:type="dxa"/>
            <w:noWrap w:val="0"/>
            <w:vAlign w:val="center"/>
          </w:tcPr>
          <w:p>
            <w:pPr>
              <w:adjustRightInd w:val="0"/>
              <w:snapToGrid w:val="0"/>
              <w:jc w:val="center"/>
              <w:rPr>
                <w:rFonts w:hint="eastAsia" w:ascii="宋体" w:hAnsi="宋体" w:cs="宋体"/>
                <w:kern w:val="0"/>
                <w:szCs w:val="21"/>
                <w:highlight w:val="none"/>
              </w:rPr>
            </w:pPr>
            <w:r>
              <w:rPr>
                <w:rFonts w:hint="eastAsia" w:ascii="宋体" w:hAnsi="宋体" w:cs="宋体"/>
                <w:kern w:val="0"/>
                <w:szCs w:val="21"/>
                <w:highlight w:val="none"/>
              </w:rPr>
              <w:t>污染</w:t>
            </w:r>
          </w:p>
          <w:p>
            <w:pPr>
              <w:adjustRightInd w:val="0"/>
              <w:snapToGrid w:val="0"/>
              <w:jc w:val="center"/>
              <w:rPr>
                <w:rFonts w:hint="eastAsia" w:ascii="宋体" w:hAnsi="宋体" w:cs="宋体"/>
                <w:kern w:val="0"/>
                <w:szCs w:val="21"/>
                <w:highlight w:val="none"/>
              </w:rPr>
            </w:pPr>
            <w:r>
              <w:rPr>
                <w:rFonts w:hint="eastAsia" w:ascii="宋体" w:hAnsi="宋体" w:cs="宋体"/>
                <w:kern w:val="0"/>
                <w:szCs w:val="21"/>
                <w:highlight w:val="none"/>
              </w:rPr>
              <w:t>物排</w:t>
            </w:r>
          </w:p>
          <w:p>
            <w:pPr>
              <w:adjustRightInd w:val="0"/>
              <w:snapToGrid w:val="0"/>
              <w:jc w:val="center"/>
              <w:rPr>
                <w:rFonts w:hint="eastAsia" w:ascii="宋体" w:hAnsi="宋体" w:cs="宋体"/>
                <w:kern w:val="0"/>
                <w:szCs w:val="21"/>
                <w:highlight w:val="none"/>
              </w:rPr>
            </w:pPr>
            <w:r>
              <w:rPr>
                <w:rFonts w:hint="eastAsia" w:ascii="宋体" w:hAnsi="宋体" w:cs="宋体"/>
                <w:kern w:val="0"/>
                <w:szCs w:val="21"/>
                <w:highlight w:val="none"/>
              </w:rPr>
              <w:t>放控</w:t>
            </w:r>
          </w:p>
          <w:p>
            <w:pPr>
              <w:adjustRightInd w:val="0"/>
              <w:snapToGrid w:val="0"/>
              <w:jc w:val="center"/>
              <w:rPr>
                <w:rFonts w:hint="eastAsia" w:ascii="宋体" w:hAnsi="宋体" w:cs="宋体"/>
                <w:kern w:val="0"/>
                <w:szCs w:val="21"/>
                <w:highlight w:val="none"/>
              </w:rPr>
            </w:pPr>
            <w:r>
              <w:rPr>
                <w:rFonts w:hint="eastAsia" w:ascii="宋体" w:hAnsi="宋体" w:cs="宋体"/>
                <w:kern w:val="0"/>
                <w:szCs w:val="21"/>
                <w:highlight w:val="none"/>
              </w:rPr>
              <w:t>制标</w:t>
            </w:r>
          </w:p>
          <w:p>
            <w:pPr>
              <w:adjustRightInd w:val="0"/>
              <w:snapToGrid w:val="0"/>
              <w:jc w:val="center"/>
              <w:rPr>
                <w:rFonts w:ascii="宋体" w:hAnsi="宋体" w:cs="宋体"/>
                <w:kern w:val="0"/>
                <w:szCs w:val="21"/>
                <w:highlight w:val="none"/>
              </w:rPr>
            </w:pPr>
            <w:r>
              <w:rPr>
                <w:rFonts w:hint="eastAsia" w:ascii="宋体" w:hAnsi="宋体" w:cs="宋体"/>
                <w:kern w:val="0"/>
                <w:szCs w:val="21"/>
                <w:highlight w:val="none"/>
              </w:rPr>
              <w:t>准</w:t>
            </w:r>
          </w:p>
        </w:tc>
        <w:tc>
          <w:tcPr>
            <w:tcW w:w="860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一、施工期污染物排放控制标准</w:t>
            </w:r>
          </w:p>
          <w:p>
            <w:pPr>
              <w:widowControl/>
              <w:numPr>
                <w:ilvl w:val="0"/>
                <w:numId w:val="0"/>
              </w:numPr>
              <w:tabs>
                <w:tab w:val="left" w:pos="1245"/>
              </w:tabs>
              <w:snapToGrid w:val="0"/>
              <w:spacing w:line="360" w:lineRule="auto"/>
              <w:ind w:firstLine="480" w:firstLineChars="200"/>
              <w:jc w:val="left"/>
              <w:rPr>
                <w:rFonts w:hint="eastAsia" w:ascii="Times New Roman" w:hAnsi="Times New Roman" w:cs="Times New Roman"/>
                <w:color w:val="auto"/>
                <w:sz w:val="24"/>
                <w:szCs w:val="21"/>
                <w:highlight w:val="none"/>
                <w:lang w:val="en-US" w:eastAsia="zh-CN"/>
              </w:rPr>
            </w:pPr>
            <w:r>
              <w:rPr>
                <w:rFonts w:hint="eastAsia" w:ascii="Times New Roman" w:hAnsi="Times New Roman" w:eastAsia="宋体" w:cs="Times New Roman"/>
                <w:color w:val="auto"/>
                <w:kern w:val="2"/>
                <w:sz w:val="24"/>
                <w:szCs w:val="21"/>
                <w:highlight w:val="none"/>
                <w:lang w:val="en-US" w:eastAsia="zh-CN" w:bidi="ar-SA"/>
              </w:rPr>
              <w:t>1、</w:t>
            </w:r>
            <w:r>
              <w:rPr>
                <w:rFonts w:hint="eastAsia" w:ascii="Times New Roman" w:hAnsi="Times New Roman" w:cs="Times New Roman"/>
                <w:color w:val="auto"/>
                <w:sz w:val="24"/>
                <w:szCs w:val="21"/>
                <w:highlight w:val="none"/>
                <w:lang w:val="en-US" w:eastAsia="zh-CN"/>
              </w:rPr>
              <w:t>施工期扬尘执行</w:t>
            </w:r>
            <w:r>
              <w:rPr>
                <w:rFonts w:hint="default" w:ascii="Times New Roman" w:hAnsi="Times New Roman" w:cs="Times New Roman"/>
                <w:color w:val="auto"/>
                <w:sz w:val="24"/>
                <w:szCs w:val="21"/>
                <w:highlight w:val="none"/>
              </w:rPr>
              <w:t>《施工及堆料场地扬尘排放标准》（DB21/2642-2016）</w:t>
            </w:r>
            <w:r>
              <w:rPr>
                <w:rFonts w:hint="eastAsia" w:ascii="Times New Roman" w:hAnsi="Times New Roman" w:cs="Times New Roman"/>
                <w:color w:val="auto"/>
                <w:sz w:val="24"/>
                <w:szCs w:val="21"/>
                <w:highlight w:val="none"/>
                <w:lang w:val="en-US" w:eastAsia="zh-CN"/>
              </w:rPr>
              <w:t>中表1扬尘排放浓度限值</w:t>
            </w:r>
            <w:r>
              <w:rPr>
                <w:rFonts w:hint="eastAsia" w:cs="Times New Roman"/>
                <w:color w:val="auto"/>
                <w:sz w:val="24"/>
                <w:szCs w:val="21"/>
                <w:highlight w:val="none"/>
                <w:lang w:val="en-US" w:eastAsia="zh-CN"/>
              </w:rPr>
              <w:t>，详</w:t>
            </w:r>
            <w:r>
              <w:rPr>
                <w:rFonts w:hint="eastAsia" w:ascii="Times New Roman" w:hAnsi="Times New Roman" w:cs="Times New Roman"/>
                <w:color w:val="auto"/>
                <w:sz w:val="24"/>
                <w:szCs w:val="21"/>
                <w:highlight w:val="none"/>
                <w:lang w:val="en-US" w:eastAsia="zh-CN"/>
              </w:rPr>
              <w:t>见表3-</w:t>
            </w:r>
            <w:r>
              <w:rPr>
                <w:rFonts w:hint="eastAsia" w:cs="Times New Roman"/>
                <w:color w:val="auto"/>
                <w:sz w:val="24"/>
                <w:szCs w:val="21"/>
                <w:highlight w:val="none"/>
                <w:lang w:val="en-US" w:eastAsia="zh-CN"/>
              </w:rPr>
              <w:t>7</w:t>
            </w:r>
            <w:r>
              <w:rPr>
                <w:rFonts w:hint="eastAsia" w:ascii="Times New Roman" w:hAnsi="Times New Roman" w:cs="Times New Roman"/>
                <w:color w:val="auto"/>
                <w:sz w:val="24"/>
                <w:szCs w:val="21"/>
                <w:highlight w:val="none"/>
                <w:lang w:val="en-US" w:eastAsia="zh-CN"/>
              </w:rPr>
              <w:t>。</w:t>
            </w:r>
          </w:p>
          <w:p>
            <w:pPr>
              <w:autoSpaceDE w:val="0"/>
              <w:autoSpaceDN w:val="0"/>
              <w:adjustRightInd w:val="0"/>
              <w:jc w:val="center"/>
              <w:textAlignment w:val="baseline"/>
              <w:rPr>
                <w:rFonts w:hint="eastAsia"/>
                <w:b/>
                <w:color w:val="auto"/>
                <w:kern w:val="0"/>
                <w:sz w:val="21"/>
                <w:szCs w:val="21"/>
                <w:highlight w:val="none"/>
              </w:rPr>
            </w:pPr>
            <w:r>
              <w:rPr>
                <w:rFonts w:hint="default" w:ascii="Times New Roman" w:hAnsi="Times New Roman" w:cs="Times New Roman"/>
                <w:b/>
                <w:color w:val="auto"/>
                <w:kern w:val="0"/>
                <w:sz w:val="21"/>
                <w:szCs w:val="21"/>
                <w:highlight w:val="none"/>
              </w:rPr>
              <w:t>表</w:t>
            </w:r>
            <w:r>
              <w:rPr>
                <w:rFonts w:hint="eastAsia" w:cs="Times New Roman"/>
                <w:b/>
                <w:color w:val="auto"/>
                <w:kern w:val="0"/>
                <w:sz w:val="21"/>
                <w:szCs w:val="21"/>
                <w:highlight w:val="none"/>
                <w:lang w:val="en-US" w:eastAsia="zh-CN"/>
              </w:rPr>
              <w:t>3-7</w:t>
            </w:r>
            <w:r>
              <w:rPr>
                <w:rFonts w:hint="default" w:ascii="Times New Roman" w:hAnsi="Times New Roman" w:cs="Times New Roman"/>
                <w:b/>
                <w:color w:val="auto"/>
                <w:kern w:val="0"/>
                <w:sz w:val="21"/>
                <w:szCs w:val="21"/>
                <w:highlight w:val="none"/>
              </w:rPr>
              <w:t xml:space="preserve"> </w:t>
            </w:r>
            <w:r>
              <w:rPr>
                <w:rFonts w:hint="eastAsia" w:cs="Times New Roman"/>
                <w:b/>
                <w:color w:val="auto"/>
                <w:kern w:val="0"/>
                <w:sz w:val="21"/>
                <w:szCs w:val="21"/>
                <w:highlight w:val="none"/>
                <w:lang w:eastAsia="zh-CN"/>
              </w:rPr>
              <w:t>施工期</w:t>
            </w:r>
            <w:r>
              <w:rPr>
                <w:rFonts w:hint="eastAsia"/>
                <w:b/>
                <w:color w:val="auto"/>
                <w:kern w:val="0"/>
                <w:sz w:val="21"/>
                <w:szCs w:val="21"/>
                <w:highlight w:val="none"/>
              </w:rPr>
              <w:t>扬尘排放限值</w:t>
            </w:r>
            <w:r>
              <w:rPr>
                <w:rFonts w:hint="eastAsia"/>
                <w:b/>
                <w:color w:val="auto"/>
                <w:kern w:val="0"/>
                <w:sz w:val="21"/>
                <w:szCs w:val="21"/>
                <w:highlight w:val="none"/>
                <w:lang w:eastAsia="zh-CN"/>
              </w:rPr>
              <w:t>（</w:t>
            </w:r>
            <w:r>
              <w:rPr>
                <w:rFonts w:hint="eastAsia"/>
                <w:b/>
                <w:color w:val="auto"/>
                <w:sz w:val="21"/>
                <w:szCs w:val="21"/>
                <w:highlight w:val="none"/>
                <w:lang w:val="en-US" w:eastAsia="zh-CN"/>
              </w:rPr>
              <w:t>mg/m</w:t>
            </w:r>
            <w:r>
              <w:rPr>
                <w:rFonts w:hint="default" w:ascii="Times New Roman" w:hAnsi="Times New Roman" w:cs="Times New Roman"/>
                <w:b/>
                <w:color w:val="auto"/>
                <w:sz w:val="21"/>
                <w:szCs w:val="21"/>
                <w:highlight w:val="none"/>
                <w:lang w:val="en-US" w:eastAsia="zh-CN"/>
              </w:rPr>
              <w:t>³</w:t>
            </w:r>
            <w:r>
              <w:rPr>
                <w:rFonts w:hint="eastAsia"/>
                <w:b/>
                <w:color w:val="auto"/>
                <w:kern w:val="0"/>
                <w:sz w:val="21"/>
                <w:szCs w:val="21"/>
                <w:highlight w:val="none"/>
                <w:lang w:eastAsia="zh-CN"/>
              </w:rPr>
              <w:t>）</w:t>
            </w:r>
          </w:p>
          <w:tbl>
            <w:tblPr>
              <w:tblStyle w:val="21"/>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86"/>
              <w:gridCol w:w="1386"/>
              <w:gridCol w:w="1941"/>
              <w:gridCol w:w="337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1009" w:type="pct"/>
                  <w:noWrap w:val="0"/>
                  <w:vAlign w:val="center"/>
                </w:tcPr>
                <w:p>
                  <w:pPr>
                    <w:ind w:right="-64"/>
                    <w:jc w:val="center"/>
                    <w:rPr>
                      <w:rFonts w:hint="eastAsia" w:eastAsia="宋体"/>
                      <w:b/>
                      <w:color w:val="auto"/>
                      <w:sz w:val="21"/>
                      <w:szCs w:val="21"/>
                      <w:highlight w:val="none"/>
                      <w:lang w:eastAsia="zh-CN"/>
                    </w:rPr>
                  </w:pPr>
                  <w:r>
                    <w:rPr>
                      <w:rFonts w:hint="eastAsia"/>
                      <w:b/>
                      <w:color w:val="auto"/>
                      <w:sz w:val="21"/>
                      <w:szCs w:val="21"/>
                      <w:highlight w:val="none"/>
                      <w:lang w:eastAsia="zh-CN"/>
                    </w:rPr>
                    <w:t>污染物</w:t>
                  </w:r>
                </w:p>
              </w:tc>
              <w:tc>
                <w:tcPr>
                  <w:tcW w:w="830" w:type="pct"/>
                  <w:noWrap w:val="0"/>
                  <w:vAlign w:val="center"/>
                </w:tcPr>
                <w:p>
                  <w:pPr>
                    <w:ind w:right="-64"/>
                    <w:jc w:val="center"/>
                    <w:rPr>
                      <w:rFonts w:hint="eastAsia"/>
                      <w:b/>
                      <w:color w:val="auto"/>
                      <w:sz w:val="21"/>
                      <w:szCs w:val="21"/>
                      <w:highlight w:val="none"/>
                    </w:rPr>
                  </w:pPr>
                  <w:r>
                    <w:rPr>
                      <w:rFonts w:hint="eastAsia"/>
                      <w:b/>
                      <w:color w:val="auto"/>
                      <w:sz w:val="21"/>
                      <w:szCs w:val="21"/>
                      <w:highlight w:val="none"/>
                    </w:rPr>
                    <w:t>区域</w:t>
                  </w:r>
                </w:p>
              </w:tc>
              <w:tc>
                <w:tcPr>
                  <w:tcW w:w="1144" w:type="pct"/>
                  <w:noWrap w:val="0"/>
                  <w:vAlign w:val="center"/>
                </w:tcPr>
                <w:p>
                  <w:pPr>
                    <w:ind w:right="-64"/>
                    <w:jc w:val="center"/>
                    <w:rPr>
                      <w:rFonts w:hint="eastAsia" w:eastAsia="宋体"/>
                      <w:b/>
                      <w:color w:val="auto"/>
                      <w:sz w:val="21"/>
                      <w:szCs w:val="21"/>
                      <w:highlight w:val="none"/>
                      <w:lang w:eastAsia="zh-CN"/>
                    </w:rPr>
                  </w:pPr>
                  <w:r>
                    <w:rPr>
                      <w:rFonts w:hint="eastAsia"/>
                      <w:b/>
                      <w:color w:val="auto"/>
                      <w:sz w:val="21"/>
                      <w:szCs w:val="21"/>
                      <w:highlight w:val="none"/>
                      <w:lang w:eastAsia="zh-CN"/>
                    </w:rPr>
                    <w:t>执行标准</w:t>
                  </w:r>
                </w:p>
              </w:tc>
              <w:tc>
                <w:tcPr>
                  <w:tcW w:w="2015" w:type="pct"/>
                  <w:noWrap w:val="0"/>
                  <w:vAlign w:val="center"/>
                </w:tcPr>
                <w:p>
                  <w:pPr>
                    <w:ind w:right="-64"/>
                    <w:jc w:val="center"/>
                    <w:rPr>
                      <w:rFonts w:hint="default" w:eastAsia="宋体"/>
                      <w:b/>
                      <w:color w:val="auto"/>
                      <w:sz w:val="21"/>
                      <w:szCs w:val="21"/>
                      <w:highlight w:val="none"/>
                      <w:lang w:val="en-US" w:eastAsia="zh-CN"/>
                    </w:rPr>
                  </w:pPr>
                  <w:r>
                    <w:rPr>
                      <w:rFonts w:hint="eastAsia"/>
                      <w:b/>
                      <w:color w:val="auto"/>
                      <w:sz w:val="21"/>
                      <w:szCs w:val="21"/>
                      <w:highlight w:val="none"/>
                      <w:lang w:eastAsia="zh-CN"/>
                    </w:rPr>
                    <w:t>标准</w:t>
                  </w:r>
                  <w:r>
                    <w:rPr>
                      <w:rFonts w:hint="eastAsia"/>
                      <w:b/>
                      <w:color w:val="auto"/>
                      <w:sz w:val="21"/>
                      <w:szCs w:val="21"/>
                      <w:highlight w:val="none"/>
                    </w:rPr>
                    <w:t>限值（连续5min平均浓度）</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28" w:hRule="exact"/>
                <w:jc w:val="center"/>
              </w:trPr>
              <w:tc>
                <w:tcPr>
                  <w:tcW w:w="1009" w:type="pct"/>
                  <w:noWrap w:val="0"/>
                  <w:vAlign w:val="center"/>
                </w:tcPr>
                <w:p>
                  <w:pPr>
                    <w:ind w:right="-64"/>
                    <w:jc w:val="center"/>
                    <w:rPr>
                      <w:b/>
                      <w:color w:val="auto"/>
                      <w:sz w:val="21"/>
                      <w:szCs w:val="21"/>
                      <w:highlight w:val="none"/>
                    </w:rPr>
                  </w:pPr>
                  <w:r>
                    <w:rPr>
                      <w:rFonts w:hAnsi="宋体"/>
                      <w:color w:val="auto"/>
                      <w:sz w:val="21"/>
                      <w:szCs w:val="21"/>
                      <w:highlight w:val="none"/>
                    </w:rPr>
                    <w:t>颗粒物（</w:t>
                  </w:r>
                  <w:r>
                    <w:rPr>
                      <w:rFonts w:hint="eastAsia" w:hAnsi="宋体"/>
                      <w:color w:val="auto"/>
                      <w:sz w:val="21"/>
                      <w:szCs w:val="21"/>
                      <w:highlight w:val="none"/>
                    </w:rPr>
                    <w:t>TSP</w:t>
                  </w:r>
                  <w:r>
                    <w:rPr>
                      <w:rFonts w:hAnsi="宋体"/>
                      <w:color w:val="auto"/>
                      <w:sz w:val="21"/>
                      <w:szCs w:val="21"/>
                      <w:highlight w:val="none"/>
                    </w:rPr>
                    <w:t>）</w:t>
                  </w:r>
                </w:p>
              </w:tc>
              <w:tc>
                <w:tcPr>
                  <w:tcW w:w="830" w:type="pct"/>
                  <w:noWrap w:val="0"/>
                  <w:vAlign w:val="center"/>
                </w:tcPr>
                <w:p>
                  <w:pPr>
                    <w:ind w:right="-64"/>
                    <w:jc w:val="center"/>
                    <w:rPr>
                      <w:rFonts w:hint="eastAsia"/>
                      <w:color w:val="auto"/>
                      <w:sz w:val="21"/>
                      <w:szCs w:val="21"/>
                      <w:highlight w:val="none"/>
                    </w:rPr>
                  </w:pPr>
                  <w:r>
                    <w:rPr>
                      <w:rFonts w:hint="eastAsia"/>
                      <w:color w:val="auto"/>
                      <w:sz w:val="21"/>
                      <w:szCs w:val="21"/>
                      <w:highlight w:val="none"/>
                    </w:rPr>
                    <w:t>城市建成区</w:t>
                  </w:r>
                </w:p>
              </w:tc>
              <w:tc>
                <w:tcPr>
                  <w:tcW w:w="1144" w:type="pct"/>
                  <w:noWrap w:val="0"/>
                  <w:vAlign w:val="center"/>
                </w:tcPr>
                <w:p>
                  <w:pPr>
                    <w:ind w:right="-64"/>
                    <w:jc w:val="center"/>
                    <w:rPr>
                      <w:rFonts w:hint="eastAsia"/>
                      <w:color w:val="auto"/>
                      <w:sz w:val="21"/>
                      <w:szCs w:val="21"/>
                      <w:highlight w:val="none"/>
                    </w:rPr>
                  </w:pPr>
                  <w:r>
                    <w:rPr>
                      <w:rFonts w:hint="eastAsia"/>
                      <w:color w:val="auto"/>
                      <w:sz w:val="21"/>
                      <w:szCs w:val="21"/>
                      <w:highlight w:val="none"/>
                    </w:rPr>
                    <w:t>DB21/2642-2016</w:t>
                  </w:r>
                </w:p>
              </w:tc>
              <w:tc>
                <w:tcPr>
                  <w:tcW w:w="2015" w:type="pct"/>
                  <w:noWrap w:val="0"/>
                  <w:vAlign w:val="center"/>
                </w:tcPr>
                <w:p>
                  <w:pPr>
                    <w:ind w:right="-64"/>
                    <w:jc w:val="center"/>
                    <w:rPr>
                      <w:rFonts w:hint="eastAsia"/>
                      <w:color w:val="auto"/>
                      <w:sz w:val="21"/>
                      <w:szCs w:val="21"/>
                      <w:highlight w:val="none"/>
                    </w:rPr>
                  </w:pPr>
                  <w:r>
                    <w:rPr>
                      <w:rFonts w:hint="eastAsia"/>
                      <w:color w:val="auto"/>
                      <w:sz w:val="21"/>
                      <w:szCs w:val="21"/>
                      <w:highlight w:val="none"/>
                    </w:rPr>
                    <w:t>0.8</w:t>
                  </w:r>
                </w:p>
              </w:tc>
            </w:tr>
          </w:tbl>
          <w:p>
            <w:pPr>
              <w:pStyle w:val="28"/>
              <w:rPr>
                <w:rFonts w:hint="default"/>
                <w:color w:val="auto"/>
                <w:highlight w:val="none"/>
              </w:rPr>
            </w:pPr>
          </w:p>
          <w:p>
            <w:pPr>
              <w:widowControl/>
              <w:numPr>
                <w:ilvl w:val="0"/>
                <w:numId w:val="2"/>
              </w:numPr>
              <w:tabs>
                <w:tab w:val="left" w:pos="1245"/>
              </w:tabs>
              <w:snapToGrid w:val="0"/>
              <w:spacing w:line="360" w:lineRule="auto"/>
              <w:ind w:firstLine="480" w:firstLineChars="200"/>
              <w:jc w:val="left"/>
              <w:rPr>
                <w:rFonts w:hint="eastAsia" w:ascii="Times New Roman" w:hAnsi="Times New Roman" w:cs="Times New Roman"/>
                <w:color w:val="auto"/>
                <w:sz w:val="24"/>
                <w:szCs w:val="21"/>
                <w:highlight w:val="none"/>
                <w:lang w:val="en-US" w:eastAsia="zh-CN"/>
              </w:rPr>
            </w:pPr>
            <w:r>
              <w:rPr>
                <w:rFonts w:hint="eastAsia" w:ascii="Times New Roman" w:hAnsi="Times New Roman" w:cs="Times New Roman"/>
                <w:color w:val="auto"/>
                <w:sz w:val="24"/>
                <w:szCs w:val="21"/>
                <w:highlight w:val="none"/>
                <w:lang w:val="en-US" w:eastAsia="zh-CN"/>
              </w:rPr>
              <w:t>施工期噪声执行《建筑施工噪声排放标准》（GB 12523-20</w:t>
            </w:r>
            <w:r>
              <w:rPr>
                <w:rFonts w:hint="eastAsia" w:cs="Times New Roman"/>
                <w:color w:val="auto"/>
                <w:sz w:val="24"/>
                <w:szCs w:val="21"/>
                <w:highlight w:val="none"/>
                <w:lang w:val="en-US" w:eastAsia="zh-CN"/>
              </w:rPr>
              <w:t>25</w:t>
            </w:r>
            <w:r>
              <w:rPr>
                <w:rFonts w:hint="eastAsia" w:ascii="Times New Roman" w:hAnsi="Times New Roman" w:cs="Times New Roman"/>
                <w:color w:val="auto"/>
                <w:sz w:val="24"/>
                <w:szCs w:val="21"/>
                <w:highlight w:val="none"/>
                <w:lang w:val="en-US" w:eastAsia="zh-CN"/>
              </w:rPr>
              <w:t>）</w:t>
            </w:r>
            <w:r>
              <w:rPr>
                <w:rFonts w:hint="eastAsia" w:cs="Times New Roman"/>
                <w:color w:val="auto"/>
                <w:sz w:val="24"/>
                <w:szCs w:val="21"/>
                <w:highlight w:val="none"/>
                <w:lang w:val="en-US" w:eastAsia="zh-CN"/>
              </w:rPr>
              <w:t>，详见表3-8。</w:t>
            </w:r>
          </w:p>
          <w:p>
            <w:pPr>
              <w:autoSpaceDE w:val="0"/>
              <w:autoSpaceDN w:val="0"/>
              <w:adjustRightInd w:val="0"/>
              <w:jc w:val="center"/>
              <w:textAlignment w:val="baseline"/>
              <w:rPr>
                <w:rFonts w:hint="eastAsia"/>
                <w:b/>
                <w:color w:val="auto"/>
                <w:kern w:val="0"/>
                <w:sz w:val="21"/>
                <w:szCs w:val="21"/>
                <w:highlight w:val="none"/>
              </w:rPr>
            </w:pPr>
            <w:r>
              <w:rPr>
                <w:rFonts w:hint="default" w:ascii="Times New Roman" w:hAnsi="Times New Roman" w:cs="Times New Roman"/>
                <w:b/>
                <w:color w:val="auto"/>
                <w:kern w:val="0"/>
                <w:sz w:val="21"/>
                <w:szCs w:val="21"/>
                <w:highlight w:val="none"/>
              </w:rPr>
              <w:t>表</w:t>
            </w:r>
            <w:r>
              <w:rPr>
                <w:rFonts w:hint="eastAsia" w:cs="Times New Roman"/>
                <w:b/>
                <w:color w:val="auto"/>
                <w:kern w:val="0"/>
                <w:sz w:val="21"/>
                <w:szCs w:val="21"/>
                <w:highlight w:val="none"/>
                <w:lang w:val="en-US" w:eastAsia="zh-CN"/>
              </w:rPr>
              <w:t>3-8</w:t>
            </w:r>
            <w:r>
              <w:rPr>
                <w:rFonts w:hint="default" w:ascii="Times New Roman" w:hAnsi="Times New Roman" w:cs="Times New Roman"/>
                <w:b/>
                <w:color w:val="auto"/>
                <w:kern w:val="0"/>
                <w:sz w:val="21"/>
                <w:szCs w:val="21"/>
                <w:highlight w:val="none"/>
              </w:rPr>
              <w:t xml:space="preserve"> </w:t>
            </w:r>
            <w:r>
              <w:rPr>
                <w:rFonts w:hint="eastAsia"/>
                <w:b/>
                <w:color w:val="auto"/>
                <w:kern w:val="0"/>
                <w:sz w:val="21"/>
                <w:szCs w:val="21"/>
                <w:highlight w:val="none"/>
                <w:lang w:eastAsia="zh-CN"/>
              </w:rPr>
              <w:t>施工期噪声</w:t>
            </w:r>
            <w:r>
              <w:rPr>
                <w:rFonts w:hint="eastAsia"/>
                <w:b/>
                <w:color w:val="auto"/>
                <w:kern w:val="0"/>
                <w:sz w:val="21"/>
                <w:szCs w:val="21"/>
                <w:highlight w:val="none"/>
              </w:rPr>
              <w:t>排放限值</w:t>
            </w:r>
          </w:p>
          <w:tbl>
            <w:tblPr>
              <w:tblStyle w:val="21"/>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821"/>
              <w:gridCol w:w="2151"/>
              <w:gridCol w:w="2218"/>
              <w:gridCol w:w="2223"/>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581" w:type="pct"/>
                  <w:vMerge w:val="restart"/>
                  <w:noWrap w:val="0"/>
                  <w:vAlign w:val="center"/>
                </w:tcPr>
                <w:p>
                  <w:pPr>
                    <w:ind w:right="-64"/>
                    <w:jc w:val="center"/>
                    <w:rPr>
                      <w:rFonts w:hint="eastAsia" w:eastAsia="宋体"/>
                      <w:b/>
                      <w:color w:val="auto"/>
                      <w:sz w:val="21"/>
                      <w:szCs w:val="21"/>
                      <w:highlight w:val="none"/>
                      <w:lang w:eastAsia="zh-CN"/>
                    </w:rPr>
                  </w:pPr>
                  <w:r>
                    <w:rPr>
                      <w:rFonts w:hint="eastAsia"/>
                      <w:b/>
                      <w:color w:val="auto"/>
                      <w:sz w:val="21"/>
                      <w:szCs w:val="21"/>
                      <w:highlight w:val="none"/>
                      <w:lang w:eastAsia="zh-CN"/>
                    </w:rPr>
                    <w:t>污染物</w:t>
                  </w:r>
                </w:p>
              </w:tc>
              <w:tc>
                <w:tcPr>
                  <w:tcW w:w="489" w:type="pct"/>
                  <w:vMerge w:val="restart"/>
                  <w:noWrap w:val="0"/>
                  <w:vAlign w:val="center"/>
                </w:tcPr>
                <w:p>
                  <w:pPr>
                    <w:ind w:right="-64"/>
                    <w:jc w:val="center"/>
                    <w:rPr>
                      <w:rFonts w:hint="eastAsia" w:eastAsia="宋体"/>
                      <w:b/>
                      <w:color w:val="auto"/>
                      <w:sz w:val="21"/>
                      <w:szCs w:val="21"/>
                      <w:highlight w:val="none"/>
                      <w:lang w:eastAsia="zh-CN"/>
                    </w:rPr>
                  </w:pPr>
                  <w:r>
                    <w:rPr>
                      <w:rFonts w:hint="eastAsia"/>
                      <w:b/>
                      <w:color w:val="auto"/>
                      <w:sz w:val="21"/>
                      <w:szCs w:val="21"/>
                      <w:highlight w:val="none"/>
                      <w:lang w:eastAsia="zh-CN"/>
                    </w:rPr>
                    <w:t>点位</w:t>
                  </w:r>
                </w:p>
              </w:tc>
              <w:tc>
                <w:tcPr>
                  <w:tcW w:w="1282" w:type="pct"/>
                  <w:vMerge w:val="restart"/>
                  <w:noWrap w:val="0"/>
                  <w:vAlign w:val="center"/>
                </w:tcPr>
                <w:p>
                  <w:pPr>
                    <w:ind w:right="-64"/>
                    <w:jc w:val="center"/>
                    <w:rPr>
                      <w:rFonts w:hint="eastAsia"/>
                      <w:b/>
                      <w:color w:val="auto"/>
                      <w:sz w:val="21"/>
                      <w:szCs w:val="21"/>
                      <w:highlight w:val="none"/>
                      <w:lang w:eastAsia="zh-CN"/>
                    </w:rPr>
                  </w:pPr>
                  <w:r>
                    <w:rPr>
                      <w:rFonts w:hint="eastAsia"/>
                      <w:b/>
                      <w:color w:val="auto"/>
                      <w:sz w:val="21"/>
                      <w:szCs w:val="21"/>
                      <w:highlight w:val="none"/>
                      <w:lang w:eastAsia="zh-CN"/>
                    </w:rPr>
                    <w:t>执行标准</w:t>
                  </w:r>
                </w:p>
              </w:tc>
              <w:tc>
                <w:tcPr>
                  <w:tcW w:w="2647" w:type="pct"/>
                  <w:gridSpan w:val="2"/>
                  <w:noWrap w:val="0"/>
                  <w:vAlign w:val="center"/>
                </w:tcPr>
                <w:p>
                  <w:pPr>
                    <w:ind w:right="-64"/>
                    <w:jc w:val="center"/>
                    <w:rPr>
                      <w:rFonts w:hint="default" w:eastAsia="宋体"/>
                      <w:b/>
                      <w:color w:val="auto"/>
                      <w:sz w:val="21"/>
                      <w:szCs w:val="21"/>
                      <w:highlight w:val="none"/>
                      <w:lang w:val="en-US" w:eastAsia="zh-CN"/>
                    </w:rPr>
                  </w:pPr>
                  <w:r>
                    <w:rPr>
                      <w:rFonts w:hint="eastAsia" w:eastAsia="宋体"/>
                      <w:b/>
                      <w:color w:val="auto"/>
                      <w:sz w:val="21"/>
                      <w:szCs w:val="21"/>
                      <w:highlight w:val="none"/>
                      <w:lang w:eastAsia="zh-CN"/>
                    </w:rPr>
                    <w:t>标准限值</w:t>
                  </w:r>
                  <w:r>
                    <w:rPr>
                      <w:rFonts w:hint="eastAsia" w:eastAsia="宋体"/>
                      <w:b/>
                      <w:color w:val="auto"/>
                      <w:sz w:val="21"/>
                      <w:szCs w:val="21"/>
                      <w:highlight w:val="none"/>
                      <w:lang w:val="en-US" w:eastAsia="zh-CN"/>
                    </w:rPr>
                    <w:t>/</w:t>
                  </w:r>
                  <w:r>
                    <w:rPr>
                      <w:b/>
                      <w:bCs w:val="0"/>
                      <w:color w:val="auto"/>
                      <w:sz w:val="21"/>
                      <w:szCs w:val="21"/>
                      <w:highlight w:val="none"/>
                    </w:rPr>
                    <w:t xml:space="preserve"> dB（A）</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56" w:hRule="atLeast"/>
                <w:jc w:val="center"/>
              </w:trPr>
              <w:tc>
                <w:tcPr>
                  <w:tcW w:w="581" w:type="pct"/>
                  <w:vMerge w:val="continue"/>
                  <w:noWrap w:val="0"/>
                  <w:vAlign w:val="center"/>
                </w:tcPr>
                <w:p>
                  <w:pPr>
                    <w:ind w:right="-64"/>
                    <w:jc w:val="center"/>
                    <w:rPr>
                      <w:rFonts w:hint="eastAsia"/>
                      <w:b/>
                      <w:color w:val="auto"/>
                      <w:sz w:val="21"/>
                      <w:szCs w:val="21"/>
                      <w:highlight w:val="none"/>
                      <w:lang w:eastAsia="zh-CN"/>
                    </w:rPr>
                  </w:pPr>
                </w:p>
              </w:tc>
              <w:tc>
                <w:tcPr>
                  <w:tcW w:w="489" w:type="pct"/>
                  <w:vMerge w:val="continue"/>
                  <w:noWrap w:val="0"/>
                  <w:vAlign w:val="center"/>
                </w:tcPr>
                <w:p>
                  <w:pPr>
                    <w:ind w:right="-64"/>
                    <w:jc w:val="center"/>
                    <w:rPr>
                      <w:rFonts w:hint="eastAsia"/>
                      <w:b/>
                      <w:color w:val="auto"/>
                      <w:sz w:val="21"/>
                      <w:szCs w:val="21"/>
                      <w:highlight w:val="none"/>
                      <w:lang w:eastAsia="zh-CN"/>
                    </w:rPr>
                  </w:pPr>
                </w:p>
              </w:tc>
              <w:tc>
                <w:tcPr>
                  <w:tcW w:w="1282" w:type="pct"/>
                  <w:vMerge w:val="continue"/>
                  <w:noWrap w:val="0"/>
                  <w:vAlign w:val="center"/>
                </w:tcPr>
                <w:p>
                  <w:pPr>
                    <w:ind w:right="-64"/>
                    <w:jc w:val="center"/>
                    <w:rPr>
                      <w:rFonts w:hint="eastAsia"/>
                      <w:b/>
                      <w:color w:val="auto"/>
                      <w:sz w:val="21"/>
                      <w:szCs w:val="21"/>
                      <w:highlight w:val="none"/>
                      <w:lang w:eastAsia="zh-CN"/>
                    </w:rPr>
                  </w:pPr>
                </w:p>
              </w:tc>
              <w:tc>
                <w:tcPr>
                  <w:tcW w:w="1322" w:type="pct"/>
                  <w:noWrap w:val="0"/>
                  <w:vAlign w:val="center"/>
                </w:tcPr>
                <w:p>
                  <w:pPr>
                    <w:ind w:right="-64"/>
                    <w:jc w:val="center"/>
                    <w:rPr>
                      <w:rFonts w:hint="eastAsia" w:eastAsia="宋体"/>
                      <w:b/>
                      <w:color w:val="auto"/>
                      <w:sz w:val="21"/>
                      <w:szCs w:val="21"/>
                      <w:highlight w:val="none"/>
                      <w:lang w:eastAsia="zh-CN"/>
                    </w:rPr>
                  </w:pPr>
                  <w:r>
                    <w:rPr>
                      <w:rFonts w:hint="eastAsia" w:eastAsia="宋体"/>
                      <w:b/>
                      <w:color w:val="auto"/>
                      <w:sz w:val="21"/>
                      <w:szCs w:val="21"/>
                      <w:highlight w:val="none"/>
                      <w:lang w:eastAsia="zh-CN"/>
                    </w:rPr>
                    <w:t>昼间</w:t>
                  </w:r>
                </w:p>
              </w:tc>
              <w:tc>
                <w:tcPr>
                  <w:tcW w:w="1325" w:type="pct"/>
                  <w:noWrap w:val="0"/>
                  <w:vAlign w:val="center"/>
                </w:tcPr>
                <w:p>
                  <w:pPr>
                    <w:ind w:right="-64"/>
                    <w:jc w:val="center"/>
                    <w:rPr>
                      <w:rFonts w:hint="eastAsia" w:eastAsia="宋体"/>
                      <w:b/>
                      <w:color w:val="auto"/>
                      <w:sz w:val="21"/>
                      <w:szCs w:val="21"/>
                      <w:highlight w:val="none"/>
                      <w:lang w:eastAsia="zh-CN"/>
                    </w:rPr>
                  </w:pPr>
                  <w:r>
                    <w:rPr>
                      <w:rFonts w:hint="eastAsia" w:eastAsia="宋体"/>
                      <w:b/>
                      <w:color w:val="auto"/>
                      <w:sz w:val="21"/>
                      <w:szCs w:val="21"/>
                      <w:highlight w:val="none"/>
                      <w:lang w:eastAsia="zh-CN"/>
                    </w:rPr>
                    <w:t>夜间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28" w:hRule="exact"/>
                <w:jc w:val="center"/>
              </w:trPr>
              <w:tc>
                <w:tcPr>
                  <w:tcW w:w="581" w:type="pct"/>
                  <w:noWrap w:val="0"/>
                  <w:vAlign w:val="center"/>
                </w:tcPr>
                <w:p>
                  <w:pPr>
                    <w:ind w:right="-64"/>
                    <w:jc w:val="center"/>
                    <w:rPr>
                      <w:rFonts w:hint="eastAsia" w:eastAsia="宋体"/>
                      <w:b/>
                      <w:color w:val="auto"/>
                      <w:sz w:val="21"/>
                      <w:szCs w:val="21"/>
                      <w:highlight w:val="none"/>
                      <w:lang w:eastAsia="zh-CN"/>
                    </w:rPr>
                  </w:pPr>
                  <w:r>
                    <w:rPr>
                      <w:rFonts w:hint="eastAsia" w:hAnsi="宋体"/>
                      <w:color w:val="auto"/>
                      <w:sz w:val="21"/>
                      <w:szCs w:val="21"/>
                      <w:highlight w:val="none"/>
                      <w:lang w:eastAsia="zh-CN"/>
                    </w:rPr>
                    <w:t>噪声</w:t>
                  </w:r>
                </w:p>
              </w:tc>
              <w:tc>
                <w:tcPr>
                  <w:tcW w:w="489" w:type="pct"/>
                  <w:noWrap w:val="0"/>
                  <w:vAlign w:val="center"/>
                </w:tcPr>
                <w:p>
                  <w:pPr>
                    <w:ind w:right="-64"/>
                    <w:jc w:val="center"/>
                    <w:rPr>
                      <w:rFonts w:hint="eastAsia" w:eastAsia="宋体"/>
                      <w:color w:val="auto"/>
                      <w:sz w:val="21"/>
                      <w:szCs w:val="21"/>
                      <w:highlight w:val="none"/>
                      <w:lang w:eastAsia="zh-CN"/>
                    </w:rPr>
                  </w:pPr>
                  <w:r>
                    <w:rPr>
                      <w:rFonts w:hint="eastAsia"/>
                      <w:color w:val="auto"/>
                      <w:sz w:val="21"/>
                      <w:szCs w:val="21"/>
                      <w:highlight w:val="none"/>
                      <w:lang w:eastAsia="zh-CN"/>
                    </w:rPr>
                    <w:t>厂界</w:t>
                  </w:r>
                </w:p>
              </w:tc>
              <w:tc>
                <w:tcPr>
                  <w:tcW w:w="1282" w:type="pct"/>
                  <w:noWrap w:val="0"/>
                  <w:vAlign w:val="center"/>
                </w:tcPr>
                <w:p>
                  <w:pPr>
                    <w:ind w:right="-64"/>
                    <w:jc w:val="center"/>
                    <w:rPr>
                      <w:rFonts w:hint="eastAsia"/>
                      <w:color w:val="auto"/>
                      <w:sz w:val="21"/>
                      <w:szCs w:val="21"/>
                      <w:highlight w:val="none"/>
                      <w:lang w:eastAsia="zh-CN"/>
                    </w:rPr>
                  </w:pPr>
                  <w:r>
                    <w:rPr>
                      <w:rFonts w:hint="eastAsia"/>
                      <w:color w:val="auto"/>
                      <w:sz w:val="21"/>
                      <w:szCs w:val="21"/>
                      <w:highlight w:val="none"/>
                      <w:lang w:val="en-US" w:eastAsia="zh-CN"/>
                    </w:rPr>
                    <w:t>GB 12523-2025</w:t>
                  </w:r>
                </w:p>
              </w:tc>
              <w:tc>
                <w:tcPr>
                  <w:tcW w:w="1322" w:type="pct"/>
                  <w:noWrap w:val="0"/>
                  <w:vAlign w:val="center"/>
                </w:tcPr>
                <w:p>
                  <w:pPr>
                    <w:ind w:right="-64"/>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70</w:t>
                  </w:r>
                </w:p>
              </w:tc>
              <w:tc>
                <w:tcPr>
                  <w:tcW w:w="1325" w:type="pct"/>
                  <w:noWrap w:val="0"/>
                  <w:vAlign w:val="center"/>
                </w:tcPr>
                <w:p>
                  <w:pPr>
                    <w:ind w:right="-64"/>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55</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color w:val="auto"/>
                <w:szCs w:val="21"/>
                <w:highlight w:val="none"/>
              </w:rPr>
            </w:pPr>
            <w:r>
              <w:rPr>
                <w:rFonts w:hint="eastAsia"/>
                <w:color w:val="auto"/>
                <w:szCs w:val="21"/>
                <w:highlight w:val="none"/>
                <w:lang w:eastAsia="zh-CN"/>
              </w:rPr>
              <w:t>3</w:t>
            </w:r>
            <w:r>
              <w:rPr>
                <w:rFonts w:hint="eastAsia"/>
                <w:color w:val="auto"/>
                <w:szCs w:val="21"/>
                <w:highlight w:val="none"/>
              </w:rPr>
              <w:t>、固体废物</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cs="Times New Roman"/>
                <w:color w:val="auto"/>
                <w:sz w:val="24"/>
                <w:szCs w:val="21"/>
                <w:highlight w:val="none"/>
                <w:lang w:val="en-US" w:eastAsia="zh-CN"/>
              </w:rPr>
            </w:pPr>
            <w:r>
              <w:rPr>
                <w:rFonts w:hint="default" w:ascii="Times New Roman" w:hAnsi="Times New Roman" w:eastAsia="宋体" w:cs="Times New Roman"/>
                <w:sz w:val="24"/>
                <w:szCs w:val="24"/>
                <w:highlight w:val="none"/>
              </w:rPr>
              <w:t>本项目一般固废</w:t>
            </w:r>
            <w:r>
              <w:rPr>
                <w:rFonts w:hint="eastAsia" w:cs="Times New Roman"/>
                <w:sz w:val="24"/>
                <w:szCs w:val="24"/>
                <w:highlight w:val="none"/>
                <w:lang w:val="en-US" w:eastAsia="zh-CN"/>
              </w:rPr>
              <w:t>参考</w:t>
            </w:r>
            <w:r>
              <w:rPr>
                <w:rFonts w:hint="default" w:ascii="Times New Roman" w:hAnsi="Times New Roman" w:eastAsia="宋体" w:cs="Times New Roman"/>
                <w:sz w:val="24"/>
                <w:szCs w:val="24"/>
                <w:highlight w:val="none"/>
              </w:rPr>
              <w:t>《</w:t>
            </w:r>
            <w:r>
              <w:rPr>
                <w:rFonts w:hint="eastAsia" w:cs="Times New Roman"/>
                <w:sz w:val="24"/>
                <w:szCs w:val="24"/>
                <w:highlight w:val="none"/>
                <w:lang w:val="en-US" w:eastAsia="zh-CN"/>
              </w:rPr>
              <w:t>中华人民共和国生态环境法典</w:t>
            </w:r>
            <w:r>
              <w:rPr>
                <w:rFonts w:hint="default" w:ascii="Times New Roman" w:hAnsi="Times New Roman" w:eastAsia="宋体" w:cs="Times New Roman"/>
                <w:sz w:val="24"/>
                <w:szCs w:val="24"/>
                <w:highlight w:val="none"/>
              </w:rPr>
              <w:t>》</w:t>
            </w:r>
            <w:r>
              <w:rPr>
                <w:rFonts w:hint="eastAsia" w:cs="Times New Roman"/>
                <w:sz w:val="24"/>
                <w:szCs w:val="24"/>
                <w:highlight w:val="none"/>
                <w:lang w:val="en-US" w:eastAsia="zh-CN"/>
              </w:rPr>
              <w:t>及《一般工业固体废物贮存和填埋污染控制标准》</w:t>
            </w:r>
            <w:r>
              <w:rPr>
                <w:rFonts w:hint="default" w:ascii="Times New Roman" w:hAnsi="Times New Roman" w:eastAsia="宋体" w:cs="Times New Roman"/>
                <w:sz w:val="24"/>
                <w:szCs w:val="24"/>
                <w:highlight w:val="none"/>
              </w:rPr>
              <w:t>（GB18599-2020），</w:t>
            </w:r>
            <w:r>
              <w:rPr>
                <w:rFonts w:hint="eastAsia" w:cs="Times New Roman"/>
                <w:color w:val="auto"/>
                <w:sz w:val="24"/>
                <w:szCs w:val="24"/>
                <w:highlight w:val="none"/>
                <w:lang w:val="en-US" w:eastAsia="zh-CN"/>
              </w:rPr>
              <w:t>贮存过程应满足相应防渗漏、防雨淋、防扬尘等环境保护要求。</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color w:val="auto"/>
                <w:highlight w:val="none"/>
                <w:lang w:val="en-US" w:eastAsia="zh-CN"/>
              </w:rPr>
            </w:pPr>
            <w:r>
              <w:rPr>
                <w:rFonts w:hint="eastAsia" w:cs="Times New Roman"/>
                <w:color w:val="auto"/>
                <w:sz w:val="24"/>
                <w:szCs w:val="21"/>
                <w:highlight w:val="none"/>
                <w:lang w:val="en-US" w:eastAsia="zh-CN"/>
              </w:rPr>
              <w:t>二、</w:t>
            </w:r>
            <w:r>
              <w:rPr>
                <w:rFonts w:hint="eastAsia" w:ascii="Times New Roman" w:hAnsi="Times New Roman" w:cs="Times New Roman"/>
                <w:color w:val="auto"/>
                <w:sz w:val="24"/>
                <w:szCs w:val="21"/>
                <w:highlight w:val="none"/>
                <w:lang w:val="en-US" w:eastAsia="zh-CN"/>
              </w:rPr>
              <w:t>运营期污染物排放控制标准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val="en-US" w:eastAsia="zh-CN"/>
              </w:rPr>
            </w:pPr>
            <w:r>
              <w:rPr>
                <w:rFonts w:hint="eastAsia"/>
                <w:color w:val="auto"/>
                <w:kern w:val="2"/>
                <w:sz w:val="24"/>
                <w:szCs w:val="24"/>
                <w:highlight w:val="none"/>
                <w:lang w:val="en-US" w:eastAsia="zh-CN" w:bidi="ar-SA"/>
              </w:rPr>
              <w:t>1</w:t>
            </w:r>
            <w:r>
              <w:rPr>
                <w:rFonts w:hint="eastAsia" w:ascii="Times New Roman" w:hAnsi="Times New Roman" w:eastAsia="宋体"/>
                <w:color w:val="auto"/>
                <w:kern w:val="2"/>
                <w:sz w:val="24"/>
                <w:szCs w:val="24"/>
                <w:highlight w:val="none"/>
                <w:lang w:val="en-US" w:eastAsia="zh-CN" w:bidi="ar-SA"/>
              </w:rPr>
              <w:t>、</w:t>
            </w:r>
            <w:r>
              <w:rPr>
                <w:rFonts w:hint="eastAsia"/>
                <w:color w:val="auto"/>
                <w:sz w:val="24"/>
                <w:szCs w:val="24"/>
                <w:highlight w:val="none"/>
                <w:lang w:val="en-US" w:eastAsia="zh-CN"/>
              </w:rPr>
              <w:t>大气污染物排放标准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本项目运营期污染物为无组织颗粒物，</w:t>
            </w:r>
            <w:r>
              <w:rPr>
                <w:rFonts w:hint="eastAsia" w:ascii="Times New Roman" w:hAnsi="Times New Roman" w:cs="Times New Roman"/>
                <w:color w:val="auto"/>
                <w:sz w:val="24"/>
                <w:szCs w:val="24"/>
                <w:highlight w:val="none"/>
                <w:lang w:val="en-US" w:eastAsia="zh-CN"/>
              </w:rPr>
              <w:t>运营期厂界</w:t>
            </w:r>
            <w:r>
              <w:rPr>
                <w:rFonts w:hint="eastAsia" w:cs="Times New Roman"/>
                <w:color w:val="auto"/>
                <w:sz w:val="24"/>
                <w:szCs w:val="24"/>
                <w:highlight w:val="none"/>
                <w:lang w:val="en-US" w:eastAsia="zh-CN"/>
              </w:rPr>
              <w:t>无组织</w:t>
            </w:r>
            <w:r>
              <w:rPr>
                <w:rFonts w:hint="eastAsia" w:ascii="Times New Roman" w:hAnsi="Times New Roman" w:cs="Times New Roman"/>
                <w:color w:val="auto"/>
                <w:sz w:val="24"/>
                <w:szCs w:val="24"/>
                <w:highlight w:val="none"/>
                <w:lang w:val="en-US" w:eastAsia="zh-CN"/>
              </w:rPr>
              <w:t>废气排放执行《煤炭工业污染物排放标准》(GB</w:t>
            </w:r>
            <w:r>
              <w:rPr>
                <w:rFonts w:hint="eastAsia"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lang w:val="en-US" w:eastAsia="zh-CN"/>
              </w:rPr>
              <w:t>20426-2006）表5中限值要求，</w:t>
            </w:r>
            <w:r>
              <w:rPr>
                <w:rFonts w:hint="eastAsia" w:cs="Times New Roman"/>
                <w:color w:val="auto"/>
                <w:sz w:val="24"/>
                <w:szCs w:val="24"/>
                <w:highlight w:val="none"/>
                <w:lang w:val="en-US" w:eastAsia="zh-CN"/>
              </w:rPr>
              <w:t>详</w:t>
            </w:r>
            <w:r>
              <w:rPr>
                <w:rFonts w:hint="eastAsia" w:ascii="Times New Roman" w:hAnsi="Times New Roman" w:cs="Times New Roman"/>
                <w:color w:val="auto"/>
                <w:sz w:val="24"/>
                <w:szCs w:val="24"/>
                <w:highlight w:val="none"/>
                <w:lang w:val="en-US" w:eastAsia="zh-CN"/>
              </w:rPr>
              <w:t>见表</w:t>
            </w:r>
            <w:r>
              <w:rPr>
                <w:rFonts w:hint="eastAsia" w:cs="Times New Roman"/>
                <w:color w:val="auto"/>
                <w:sz w:val="24"/>
                <w:szCs w:val="24"/>
                <w:highlight w:val="none"/>
                <w:lang w:val="en-US" w:eastAsia="zh-CN"/>
              </w:rPr>
              <w:t>3-9</w:t>
            </w:r>
            <w:r>
              <w:rPr>
                <w:rFonts w:hint="eastAsia" w:ascii="Times New Roman" w:hAnsi="Times New Roman" w:cs="Times New Roman"/>
                <w:color w:val="auto"/>
                <w:sz w:val="24"/>
                <w:szCs w:val="24"/>
                <w:highlight w:val="none"/>
                <w:lang w:val="en-US" w:eastAsia="zh-CN"/>
              </w:rPr>
              <w:t>。</w:t>
            </w:r>
          </w:p>
          <w:p>
            <w:pPr>
              <w:autoSpaceDE w:val="0"/>
              <w:autoSpaceDN w:val="0"/>
              <w:adjustRightInd w:val="0"/>
              <w:jc w:val="center"/>
              <w:textAlignment w:val="baseline"/>
              <w:rPr>
                <w:rFonts w:hint="eastAsia"/>
                <w:color w:val="auto"/>
                <w:sz w:val="21"/>
                <w:szCs w:val="21"/>
                <w:highlight w:val="none"/>
                <w:lang w:val="en-US" w:eastAsia="zh-CN"/>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3-9</w:t>
            </w:r>
            <w:r>
              <w:rPr>
                <w:rFonts w:hint="default" w:ascii="Times New Roman" w:hAnsi="Times New Roman" w:eastAsia="宋体" w:cs="Times New Roman"/>
                <w:b/>
                <w:color w:val="auto"/>
                <w:kern w:val="0"/>
                <w:sz w:val="21"/>
                <w:szCs w:val="21"/>
                <w:highlight w:val="none"/>
              </w:rPr>
              <w:t xml:space="preserve"> </w:t>
            </w:r>
            <w:r>
              <w:rPr>
                <w:rFonts w:hint="eastAsia" w:eastAsia="宋体" w:cs="Times New Roman"/>
                <w:b/>
                <w:color w:val="auto"/>
                <w:kern w:val="0"/>
                <w:sz w:val="21"/>
                <w:szCs w:val="21"/>
                <w:highlight w:val="none"/>
                <w:lang w:eastAsia="zh-CN"/>
              </w:rPr>
              <w:t>运营</w:t>
            </w:r>
            <w:r>
              <w:rPr>
                <w:rFonts w:hint="default" w:ascii="Times New Roman" w:hAnsi="Times New Roman" w:eastAsia="宋体" w:cs="Times New Roman"/>
                <w:b/>
                <w:color w:val="auto"/>
                <w:kern w:val="0"/>
                <w:sz w:val="21"/>
                <w:szCs w:val="21"/>
                <w:highlight w:val="none"/>
              </w:rPr>
              <w:t>期废气排放标准</w:t>
            </w:r>
          </w:p>
          <w:tbl>
            <w:tblPr>
              <w:tblStyle w:val="21"/>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06"/>
              <w:gridCol w:w="1943"/>
              <w:gridCol w:w="1943"/>
              <w:gridCol w:w="319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78" w:type="pct"/>
                  <w:noWrap w:val="0"/>
                  <w:vAlign w:val="center"/>
                </w:tcPr>
                <w:p>
                  <w:pPr>
                    <w:jc w:val="center"/>
                    <w:rPr>
                      <w:rFonts w:hint="default" w:ascii="Times New Roman" w:hAnsi="Times New Roman" w:eastAsia="宋体" w:cs="Times New Roman"/>
                      <w:b/>
                      <w:caps w:val="0"/>
                      <w:color w:val="auto"/>
                      <w:sz w:val="21"/>
                      <w:szCs w:val="21"/>
                      <w:highlight w:val="none"/>
                    </w:rPr>
                  </w:pPr>
                  <w:r>
                    <w:rPr>
                      <w:rFonts w:hint="default" w:ascii="Times New Roman" w:hAnsi="Times New Roman" w:eastAsia="宋体" w:cs="Times New Roman"/>
                      <w:b/>
                      <w:caps w:val="0"/>
                      <w:color w:val="auto"/>
                      <w:sz w:val="21"/>
                      <w:szCs w:val="21"/>
                      <w:highlight w:val="none"/>
                    </w:rPr>
                    <w:t>污染物</w:t>
                  </w:r>
                </w:p>
              </w:tc>
              <w:tc>
                <w:tcPr>
                  <w:tcW w:w="1157" w:type="pct"/>
                  <w:noWrap w:val="0"/>
                  <w:vAlign w:val="center"/>
                </w:tcPr>
                <w:p>
                  <w:pPr>
                    <w:jc w:val="center"/>
                    <w:rPr>
                      <w:rFonts w:hint="default" w:ascii="Times New Roman" w:hAnsi="Times New Roman" w:eastAsia="宋体" w:cs="Times New Roman"/>
                      <w:b/>
                      <w:caps w:val="0"/>
                      <w:color w:val="auto"/>
                      <w:sz w:val="21"/>
                      <w:szCs w:val="21"/>
                      <w:highlight w:val="none"/>
                    </w:rPr>
                  </w:pPr>
                  <w:r>
                    <w:rPr>
                      <w:rFonts w:hint="eastAsia" w:cs="Times New Roman"/>
                      <w:b/>
                      <w:caps w:val="0"/>
                      <w:color w:val="auto"/>
                      <w:sz w:val="21"/>
                      <w:szCs w:val="21"/>
                      <w:highlight w:val="none"/>
                      <w:lang w:val="en-US" w:eastAsia="zh-CN"/>
                    </w:rPr>
                    <w:t>监控</w:t>
                  </w:r>
                  <w:r>
                    <w:rPr>
                      <w:rFonts w:hint="default" w:ascii="Times New Roman" w:hAnsi="Times New Roman" w:eastAsia="宋体" w:cs="Times New Roman"/>
                      <w:b/>
                      <w:caps w:val="0"/>
                      <w:color w:val="auto"/>
                      <w:sz w:val="21"/>
                      <w:szCs w:val="21"/>
                      <w:highlight w:val="none"/>
                    </w:rPr>
                    <w:t>点</w:t>
                  </w:r>
                </w:p>
              </w:tc>
              <w:tc>
                <w:tcPr>
                  <w:tcW w:w="1157" w:type="pct"/>
                  <w:noWrap w:val="0"/>
                  <w:vAlign w:val="center"/>
                </w:tcPr>
                <w:p>
                  <w:pPr>
                    <w:jc w:val="center"/>
                    <w:rPr>
                      <w:rFonts w:hint="default" w:ascii="Times New Roman" w:hAnsi="Times New Roman" w:eastAsia="宋体" w:cs="Times New Roman"/>
                      <w:b/>
                      <w:caps w:val="0"/>
                      <w:color w:val="auto"/>
                      <w:sz w:val="21"/>
                      <w:szCs w:val="21"/>
                      <w:highlight w:val="none"/>
                    </w:rPr>
                  </w:pPr>
                  <w:r>
                    <w:rPr>
                      <w:rFonts w:hint="eastAsia" w:cs="Times New Roman"/>
                      <w:b/>
                      <w:caps w:val="0"/>
                      <w:color w:val="auto"/>
                      <w:sz w:val="21"/>
                      <w:szCs w:val="21"/>
                      <w:highlight w:val="none"/>
                      <w:lang w:eastAsia="zh-CN"/>
                    </w:rPr>
                    <w:t>标准</w:t>
                  </w:r>
                  <w:r>
                    <w:rPr>
                      <w:rFonts w:hint="default" w:ascii="Times New Roman" w:hAnsi="Times New Roman" w:eastAsia="宋体" w:cs="Times New Roman"/>
                      <w:b/>
                      <w:caps w:val="0"/>
                      <w:color w:val="auto"/>
                      <w:sz w:val="21"/>
                      <w:szCs w:val="21"/>
                      <w:highlight w:val="none"/>
                    </w:rPr>
                    <w:t>限值</w:t>
                  </w:r>
                </w:p>
              </w:tc>
              <w:tc>
                <w:tcPr>
                  <w:tcW w:w="1905" w:type="pct"/>
                  <w:noWrap w:val="0"/>
                  <w:vAlign w:val="center"/>
                </w:tcPr>
                <w:p>
                  <w:pPr>
                    <w:jc w:val="center"/>
                    <w:rPr>
                      <w:rFonts w:hint="eastAsia" w:ascii="Times New Roman" w:hAnsi="Times New Roman" w:eastAsia="宋体" w:cs="Times New Roman"/>
                      <w:b/>
                      <w:caps w:val="0"/>
                      <w:color w:val="auto"/>
                      <w:sz w:val="21"/>
                      <w:szCs w:val="21"/>
                      <w:highlight w:val="none"/>
                      <w:lang w:eastAsia="zh-CN"/>
                    </w:rPr>
                  </w:pPr>
                  <w:r>
                    <w:rPr>
                      <w:rFonts w:hint="eastAsia" w:ascii="Times New Roman" w:hAnsi="Times New Roman" w:eastAsia="宋体" w:cs="Times New Roman"/>
                      <w:b/>
                      <w:caps w:val="0"/>
                      <w:color w:val="auto"/>
                      <w:sz w:val="21"/>
                      <w:szCs w:val="21"/>
                      <w:highlight w:val="none"/>
                      <w:lang w:eastAsia="zh-CN"/>
                    </w:rPr>
                    <w:t>执行标准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778" w:type="pct"/>
                  <w:noWrap w:val="0"/>
                  <w:vAlign w:val="center"/>
                </w:tcPr>
                <w:p>
                  <w:pPr>
                    <w:jc w:val="center"/>
                    <w:rPr>
                      <w:rFonts w:hint="default" w:ascii="Times New Roman" w:hAnsi="Times New Roman" w:eastAsia="宋体" w:cs="Times New Roman"/>
                      <w:caps w:val="0"/>
                      <w:color w:val="auto"/>
                      <w:sz w:val="21"/>
                      <w:szCs w:val="21"/>
                      <w:highlight w:val="none"/>
                      <w:lang w:val="en-US" w:eastAsia="zh-CN"/>
                    </w:rPr>
                  </w:pPr>
                  <w:r>
                    <w:rPr>
                      <w:rFonts w:hint="eastAsia" w:cs="Times New Roman"/>
                      <w:caps w:val="0"/>
                      <w:color w:val="auto"/>
                      <w:sz w:val="21"/>
                      <w:szCs w:val="21"/>
                      <w:highlight w:val="none"/>
                      <w:lang w:val="en-US" w:eastAsia="zh-CN"/>
                    </w:rPr>
                    <w:t>TSP</w:t>
                  </w:r>
                </w:p>
              </w:tc>
              <w:tc>
                <w:tcPr>
                  <w:tcW w:w="1157" w:type="pct"/>
                  <w:noWrap w:val="0"/>
                  <w:vAlign w:val="center"/>
                </w:tcPr>
                <w:p>
                  <w:pPr>
                    <w:jc w:val="center"/>
                    <w:rPr>
                      <w:rFonts w:hint="default" w:ascii="Times New Roman" w:hAnsi="Times New Roman" w:eastAsia="宋体" w:cs="Times New Roman"/>
                      <w:caps w:val="0"/>
                      <w:color w:val="auto"/>
                      <w:sz w:val="21"/>
                      <w:szCs w:val="21"/>
                      <w:highlight w:val="none"/>
                    </w:rPr>
                  </w:pPr>
                  <w:r>
                    <w:rPr>
                      <w:rFonts w:hint="eastAsia" w:ascii="Times New Roman" w:hAnsi="Times New Roman" w:eastAsia="宋体" w:cs="Times New Roman"/>
                      <w:caps w:val="0"/>
                      <w:color w:val="auto"/>
                      <w:sz w:val="21"/>
                      <w:szCs w:val="21"/>
                      <w:highlight w:val="none"/>
                      <w:lang w:eastAsia="zh-CN"/>
                    </w:rPr>
                    <w:t>厂</w:t>
                  </w:r>
                  <w:r>
                    <w:rPr>
                      <w:rFonts w:hint="default" w:ascii="Times New Roman" w:hAnsi="Times New Roman" w:eastAsia="宋体" w:cs="Times New Roman"/>
                      <w:caps w:val="0"/>
                      <w:color w:val="auto"/>
                      <w:sz w:val="21"/>
                      <w:szCs w:val="21"/>
                      <w:highlight w:val="none"/>
                    </w:rPr>
                    <w:t>界外浓度最高点</w:t>
                  </w:r>
                </w:p>
              </w:tc>
              <w:tc>
                <w:tcPr>
                  <w:tcW w:w="1157" w:type="pct"/>
                  <w:noWrap w:val="0"/>
                  <w:vAlign w:val="center"/>
                </w:tcPr>
                <w:p>
                  <w:pPr>
                    <w:jc w:val="center"/>
                    <w:rPr>
                      <w:rFonts w:hint="default" w:ascii="Times New Roman" w:hAnsi="Times New Roman" w:eastAsia="宋体" w:cs="Times New Roman"/>
                      <w:caps w:val="0"/>
                      <w:color w:val="auto"/>
                      <w:sz w:val="21"/>
                      <w:szCs w:val="21"/>
                      <w:highlight w:val="none"/>
                    </w:rPr>
                  </w:pPr>
                  <w:r>
                    <w:rPr>
                      <w:rFonts w:hint="default" w:ascii="Times New Roman" w:hAnsi="Times New Roman" w:eastAsia="宋体" w:cs="Times New Roman"/>
                      <w:b w:val="0"/>
                      <w:bCs w:val="0"/>
                      <w:caps w:val="0"/>
                      <w:color w:val="auto"/>
                      <w:sz w:val="21"/>
                      <w:szCs w:val="21"/>
                      <w:highlight w:val="none"/>
                    </w:rPr>
                    <w:t>1.0mg/m</w:t>
                  </w:r>
                  <w:r>
                    <w:rPr>
                      <w:rFonts w:hint="default" w:ascii="Times New Roman" w:hAnsi="Times New Roman" w:eastAsia="宋体" w:cs="Times New Roman"/>
                      <w:b w:val="0"/>
                      <w:bCs w:val="0"/>
                      <w:caps w:val="0"/>
                      <w:color w:val="auto"/>
                      <w:sz w:val="21"/>
                      <w:szCs w:val="21"/>
                      <w:highlight w:val="none"/>
                      <w:vertAlign w:val="superscript"/>
                    </w:rPr>
                    <w:t>3</w:t>
                  </w:r>
                </w:p>
              </w:tc>
              <w:tc>
                <w:tcPr>
                  <w:tcW w:w="1905" w:type="pct"/>
                  <w:noWrap w:val="0"/>
                  <w:vAlign w:val="center"/>
                </w:tcPr>
                <w:p>
                  <w:pPr>
                    <w:jc w:val="center"/>
                    <w:rPr>
                      <w:rFonts w:hint="default" w:ascii="Times New Roman" w:hAnsi="Times New Roman" w:eastAsia="宋体" w:cs="Times New Roman"/>
                      <w:caps w:val="0"/>
                      <w:color w:val="auto"/>
                      <w:sz w:val="21"/>
                      <w:szCs w:val="21"/>
                      <w:highlight w:val="none"/>
                    </w:rPr>
                  </w:pPr>
                  <w:r>
                    <w:rPr>
                      <w:rFonts w:hint="eastAsia" w:ascii="Times New Roman" w:hAnsi="Times New Roman" w:eastAsia="宋体" w:cs="Times New Roman"/>
                      <w:b w:val="0"/>
                      <w:bCs/>
                      <w:caps w:val="0"/>
                      <w:color w:val="auto"/>
                      <w:sz w:val="21"/>
                      <w:szCs w:val="21"/>
                      <w:highlight w:val="none"/>
                      <w:lang w:val="en-US" w:eastAsia="zh-CN"/>
                    </w:rPr>
                    <w:t>GB</w:t>
                  </w:r>
                  <w:r>
                    <w:rPr>
                      <w:rFonts w:hint="eastAsia" w:cs="Times New Roman"/>
                      <w:b w:val="0"/>
                      <w:bCs/>
                      <w:caps w:val="0"/>
                      <w:color w:val="auto"/>
                      <w:sz w:val="21"/>
                      <w:szCs w:val="21"/>
                      <w:highlight w:val="none"/>
                      <w:lang w:val="en-US" w:eastAsia="zh-CN"/>
                    </w:rPr>
                    <w:t xml:space="preserve"> </w:t>
                  </w:r>
                  <w:r>
                    <w:rPr>
                      <w:rFonts w:hint="eastAsia" w:ascii="Times New Roman" w:hAnsi="Times New Roman" w:eastAsia="宋体" w:cs="Times New Roman"/>
                      <w:b w:val="0"/>
                      <w:bCs/>
                      <w:caps w:val="0"/>
                      <w:color w:val="auto"/>
                      <w:sz w:val="21"/>
                      <w:szCs w:val="21"/>
                      <w:highlight w:val="none"/>
                      <w:lang w:val="en-US" w:eastAsia="zh-CN"/>
                    </w:rPr>
                    <w:t>20426-2006表5限值</w:t>
                  </w:r>
                </w:p>
              </w:tc>
            </w:tr>
          </w:tbl>
          <w:p>
            <w:pPr>
              <w:spacing w:line="360" w:lineRule="auto"/>
              <w:ind w:firstLine="200" w:firstLineChars="200"/>
              <w:rPr>
                <w:rFonts w:hint="eastAsia" w:eastAsia="宋体" w:cs="Times New Roman"/>
                <w:color w:val="auto"/>
                <w:sz w:val="10"/>
                <w:szCs w:val="10"/>
                <w:highlight w:val="none"/>
                <w:lang w:val="en-US" w:eastAsia="zh-CN"/>
              </w:rPr>
            </w:pPr>
          </w:p>
          <w:p>
            <w:pPr>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eastAsia" w:eastAsia="宋体" w:cs="Times New Roman"/>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Times New Roman" w:hAnsi="Times New Roman" w:eastAsia="宋体" w:cs="Times New Roman"/>
                <w:color w:val="auto"/>
                <w:kern w:val="2"/>
                <w:sz w:val="24"/>
                <w:szCs w:val="24"/>
                <w:highlight w:val="none"/>
                <w:lang w:val="en-US" w:eastAsia="zh-CN" w:bidi="ar-SA"/>
              </w:rPr>
              <w:t>回用废水控制标准</w:t>
            </w:r>
          </w:p>
          <w:p>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回用废水参照执行《城市污水再生利用 城市杂用水水质》（GB/T18920-2020）限值要求，详见表</w:t>
            </w:r>
            <w:r>
              <w:rPr>
                <w:rFonts w:hint="eastAsia" w:ascii="Times New Roman" w:hAnsi="Times New Roman" w:eastAsia="宋体" w:cs="Times New Roman"/>
                <w:sz w:val="24"/>
                <w:szCs w:val="24"/>
                <w:highlight w:val="none"/>
                <w:lang w:val="en-US" w:eastAsia="zh-CN"/>
              </w:rPr>
              <w:t>3-11</w:t>
            </w:r>
            <w:r>
              <w:rPr>
                <w:rFonts w:hint="default" w:ascii="Times New Roman" w:hAnsi="Times New Roman" w:eastAsia="宋体" w:cs="Times New Roman"/>
                <w:sz w:val="24"/>
                <w:szCs w:val="24"/>
                <w:highlight w:val="none"/>
              </w:rPr>
              <w:t>。</w:t>
            </w:r>
          </w:p>
          <w:p>
            <w:pPr>
              <w:pStyle w:val="63"/>
              <w:rPr>
                <w:rFonts w:hint="default" w:ascii="Times New Roman" w:hAnsi="Times New Roman" w:eastAsia="宋体" w:cs="Times New Roman"/>
                <w:sz w:val="21"/>
                <w:szCs w:val="21"/>
                <w:highlight w:val="none"/>
              </w:rPr>
            </w:pPr>
          </w:p>
          <w:p>
            <w:pPr>
              <w:pStyle w:val="63"/>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表</w:t>
            </w:r>
            <w:r>
              <w:rPr>
                <w:rFonts w:hint="eastAsia" w:cs="Times New Roman"/>
                <w:sz w:val="21"/>
                <w:szCs w:val="21"/>
                <w:highlight w:val="none"/>
                <w:lang w:val="en-US" w:eastAsia="zh-CN"/>
              </w:rPr>
              <w:t>3-11</w:t>
            </w:r>
            <w:r>
              <w:rPr>
                <w:rFonts w:hint="default" w:ascii="Times New Roman" w:hAnsi="Times New Roman" w:eastAsia="宋体" w:cs="Times New Roman"/>
                <w:sz w:val="21"/>
                <w:szCs w:val="21"/>
                <w:highlight w:val="none"/>
              </w:rPr>
              <w:t xml:space="preserve"> 城市杂用水水质控制项目及限值</w:t>
            </w:r>
          </w:p>
          <w:tbl>
            <w:tblPr>
              <w:tblStyle w:val="21"/>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557"/>
              <w:gridCol w:w="2234"/>
              <w:gridCol w:w="258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605"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b/>
                      <w:kern w:val="0"/>
                      <w:sz w:val="21"/>
                      <w:szCs w:val="21"/>
                      <w:highlight w:val="none"/>
                    </w:rPr>
                  </w:pPr>
                  <w:r>
                    <w:rPr>
                      <w:rFonts w:hint="default" w:ascii="Times New Roman" w:hAnsi="Times New Roman" w:eastAsia="宋体" w:cs="Times New Roman"/>
                      <w:b/>
                      <w:kern w:val="0"/>
                      <w:sz w:val="21"/>
                      <w:szCs w:val="21"/>
                      <w:highlight w:val="none"/>
                    </w:rPr>
                    <w:t>序号</w:t>
                  </w:r>
                </w:p>
              </w:tc>
              <w:tc>
                <w:tcPr>
                  <w:tcW w:w="1523"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b/>
                      <w:kern w:val="0"/>
                      <w:sz w:val="21"/>
                      <w:szCs w:val="21"/>
                      <w:highlight w:val="none"/>
                    </w:rPr>
                  </w:pPr>
                  <w:r>
                    <w:rPr>
                      <w:rFonts w:hint="default" w:ascii="Times New Roman" w:hAnsi="Times New Roman" w:eastAsia="宋体" w:cs="Times New Roman"/>
                      <w:b/>
                      <w:kern w:val="0"/>
                      <w:sz w:val="21"/>
                      <w:szCs w:val="21"/>
                      <w:highlight w:val="none"/>
                    </w:rPr>
                    <w:t>项目</w:t>
                  </w:r>
                </w:p>
              </w:tc>
              <w:tc>
                <w:tcPr>
                  <w:tcW w:w="1331"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b/>
                      <w:kern w:val="0"/>
                      <w:sz w:val="21"/>
                      <w:szCs w:val="21"/>
                      <w:highlight w:val="none"/>
                    </w:rPr>
                  </w:pPr>
                  <w:r>
                    <w:rPr>
                      <w:rFonts w:hint="default" w:ascii="Times New Roman" w:hAnsi="Times New Roman" w:eastAsia="宋体" w:cs="Times New Roman"/>
                      <w:b/>
                      <w:kern w:val="0"/>
                      <w:sz w:val="21"/>
                      <w:szCs w:val="21"/>
                      <w:highlight w:val="none"/>
                    </w:rPr>
                    <w:t>城市绿化、道路清扫、消防、建筑施工</w:t>
                  </w:r>
                </w:p>
              </w:tc>
              <w:tc>
                <w:tcPr>
                  <w:tcW w:w="1540"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b/>
                      <w:kern w:val="0"/>
                      <w:sz w:val="21"/>
                      <w:szCs w:val="21"/>
                      <w:highlight w:val="none"/>
                    </w:rPr>
                  </w:pPr>
                  <w:r>
                    <w:rPr>
                      <w:rFonts w:hint="default" w:ascii="Times New Roman" w:hAnsi="Times New Roman" w:eastAsia="宋体" w:cs="Times New Roman"/>
                      <w:b/>
                      <w:kern w:val="0"/>
                      <w:sz w:val="21"/>
                      <w:szCs w:val="21"/>
                      <w:highlight w:val="none"/>
                    </w:rPr>
                    <w:t>执行标准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05"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1</w:t>
                  </w:r>
                </w:p>
              </w:tc>
              <w:tc>
                <w:tcPr>
                  <w:tcW w:w="1523"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pH</w:t>
                  </w:r>
                </w:p>
              </w:tc>
              <w:tc>
                <w:tcPr>
                  <w:tcW w:w="1331"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6-9</w:t>
                  </w:r>
                </w:p>
              </w:tc>
              <w:tc>
                <w:tcPr>
                  <w:tcW w:w="1540" w:type="pct"/>
                  <w:vMerge w:val="restar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《城市污水再生利用 城市杂用水水质》（GB/T18920-2020）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05" w:type="pct"/>
                  <w:noWrap w:val="0"/>
                  <w:vAlign w:val="center"/>
                </w:tcPr>
                <w:p>
                  <w:pPr>
                    <w:adjustRightInd w:val="0"/>
                    <w:snapToGrid w:val="0"/>
                    <w:spacing w:before="32" w:beforeLines="10" w:after="32" w:afterLines="10" w:line="259" w:lineRule="auto"/>
                    <w:jc w:val="center"/>
                    <w:rPr>
                      <w:rFonts w:hint="eastAsia" w:ascii="Times New Roman" w:hAnsi="Times New Roman" w:eastAsia="宋体" w:cs="Times New Roman"/>
                      <w:kern w:val="0"/>
                      <w:sz w:val="21"/>
                      <w:szCs w:val="21"/>
                      <w:highlight w:val="none"/>
                      <w:lang w:val="en-US" w:eastAsia="zh-CN"/>
                    </w:rPr>
                  </w:pPr>
                  <w:r>
                    <w:rPr>
                      <w:rFonts w:hint="eastAsia" w:ascii="Times New Roman" w:hAnsi="Times New Roman" w:eastAsia="宋体" w:cs="Times New Roman"/>
                      <w:kern w:val="0"/>
                      <w:sz w:val="21"/>
                      <w:szCs w:val="21"/>
                      <w:highlight w:val="none"/>
                      <w:lang w:val="en-US" w:eastAsia="zh-CN"/>
                    </w:rPr>
                    <w:t>2</w:t>
                  </w:r>
                </w:p>
              </w:tc>
              <w:tc>
                <w:tcPr>
                  <w:tcW w:w="1523"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lang w:val="en-US" w:eastAsia="zh-CN"/>
                    </w:rPr>
                  </w:pPr>
                  <w:r>
                    <w:rPr>
                      <w:rFonts w:hint="eastAsia" w:ascii="Times New Roman" w:hAnsi="Times New Roman" w:eastAsia="宋体" w:cs="Times New Roman"/>
                      <w:kern w:val="0"/>
                      <w:sz w:val="21"/>
                      <w:szCs w:val="21"/>
                      <w:highlight w:val="none"/>
                      <w:lang w:val="en-US" w:eastAsia="zh-CN"/>
                    </w:rPr>
                    <w:t>色度，铂钴色度单位</w:t>
                  </w:r>
                </w:p>
              </w:tc>
              <w:tc>
                <w:tcPr>
                  <w:tcW w:w="1331"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rPr>
                    <w:t xml:space="preserve">≤ </w:t>
                  </w:r>
                  <w:r>
                    <w:rPr>
                      <w:rFonts w:hint="eastAsia" w:ascii="Times New Roman" w:hAnsi="Times New Roman" w:eastAsia="宋体" w:cs="Times New Roman"/>
                      <w:kern w:val="0"/>
                      <w:sz w:val="21"/>
                      <w:szCs w:val="21"/>
                      <w:highlight w:val="none"/>
                      <w:lang w:val="en-US" w:eastAsia="zh-CN"/>
                    </w:rPr>
                    <w:t>30</w:t>
                  </w:r>
                </w:p>
              </w:tc>
              <w:tc>
                <w:tcPr>
                  <w:tcW w:w="1540" w:type="pct"/>
                  <w:vMerge w:val="continue"/>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05" w:type="pct"/>
                  <w:noWrap w:val="0"/>
                  <w:vAlign w:val="center"/>
                </w:tcPr>
                <w:p>
                  <w:pPr>
                    <w:adjustRightInd w:val="0"/>
                    <w:snapToGrid w:val="0"/>
                    <w:spacing w:before="32" w:beforeLines="10" w:after="32" w:afterLines="10" w:line="259" w:lineRule="auto"/>
                    <w:jc w:val="center"/>
                    <w:rPr>
                      <w:rFonts w:hint="eastAsia" w:ascii="Times New Roman" w:hAnsi="Times New Roman" w:eastAsia="宋体" w:cs="Times New Roman"/>
                      <w:kern w:val="0"/>
                      <w:sz w:val="21"/>
                      <w:szCs w:val="21"/>
                      <w:highlight w:val="none"/>
                      <w:lang w:val="en-US" w:eastAsia="zh-CN"/>
                    </w:rPr>
                  </w:pPr>
                  <w:r>
                    <w:rPr>
                      <w:rFonts w:hint="eastAsia" w:ascii="Times New Roman" w:hAnsi="Times New Roman" w:eastAsia="宋体" w:cs="Times New Roman"/>
                      <w:kern w:val="0"/>
                      <w:sz w:val="21"/>
                      <w:szCs w:val="21"/>
                      <w:highlight w:val="none"/>
                      <w:lang w:val="en-US" w:eastAsia="zh-CN"/>
                    </w:rPr>
                    <w:t>3</w:t>
                  </w:r>
                </w:p>
              </w:tc>
              <w:tc>
                <w:tcPr>
                  <w:tcW w:w="1523"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浊度/NTU</w:t>
                  </w:r>
                </w:p>
              </w:tc>
              <w:tc>
                <w:tcPr>
                  <w:tcW w:w="1331"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≤10</w:t>
                  </w:r>
                </w:p>
              </w:tc>
              <w:tc>
                <w:tcPr>
                  <w:tcW w:w="1540" w:type="pct"/>
                  <w:vMerge w:val="continue"/>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05" w:type="pct"/>
                  <w:noWrap w:val="0"/>
                  <w:vAlign w:val="center"/>
                </w:tcPr>
                <w:p>
                  <w:pPr>
                    <w:adjustRightInd w:val="0"/>
                    <w:snapToGrid w:val="0"/>
                    <w:spacing w:before="32" w:beforeLines="10" w:after="32" w:afterLines="10" w:line="259" w:lineRule="auto"/>
                    <w:jc w:val="center"/>
                    <w:rPr>
                      <w:rFonts w:hint="eastAsia" w:ascii="Times New Roman" w:hAnsi="Times New Roman" w:eastAsia="宋体" w:cs="Times New Roman"/>
                      <w:kern w:val="0"/>
                      <w:sz w:val="21"/>
                      <w:szCs w:val="21"/>
                      <w:highlight w:val="none"/>
                      <w:lang w:val="en-US" w:eastAsia="zh-CN"/>
                    </w:rPr>
                  </w:pPr>
                  <w:r>
                    <w:rPr>
                      <w:rFonts w:hint="eastAsia" w:ascii="Times New Roman" w:hAnsi="Times New Roman" w:eastAsia="宋体" w:cs="Times New Roman"/>
                      <w:kern w:val="0"/>
                      <w:sz w:val="21"/>
                      <w:szCs w:val="21"/>
                      <w:highlight w:val="none"/>
                      <w:lang w:val="en-US" w:eastAsia="zh-CN"/>
                    </w:rPr>
                    <w:t>4</w:t>
                  </w:r>
                </w:p>
              </w:tc>
              <w:tc>
                <w:tcPr>
                  <w:tcW w:w="1523"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五日生化需氧量/mg/L</w:t>
                  </w:r>
                </w:p>
              </w:tc>
              <w:tc>
                <w:tcPr>
                  <w:tcW w:w="1331"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≤10</w:t>
                  </w:r>
                </w:p>
              </w:tc>
              <w:tc>
                <w:tcPr>
                  <w:tcW w:w="1540" w:type="pct"/>
                  <w:vMerge w:val="continue"/>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05" w:type="pct"/>
                  <w:noWrap w:val="0"/>
                  <w:vAlign w:val="center"/>
                </w:tcPr>
                <w:p>
                  <w:pPr>
                    <w:adjustRightInd w:val="0"/>
                    <w:snapToGrid w:val="0"/>
                    <w:spacing w:before="32" w:beforeLines="10" w:after="32" w:afterLines="10" w:line="259" w:lineRule="auto"/>
                    <w:jc w:val="center"/>
                    <w:rPr>
                      <w:rFonts w:hint="eastAsia" w:ascii="Times New Roman" w:hAnsi="Times New Roman" w:eastAsia="宋体" w:cs="Times New Roman"/>
                      <w:kern w:val="0"/>
                      <w:sz w:val="21"/>
                      <w:szCs w:val="21"/>
                      <w:highlight w:val="none"/>
                      <w:lang w:val="en-US" w:eastAsia="zh-CN"/>
                    </w:rPr>
                  </w:pPr>
                  <w:r>
                    <w:rPr>
                      <w:rFonts w:hint="eastAsia" w:ascii="Times New Roman" w:hAnsi="Times New Roman" w:eastAsia="宋体" w:cs="Times New Roman"/>
                      <w:kern w:val="0"/>
                      <w:sz w:val="21"/>
                      <w:szCs w:val="21"/>
                      <w:highlight w:val="none"/>
                      <w:lang w:val="en-US" w:eastAsia="zh-CN"/>
                    </w:rPr>
                    <w:t>5</w:t>
                  </w:r>
                </w:p>
              </w:tc>
              <w:tc>
                <w:tcPr>
                  <w:tcW w:w="1523"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氨氮/mg/L</w:t>
                  </w:r>
                </w:p>
              </w:tc>
              <w:tc>
                <w:tcPr>
                  <w:tcW w:w="1331"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≤8</w:t>
                  </w:r>
                </w:p>
              </w:tc>
              <w:tc>
                <w:tcPr>
                  <w:tcW w:w="1540" w:type="pct"/>
                  <w:vMerge w:val="continue"/>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05" w:type="pct"/>
                  <w:noWrap w:val="0"/>
                  <w:vAlign w:val="center"/>
                </w:tcPr>
                <w:p>
                  <w:pPr>
                    <w:adjustRightInd w:val="0"/>
                    <w:snapToGrid w:val="0"/>
                    <w:spacing w:before="32" w:beforeLines="10" w:after="32" w:afterLines="10" w:line="259" w:lineRule="auto"/>
                    <w:jc w:val="center"/>
                    <w:rPr>
                      <w:rFonts w:hint="eastAsia" w:ascii="Times New Roman" w:hAnsi="Times New Roman" w:eastAsia="宋体" w:cs="Times New Roman"/>
                      <w:kern w:val="0"/>
                      <w:sz w:val="21"/>
                      <w:szCs w:val="21"/>
                      <w:highlight w:val="none"/>
                      <w:lang w:val="en-US" w:eastAsia="zh-CN"/>
                    </w:rPr>
                  </w:pPr>
                  <w:r>
                    <w:rPr>
                      <w:rFonts w:hint="eastAsia" w:ascii="Times New Roman" w:hAnsi="Times New Roman" w:eastAsia="宋体" w:cs="Times New Roman"/>
                      <w:kern w:val="0"/>
                      <w:sz w:val="21"/>
                      <w:szCs w:val="21"/>
                      <w:highlight w:val="none"/>
                      <w:lang w:val="en-US" w:eastAsia="zh-CN"/>
                    </w:rPr>
                    <w:t>6</w:t>
                  </w:r>
                </w:p>
              </w:tc>
              <w:tc>
                <w:tcPr>
                  <w:tcW w:w="1523"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阴离子表面活性剂/mg/L</w:t>
                  </w:r>
                </w:p>
              </w:tc>
              <w:tc>
                <w:tcPr>
                  <w:tcW w:w="1331" w:type="pct"/>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≤0.5</w:t>
                  </w:r>
                </w:p>
              </w:tc>
              <w:tc>
                <w:tcPr>
                  <w:tcW w:w="1540" w:type="pct"/>
                  <w:vMerge w:val="continue"/>
                  <w:noWrap w:val="0"/>
                  <w:vAlign w:val="center"/>
                </w:tcPr>
                <w:p>
                  <w:pPr>
                    <w:adjustRightInd w:val="0"/>
                    <w:snapToGrid w:val="0"/>
                    <w:spacing w:before="32" w:beforeLines="10" w:after="32" w:afterLines="10" w:line="259" w:lineRule="auto"/>
                    <w:jc w:val="center"/>
                    <w:rPr>
                      <w:rFonts w:hint="default" w:ascii="Times New Roman" w:hAnsi="Times New Roman" w:eastAsia="宋体" w:cs="Times New Roman"/>
                      <w:kern w:val="0"/>
                      <w:szCs w:val="21"/>
                      <w:highlight w:val="none"/>
                    </w:rPr>
                  </w:pPr>
                </w:p>
              </w:tc>
            </w:tr>
          </w:tbl>
          <w:p>
            <w:pPr>
              <w:pStyle w:val="39"/>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eastAsia="宋体" w:cs="Times New Roman"/>
                <w:color w:val="auto"/>
                <w:kern w:val="2"/>
                <w:sz w:val="24"/>
                <w:szCs w:val="24"/>
                <w:highlight w:val="none"/>
                <w:lang w:val="en-US" w:eastAsia="zh-CN" w:bidi="ar-SA"/>
              </w:rPr>
              <w:t>3</w:t>
            </w:r>
            <w:r>
              <w:rPr>
                <w:rFonts w:hint="eastAsia" w:ascii="Times New Roman" w:hAnsi="Times New Roman" w:eastAsia="宋体" w:cs="Times New Roman"/>
                <w:color w:val="auto"/>
                <w:kern w:val="2"/>
                <w:sz w:val="24"/>
                <w:szCs w:val="24"/>
                <w:highlight w:val="none"/>
                <w:lang w:val="en-US" w:eastAsia="zh-CN" w:bidi="ar-SA"/>
              </w:rPr>
              <w:t>、</w:t>
            </w:r>
            <w:r>
              <w:rPr>
                <w:rFonts w:hint="eastAsia" w:ascii="宋体" w:hAnsi="宋体" w:eastAsia="宋体" w:cs="宋体"/>
                <w:color w:val="auto"/>
                <w:sz w:val="24"/>
                <w:szCs w:val="24"/>
                <w:highlight w:val="none"/>
                <w:lang w:val="en-US" w:eastAsia="zh-CN"/>
              </w:rPr>
              <w:t>噪声污染物排放标准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cs="Times New Roman"/>
                <w:color w:val="auto"/>
                <w:sz w:val="21"/>
                <w:szCs w:val="21"/>
                <w:highlight w:val="none"/>
                <w:lang w:val="en-US" w:eastAsia="zh-CN"/>
              </w:rPr>
            </w:pPr>
            <w:r>
              <w:rPr>
                <w:rFonts w:hint="eastAsia"/>
                <w:bCs/>
                <w:color w:val="auto"/>
                <w:kern w:val="0"/>
                <w:sz w:val="24"/>
                <w:highlight w:val="none"/>
                <w:lang w:val="en-US" w:bidi="zh-CN"/>
              </w:rPr>
              <w:t>根据阜新市城市环境噪声功能区分区示意图，</w:t>
            </w:r>
            <w:r>
              <w:rPr>
                <w:rFonts w:hint="eastAsia"/>
                <w:bCs/>
                <w:color w:val="auto"/>
                <w:kern w:val="0"/>
                <w:sz w:val="24"/>
                <w:highlight w:val="none"/>
                <w:lang w:bidi="zh-CN"/>
              </w:rPr>
              <w:t>本项目位于</w:t>
            </w:r>
            <w:r>
              <w:rPr>
                <w:rFonts w:hint="eastAsia"/>
                <w:bCs/>
                <w:color w:val="auto"/>
                <w:kern w:val="0"/>
                <w:sz w:val="24"/>
                <w:highlight w:val="none"/>
                <w:lang w:val="en-US" w:bidi="zh-CN"/>
              </w:rPr>
              <w:t>3</w:t>
            </w:r>
            <w:r>
              <w:rPr>
                <w:rFonts w:hint="eastAsia"/>
                <w:bCs/>
                <w:color w:val="auto"/>
                <w:kern w:val="0"/>
                <w:sz w:val="24"/>
                <w:highlight w:val="none"/>
                <w:lang w:bidi="zh-CN"/>
              </w:rPr>
              <w:t>类声环境功能区。（</w:t>
            </w:r>
            <w:r>
              <w:rPr>
                <w:rFonts w:hint="eastAsia"/>
                <w:bCs/>
                <w:color w:val="auto"/>
                <w:kern w:val="0"/>
                <w:sz w:val="24"/>
                <w:highlight w:val="none"/>
                <w:lang w:val="en-US" w:bidi="zh-CN"/>
              </w:rPr>
              <w:t>详见附图7</w:t>
            </w:r>
            <w:r>
              <w:rPr>
                <w:rFonts w:hint="eastAsia"/>
                <w:bCs/>
                <w:color w:val="auto"/>
                <w:kern w:val="0"/>
                <w:sz w:val="24"/>
                <w:highlight w:val="none"/>
                <w:lang w:bidi="zh-CN"/>
              </w:rPr>
              <w:t>）东、西、南、北厂界执行</w:t>
            </w:r>
            <w:r>
              <w:rPr>
                <w:bCs/>
                <w:color w:val="auto"/>
                <w:kern w:val="0"/>
                <w:sz w:val="24"/>
                <w:highlight w:val="none"/>
                <w:lang w:bidi="zh-CN"/>
              </w:rPr>
              <w:t>《工业企业厂界环境噪声排放标准》（GB12348-2008）中</w:t>
            </w:r>
            <w:r>
              <w:rPr>
                <w:rFonts w:hint="eastAsia"/>
                <w:bCs/>
                <w:color w:val="auto"/>
                <w:kern w:val="0"/>
                <w:sz w:val="24"/>
                <w:highlight w:val="none"/>
                <w:lang w:val="en-US" w:bidi="zh-CN"/>
              </w:rPr>
              <w:t>3</w:t>
            </w:r>
            <w:r>
              <w:rPr>
                <w:bCs/>
                <w:color w:val="auto"/>
                <w:kern w:val="0"/>
                <w:sz w:val="24"/>
                <w:highlight w:val="none"/>
                <w:lang w:bidi="zh-CN"/>
              </w:rPr>
              <w:t>类</w:t>
            </w:r>
            <w:r>
              <w:rPr>
                <w:rFonts w:hint="eastAsia"/>
                <w:bCs/>
                <w:color w:val="auto"/>
                <w:kern w:val="0"/>
                <w:sz w:val="24"/>
                <w:highlight w:val="none"/>
                <w:lang w:val="en-US" w:bidi="zh-CN"/>
              </w:rPr>
              <w:t>声环境功能区</w:t>
            </w:r>
            <w:r>
              <w:rPr>
                <w:bCs/>
                <w:color w:val="auto"/>
                <w:kern w:val="0"/>
                <w:sz w:val="24"/>
                <w:highlight w:val="none"/>
                <w:lang w:bidi="zh-CN"/>
              </w:rPr>
              <w:t>标准</w:t>
            </w:r>
            <w:r>
              <w:rPr>
                <w:rFonts w:hint="eastAsia"/>
                <w:color w:val="auto"/>
                <w:highlight w:val="none"/>
                <w:lang w:val="en-US" w:eastAsia="zh-CN"/>
              </w:rPr>
              <w:t>，</w:t>
            </w:r>
            <w:r>
              <w:rPr>
                <w:rFonts w:hint="eastAsia" w:ascii="Times New Roman" w:hAnsi="Times New Roman" w:cs="Times New Roman"/>
                <w:color w:val="auto"/>
                <w:sz w:val="24"/>
                <w:szCs w:val="24"/>
                <w:highlight w:val="none"/>
                <w:lang w:val="en-US" w:eastAsia="zh-CN"/>
              </w:rPr>
              <w:t>具体限值见表3-</w:t>
            </w:r>
            <w:r>
              <w:rPr>
                <w:rFonts w:hint="eastAsia" w:cs="Times New Roman"/>
                <w:color w:val="auto"/>
                <w:sz w:val="24"/>
                <w:szCs w:val="24"/>
                <w:highlight w:val="none"/>
                <w:lang w:val="en-US" w:eastAsia="zh-CN"/>
              </w:rPr>
              <w:t>10</w:t>
            </w:r>
            <w:r>
              <w:rPr>
                <w:rFonts w:hint="eastAsia" w:ascii="Times New Roman" w:hAnsi="Times New Roman" w:cs="Times New Roman"/>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421" w:firstLineChars="200"/>
              <w:jc w:val="center"/>
              <w:textAlignment w:val="auto"/>
              <w:outlineLvl w:val="9"/>
              <w:rPr>
                <w:rFonts w:hint="default" w:ascii="Times New Roman" w:hAnsi="Times New Roman" w:cs="Times New Roman"/>
                <w:b/>
                <w:bCs/>
                <w:color w:val="auto"/>
                <w:sz w:val="21"/>
                <w:szCs w:val="21"/>
                <w:highlight w:val="none"/>
                <w:lang w:val="en-US"/>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3-10</w:t>
            </w:r>
            <w:r>
              <w:rPr>
                <w:rFonts w:hint="default" w:ascii="Times New Roman" w:hAnsi="Times New Roman" w:eastAsia="宋体" w:cs="Times New Roman"/>
                <w:b/>
                <w:color w:val="auto"/>
                <w:kern w:val="0"/>
                <w:sz w:val="21"/>
                <w:szCs w:val="21"/>
                <w:highlight w:val="none"/>
              </w:rPr>
              <w:t xml:space="preserve"> </w:t>
            </w:r>
            <w:r>
              <w:rPr>
                <w:rFonts w:hint="eastAsia" w:eastAsia="宋体" w:cs="Times New Roman"/>
                <w:b/>
                <w:color w:val="auto"/>
                <w:kern w:val="0"/>
                <w:sz w:val="21"/>
                <w:szCs w:val="21"/>
                <w:highlight w:val="none"/>
                <w:lang w:val="en-US" w:eastAsia="zh-CN"/>
              </w:rPr>
              <w:t>运营期</w:t>
            </w:r>
            <w:r>
              <w:rPr>
                <w:rFonts w:hint="default" w:ascii="Times New Roman" w:hAnsi="Times New Roman" w:eastAsia="宋体" w:cs="Times New Roman"/>
                <w:b/>
                <w:color w:val="auto"/>
                <w:kern w:val="0"/>
                <w:sz w:val="21"/>
                <w:szCs w:val="21"/>
                <w:highlight w:val="none"/>
                <w:lang w:eastAsia="zh-CN"/>
              </w:rPr>
              <w:t>噪声排放标准</w:t>
            </w:r>
          </w:p>
          <w:tbl>
            <w:tblPr>
              <w:tblStyle w:val="22"/>
              <w:tblW w:w="8379"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72"/>
              <w:gridCol w:w="1823"/>
              <w:gridCol w:w="188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4672"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eastAsia="zh-CN"/>
                    </w:rPr>
                    <w:t>执行标准</w:t>
                  </w:r>
                </w:p>
              </w:tc>
              <w:tc>
                <w:tcPr>
                  <w:tcW w:w="370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b/>
                      <w:bCs/>
                      <w:color w:val="auto"/>
                      <w:sz w:val="21"/>
                      <w:szCs w:val="21"/>
                      <w:highlight w:val="none"/>
                      <w:lang w:eastAsia="zh-CN"/>
                    </w:rPr>
                  </w:pPr>
                  <w:r>
                    <w:rPr>
                      <w:rFonts w:hint="default" w:ascii="Times New Roman" w:hAnsi="Times New Roman" w:cs="Times New Roman"/>
                      <w:b/>
                      <w:bCs/>
                      <w:color w:val="auto"/>
                      <w:sz w:val="21"/>
                      <w:szCs w:val="21"/>
                      <w:highlight w:val="none"/>
                      <w:lang w:eastAsia="zh-CN"/>
                    </w:rPr>
                    <w:t>标准</w:t>
                  </w:r>
                  <w:r>
                    <w:rPr>
                      <w:rFonts w:hint="eastAsia" w:cs="Times New Roman"/>
                      <w:b/>
                      <w:bCs/>
                      <w:color w:val="auto"/>
                      <w:sz w:val="21"/>
                      <w:szCs w:val="21"/>
                      <w:highlight w:val="none"/>
                      <w:lang w:eastAsia="zh-CN"/>
                    </w:rPr>
                    <w:t>限值</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467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color w:val="auto"/>
                      <w:sz w:val="21"/>
                      <w:szCs w:val="21"/>
                      <w:highlight w:val="none"/>
                      <w:lang w:eastAsia="zh-CN"/>
                    </w:rPr>
                  </w:pPr>
                </w:p>
              </w:tc>
              <w:tc>
                <w:tcPr>
                  <w:tcW w:w="18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b/>
                      <w:bCs/>
                      <w:color w:val="auto"/>
                      <w:sz w:val="21"/>
                      <w:szCs w:val="21"/>
                      <w:highlight w:val="none"/>
                      <w:lang w:eastAsia="zh-CN"/>
                    </w:rPr>
                  </w:pPr>
                  <w:r>
                    <w:rPr>
                      <w:rFonts w:hint="default" w:ascii="Times New Roman" w:hAnsi="Times New Roman" w:cs="Times New Roman"/>
                      <w:b/>
                      <w:bCs/>
                      <w:color w:val="auto"/>
                      <w:sz w:val="21"/>
                      <w:szCs w:val="21"/>
                      <w:highlight w:val="none"/>
                      <w:lang w:eastAsia="zh-CN"/>
                    </w:rPr>
                    <w:t>昼间</w:t>
                  </w:r>
                </w:p>
              </w:tc>
              <w:tc>
                <w:tcPr>
                  <w:tcW w:w="18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夜间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467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GB 12348-2008</w:t>
                  </w:r>
                  <w:r>
                    <w:rPr>
                      <w:rFonts w:hint="eastAsia" w:cs="Times New Roman"/>
                      <w:color w:val="auto"/>
                      <w:sz w:val="21"/>
                      <w:szCs w:val="21"/>
                      <w:highlight w:val="none"/>
                      <w:lang w:val="en-US" w:eastAsia="zh-CN"/>
                    </w:rPr>
                    <w:t>中3</w:t>
                  </w:r>
                  <w:r>
                    <w:rPr>
                      <w:rFonts w:hint="default" w:ascii="Times New Roman" w:hAnsi="Times New Roman" w:cs="Times New Roman"/>
                      <w:color w:val="auto"/>
                      <w:sz w:val="21"/>
                      <w:szCs w:val="21"/>
                      <w:highlight w:val="none"/>
                      <w:lang w:val="en-US" w:eastAsia="zh-CN"/>
                    </w:rPr>
                    <w:t>类</w:t>
                  </w:r>
                  <w:r>
                    <w:rPr>
                      <w:rFonts w:hint="eastAsia" w:cs="Times New Roman"/>
                      <w:color w:val="auto"/>
                      <w:sz w:val="21"/>
                      <w:szCs w:val="21"/>
                      <w:highlight w:val="none"/>
                      <w:lang w:val="en-US" w:eastAsia="zh-CN"/>
                    </w:rPr>
                    <w:t>标准</w:t>
                  </w:r>
                </w:p>
              </w:tc>
              <w:tc>
                <w:tcPr>
                  <w:tcW w:w="18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65</w:t>
                  </w:r>
                </w:p>
              </w:tc>
              <w:tc>
                <w:tcPr>
                  <w:tcW w:w="18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55</w:t>
                  </w:r>
                </w:p>
              </w:tc>
            </w:tr>
          </w:tbl>
          <w:p>
            <w:pPr>
              <w:pStyle w:val="39"/>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eastAsia="宋体" w:cs="Times New Roman"/>
                <w:color w:val="auto"/>
                <w:kern w:val="2"/>
                <w:sz w:val="24"/>
                <w:szCs w:val="24"/>
                <w:highlight w:val="none"/>
                <w:lang w:val="en-US" w:eastAsia="zh-CN" w:bidi="ar-SA"/>
              </w:rPr>
              <w:t>4</w:t>
            </w:r>
            <w:r>
              <w:rPr>
                <w:rFonts w:hint="eastAsia" w:ascii="Times New Roman" w:hAnsi="Times New Roman" w:eastAsia="宋体" w:cs="Times New Roman"/>
                <w:color w:val="auto"/>
                <w:kern w:val="2"/>
                <w:sz w:val="24"/>
                <w:szCs w:val="24"/>
                <w:highlight w:val="none"/>
                <w:lang w:val="en-US" w:eastAsia="zh-CN" w:bidi="ar-SA"/>
              </w:rPr>
              <w:t>、固体废物控制标准</w:t>
            </w:r>
          </w:p>
          <w:p>
            <w:pPr>
              <w:adjustRightInd w:val="0"/>
              <w:snapToGrid w:val="0"/>
              <w:spacing w:line="360" w:lineRule="auto"/>
              <w:ind w:firstLine="480" w:firstLineChars="200"/>
              <w:jc w:val="left"/>
              <w:rPr>
                <w:rFonts w:hint="eastAsia" w:cs="Times New Roman"/>
                <w:color w:val="auto"/>
                <w:sz w:val="24"/>
                <w:szCs w:val="24"/>
                <w:highlight w:val="none"/>
                <w:lang w:val="en-US" w:eastAsia="zh-CN"/>
              </w:rPr>
            </w:pPr>
            <w:r>
              <w:rPr>
                <w:rFonts w:hint="default" w:ascii="Times New Roman" w:hAnsi="Times New Roman" w:eastAsia="宋体" w:cs="Times New Roman"/>
                <w:sz w:val="24"/>
                <w:szCs w:val="24"/>
                <w:highlight w:val="none"/>
              </w:rPr>
              <w:t>本项目一般固废</w:t>
            </w:r>
            <w:r>
              <w:rPr>
                <w:rFonts w:hint="eastAsia" w:cs="Times New Roman"/>
                <w:sz w:val="24"/>
                <w:szCs w:val="24"/>
                <w:highlight w:val="none"/>
                <w:lang w:val="en-US" w:eastAsia="zh-CN"/>
              </w:rPr>
              <w:t>参考</w:t>
            </w:r>
            <w:r>
              <w:rPr>
                <w:rFonts w:hint="default" w:ascii="Times New Roman" w:hAnsi="Times New Roman" w:eastAsia="宋体" w:cs="Times New Roman"/>
                <w:sz w:val="24"/>
                <w:szCs w:val="24"/>
                <w:highlight w:val="none"/>
              </w:rPr>
              <w:t>《</w:t>
            </w:r>
            <w:r>
              <w:rPr>
                <w:rFonts w:hint="eastAsia" w:cs="Times New Roman"/>
                <w:sz w:val="24"/>
                <w:szCs w:val="24"/>
                <w:highlight w:val="none"/>
                <w:lang w:val="en-US" w:eastAsia="zh-CN"/>
              </w:rPr>
              <w:t>中华人民共和国生态环境法典</w:t>
            </w:r>
            <w:r>
              <w:rPr>
                <w:rFonts w:hint="default" w:ascii="Times New Roman" w:hAnsi="Times New Roman" w:eastAsia="宋体" w:cs="Times New Roman"/>
                <w:sz w:val="24"/>
                <w:szCs w:val="24"/>
                <w:highlight w:val="none"/>
              </w:rPr>
              <w:t>》</w:t>
            </w:r>
            <w:r>
              <w:rPr>
                <w:rFonts w:hint="eastAsia" w:cs="Times New Roman"/>
                <w:sz w:val="24"/>
                <w:szCs w:val="24"/>
                <w:highlight w:val="none"/>
                <w:lang w:val="en-US" w:eastAsia="zh-CN"/>
              </w:rPr>
              <w:t>及《一般工业固体废物贮存和填埋污染控制标准》</w:t>
            </w:r>
            <w:r>
              <w:rPr>
                <w:rFonts w:hint="default" w:ascii="Times New Roman" w:hAnsi="Times New Roman" w:eastAsia="宋体" w:cs="Times New Roman"/>
                <w:sz w:val="24"/>
                <w:szCs w:val="24"/>
                <w:highlight w:val="none"/>
              </w:rPr>
              <w:t>（GB18599-2020），</w:t>
            </w:r>
            <w:r>
              <w:rPr>
                <w:rFonts w:hint="eastAsia" w:cs="Times New Roman"/>
                <w:color w:val="auto"/>
                <w:sz w:val="24"/>
                <w:szCs w:val="24"/>
                <w:highlight w:val="none"/>
                <w:lang w:val="en-US" w:eastAsia="zh-CN"/>
              </w:rPr>
              <w:t>贮存过程应满足相应防渗漏、防雨淋、防扬尘等环境保护要求。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454" w:type="dxa"/>
            <w:noWrap w:val="0"/>
            <w:vAlign w:val="center"/>
          </w:tcPr>
          <w:p>
            <w:pPr>
              <w:adjustRightInd w:val="0"/>
              <w:snapToGrid w:val="0"/>
              <w:jc w:val="center"/>
              <w:rPr>
                <w:rFonts w:hint="eastAsia" w:ascii="宋体" w:hAnsi="宋体" w:cs="宋体"/>
                <w:kern w:val="0"/>
                <w:szCs w:val="21"/>
                <w:highlight w:val="none"/>
              </w:rPr>
            </w:pPr>
            <w:r>
              <w:rPr>
                <w:rFonts w:hint="eastAsia" w:ascii="宋体" w:hAnsi="宋体" w:cs="宋体"/>
                <w:kern w:val="0"/>
                <w:szCs w:val="21"/>
                <w:highlight w:val="none"/>
              </w:rPr>
              <w:t>总量</w:t>
            </w:r>
          </w:p>
          <w:p>
            <w:pPr>
              <w:adjustRightInd w:val="0"/>
              <w:snapToGrid w:val="0"/>
              <w:jc w:val="center"/>
              <w:rPr>
                <w:rFonts w:hint="eastAsia" w:ascii="宋体" w:hAnsi="宋体" w:cs="宋体"/>
                <w:kern w:val="0"/>
                <w:szCs w:val="21"/>
                <w:highlight w:val="none"/>
              </w:rPr>
            </w:pPr>
            <w:r>
              <w:rPr>
                <w:rFonts w:hint="eastAsia" w:ascii="宋体" w:hAnsi="宋体" w:cs="宋体"/>
                <w:kern w:val="0"/>
                <w:szCs w:val="21"/>
                <w:highlight w:val="none"/>
              </w:rPr>
              <w:t>控制</w:t>
            </w:r>
          </w:p>
          <w:p>
            <w:pPr>
              <w:adjustRightInd w:val="0"/>
              <w:snapToGrid w:val="0"/>
              <w:jc w:val="center"/>
              <w:rPr>
                <w:rFonts w:hint="eastAsia" w:ascii="宋体" w:hAnsi="宋体" w:cs="宋体"/>
                <w:kern w:val="0"/>
                <w:szCs w:val="21"/>
                <w:highlight w:val="none"/>
              </w:rPr>
            </w:pPr>
            <w:r>
              <w:rPr>
                <w:rFonts w:hint="eastAsia" w:ascii="宋体" w:hAnsi="宋体" w:cs="宋体"/>
                <w:kern w:val="0"/>
                <w:szCs w:val="21"/>
                <w:highlight w:val="none"/>
              </w:rPr>
              <w:t>指标</w:t>
            </w:r>
          </w:p>
        </w:tc>
        <w:tc>
          <w:tcPr>
            <w:tcW w:w="8607" w:type="dxa"/>
            <w:noWrap w:val="0"/>
            <w:vAlign w:val="center"/>
          </w:tcPr>
          <w:p>
            <w:pPr>
              <w:spacing w:before="120" w:beforeLines="50" w:line="360" w:lineRule="auto"/>
              <w:ind w:firstLine="600" w:firstLineChars="250"/>
              <w:jc w:val="left"/>
              <w:rPr>
                <w:bCs/>
                <w:sz w:val="24"/>
                <w:szCs w:val="24"/>
                <w:highlight w:val="none"/>
              </w:rPr>
            </w:pPr>
            <w:r>
              <w:rPr>
                <w:rFonts w:hint="eastAsia"/>
                <w:sz w:val="24"/>
                <w:szCs w:val="24"/>
                <w:highlight w:val="none"/>
              </w:rPr>
              <w:t>根据《关于做好“十</w:t>
            </w:r>
            <w:r>
              <w:rPr>
                <w:rFonts w:hint="eastAsia"/>
                <w:sz w:val="24"/>
                <w:szCs w:val="24"/>
                <w:highlight w:val="none"/>
                <w:lang w:eastAsia="zh-CN"/>
              </w:rPr>
              <w:t>五</w:t>
            </w:r>
            <w:r>
              <w:rPr>
                <w:rFonts w:hint="eastAsia"/>
                <w:sz w:val="24"/>
                <w:szCs w:val="24"/>
                <w:highlight w:val="none"/>
              </w:rPr>
              <w:t>五”</w:t>
            </w:r>
            <w:r>
              <w:rPr>
                <w:rFonts w:hint="eastAsia"/>
                <w:sz w:val="24"/>
                <w:szCs w:val="24"/>
                <w:highlight w:val="none"/>
                <w:lang w:eastAsia="zh-CN"/>
              </w:rPr>
              <w:t>污染减排工作方案编制技术指南</w:t>
            </w:r>
            <w:r>
              <w:rPr>
                <w:rFonts w:hint="eastAsia"/>
                <w:sz w:val="24"/>
                <w:szCs w:val="24"/>
                <w:highlight w:val="none"/>
              </w:rPr>
              <w:t>的通知》要求，污染物总量控制因子</w:t>
            </w:r>
            <w:r>
              <w:rPr>
                <w:rFonts w:hint="eastAsia"/>
                <w:sz w:val="24"/>
                <w:szCs w:val="24"/>
                <w:highlight w:val="none"/>
                <w:lang w:eastAsia="zh-CN"/>
              </w:rPr>
              <w:t>为</w:t>
            </w:r>
            <w:r>
              <w:rPr>
                <w:rFonts w:hint="eastAsia"/>
                <w:sz w:val="24"/>
                <w:szCs w:val="24"/>
                <w:highlight w:val="none"/>
              </w:rPr>
              <w:t>：</w:t>
            </w:r>
            <w:r>
              <w:rPr>
                <w:bCs/>
                <w:sz w:val="24"/>
                <w:szCs w:val="24"/>
                <w:highlight w:val="none"/>
              </w:rPr>
              <w:t>COD</w:t>
            </w:r>
            <w:r>
              <w:rPr>
                <w:rFonts w:hint="eastAsia"/>
                <w:bCs/>
                <w:sz w:val="24"/>
                <w:szCs w:val="24"/>
                <w:highlight w:val="none"/>
                <w:lang w:val="en-US" w:eastAsia="zh-CN"/>
              </w:rPr>
              <w:t>cr</w:t>
            </w:r>
            <w:r>
              <w:rPr>
                <w:bCs/>
                <w:sz w:val="24"/>
                <w:szCs w:val="24"/>
                <w:highlight w:val="none"/>
              </w:rPr>
              <w:t>、</w:t>
            </w:r>
            <w:r>
              <w:rPr>
                <w:rFonts w:hint="eastAsia"/>
                <w:bCs/>
                <w:sz w:val="24"/>
                <w:szCs w:val="24"/>
                <w:highlight w:val="none"/>
                <w:lang w:eastAsia="zh-CN"/>
              </w:rPr>
              <w:t>总磷、</w:t>
            </w:r>
            <w:r>
              <w:rPr>
                <w:rFonts w:hint="eastAsia"/>
                <w:bCs/>
                <w:sz w:val="24"/>
                <w:szCs w:val="24"/>
                <w:highlight w:val="none"/>
                <w:lang w:val="en-US" w:eastAsia="zh-CN"/>
              </w:rPr>
              <w:t>NOx、VOCs</w:t>
            </w:r>
            <w:r>
              <w:rPr>
                <w:bCs/>
                <w:sz w:val="24"/>
                <w:szCs w:val="24"/>
                <w:highlight w:val="none"/>
              </w:rPr>
              <w:t>。</w:t>
            </w:r>
          </w:p>
          <w:p>
            <w:pPr>
              <w:adjustRightInd w:val="0"/>
              <w:snapToGrid w:val="0"/>
              <w:spacing w:line="360" w:lineRule="auto"/>
              <w:ind w:firstLine="480" w:firstLineChars="200"/>
              <w:jc w:val="left"/>
              <w:rPr>
                <w:rFonts w:hint="default"/>
                <w:sz w:val="24"/>
                <w:szCs w:val="24"/>
                <w:highlight w:val="none"/>
                <w:lang w:val="en-US" w:eastAsia="zh-CN"/>
              </w:rPr>
            </w:pPr>
            <w:r>
              <w:rPr>
                <w:rFonts w:hint="default"/>
                <w:sz w:val="24"/>
                <w:szCs w:val="24"/>
                <w:highlight w:val="none"/>
                <w:lang w:val="en-US" w:eastAsia="zh-CN"/>
              </w:rPr>
              <w:t>（1）废气污染物排放总量：氮氧化物：</w:t>
            </w:r>
            <w:r>
              <w:rPr>
                <w:rFonts w:hint="eastAsia"/>
                <w:sz w:val="24"/>
                <w:szCs w:val="24"/>
                <w:highlight w:val="none"/>
                <w:lang w:val="en-US" w:eastAsia="zh-CN"/>
              </w:rPr>
              <w:t>0</w:t>
            </w:r>
            <w:r>
              <w:rPr>
                <w:rFonts w:hint="default"/>
                <w:sz w:val="24"/>
                <w:szCs w:val="24"/>
                <w:highlight w:val="none"/>
                <w:lang w:val="en-US" w:eastAsia="zh-CN"/>
              </w:rPr>
              <w:t>t/</w:t>
            </w:r>
            <w:r>
              <w:rPr>
                <w:rFonts w:hint="eastAsia"/>
                <w:sz w:val="24"/>
                <w:szCs w:val="24"/>
                <w:highlight w:val="none"/>
                <w:lang w:val="en-US" w:eastAsia="zh-CN"/>
              </w:rPr>
              <w:t>a；</w:t>
            </w:r>
            <w:r>
              <w:rPr>
                <w:rFonts w:hint="default"/>
                <w:sz w:val="24"/>
                <w:szCs w:val="24"/>
                <w:highlight w:val="none"/>
                <w:lang w:val="en-US" w:eastAsia="zh-CN"/>
              </w:rPr>
              <w:t>挥发性有机物：</w:t>
            </w:r>
            <w:r>
              <w:rPr>
                <w:rFonts w:hint="eastAsia"/>
                <w:sz w:val="24"/>
                <w:szCs w:val="24"/>
                <w:highlight w:val="none"/>
                <w:lang w:val="en-US" w:eastAsia="zh-CN"/>
              </w:rPr>
              <w:t>0</w:t>
            </w:r>
            <w:r>
              <w:rPr>
                <w:rFonts w:hint="default"/>
                <w:sz w:val="24"/>
                <w:szCs w:val="24"/>
                <w:highlight w:val="none"/>
                <w:lang w:val="en-US" w:eastAsia="zh-CN"/>
              </w:rPr>
              <w:t>t/</w:t>
            </w:r>
            <w:r>
              <w:rPr>
                <w:rFonts w:hint="eastAsia"/>
                <w:sz w:val="24"/>
                <w:szCs w:val="24"/>
                <w:highlight w:val="none"/>
                <w:lang w:val="en-US" w:eastAsia="zh-CN"/>
              </w:rPr>
              <w:t>a</w:t>
            </w:r>
            <w:r>
              <w:rPr>
                <w:rFonts w:hint="default"/>
                <w:sz w:val="24"/>
                <w:szCs w:val="24"/>
                <w:highlight w:val="none"/>
                <w:lang w:val="en-US" w:eastAsia="zh-CN"/>
              </w:rPr>
              <w:t>。</w:t>
            </w:r>
          </w:p>
          <w:p>
            <w:pPr>
              <w:adjustRightInd w:val="0"/>
              <w:snapToGrid w:val="0"/>
              <w:spacing w:line="360" w:lineRule="auto"/>
              <w:ind w:firstLine="480" w:firstLineChars="200"/>
              <w:jc w:val="left"/>
              <w:rPr>
                <w:rFonts w:hint="default"/>
                <w:sz w:val="24"/>
                <w:szCs w:val="24"/>
                <w:highlight w:val="none"/>
                <w:lang w:val="en-US" w:eastAsia="zh-CN"/>
              </w:rPr>
            </w:pPr>
            <w:r>
              <w:rPr>
                <w:rFonts w:hint="default"/>
                <w:sz w:val="24"/>
                <w:szCs w:val="24"/>
                <w:highlight w:val="none"/>
                <w:lang w:val="en-US" w:eastAsia="zh-CN"/>
              </w:rPr>
              <w:t>（2）废水污染物排放总量：COD</w:t>
            </w:r>
            <w:r>
              <w:rPr>
                <w:rFonts w:hint="eastAsia"/>
                <w:sz w:val="24"/>
                <w:szCs w:val="24"/>
                <w:highlight w:val="none"/>
                <w:lang w:val="en-US" w:eastAsia="zh-CN"/>
              </w:rPr>
              <w:t>cr</w:t>
            </w:r>
            <w:r>
              <w:rPr>
                <w:rFonts w:hint="default"/>
                <w:sz w:val="24"/>
                <w:szCs w:val="24"/>
                <w:highlight w:val="none"/>
                <w:lang w:val="en-US" w:eastAsia="zh-CN"/>
              </w:rPr>
              <w:t>：</w:t>
            </w:r>
            <w:r>
              <w:rPr>
                <w:rFonts w:hint="eastAsia"/>
                <w:sz w:val="24"/>
                <w:szCs w:val="24"/>
                <w:highlight w:val="none"/>
                <w:lang w:val="en-US" w:eastAsia="zh-CN"/>
              </w:rPr>
              <w:t>0</w:t>
            </w:r>
            <w:r>
              <w:rPr>
                <w:rFonts w:hint="default"/>
                <w:sz w:val="24"/>
                <w:szCs w:val="24"/>
                <w:highlight w:val="none"/>
                <w:lang w:val="en-US" w:eastAsia="zh-CN"/>
              </w:rPr>
              <w:t>t/</w:t>
            </w:r>
            <w:r>
              <w:rPr>
                <w:rFonts w:hint="eastAsia"/>
                <w:sz w:val="24"/>
                <w:szCs w:val="24"/>
                <w:highlight w:val="none"/>
                <w:lang w:val="en-US" w:eastAsia="zh-CN"/>
              </w:rPr>
              <w:t>a；TP</w:t>
            </w:r>
            <w:r>
              <w:rPr>
                <w:rFonts w:hint="default"/>
                <w:sz w:val="24"/>
                <w:szCs w:val="24"/>
                <w:highlight w:val="none"/>
                <w:lang w:val="en-US" w:eastAsia="zh-CN"/>
              </w:rPr>
              <w:t>：</w:t>
            </w:r>
            <w:r>
              <w:rPr>
                <w:rFonts w:hint="eastAsia"/>
                <w:sz w:val="24"/>
                <w:szCs w:val="24"/>
                <w:highlight w:val="none"/>
                <w:lang w:val="en-US" w:eastAsia="zh-CN"/>
              </w:rPr>
              <w:t>0</w:t>
            </w:r>
            <w:r>
              <w:rPr>
                <w:rFonts w:hint="default"/>
                <w:sz w:val="24"/>
                <w:szCs w:val="24"/>
                <w:highlight w:val="none"/>
                <w:lang w:val="en-US" w:eastAsia="zh-CN"/>
              </w:rPr>
              <w:t>t/</w:t>
            </w:r>
            <w:r>
              <w:rPr>
                <w:rFonts w:hint="eastAsia"/>
                <w:sz w:val="24"/>
                <w:szCs w:val="24"/>
                <w:highlight w:val="none"/>
                <w:lang w:val="en-US" w:eastAsia="zh-CN"/>
              </w:rPr>
              <w:t>a</w:t>
            </w:r>
            <w:r>
              <w:rPr>
                <w:rFonts w:hint="default"/>
                <w:sz w:val="24"/>
                <w:szCs w:val="24"/>
                <w:highlight w:val="none"/>
                <w:lang w:val="en-US" w:eastAsia="zh-CN"/>
              </w:rPr>
              <w:t>。</w:t>
            </w:r>
          </w:p>
          <w:p>
            <w:pPr>
              <w:adjustRightInd w:val="0"/>
              <w:snapToGrid w:val="0"/>
              <w:ind w:firstLine="720" w:firstLineChars="300"/>
              <w:jc w:val="both"/>
              <w:rPr>
                <w:rFonts w:hint="default"/>
                <w:sz w:val="24"/>
                <w:szCs w:val="24"/>
                <w:highlight w:val="none"/>
                <w:lang w:val="en-US" w:eastAsia="zh-CN"/>
              </w:rPr>
            </w:pPr>
            <w:r>
              <w:rPr>
                <w:rFonts w:hint="eastAsia"/>
                <w:sz w:val="24"/>
                <w:szCs w:val="24"/>
                <w:highlight w:val="none"/>
                <w:lang w:val="en-US" w:eastAsia="zh-CN"/>
              </w:rPr>
              <w:t>本</w:t>
            </w:r>
            <w:r>
              <w:rPr>
                <w:rFonts w:hint="default"/>
                <w:sz w:val="24"/>
                <w:szCs w:val="24"/>
                <w:highlight w:val="none"/>
                <w:lang w:val="en-US" w:eastAsia="zh-CN"/>
              </w:rPr>
              <w:t>项目无污染物总量控制指标。</w:t>
            </w: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ind w:firstLine="720" w:firstLineChars="300"/>
              <w:jc w:val="both"/>
              <w:rPr>
                <w:rFonts w:hint="default"/>
                <w:sz w:val="24"/>
                <w:szCs w:val="24"/>
                <w:highlight w:val="none"/>
                <w:lang w:val="en-US" w:eastAsia="zh-CN"/>
              </w:rPr>
            </w:pPr>
          </w:p>
          <w:p>
            <w:pPr>
              <w:adjustRightInd w:val="0"/>
              <w:snapToGrid w:val="0"/>
              <w:jc w:val="both"/>
              <w:rPr>
                <w:rFonts w:hint="default"/>
                <w:sz w:val="24"/>
                <w:szCs w:val="24"/>
                <w:highlight w:val="none"/>
                <w:lang w:val="en-US" w:eastAsia="zh-CN"/>
              </w:rPr>
            </w:pPr>
          </w:p>
          <w:p>
            <w:pPr>
              <w:pStyle w:val="2"/>
              <w:ind w:left="0" w:leftChars="0" w:firstLine="0" w:firstLineChars="0"/>
              <w:rPr>
                <w:rFonts w:hint="eastAsia"/>
                <w:highlight w:val="none"/>
                <w:lang w:val="en-US" w:eastAsia="zh-CN"/>
              </w:rPr>
            </w:pPr>
          </w:p>
        </w:tc>
      </w:tr>
    </w:tbl>
    <w:p>
      <w:pPr>
        <w:pStyle w:val="18"/>
        <w:jc w:val="center"/>
        <w:outlineLvl w:val="0"/>
        <w:rPr>
          <w:rFonts w:hint="eastAsia" w:ascii="黑体" w:hAnsi="黑体" w:eastAsia="黑体"/>
          <w:snapToGrid w:val="0"/>
          <w:sz w:val="30"/>
          <w:szCs w:val="30"/>
          <w:highlight w:val="none"/>
        </w:rPr>
        <w:sectPr>
          <w:pgSz w:w="11907" w:h="16840"/>
          <w:pgMar w:top="1701" w:right="1531" w:bottom="2127" w:left="1531"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jc w:val="center"/>
        <w:outlineLvl w:val="0"/>
        <w:rPr>
          <w:rFonts w:ascii="黑体" w:hAnsi="黑体" w:eastAsia="黑体"/>
          <w:snapToGrid w:val="0"/>
          <w:sz w:val="30"/>
          <w:szCs w:val="30"/>
          <w:highlight w:val="none"/>
        </w:rPr>
      </w:pPr>
      <w:r>
        <w:rPr>
          <w:rFonts w:hint="eastAsia" w:ascii="黑体" w:hAnsi="黑体" w:eastAsia="黑体"/>
          <w:snapToGrid w:val="0"/>
          <w:sz w:val="30"/>
          <w:szCs w:val="30"/>
          <w:highlight w:val="none"/>
        </w:rPr>
        <w:t>四、主要</w:t>
      </w:r>
      <w:r>
        <w:rPr>
          <w:rFonts w:hint="eastAsia" w:ascii="黑体" w:hAnsi="黑体" w:eastAsia="黑体"/>
          <w:snapToGrid w:val="0"/>
          <w:sz w:val="30"/>
          <w:szCs w:val="30"/>
          <w:highlight w:val="none"/>
          <w:lang w:val="en-US" w:eastAsia="zh-CN"/>
        </w:rPr>
        <w:t>生态</w:t>
      </w:r>
      <w:r>
        <w:rPr>
          <w:rFonts w:hint="eastAsia" w:ascii="黑体" w:hAnsi="黑体" w:eastAsia="黑体"/>
          <w:snapToGrid w:val="0"/>
          <w:sz w:val="30"/>
          <w:szCs w:val="30"/>
          <w:highlight w:val="none"/>
        </w:rPr>
        <w:t>环境影响和保护措施</w:t>
      </w:r>
    </w:p>
    <w:tbl>
      <w:tblPr>
        <w:tblStyle w:val="21"/>
        <w:tblW w:w="898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79"/>
        <w:gridCol w:w="850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491" w:type="dxa"/>
            <w:noWrap w:val="0"/>
            <w:tcMar>
              <w:left w:w="28" w:type="dxa"/>
              <w:right w:w="28" w:type="dxa"/>
            </w:tcMar>
            <w:vAlign w:val="center"/>
          </w:tcPr>
          <w:p>
            <w:pPr>
              <w:pStyle w:val="18"/>
              <w:adjustRightInd w:val="0"/>
              <w:snapToGrid w:val="0"/>
              <w:spacing w:before="0" w:beforeAutospacing="0" w:after="0" w:afterAutospacing="0"/>
              <w:jc w:val="center"/>
              <w:rPr>
                <w:rFonts w:hint="eastAsia" w:cs="宋体"/>
                <w:kern w:val="2"/>
                <w:sz w:val="24"/>
                <w:szCs w:val="24"/>
                <w:highlight w:val="none"/>
              </w:rPr>
            </w:pPr>
            <w:r>
              <w:rPr>
                <w:rFonts w:hint="eastAsia" w:cs="宋体"/>
                <w:kern w:val="2"/>
                <w:sz w:val="24"/>
                <w:szCs w:val="24"/>
                <w:highlight w:val="none"/>
              </w:rPr>
              <w:t>施工</w:t>
            </w:r>
          </w:p>
          <w:p>
            <w:pPr>
              <w:pStyle w:val="18"/>
              <w:adjustRightInd w:val="0"/>
              <w:snapToGrid w:val="0"/>
              <w:spacing w:before="0" w:beforeAutospacing="0" w:after="0" w:afterAutospacing="0"/>
              <w:jc w:val="center"/>
              <w:rPr>
                <w:rFonts w:hint="eastAsia" w:cs="宋体"/>
                <w:kern w:val="2"/>
                <w:sz w:val="24"/>
                <w:szCs w:val="24"/>
                <w:highlight w:val="none"/>
              </w:rPr>
            </w:pPr>
            <w:r>
              <w:rPr>
                <w:rFonts w:hint="eastAsia" w:cs="宋体"/>
                <w:kern w:val="2"/>
                <w:sz w:val="24"/>
                <w:szCs w:val="24"/>
                <w:highlight w:val="none"/>
              </w:rPr>
              <w:t>期</w:t>
            </w:r>
            <w:r>
              <w:rPr>
                <w:rFonts w:hint="eastAsia" w:cs="宋体"/>
                <w:kern w:val="2"/>
                <w:sz w:val="24"/>
                <w:szCs w:val="24"/>
                <w:highlight w:val="none"/>
                <w:lang w:val="en-US" w:eastAsia="zh-CN"/>
              </w:rPr>
              <w:t>生态</w:t>
            </w:r>
            <w:r>
              <w:rPr>
                <w:rFonts w:hint="eastAsia" w:cs="宋体"/>
                <w:kern w:val="2"/>
                <w:sz w:val="24"/>
                <w:szCs w:val="24"/>
                <w:highlight w:val="none"/>
              </w:rPr>
              <w:t>环</w:t>
            </w:r>
          </w:p>
          <w:p>
            <w:pPr>
              <w:pStyle w:val="18"/>
              <w:adjustRightInd w:val="0"/>
              <w:snapToGrid w:val="0"/>
              <w:spacing w:before="0" w:beforeAutospacing="0" w:after="0" w:afterAutospacing="0"/>
              <w:jc w:val="center"/>
              <w:rPr>
                <w:rFonts w:hint="eastAsia" w:cs="宋体"/>
                <w:kern w:val="2"/>
                <w:sz w:val="24"/>
                <w:szCs w:val="24"/>
                <w:highlight w:val="none"/>
              </w:rPr>
            </w:pPr>
            <w:r>
              <w:rPr>
                <w:rFonts w:hint="eastAsia" w:cs="宋体"/>
                <w:kern w:val="2"/>
                <w:sz w:val="24"/>
                <w:szCs w:val="24"/>
                <w:highlight w:val="none"/>
              </w:rPr>
              <w:t>境保</w:t>
            </w:r>
          </w:p>
          <w:p>
            <w:pPr>
              <w:pStyle w:val="18"/>
              <w:adjustRightInd w:val="0"/>
              <w:snapToGrid w:val="0"/>
              <w:spacing w:before="0" w:beforeAutospacing="0" w:after="0" w:afterAutospacing="0"/>
              <w:jc w:val="center"/>
              <w:rPr>
                <w:rFonts w:hint="eastAsia" w:cs="宋体"/>
                <w:kern w:val="2"/>
                <w:sz w:val="24"/>
                <w:szCs w:val="24"/>
                <w:highlight w:val="none"/>
              </w:rPr>
            </w:pPr>
            <w:r>
              <w:rPr>
                <w:rFonts w:hint="eastAsia" w:cs="宋体"/>
                <w:kern w:val="2"/>
                <w:sz w:val="24"/>
                <w:szCs w:val="24"/>
                <w:highlight w:val="none"/>
              </w:rPr>
              <w:t>护措</w:t>
            </w:r>
          </w:p>
          <w:p>
            <w:pPr>
              <w:pStyle w:val="18"/>
              <w:adjustRightInd w:val="0"/>
              <w:snapToGrid w:val="0"/>
              <w:spacing w:before="0" w:beforeAutospacing="0" w:after="0" w:afterAutospacing="0"/>
              <w:jc w:val="center"/>
              <w:rPr>
                <w:rFonts w:hint="eastAsia" w:cs="宋体"/>
                <w:bCs/>
                <w:kern w:val="2"/>
                <w:sz w:val="21"/>
                <w:szCs w:val="21"/>
                <w:highlight w:val="none"/>
              </w:rPr>
            </w:pPr>
            <w:r>
              <w:rPr>
                <w:rFonts w:hint="eastAsia" w:cs="宋体"/>
                <w:kern w:val="2"/>
                <w:sz w:val="24"/>
                <w:szCs w:val="24"/>
                <w:highlight w:val="none"/>
              </w:rPr>
              <w:t>施</w:t>
            </w:r>
          </w:p>
        </w:tc>
        <w:tc>
          <w:tcPr>
            <w:tcW w:w="8490" w:type="dxa"/>
            <w:noWrap w:val="0"/>
            <w:vAlign w:val="center"/>
          </w:tcPr>
          <w:p>
            <w:pPr>
              <w:spacing w:before="120" w:beforeLines="50"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本项目租用现有厂房，施工期主要是设备搬运</w:t>
            </w:r>
            <w:r>
              <w:rPr>
                <w:rFonts w:hint="eastAsia" w:ascii="宋体" w:hAnsi="宋体" w:cs="宋体"/>
                <w:color w:val="000000"/>
                <w:kern w:val="0"/>
                <w:sz w:val="24"/>
                <w:szCs w:val="24"/>
                <w:highlight w:val="none"/>
                <w:lang w:val="en-US" w:eastAsia="zh-CN" w:bidi="ar"/>
              </w:rPr>
              <w:t>至厂界内其他闲置厂房、密闭传送带及配套设施的布设安装、沉淀池施工建设及其他</w:t>
            </w:r>
            <w:r>
              <w:rPr>
                <w:rFonts w:hint="eastAsia" w:ascii="宋体" w:hAnsi="宋体" w:eastAsia="宋体" w:cs="宋体"/>
                <w:color w:val="000000"/>
                <w:kern w:val="0"/>
                <w:sz w:val="24"/>
                <w:szCs w:val="24"/>
                <w:highlight w:val="none"/>
                <w:lang w:val="en-US" w:eastAsia="zh-CN" w:bidi="ar"/>
              </w:rPr>
              <w:t>配套环保设施安装，施工期间对周围环境</w:t>
            </w:r>
            <w:r>
              <w:rPr>
                <w:rFonts w:hint="eastAsia" w:ascii="宋体" w:hAnsi="宋体" w:cs="宋体"/>
                <w:color w:val="000000"/>
                <w:kern w:val="0"/>
                <w:sz w:val="24"/>
                <w:szCs w:val="24"/>
                <w:highlight w:val="none"/>
                <w:lang w:val="en-US" w:eastAsia="zh-CN" w:bidi="ar"/>
              </w:rPr>
              <w:t>影响情况如下：</w:t>
            </w:r>
          </w:p>
          <w:p>
            <w:pPr>
              <w:pStyle w:val="39"/>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eastAsia="宋体"/>
                <w:sz w:val="24"/>
                <w:highlight w:val="none"/>
                <w:lang w:val="en-US" w:eastAsia="zh-CN"/>
              </w:rPr>
            </w:pPr>
            <w:r>
              <w:rPr>
                <w:rFonts w:hint="eastAsia" w:eastAsia="宋体"/>
                <w:b/>
                <w:bCs/>
                <w:sz w:val="24"/>
                <w:highlight w:val="none"/>
                <w:lang w:val="en-US" w:eastAsia="zh-CN"/>
              </w:rPr>
              <w:t>一、</w:t>
            </w:r>
            <w:r>
              <w:rPr>
                <w:rFonts w:hint="default" w:eastAsia="宋体"/>
                <w:b/>
                <w:bCs/>
                <w:sz w:val="24"/>
                <w:highlight w:val="none"/>
                <w:lang w:val="en-US" w:eastAsia="zh-CN"/>
              </w:rPr>
              <w:t>废气环境影响分析</w:t>
            </w:r>
          </w:p>
          <w:p>
            <w:pPr>
              <w:spacing w:before="120" w:beforeLines="50" w:line="360" w:lineRule="auto"/>
              <w:ind w:firstLine="480" w:firstLineChars="200"/>
              <w:jc w:val="left"/>
              <w:rPr>
                <w:rFonts w:hint="default" w:eastAsia="宋体"/>
                <w:sz w:val="24"/>
                <w:highlight w:val="none"/>
                <w:lang w:val="en-US" w:eastAsia="zh-CN"/>
              </w:rPr>
            </w:pPr>
            <w:r>
              <w:rPr>
                <w:rFonts w:hint="default" w:eastAsia="宋体"/>
                <w:sz w:val="24"/>
                <w:highlight w:val="none"/>
                <w:lang w:val="en-US" w:eastAsia="zh-CN"/>
              </w:rPr>
              <w:t>施工废气主要为</w:t>
            </w:r>
            <w:r>
              <w:rPr>
                <w:rFonts w:hint="eastAsia"/>
                <w:sz w:val="24"/>
                <w:highlight w:val="none"/>
                <w:lang w:val="en-US" w:eastAsia="zh-CN"/>
              </w:rPr>
              <w:t>施工扬尘、</w:t>
            </w:r>
            <w:r>
              <w:rPr>
                <w:rFonts w:hint="default" w:eastAsia="宋体"/>
                <w:sz w:val="24"/>
                <w:highlight w:val="none"/>
                <w:lang w:val="en-US" w:eastAsia="zh-CN"/>
              </w:rPr>
              <w:t>运输车辆尾气</w:t>
            </w:r>
            <w:r>
              <w:rPr>
                <w:rFonts w:hint="eastAsia"/>
                <w:sz w:val="24"/>
                <w:highlight w:val="none"/>
                <w:lang w:val="en-US" w:eastAsia="zh-CN"/>
              </w:rPr>
              <w:t>、</w:t>
            </w:r>
            <w:r>
              <w:rPr>
                <w:rFonts w:hint="eastAsia" w:eastAsia="宋体"/>
                <w:sz w:val="24"/>
                <w:highlight w:val="none"/>
                <w:lang w:val="en-US" w:eastAsia="zh-CN"/>
              </w:rPr>
              <w:t>设备运输与</w:t>
            </w:r>
            <w:r>
              <w:rPr>
                <w:rFonts w:hint="eastAsia"/>
                <w:sz w:val="24"/>
                <w:highlight w:val="none"/>
                <w:lang w:val="en-US" w:eastAsia="zh-CN"/>
              </w:rPr>
              <w:t>物料</w:t>
            </w:r>
            <w:r>
              <w:rPr>
                <w:rFonts w:hint="default" w:eastAsia="宋体"/>
                <w:sz w:val="24"/>
                <w:highlight w:val="none"/>
                <w:lang w:val="en-US" w:eastAsia="zh-CN"/>
              </w:rPr>
              <w:t>堆存扬尘等。企业施工期拟采取的措施有：</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1、</w:t>
            </w:r>
            <w:r>
              <w:rPr>
                <w:rFonts w:hint="default" w:eastAsia="宋体"/>
                <w:sz w:val="24"/>
                <w:highlight w:val="none"/>
                <w:lang w:val="en-US" w:eastAsia="zh-CN"/>
              </w:rPr>
              <w:t>施工扬尘</w:t>
            </w:r>
          </w:p>
          <w:p>
            <w:pPr>
              <w:spacing w:before="120" w:beforeLines="50" w:line="360" w:lineRule="auto"/>
              <w:ind w:firstLine="480" w:firstLineChars="200"/>
              <w:jc w:val="left"/>
              <w:rPr>
                <w:rFonts w:hint="default" w:eastAsia="宋体"/>
                <w:sz w:val="24"/>
                <w:highlight w:val="none"/>
                <w:lang w:val="en-US" w:eastAsia="zh-CN"/>
              </w:rPr>
            </w:pPr>
            <w:r>
              <w:rPr>
                <w:rFonts w:hint="default" w:eastAsia="宋体"/>
                <w:sz w:val="24"/>
                <w:highlight w:val="none"/>
                <w:lang w:val="en-US" w:eastAsia="zh-CN"/>
              </w:rPr>
              <w:t>施工扬尘对施工区环境空气影响较突出，尤其对现场施工人员危害较大。为控制及治理扬尘污染，施工开发单位应严格执行阜新市人民政府发布的《阜新市空气质量持续改善行动实施方案》(阜政发〔2024〕12号)</w:t>
            </w:r>
            <w:r>
              <w:rPr>
                <w:rFonts w:hint="eastAsia"/>
                <w:sz w:val="24"/>
                <w:highlight w:val="none"/>
                <w:lang w:val="en-US" w:eastAsia="zh-CN"/>
              </w:rPr>
              <w:t>，</w:t>
            </w:r>
            <w:r>
              <w:rPr>
                <w:rFonts w:hint="default" w:eastAsia="宋体"/>
                <w:sz w:val="24"/>
                <w:highlight w:val="none"/>
                <w:lang w:val="en-US" w:eastAsia="zh-CN"/>
              </w:rPr>
              <w:t>并采取如下控制及防治措施：</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（1）</w:t>
            </w:r>
            <w:r>
              <w:rPr>
                <w:rFonts w:hint="default" w:eastAsia="宋体"/>
                <w:sz w:val="24"/>
                <w:highlight w:val="none"/>
                <w:lang w:val="en-US" w:eastAsia="zh-CN"/>
              </w:rPr>
              <w:t>工地周边100%围挡。施工场地采用封闭围挡，高度不得小于2.5m。</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（2）</w:t>
            </w:r>
            <w:r>
              <w:rPr>
                <w:rFonts w:hint="default" w:eastAsia="宋体"/>
                <w:sz w:val="24"/>
                <w:highlight w:val="none"/>
                <w:lang w:val="en-US" w:eastAsia="zh-CN"/>
              </w:rPr>
              <w:t>物料堆放100%覆盖。施工现场残土、沙料等易产生扬尘物料采取覆盖防尘网(布)等有效措施，并要经常进行洒水保湿，避免扬尘污染。</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（3）</w:t>
            </w:r>
            <w:r>
              <w:rPr>
                <w:rFonts w:hint="default" w:eastAsia="宋体"/>
                <w:sz w:val="24"/>
                <w:highlight w:val="none"/>
                <w:lang w:val="en-US" w:eastAsia="zh-CN"/>
              </w:rPr>
              <w:t>出入车辆100%冲洗。在施工现场出入口设置车辆冲洗装置和沉淀池，运输车辆底盘和车轮冲洗干净后，方可驶离施工现场。</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（4）</w:t>
            </w:r>
            <w:r>
              <w:rPr>
                <w:rFonts w:hint="default" w:eastAsia="宋体"/>
                <w:sz w:val="24"/>
                <w:highlight w:val="none"/>
                <w:lang w:val="en-US" w:eastAsia="zh-CN"/>
              </w:rPr>
              <w:t>施工现场地面100%硬化。施工场地主要干道采取临时砂石铺盖等硬化措施，避免施工道路产生扬尘，场地硬化强度、厚度、宽度，应满足安全通行、卫生保洁需求。</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（5）</w:t>
            </w:r>
            <w:r>
              <w:rPr>
                <w:rFonts w:hint="default" w:eastAsia="宋体"/>
                <w:sz w:val="24"/>
                <w:highlight w:val="none"/>
                <w:lang w:val="en-US" w:eastAsia="zh-CN"/>
              </w:rPr>
              <w:t>在建工地100%湿法作业。对工地裸露地面采取洒水防尘的措施，遇到干旱和大风天气时，增加洒水降尘次数，确保无浮土扬尘。在进行开挖、回填等土方作业时，要辅以洒水压尘等措施。工程竣工后，施工现场的临设、围挡、垃圾等，必须及时清理完毕，清理时必须采取有效的降尘措施。</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（6）</w:t>
            </w:r>
            <w:r>
              <w:rPr>
                <w:rFonts w:hint="default" w:eastAsia="宋体"/>
                <w:sz w:val="24"/>
                <w:highlight w:val="none"/>
                <w:lang w:val="en-US" w:eastAsia="zh-CN"/>
              </w:rPr>
              <w:t>渣土车辆100%密闭运输。清运残土、沙土及垃圾等的装载高度不得超过车辆护栏，并采取全覆盖措施，不得沿途洒落，造成二次道路扬尘污染。</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（7）</w:t>
            </w:r>
            <w:r>
              <w:rPr>
                <w:rFonts w:hint="default" w:eastAsia="宋体"/>
                <w:sz w:val="24"/>
                <w:highlight w:val="none"/>
                <w:lang w:val="en-US" w:eastAsia="zh-CN"/>
              </w:rPr>
              <w:t>在施工工地禁止使用原煤、木材散烧灶，禁止敞口熬沥青。</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2、</w:t>
            </w:r>
            <w:r>
              <w:rPr>
                <w:rFonts w:hint="default" w:eastAsia="宋体"/>
                <w:sz w:val="24"/>
                <w:highlight w:val="none"/>
                <w:lang w:val="en-US" w:eastAsia="zh-CN"/>
              </w:rPr>
              <w:t>施工设备废气</w:t>
            </w:r>
          </w:p>
          <w:p>
            <w:pPr>
              <w:spacing w:before="120" w:beforeLines="50" w:line="360" w:lineRule="auto"/>
              <w:ind w:firstLine="480" w:firstLineChars="200"/>
              <w:jc w:val="left"/>
              <w:rPr>
                <w:rFonts w:hint="default" w:eastAsia="宋体"/>
                <w:sz w:val="24"/>
                <w:highlight w:val="none"/>
                <w:lang w:val="en-US" w:eastAsia="zh-CN"/>
              </w:rPr>
            </w:pPr>
            <w:r>
              <w:rPr>
                <w:rFonts w:hint="default" w:eastAsia="宋体"/>
                <w:sz w:val="24"/>
                <w:highlight w:val="none"/>
                <w:lang w:val="en-US" w:eastAsia="zh-CN"/>
              </w:rPr>
              <w:t>为尽可能减少施工设备和运输车辆废气的污染，降低对施工区局部环境的影响</w:t>
            </w:r>
            <w:r>
              <w:rPr>
                <w:rFonts w:hint="eastAsia"/>
                <w:sz w:val="24"/>
                <w:highlight w:val="none"/>
                <w:lang w:val="en-US" w:eastAsia="zh-CN"/>
              </w:rPr>
              <w:t>，</w:t>
            </w:r>
            <w:r>
              <w:rPr>
                <w:rFonts w:hint="default" w:eastAsia="宋体"/>
                <w:sz w:val="24"/>
                <w:highlight w:val="none"/>
                <w:lang w:val="en-US" w:eastAsia="zh-CN"/>
              </w:rPr>
              <w:t>可采取以下措施：</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（1）</w:t>
            </w:r>
            <w:r>
              <w:rPr>
                <w:rFonts w:hint="default" w:eastAsia="宋体"/>
                <w:sz w:val="24"/>
                <w:highlight w:val="none"/>
                <w:lang w:val="en-US" w:eastAsia="zh-CN"/>
              </w:rPr>
              <w:t>加强对施工车辆的检修和维护，严禁使用超期服役和尾气超标的车辆。</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（2）</w:t>
            </w:r>
            <w:r>
              <w:rPr>
                <w:rFonts w:hint="default" w:eastAsia="宋体"/>
                <w:sz w:val="24"/>
                <w:highlight w:val="none"/>
                <w:lang w:val="en-US" w:eastAsia="zh-CN"/>
              </w:rPr>
              <w:t>尽可能使用气动和电动设备和机械，或使用优质燃油，以减少机械和车辆有害气体排放。</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（3）</w:t>
            </w:r>
            <w:r>
              <w:rPr>
                <w:rFonts w:hint="default" w:eastAsia="宋体"/>
                <w:sz w:val="24"/>
                <w:highlight w:val="none"/>
                <w:lang w:val="en-US" w:eastAsia="zh-CN"/>
              </w:rPr>
              <w:t>施工车辆进入现场应减少空挡怠速，减少车辆在施工现场停留时间，运输路线布置合理，以减少机动车尾气排放对大气环境质量的影响。</w:t>
            </w:r>
          </w:p>
          <w:p>
            <w:pPr>
              <w:spacing w:before="120" w:beforeLines="50" w:line="360" w:lineRule="auto"/>
              <w:ind w:firstLine="480" w:firstLineChars="200"/>
              <w:jc w:val="left"/>
              <w:rPr>
                <w:rFonts w:hint="default" w:eastAsia="宋体"/>
                <w:sz w:val="24"/>
                <w:highlight w:val="none"/>
                <w:lang w:val="en-US" w:eastAsia="zh-CN"/>
              </w:rPr>
            </w:pPr>
            <w:r>
              <w:rPr>
                <w:rFonts w:hint="default" w:eastAsia="宋体"/>
                <w:sz w:val="24"/>
                <w:highlight w:val="none"/>
                <w:lang w:val="en-US" w:eastAsia="zh-CN"/>
              </w:rPr>
              <w:t>经上述措施处理后，项目施工期废气可达标排放。</w:t>
            </w:r>
          </w:p>
          <w:p>
            <w:pPr>
              <w:spacing w:before="120" w:beforeLines="50" w:line="360" w:lineRule="auto"/>
              <w:jc w:val="left"/>
              <w:rPr>
                <w:rFonts w:hint="default" w:eastAsia="宋体"/>
                <w:b/>
                <w:bCs/>
                <w:sz w:val="24"/>
                <w:highlight w:val="none"/>
                <w:lang w:val="en-US" w:eastAsia="zh-CN"/>
              </w:rPr>
            </w:pPr>
            <w:r>
              <w:rPr>
                <w:rFonts w:hint="eastAsia"/>
                <w:b/>
                <w:bCs/>
                <w:sz w:val="24"/>
                <w:highlight w:val="none"/>
                <w:lang w:val="en-US" w:eastAsia="zh-CN"/>
              </w:rPr>
              <w:t>二、</w:t>
            </w:r>
            <w:r>
              <w:rPr>
                <w:rFonts w:hint="default" w:eastAsia="宋体"/>
                <w:b/>
                <w:bCs/>
                <w:sz w:val="24"/>
                <w:highlight w:val="none"/>
                <w:lang w:val="en-US" w:eastAsia="zh-CN"/>
              </w:rPr>
              <w:t>废水环境影响分析</w:t>
            </w:r>
          </w:p>
          <w:p>
            <w:pPr>
              <w:spacing w:before="120" w:beforeLines="50" w:line="360" w:lineRule="auto"/>
              <w:ind w:firstLine="480" w:firstLineChars="200"/>
              <w:jc w:val="left"/>
              <w:rPr>
                <w:rFonts w:hint="default" w:eastAsia="宋体"/>
                <w:sz w:val="24"/>
                <w:highlight w:val="none"/>
                <w:lang w:val="en-US" w:eastAsia="zh-CN"/>
              </w:rPr>
            </w:pPr>
            <w:r>
              <w:rPr>
                <w:rFonts w:hint="default" w:eastAsia="宋体"/>
                <w:sz w:val="24"/>
                <w:highlight w:val="none"/>
                <w:lang w:val="en-US" w:eastAsia="zh-CN"/>
              </w:rPr>
              <w:t>施工废水主要是施工区的车轮冲洗废水和施工人员生活污水。由于车轮冲洗污水含泥沙较多，直接排放会增加排水中的悬浮物，设置沉淀池，车辆驶入洗车平台冲洗，废水沿洗车平台旁边的沟渠进入沉淀池</w:t>
            </w:r>
            <w:r>
              <w:rPr>
                <w:rFonts w:hint="eastAsia"/>
                <w:sz w:val="24"/>
                <w:highlight w:val="none"/>
                <w:lang w:val="en-US" w:eastAsia="zh-CN"/>
              </w:rPr>
              <w:t>，废水</w:t>
            </w:r>
            <w:r>
              <w:rPr>
                <w:rFonts w:hint="default" w:eastAsia="宋体"/>
                <w:sz w:val="24"/>
                <w:highlight w:val="none"/>
                <w:lang w:val="en-US" w:eastAsia="zh-CN"/>
              </w:rPr>
              <w:t>经简易沉淀后循环使用。施工人员生活污水经防渗化粪池处理后，定期外委清掏。经上述措施处理后，项目施工期废水可达标排放。</w:t>
            </w:r>
          </w:p>
          <w:p>
            <w:pPr>
              <w:spacing w:before="120" w:beforeLines="50" w:line="360" w:lineRule="auto"/>
              <w:jc w:val="left"/>
              <w:rPr>
                <w:rFonts w:hint="default" w:eastAsia="宋体"/>
                <w:b/>
                <w:bCs/>
                <w:sz w:val="24"/>
                <w:highlight w:val="none"/>
                <w:lang w:val="en-US" w:eastAsia="zh-CN"/>
              </w:rPr>
            </w:pPr>
            <w:r>
              <w:rPr>
                <w:rFonts w:hint="eastAsia"/>
                <w:b/>
                <w:bCs/>
                <w:sz w:val="24"/>
                <w:highlight w:val="none"/>
                <w:lang w:val="en-US" w:eastAsia="zh-CN"/>
              </w:rPr>
              <w:t>三、</w:t>
            </w:r>
            <w:r>
              <w:rPr>
                <w:rFonts w:hint="default" w:eastAsia="宋体"/>
                <w:b/>
                <w:bCs/>
                <w:sz w:val="24"/>
                <w:highlight w:val="none"/>
                <w:lang w:val="en-US" w:eastAsia="zh-CN"/>
              </w:rPr>
              <w:t>声环境影响分析</w:t>
            </w:r>
          </w:p>
          <w:p>
            <w:pPr>
              <w:spacing w:before="120" w:beforeLines="50" w:line="360" w:lineRule="auto"/>
              <w:ind w:firstLine="480" w:firstLineChars="200"/>
              <w:jc w:val="left"/>
              <w:rPr>
                <w:rFonts w:hint="default" w:eastAsia="宋体"/>
                <w:sz w:val="24"/>
                <w:highlight w:val="none"/>
                <w:lang w:val="en-US" w:eastAsia="zh-CN"/>
              </w:rPr>
            </w:pPr>
            <w:r>
              <w:rPr>
                <w:rFonts w:hint="default" w:eastAsia="宋体"/>
                <w:sz w:val="24"/>
                <w:highlight w:val="none"/>
                <w:lang w:val="en-US" w:eastAsia="zh-CN"/>
              </w:rPr>
              <w:t>施工期噪声主要是施工现场各类机械设备噪声。机械噪声多是间歇式、频率低，但噪声级高，对环境影响较大。施工期应加强施工噪声管理，通过对高噪声作业时间的严格控制施工避免对周围环境造成干扰。</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1、</w:t>
            </w:r>
            <w:r>
              <w:rPr>
                <w:rFonts w:hint="default" w:eastAsia="宋体"/>
                <w:sz w:val="24"/>
                <w:highlight w:val="none"/>
                <w:lang w:val="en-US" w:eastAsia="zh-CN"/>
              </w:rPr>
              <w:t>控制声源：选择低噪声的机械设备；对于开挖和运输土石方的机械设备，可以通过排气消声器和隔离发动机振动部分的方法来降低噪声，其他产生噪声的部分还可以采用部分封闭或者完全封闭的办法，尽量减少振动面的振幅；闲置的机械设备等应该予以关闭或者减速；一切动力机械设备都应经常检修，特别是会因部件松动而产生噪声的机械</w:t>
            </w:r>
            <w:r>
              <w:rPr>
                <w:rFonts w:hint="eastAsia"/>
                <w:sz w:val="24"/>
                <w:highlight w:val="none"/>
                <w:lang w:val="en-US" w:eastAsia="zh-CN"/>
              </w:rPr>
              <w:t>设备</w:t>
            </w:r>
            <w:r>
              <w:rPr>
                <w:rFonts w:hint="default" w:eastAsia="宋体"/>
                <w:sz w:val="24"/>
                <w:highlight w:val="none"/>
                <w:lang w:val="en-US" w:eastAsia="zh-CN"/>
              </w:rPr>
              <w:t>，以及降噪部件容易损坏而产生强噪声的机械设备。②控制噪声传播：将各种噪声比较大的机械设备远离环境敏感区，并进行一定的隔离和防护消声处理。</w:t>
            </w:r>
          </w:p>
          <w:p>
            <w:pPr>
              <w:spacing w:before="120" w:beforeLines="50" w:line="360" w:lineRule="auto"/>
              <w:ind w:firstLine="480" w:firstLineChars="200"/>
              <w:jc w:val="left"/>
              <w:rPr>
                <w:rFonts w:hint="default" w:eastAsia="宋体"/>
                <w:sz w:val="24"/>
                <w:highlight w:val="none"/>
                <w:lang w:val="en-US" w:eastAsia="zh-CN"/>
              </w:rPr>
            </w:pPr>
            <w:r>
              <w:rPr>
                <w:rFonts w:hint="eastAsia"/>
                <w:sz w:val="24"/>
                <w:highlight w:val="none"/>
                <w:lang w:val="en-US" w:eastAsia="zh-CN"/>
              </w:rPr>
              <w:t>2、</w:t>
            </w:r>
            <w:r>
              <w:rPr>
                <w:rFonts w:hint="default" w:eastAsia="宋体"/>
                <w:sz w:val="24"/>
                <w:highlight w:val="none"/>
                <w:lang w:val="en-US" w:eastAsia="zh-CN"/>
              </w:rPr>
              <w:t>加强管理：对交通车辆造成的噪声影响要加强管理，运输车辆尽量采用较低声级的喇叭，并在环境敏感点限制车辆鸣笛。</w:t>
            </w:r>
          </w:p>
          <w:p>
            <w:pPr>
              <w:spacing w:before="120" w:beforeLines="50" w:line="360" w:lineRule="auto"/>
              <w:ind w:firstLine="480" w:firstLineChars="200"/>
              <w:jc w:val="left"/>
              <w:rPr>
                <w:rFonts w:hint="eastAsia" w:eastAsia="宋体"/>
                <w:sz w:val="24"/>
                <w:highlight w:val="none"/>
                <w:lang w:val="en-US" w:eastAsia="zh-CN"/>
              </w:rPr>
            </w:pPr>
            <w:r>
              <w:rPr>
                <w:rFonts w:hint="eastAsia"/>
                <w:sz w:val="24"/>
                <w:highlight w:val="none"/>
                <w:lang w:val="en-US" w:eastAsia="zh-CN"/>
              </w:rPr>
              <w:t>3、</w:t>
            </w:r>
            <w:r>
              <w:rPr>
                <w:rFonts w:hint="default" w:eastAsia="宋体"/>
                <w:sz w:val="24"/>
                <w:highlight w:val="none"/>
                <w:lang w:val="en-US" w:eastAsia="zh-CN"/>
              </w:rPr>
              <w:t>合理安排时间：避免在周围居民休息期间作业。合理安排施工</w:t>
            </w:r>
            <w:r>
              <w:rPr>
                <w:rFonts w:hint="eastAsia" w:eastAsia="宋体"/>
                <w:sz w:val="24"/>
                <w:highlight w:val="none"/>
                <w:lang w:val="en-US" w:eastAsia="zh-CN"/>
              </w:rPr>
              <w:t>作业时间，禁止夜间施工和物料运输，避免施工噪声影响居民休息，减少噪声污染。</w:t>
            </w:r>
          </w:p>
          <w:p>
            <w:pPr>
              <w:spacing w:before="120" w:beforeLines="50" w:line="360" w:lineRule="auto"/>
              <w:ind w:firstLine="480" w:firstLineChars="200"/>
              <w:jc w:val="left"/>
              <w:rPr>
                <w:rFonts w:hint="eastAsia" w:eastAsia="宋体"/>
                <w:sz w:val="24"/>
                <w:highlight w:val="none"/>
                <w:lang w:val="en-US" w:eastAsia="zh-CN"/>
              </w:rPr>
            </w:pPr>
            <w:r>
              <w:rPr>
                <w:rFonts w:hint="eastAsia" w:eastAsia="宋体"/>
                <w:sz w:val="24"/>
                <w:highlight w:val="none"/>
                <w:lang w:val="en-US" w:eastAsia="zh-CN"/>
              </w:rPr>
              <w:t>经上述措施处理后，项目施工期噪声可达标排放。</w:t>
            </w:r>
          </w:p>
          <w:p>
            <w:pPr>
              <w:spacing w:before="120" w:beforeLines="50" w:line="360" w:lineRule="auto"/>
              <w:jc w:val="left"/>
              <w:rPr>
                <w:rFonts w:hint="eastAsia" w:eastAsia="宋体"/>
                <w:b/>
                <w:bCs/>
                <w:sz w:val="24"/>
                <w:highlight w:val="none"/>
                <w:lang w:val="en-US" w:eastAsia="zh-CN"/>
              </w:rPr>
            </w:pPr>
            <w:r>
              <w:rPr>
                <w:rFonts w:hint="eastAsia"/>
                <w:b/>
                <w:bCs/>
                <w:sz w:val="24"/>
                <w:highlight w:val="none"/>
                <w:lang w:val="en-US" w:eastAsia="zh-CN"/>
              </w:rPr>
              <w:t>四、</w:t>
            </w:r>
            <w:r>
              <w:rPr>
                <w:rFonts w:hint="eastAsia" w:eastAsia="宋体"/>
                <w:b/>
                <w:bCs/>
                <w:sz w:val="24"/>
                <w:highlight w:val="none"/>
                <w:lang w:val="en-US" w:eastAsia="zh-CN"/>
              </w:rPr>
              <w:t>固体废物环境影响分析</w:t>
            </w:r>
          </w:p>
          <w:p>
            <w:pPr>
              <w:spacing w:before="120" w:beforeLines="50" w:line="360" w:lineRule="auto"/>
              <w:ind w:firstLine="480" w:firstLineChars="200"/>
              <w:jc w:val="left"/>
              <w:rPr>
                <w:rFonts w:hint="default"/>
                <w:highlight w:val="none"/>
                <w:lang w:val="en-US" w:eastAsia="zh-CN"/>
              </w:rPr>
            </w:pPr>
            <w:r>
              <w:rPr>
                <w:rFonts w:hint="eastAsia" w:eastAsia="宋体"/>
                <w:sz w:val="24"/>
                <w:highlight w:val="none"/>
                <w:lang w:val="en-US" w:eastAsia="zh-CN"/>
              </w:rPr>
              <w:t>施工期固体废物主要是建筑垃圾和施工人员的生活垃圾等。建筑垃圾应运送至有关部门指定的地点进行处理；生活垃圾</w:t>
            </w:r>
            <w:r>
              <w:rPr>
                <w:rFonts w:hint="eastAsia"/>
                <w:sz w:val="24"/>
                <w:highlight w:val="none"/>
                <w:lang w:val="en-US" w:eastAsia="zh-CN"/>
              </w:rPr>
              <w:t>暂存于垃圾箱，委托环卫部门统一清运</w:t>
            </w:r>
            <w:r>
              <w:rPr>
                <w:rFonts w:hint="eastAsia" w:eastAsia="宋体"/>
                <w:sz w:val="24"/>
                <w:highlight w:val="none"/>
                <w:lang w:val="en-US" w:eastAsia="zh-CN"/>
              </w:rPr>
              <w:t>。施工期排放的废气、废水、噪声、固废对环境产生一定的不良影响，经采取措施可将其不良影响降至最低程度，而且这些影响一般属于可逆的，且随着施工期的结束，其对环境的影响也将结束。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1" w:type="dxa"/>
            <w:noWrap w:val="0"/>
            <w:tcMar>
              <w:left w:w="28" w:type="dxa"/>
              <w:right w:w="28" w:type="dxa"/>
            </w:tcMar>
            <w:vAlign w:val="center"/>
          </w:tcPr>
          <w:p>
            <w:pPr>
              <w:adjustRightInd w:val="0"/>
              <w:snapToGrid w:val="0"/>
              <w:jc w:val="center"/>
              <w:rPr>
                <w:rFonts w:hint="eastAsia" w:ascii="宋体" w:hAnsi="宋体" w:cs="宋体"/>
                <w:bCs/>
                <w:szCs w:val="21"/>
                <w:highlight w:val="none"/>
              </w:rPr>
            </w:pPr>
            <w:r>
              <w:rPr>
                <w:rFonts w:hint="eastAsia" w:ascii="宋体" w:hAnsi="宋体" w:cs="宋体"/>
                <w:bCs/>
                <w:szCs w:val="21"/>
                <w:highlight w:val="none"/>
              </w:rPr>
              <w:t>运营</w:t>
            </w:r>
          </w:p>
          <w:p>
            <w:pPr>
              <w:adjustRightInd w:val="0"/>
              <w:snapToGrid w:val="0"/>
              <w:jc w:val="center"/>
              <w:rPr>
                <w:rFonts w:hint="eastAsia" w:ascii="宋体" w:hAnsi="宋体" w:cs="宋体"/>
                <w:bCs/>
                <w:szCs w:val="21"/>
                <w:highlight w:val="none"/>
              </w:rPr>
            </w:pPr>
            <w:r>
              <w:rPr>
                <w:rFonts w:hint="eastAsia" w:ascii="宋体" w:hAnsi="宋体" w:cs="宋体"/>
                <w:bCs/>
                <w:szCs w:val="21"/>
                <w:highlight w:val="none"/>
              </w:rPr>
              <w:t>期</w:t>
            </w:r>
            <w:r>
              <w:rPr>
                <w:rFonts w:hint="eastAsia" w:ascii="宋体" w:hAnsi="宋体" w:cs="宋体"/>
                <w:bCs/>
                <w:szCs w:val="21"/>
                <w:highlight w:val="none"/>
                <w:lang w:val="en-US" w:eastAsia="zh-CN"/>
              </w:rPr>
              <w:t>生态</w:t>
            </w:r>
            <w:r>
              <w:rPr>
                <w:rFonts w:hint="eastAsia" w:ascii="宋体" w:hAnsi="宋体" w:cs="宋体"/>
                <w:bCs/>
                <w:szCs w:val="21"/>
                <w:highlight w:val="none"/>
              </w:rPr>
              <w:t>环</w:t>
            </w:r>
          </w:p>
          <w:p>
            <w:pPr>
              <w:adjustRightInd w:val="0"/>
              <w:snapToGrid w:val="0"/>
              <w:jc w:val="center"/>
              <w:rPr>
                <w:rFonts w:hint="eastAsia" w:ascii="宋体" w:hAnsi="宋体" w:cs="宋体"/>
                <w:bCs/>
                <w:szCs w:val="21"/>
                <w:highlight w:val="none"/>
              </w:rPr>
            </w:pPr>
            <w:r>
              <w:rPr>
                <w:rFonts w:hint="eastAsia" w:ascii="宋体" w:hAnsi="宋体" w:cs="宋体"/>
                <w:bCs/>
                <w:szCs w:val="21"/>
                <w:highlight w:val="none"/>
              </w:rPr>
              <w:t>境影</w:t>
            </w:r>
          </w:p>
          <w:p>
            <w:pPr>
              <w:adjustRightInd w:val="0"/>
              <w:snapToGrid w:val="0"/>
              <w:jc w:val="center"/>
              <w:rPr>
                <w:rFonts w:hint="eastAsia" w:ascii="宋体" w:hAnsi="宋体" w:cs="宋体"/>
                <w:bCs/>
                <w:szCs w:val="21"/>
                <w:highlight w:val="none"/>
              </w:rPr>
            </w:pPr>
            <w:r>
              <w:rPr>
                <w:rFonts w:hint="eastAsia" w:ascii="宋体" w:hAnsi="宋体" w:cs="宋体"/>
                <w:bCs/>
                <w:szCs w:val="21"/>
                <w:highlight w:val="none"/>
              </w:rPr>
              <w:t>响和</w:t>
            </w:r>
          </w:p>
          <w:p>
            <w:pPr>
              <w:adjustRightInd w:val="0"/>
              <w:snapToGrid w:val="0"/>
              <w:jc w:val="center"/>
              <w:rPr>
                <w:rFonts w:hint="eastAsia" w:ascii="宋体" w:hAnsi="宋体" w:cs="宋体"/>
                <w:bCs/>
                <w:szCs w:val="21"/>
                <w:highlight w:val="none"/>
              </w:rPr>
            </w:pPr>
            <w:r>
              <w:rPr>
                <w:rFonts w:hint="eastAsia" w:ascii="宋体" w:hAnsi="宋体" w:cs="宋体"/>
                <w:bCs/>
                <w:szCs w:val="21"/>
                <w:highlight w:val="none"/>
              </w:rPr>
              <w:t>保护</w:t>
            </w:r>
          </w:p>
          <w:p>
            <w:pPr>
              <w:adjustRightInd w:val="0"/>
              <w:snapToGrid w:val="0"/>
              <w:jc w:val="center"/>
              <w:rPr>
                <w:rFonts w:ascii="宋体" w:hAnsi="宋体" w:cs="宋体"/>
                <w:bCs/>
                <w:szCs w:val="21"/>
                <w:highlight w:val="none"/>
              </w:rPr>
            </w:pPr>
            <w:r>
              <w:rPr>
                <w:rFonts w:hint="eastAsia" w:ascii="宋体" w:hAnsi="宋体" w:cs="宋体"/>
                <w:bCs/>
                <w:szCs w:val="21"/>
                <w:highlight w:val="none"/>
              </w:rPr>
              <w:t>措施</w:t>
            </w:r>
          </w:p>
        </w:tc>
        <w:tc>
          <w:tcPr>
            <w:tcW w:w="849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bCs/>
                <w:highlight w:val="none"/>
                <w:lang w:val="en-US" w:eastAsia="zh-CN"/>
              </w:rPr>
            </w:pPr>
            <w:r>
              <w:rPr>
                <w:rFonts w:hint="eastAsia"/>
                <w:b/>
                <w:bCs/>
                <w:highlight w:val="none"/>
                <w:lang w:val="en-US" w:eastAsia="zh-CN"/>
              </w:rPr>
              <w:t>一、废气</w:t>
            </w:r>
          </w:p>
          <w:p>
            <w:pPr>
              <w:spacing w:before="120" w:beforeLines="50" w:line="360" w:lineRule="auto"/>
              <w:ind w:firstLine="480" w:firstLineChars="200"/>
              <w:jc w:val="left"/>
              <w:rPr>
                <w:rFonts w:hint="eastAsia" w:eastAsia="宋体"/>
                <w:sz w:val="24"/>
                <w:highlight w:val="none"/>
                <w:lang w:val="en-US" w:eastAsia="zh-CN"/>
              </w:rPr>
            </w:pPr>
            <w:r>
              <w:rPr>
                <w:rFonts w:hint="eastAsia" w:eastAsia="宋体"/>
                <w:sz w:val="24"/>
                <w:highlight w:val="none"/>
                <w:lang w:val="en-US" w:eastAsia="zh-CN"/>
              </w:rPr>
              <w:t>1、废气</w:t>
            </w:r>
            <w:r>
              <w:rPr>
                <w:rFonts w:hint="eastAsia"/>
                <w:sz w:val="24"/>
                <w:highlight w:val="none"/>
                <w:lang w:val="en-US" w:eastAsia="zh-CN"/>
              </w:rPr>
              <w:t>产排量核算</w:t>
            </w:r>
          </w:p>
          <w:p>
            <w:pPr>
              <w:spacing w:before="120" w:beforeLines="50" w:line="360" w:lineRule="auto"/>
              <w:ind w:firstLine="480" w:firstLineChars="200"/>
              <w:jc w:val="left"/>
              <w:rPr>
                <w:rFonts w:hint="eastAsia" w:eastAsia="宋体"/>
                <w:sz w:val="24"/>
                <w:highlight w:val="none"/>
                <w:lang w:val="en-US" w:eastAsia="zh-CN"/>
              </w:rPr>
            </w:pPr>
            <w:r>
              <w:rPr>
                <w:rFonts w:hint="eastAsia" w:eastAsia="宋体"/>
                <w:sz w:val="24"/>
                <w:highlight w:val="none"/>
                <w:lang w:val="en-US" w:eastAsia="zh-CN"/>
              </w:rPr>
              <w:t>本项目属于煤炭储运项目，运营期废气包括运输粉尘</w:t>
            </w:r>
            <w:r>
              <w:rPr>
                <w:rFonts w:hint="eastAsia"/>
                <w:sz w:val="24"/>
                <w:highlight w:val="none"/>
                <w:lang w:val="en-US" w:eastAsia="zh-CN"/>
              </w:rPr>
              <w:t>、</w:t>
            </w:r>
            <w:r>
              <w:rPr>
                <w:rFonts w:hint="eastAsia" w:eastAsia="宋体"/>
                <w:sz w:val="24"/>
                <w:highlight w:val="none"/>
                <w:lang w:val="en-US" w:eastAsia="zh-CN"/>
              </w:rPr>
              <w:t>装卸及堆存</w:t>
            </w:r>
            <w:r>
              <w:rPr>
                <w:rFonts w:hint="eastAsia"/>
                <w:sz w:val="24"/>
                <w:highlight w:val="none"/>
                <w:lang w:val="en-US" w:eastAsia="zh-CN"/>
              </w:rPr>
              <w:t>粉尘</w:t>
            </w:r>
            <w:r>
              <w:rPr>
                <w:rFonts w:hint="eastAsia" w:eastAsia="宋体"/>
                <w:sz w:val="24"/>
                <w:highlight w:val="none"/>
                <w:lang w:val="en-US" w:eastAsia="zh-CN"/>
              </w:rPr>
              <w:t>，其中堆存</w:t>
            </w:r>
            <w:r>
              <w:rPr>
                <w:rFonts w:hint="eastAsia"/>
                <w:sz w:val="24"/>
                <w:highlight w:val="none"/>
                <w:lang w:val="en-US" w:eastAsia="zh-CN"/>
              </w:rPr>
              <w:t>粉尘</w:t>
            </w:r>
            <w:r>
              <w:rPr>
                <w:rFonts w:hint="eastAsia" w:eastAsia="宋体"/>
                <w:sz w:val="24"/>
                <w:highlight w:val="none"/>
                <w:lang w:val="en-US" w:eastAsia="zh-CN"/>
              </w:rPr>
              <w:t>包括装卸扬尘和风蚀扬尘。</w:t>
            </w:r>
          </w:p>
          <w:p>
            <w:pPr>
              <w:spacing w:before="120" w:beforeLines="50" w:line="360" w:lineRule="auto"/>
              <w:ind w:firstLine="480" w:firstLineChars="200"/>
              <w:jc w:val="left"/>
              <w:rPr>
                <w:rFonts w:hint="eastAsia" w:eastAsia="宋体"/>
                <w:sz w:val="24"/>
                <w:highlight w:val="none"/>
                <w:lang w:val="en-US" w:eastAsia="zh-CN"/>
              </w:rPr>
            </w:pPr>
            <w:r>
              <w:rPr>
                <w:rFonts w:hint="eastAsia"/>
                <w:sz w:val="24"/>
                <w:highlight w:val="none"/>
                <w:lang w:val="en-US" w:eastAsia="zh-CN"/>
              </w:rPr>
              <w:t>（1）</w:t>
            </w:r>
            <w:r>
              <w:rPr>
                <w:rFonts w:hint="eastAsia" w:eastAsia="宋体"/>
                <w:sz w:val="24"/>
                <w:highlight w:val="none"/>
                <w:lang w:val="en-US" w:eastAsia="zh-CN"/>
              </w:rPr>
              <w:t>运输</w:t>
            </w:r>
            <w:r>
              <w:rPr>
                <w:rFonts w:hint="eastAsia"/>
                <w:sz w:val="24"/>
                <w:highlight w:val="none"/>
                <w:lang w:val="en-US" w:eastAsia="zh-CN"/>
              </w:rPr>
              <w:t>扬</w:t>
            </w:r>
            <w:r>
              <w:rPr>
                <w:rFonts w:hint="eastAsia" w:eastAsia="宋体"/>
                <w:sz w:val="24"/>
                <w:highlight w:val="none"/>
                <w:lang w:val="en-US" w:eastAsia="zh-CN"/>
              </w:rPr>
              <w:t>尘</w:t>
            </w:r>
          </w:p>
          <w:p>
            <w:pPr>
              <w:spacing w:before="120" w:beforeLines="50" w:line="360" w:lineRule="auto"/>
              <w:ind w:firstLine="480" w:firstLineChars="200"/>
              <w:jc w:val="left"/>
              <w:rPr>
                <w:rFonts w:hint="default"/>
                <w:sz w:val="24"/>
                <w:highlight w:val="none"/>
                <w:lang w:val="en-US" w:eastAsia="zh-CN"/>
              </w:rPr>
            </w:pPr>
            <w:r>
              <w:rPr>
                <w:rFonts w:hint="eastAsia"/>
                <w:sz w:val="24"/>
                <w:highlight w:val="none"/>
                <w:lang w:val="en-US" w:eastAsia="zh-CN"/>
              </w:rPr>
              <w:t>铁路运输时会有扬尘产生，采用苫布覆盖、车厢密闭存储等措施后，产生扬尘对周边地区影响较小。</w:t>
            </w:r>
          </w:p>
          <w:p>
            <w:pPr>
              <w:spacing w:before="120" w:beforeLines="50" w:line="360" w:lineRule="auto"/>
              <w:ind w:firstLine="480" w:firstLineChars="200"/>
              <w:jc w:val="left"/>
              <w:rPr>
                <w:rFonts w:hint="eastAsia" w:eastAsia="宋体"/>
                <w:sz w:val="24"/>
                <w:highlight w:val="none"/>
                <w:lang w:val="en-US" w:eastAsia="zh-CN"/>
              </w:rPr>
            </w:pPr>
            <w:r>
              <w:rPr>
                <w:rFonts w:hint="eastAsia" w:eastAsia="宋体"/>
                <w:sz w:val="24"/>
                <w:highlight w:val="none"/>
                <w:lang w:val="en-US" w:eastAsia="zh-CN"/>
              </w:rPr>
              <w:t>汽车</w:t>
            </w:r>
            <w:r>
              <w:rPr>
                <w:rFonts w:hint="eastAsia"/>
                <w:sz w:val="24"/>
                <w:highlight w:val="none"/>
                <w:lang w:val="en-US" w:eastAsia="zh-CN"/>
              </w:rPr>
              <w:t>在厂内</w:t>
            </w:r>
            <w:r>
              <w:rPr>
                <w:rFonts w:hint="eastAsia" w:eastAsia="宋体"/>
                <w:sz w:val="24"/>
                <w:highlight w:val="none"/>
                <w:lang w:val="en-US" w:eastAsia="zh-CN"/>
              </w:rPr>
              <w:t>运输过程时会有扬尘产生。采用上海港环境保护中心和武汉水运工程学院提出的经验公式估算运输起尘：</w:t>
            </w:r>
          </w:p>
          <w:p>
            <w:pPr>
              <w:spacing w:before="120" w:beforeLines="50" w:line="360" w:lineRule="auto"/>
              <w:ind w:firstLine="600" w:firstLineChars="250"/>
              <w:jc w:val="left"/>
              <w:rPr>
                <w:rFonts w:hint="default" w:hAnsi="Cambria Math" w:cs="Arial"/>
                <w:i w:val="0"/>
                <w:sz w:val="24"/>
                <w:highlight w:val="none"/>
                <w:lang w:val="en-US" w:eastAsia="zh-CN"/>
              </w:rPr>
            </w:pPr>
            <m:oMathPara>
              <m:oMath>
                <m:sSub>
                  <m:sSubPr>
                    <m:ctrlPr>
                      <w:rPr>
                        <w:rFonts w:hint="default" w:ascii="Cambria Math" w:hAnsi="Cambria Math"/>
                        <w:i/>
                        <w:sz w:val="24"/>
                        <w:highlight w:val="none"/>
                        <w:lang w:val="en-US"/>
                      </w:rPr>
                    </m:ctrlPr>
                  </m:sSubPr>
                  <m:e>
                    <m:r>
                      <m:rPr/>
                      <w:rPr>
                        <w:rFonts w:hint="default" w:ascii="Cambria Math" w:hAnsi="Cambria Math"/>
                        <w:sz w:val="24"/>
                        <w:highlight w:val="none"/>
                        <w:lang w:val="en-US" w:eastAsia="zh-CN"/>
                      </w:rPr>
                      <m:t>Q</m:t>
                    </m:r>
                    <m:ctrlPr>
                      <w:rPr>
                        <w:rFonts w:hint="default" w:ascii="Cambria Math" w:hAnsi="Cambria Math"/>
                        <w:i/>
                        <w:sz w:val="24"/>
                        <w:highlight w:val="none"/>
                        <w:lang w:val="en-US"/>
                      </w:rPr>
                    </m:ctrlPr>
                  </m:e>
                  <m:sub>
                    <m:r>
                      <m:rPr/>
                      <w:rPr>
                        <w:rFonts w:hint="default" w:ascii="Cambria Math" w:hAnsi="Cambria Math"/>
                        <w:sz w:val="24"/>
                        <w:highlight w:val="none"/>
                        <w:lang w:val="en-US" w:eastAsia="zh-CN"/>
                      </w:rPr>
                      <m:t>p</m:t>
                    </m:r>
                    <m:ctrlPr>
                      <w:rPr>
                        <w:rFonts w:hint="default" w:ascii="Cambria Math" w:hAnsi="Cambria Math"/>
                        <w:i/>
                        <w:sz w:val="24"/>
                        <w:highlight w:val="none"/>
                        <w:lang w:val="en-US"/>
                      </w:rPr>
                    </m:ctrlPr>
                  </m:sub>
                </m:sSub>
                <m:r>
                  <m:rPr/>
                  <w:rPr>
                    <w:rFonts w:hint="default" w:ascii="Cambria Math" w:hAnsi="Cambria Math"/>
                    <w:sz w:val="24"/>
                    <w:highlight w:val="none"/>
                    <w:lang w:val="en-US" w:eastAsia="zh-CN"/>
                  </w:rPr>
                  <m:t>=0.123</m:t>
                </m:r>
                <m:r>
                  <m:rPr/>
                  <w:rPr>
                    <w:rFonts w:hint="default" w:ascii="Cambria Math" w:hAnsi="Cambria Math" w:cs="Arial"/>
                    <w:sz w:val="24"/>
                    <w:highlight w:val="none"/>
                    <w:lang w:val="en-US" w:eastAsia="zh-CN"/>
                  </w:rPr>
                  <m:t>×</m:t>
                </m:r>
                <m:d>
                  <m:dPr>
                    <m:ctrlPr>
                      <w:rPr>
                        <w:rFonts w:hint="default" w:ascii="Cambria Math" w:hAnsi="Cambria Math" w:cs="Arial"/>
                        <w:i/>
                        <w:sz w:val="24"/>
                        <w:highlight w:val="none"/>
                        <w:lang w:val="en-US" w:eastAsia="zh-CN"/>
                      </w:rPr>
                    </m:ctrlPr>
                  </m:dPr>
                  <m:e>
                    <m:f>
                      <m:fPr>
                        <m:ctrlPr>
                          <w:rPr>
                            <w:rFonts w:hint="default" w:ascii="Cambria Math" w:hAnsi="Cambria Math" w:cs="Arial"/>
                            <w:i/>
                            <w:sz w:val="24"/>
                            <w:highlight w:val="none"/>
                            <w:lang w:val="en-US" w:eastAsia="zh-CN"/>
                          </w:rPr>
                        </m:ctrlPr>
                      </m:fPr>
                      <m:num>
                        <m:r>
                          <m:rPr/>
                          <w:rPr>
                            <w:rFonts w:hint="default" w:ascii="Cambria Math" w:hAnsi="Cambria Math" w:cs="Arial"/>
                            <w:sz w:val="24"/>
                            <w:highlight w:val="none"/>
                            <w:lang w:val="en-US" w:eastAsia="zh-CN"/>
                          </w:rPr>
                          <m:t>V</m:t>
                        </m:r>
                        <m:ctrlPr>
                          <w:rPr>
                            <w:rFonts w:hint="default" w:ascii="Cambria Math" w:hAnsi="Cambria Math" w:cs="Arial"/>
                            <w:i/>
                            <w:sz w:val="24"/>
                            <w:highlight w:val="none"/>
                            <w:lang w:val="en-US" w:eastAsia="zh-CN"/>
                          </w:rPr>
                        </m:ctrlPr>
                      </m:num>
                      <m:den>
                        <m:r>
                          <m:rPr/>
                          <w:rPr>
                            <w:rFonts w:hint="default" w:ascii="Cambria Math" w:hAnsi="Cambria Math" w:cs="Arial"/>
                            <w:sz w:val="24"/>
                            <w:highlight w:val="none"/>
                            <w:lang w:val="en-US" w:eastAsia="zh-CN"/>
                          </w:rPr>
                          <m:t>5</m:t>
                        </m:r>
                        <m:ctrlPr>
                          <w:rPr>
                            <w:rFonts w:hint="default" w:ascii="Cambria Math" w:hAnsi="Cambria Math" w:cs="Arial"/>
                            <w:i/>
                            <w:sz w:val="24"/>
                            <w:highlight w:val="none"/>
                            <w:lang w:val="en-US" w:eastAsia="zh-CN"/>
                          </w:rPr>
                        </m:ctrlPr>
                      </m:den>
                    </m:f>
                    <m:ctrlPr>
                      <w:rPr>
                        <w:rFonts w:hint="default" w:ascii="Cambria Math" w:hAnsi="Cambria Math" w:cs="Arial"/>
                        <w:i/>
                        <w:sz w:val="24"/>
                        <w:highlight w:val="none"/>
                        <w:lang w:val="en-US" w:eastAsia="zh-CN"/>
                      </w:rPr>
                    </m:ctrlPr>
                  </m:e>
                </m:d>
                <m:r>
                  <m:rPr/>
                  <w:rPr>
                    <w:rFonts w:hint="default" w:ascii="Cambria Math" w:hAnsi="Cambria Math" w:cs="Arial"/>
                    <w:sz w:val="24"/>
                    <w:highlight w:val="none"/>
                    <w:lang w:val="en-US" w:eastAsia="zh-CN"/>
                  </w:rPr>
                  <m:t>×</m:t>
                </m:r>
                <m:sSup>
                  <m:sSupPr>
                    <m:ctrlPr>
                      <w:rPr>
                        <w:rFonts w:hint="default" w:ascii="Cambria Math" w:hAnsi="Cambria Math" w:cs="Arial"/>
                        <w:i/>
                        <w:sz w:val="24"/>
                        <w:highlight w:val="none"/>
                        <w:lang w:val="en-US" w:eastAsia="zh-CN"/>
                      </w:rPr>
                    </m:ctrlPr>
                  </m:sSupPr>
                  <m:e>
                    <m:d>
                      <m:dPr>
                        <m:ctrlPr>
                          <w:rPr>
                            <w:rFonts w:hint="default" w:ascii="Cambria Math" w:hAnsi="Cambria Math" w:cs="Arial"/>
                            <w:i/>
                            <w:sz w:val="24"/>
                            <w:highlight w:val="none"/>
                            <w:lang w:val="en-US" w:eastAsia="zh-CN"/>
                          </w:rPr>
                        </m:ctrlPr>
                      </m:dPr>
                      <m:e>
                        <m:f>
                          <m:fPr>
                            <m:ctrlPr>
                              <w:rPr>
                                <w:rFonts w:hint="default" w:ascii="Cambria Math" w:hAnsi="Cambria Math" w:cs="Arial"/>
                                <w:i/>
                                <w:sz w:val="24"/>
                                <w:highlight w:val="none"/>
                                <w:lang w:val="en-US" w:eastAsia="zh-CN"/>
                              </w:rPr>
                            </m:ctrlPr>
                          </m:fPr>
                          <m:num>
                            <m:r>
                              <m:rPr/>
                              <w:rPr>
                                <w:rFonts w:hint="default" w:ascii="Cambria Math" w:hAnsi="Cambria Math" w:cs="Arial"/>
                                <w:sz w:val="24"/>
                                <w:highlight w:val="none"/>
                                <w:lang w:val="en-US" w:eastAsia="zh-CN"/>
                              </w:rPr>
                              <m:t>M</m:t>
                            </m:r>
                            <m:ctrlPr>
                              <w:rPr>
                                <w:rFonts w:hint="default" w:ascii="Cambria Math" w:hAnsi="Cambria Math" w:cs="Arial"/>
                                <w:i/>
                                <w:sz w:val="24"/>
                                <w:highlight w:val="none"/>
                                <w:lang w:val="en-US" w:eastAsia="zh-CN"/>
                              </w:rPr>
                            </m:ctrlPr>
                          </m:num>
                          <m:den>
                            <m:r>
                              <m:rPr/>
                              <w:rPr>
                                <w:rFonts w:hint="default" w:ascii="Cambria Math" w:hAnsi="Cambria Math" w:cs="Arial"/>
                                <w:sz w:val="24"/>
                                <w:highlight w:val="none"/>
                                <w:lang w:val="en-US" w:eastAsia="zh-CN"/>
                              </w:rPr>
                              <m:t>6.8</m:t>
                            </m:r>
                            <m:ctrlPr>
                              <w:rPr>
                                <w:rFonts w:hint="default" w:ascii="Cambria Math" w:hAnsi="Cambria Math" w:cs="Arial"/>
                                <w:i/>
                                <w:sz w:val="24"/>
                                <w:highlight w:val="none"/>
                                <w:lang w:val="en-US" w:eastAsia="zh-CN"/>
                              </w:rPr>
                            </m:ctrlPr>
                          </m:den>
                        </m:f>
                        <m:ctrlPr>
                          <w:rPr>
                            <w:rFonts w:hint="default" w:ascii="Cambria Math" w:hAnsi="Cambria Math" w:cs="Arial"/>
                            <w:i/>
                            <w:sz w:val="24"/>
                            <w:highlight w:val="none"/>
                            <w:lang w:val="en-US" w:eastAsia="zh-CN"/>
                          </w:rPr>
                        </m:ctrlPr>
                      </m:e>
                    </m:d>
                    <m:ctrlPr>
                      <w:rPr>
                        <w:rFonts w:hint="default" w:ascii="Cambria Math" w:hAnsi="Cambria Math" w:cs="Arial"/>
                        <w:i/>
                        <w:sz w:val="24"/>
                        <w:highlight w:val="none"/>
                        <w:lang w:val="en-US" w:eastAsia="zh-CN"/>
                      </w:rPr>
                    </m:ctrlPr>
                  </m:e>
                  <m:sup>
                    <m:r>
                      <m:rPr/>
                      <w:rPr>
                        <w:rFonts w:hint="default" w:ascii="Cambria Math" w:hAnsi="Cambria Math" w:cs="Arial"/>
                        <w:sz w:val="24"/>
                        <w:highlight w:val="none"/>
                        <w:lang w:val="en-US" w:eastAsia="zh-CN"/>
                      </w:rPr>
                      <m:t>0.85</m:t>
                    </m:r>
                    <m:ctrlPr>
                      <w:rPr>
                        <w:rFonts w:hint="default" w:ascii="Cambria Math" w:hAnsi="Cambria Math" w:cs="Arial"/>
                        <w:i/>
                        <w:sz w:val="24"/>
                        <w:highlight w:val="none"/>
                        <w:lang w:val="en-US" w:eastAsia="zh-CN"/>
                      </w:rPr>
                    </m:ctrlPr>
                  </m:sup>
                </m:sSup>
                <m:sSup>
                  <m:sSupPr>
                    <m:ctrlPr>
                      <w:rPr>
                        <w:rFonts w:hint="default" w:ascii="Cambria Math" w:hAnsi="Cambria Math" w:cs="Arial"/>
                        <w:i/>
                        <w:sz w:val="24"/>
                        <w:highlight w:val="none"/>
                        <w:lang w:val="en-US" w:eastAsia="zh-CN"/>
                      </w:rPr>
                    </m:ctrlPr>
                  </m:sSupPr>
                  <m:e>
                    <m:r>
                      <m:rPr/>
                      <w:rPr>
                        <w:rFonts w:hint="default" w:ascii="Cambria Math" w:hAnsi="Cambria Math" w:cs="Arial"/>
                        <w:sz w:val="24"/>
                        <w:highlight w:val="none"/>
                        <w:lang w:val="en-US" w:eastAsia="zh-CN"/>
                      </w:rPr>
                      <m:t>×</m:t>
                    </m:r>
                    <m:d>
                      <m:dPr>
                        <m:ctrlPr>
                          <w:rPr>
                            <w:rFonts w:hint="default" w:ascii="Cambria Math" w:hAnsi="Cambria Math" w:cs="Arial"/>
                            <w:i/>
                            <w:sz w:val="24"/>
                            <w:highlight w:val="none"/>
                            <w:lang w:val="en-US" w:eastAsia="zh-CN"/>
                          </w:rPr>
                        </m:ctrlPr>
                      </m:dPr>
                      <m:e>
                        <m:f>
                          <m:fPr>
                            <m:ctrlPr>
                              <w:rPr>
                                <w:rFonts w:hint="default" w:ascii="Cambria Math" w:hAnsi="Cambria Math" w:cs="Arial"/>
                                <w:i/>
                                <w:sz w:val="24"/>
                                <w:highlight w:val="none"/>
                                <w:lang w:val="en-US" w:eastAsia="zh-CN"/>
                              </w:rPr>
                            </m:ctrlPr>
                          </m:fPr>
                          <m:num>
                            <m:r>
                              <m:rPr/>
                              <w:rPr>
                                <w:rFonts w:hint="default" w:ascii="Cambria Math" w:hAnsi="Cambria Math" w:cs="Arial"/>
                                <w:sz w:val="24"/>
                                <w:highlight w:val="none"/>
                                <w:lang w:val="en-US" w:eastAsia="zh-CN"/>
                              </w:rPr>
                              <m:t>P</m:t>
                            </m:r>
                            <m:ctrlPr>
                              <w:rPr>
                                <w:rFonts w:hint="default" w:ascii="Cambria Math" w:hAnsi="Cambria Math" w:cs="Arial"/>
                                <w:i/>
                                <w:sz w:val="24"/>
                                <w:highlight w:val="none"/>
                                <w:lang w:val="en-US" w:eastAsia="zh-CN"/>
                              </w:rPr>
                            </m:ctrlPr>
                          </m:num>
                          <m:den>
                            <m:r>
                              <m:rPr/>
                              <w:rPr>
                                <w:rFonts w:hint="default" w:ascii="Cambria Math" w:hAnsi="Cambria Math" w:cs="Arial"/>
                                <w:sz w:val="24"/>
                                <w:highlight w:val="none"/>
                                <w:lang w:val="en-US" w:eastAsia="zh-CN"/>
                              </w:rPr>
                              <m:t>0.5</m:t>
                            </m:r>
                            <m:ctrlPr>
                              <w:rPr>
                                <w:rFonts w:hint="default" w:ascii="Cambria Math" w:hAnsi="Cambria Math" w:cs="Arial"/>
                                <w:i/>
                                <w:sz w:val="24"/>
                                <w:highlight w:val="none"/>
                                <w:lang w:val="en-US" w:eastAsia="zh-CN"/>
                              </w:rPr>
                            </m:ctrlPr>
                          </m:den>
                        </m:f>
                        <m:ctrlPr>
                          <w:rPr>
                            <w:rFonts w:hint="default" w:ascii="Cambria Math" w:hAnsi="Cambria Math" w:cs="Arial"/>
                            <w:i/>
                            <w:sz w:val="24"/>
                            <w:highlight w:val="none"/>
                            <w:lang w:val="en-US" w:eastAsia="zh-CN"/>
                          </w:rPr>
                        </m:ctrlPr>
                      </m:e>
                    </m:d>
                    <m:ctrlPr>
                      <w:rPr>
                        <w:rFonts w:hint="default" w:ascii="Cambria Math" w:hAnsi="Cambria Math" w:cs="Arial"/>
                        <w:i/>
                        <w:sz w:val="24"/>
                        <w:highlight w:val="none"/>
                        <w:lang w:val="en-US" w:eastAsia="zh-CN"/>
                      </w:rPr>
                    </m:ctrlPr>
                  </m:e>
                  <m:sup>
                    <m:r>
                      <m:rPr/>
                      <w:rPr>
                        <w:rFonts w:hint="default" w:ascii="Cambria Math" w:hAnsi="Cambria Math" w:cs="Arial"/>
                        <w:sz w:val="24"/>
                        <w:highlight w:val="none"/>
                        <w:lang w:val="en-US" w:eastAsia="zh-CN"/>
                      </w:rPr>
                      <m:t>0.72</m:t>
                    </m:r>
                    <m:ctrlPr>
                      <w:rPr>
                        <w:rFonts w:hint="default" w:ascii="Cambria Math" w:hAnsi="Cambria Math" w:cs="Arial"/>
                        <w:i/>
                        <w:sz w:val="24"/>
                        <w:highlight w:val="none"/>
                        <w:lang w:val="en-US" w:eastAsia="zh-CN"/>
                      </w:rPr>
                    </m:ctrlPr>
                  </m:sup>
                </m:sSup>
              </m:oMath>
            </m:oMathPara>
          </w:p>
          <w:p>
            <w:pPr>
              <w:spacing w:before="120" w:beforeLines="50" w:line="360" w:lineRule="auto"/>
              <w:ind w:firstLine="600" w:firstLineChars="250"/>
              <w:jc w:val="left"/>
              <w:rPr>
                <w:rFonts w:hint="default" w:hAnsi="Cambria Math" w:eastAsia="宋体" w:cs="Arial"/>
                <w:i w:val="0"/>
                <w:sz w:val="24"/>
                <w:highlight w:val="none"/>
                <w:lang w:val="en-US" w:eastAsia="zh-CN"/>
              </w:rPr>
            </w:pPr>
            <m:oMathPara>
              <m:oMath>
                <m:sSubSup>
                  <m:sSubSupPr>
                    <m:ctrlPr>
                      <w:rPr>
                        <w:rFonts w:hint="default" w:ascii="Cambria Math" w:hAnsi="Cambria Math" w:cs="Arial"/>
                        <w:i/>
                        <w:sz w:val="24"/>
                        <w:highlight w:val="none"/>
                        <w:lang w:val="en-US"/>
                      </w:rPr>
                    </m:ctrlPr>
                  </m:sSubSupPr>
                  <m:e>
                    <m:r>
                      <m:rPr/>
                      <w:rPr>
                        <w:rFonts w:hint="default" w:ascii="Cambria Math" w:hAnsi="Cambria Math" w:cs="Arial"/>
                        <w:sz w:val="24"/>
                        <w:highlight w:val="none"/>
                        <w:lang w:val="en-US" w:eastAsia="zh-CN"/>
                      </w:rPr>
                      <m:t>Q</m:t>
                    </m:r>
                    <m:ctrlPr>
                      <w:rPr>
                        <w:rFonts w:hint="default" w:ascii="Cambria Math" w:hAnsi="Cambria Math" w:cs="Arial"/>
                        <w:i/>
                        <w:sz w:val="24"/>
                        <w:highlight w:val="none"/>
                        <w:lang w:val="en-US"/>
                      </w:rPr>
                    </m:ctrlPr>
                  </m:e>
                  <m:sub>
                    <m:r>
                      <m:rPr/>
                      <w:rPr>
                        <w:rFonts w:hint="default" w:ascii="Cambria Math" w:hAnsi="Cambria Math" w:cs="Arial"/>
                        <w:sz w:val="24"/>
                        <w:highlight w:val="none"/>
                        <w:lang w:val="en-US" w:eastAsia="zh-CN"/>
                      </w:rPr>
                      <m:t>p</m:t>
                    </m:r>
                    <m:ctrlPr>
                      <w:rPr>
                        <w:rFonts w:hint="default" w:ascii="Cambria Math" w:hAnsi="Cambria Math" w:cs="Arial"/>
                        <w:i/>
                        <w:sz w:val="24"/>
                        <w:highlight w:val="none"/>
                        <w:lang w:val="en-US"/>
                      </w:rPr>
                    </m:ctrlPr>
                  </m:sub>
                  <m:sup>
                    <m:r>
                      <m:rPr/>
                      <w:rPr>
                        <w:rFonts w:hint="default" w:ascii="Cambria Math" w:hAnsi="Cambria Math" w:cs="Arial"/>
                        <w:sz w:val="24"/>
                        <w:highlight w:val="none"/>
                        <w:lang w:val="en-US" w:eastAsia="zh-CN"/>
                      </w:rPr>
                      <m:t>'</m:t>
                    </m:r>
                    <m:ctrlPr>
                      <w:rPr>
                        <w:rFonts w:hint="default" w:ascii="Cambria Math" w:hAnsi="Cambria Math" w:cs="Arial"/>
                        <w:i/>
                        <w:sz w:val="24"/>
                        <w:highlight w:val="none"/>
                        <w:lang w:val="en-US"/>
                      </w:rPr>
                    </m:ctrlPr>
                  </m:sup>
                </m:sSubSup>
                <m:r>
                  <m:rPr/>
                  <w:rPr>
                    <w:rFonts w:hint="default" w:ascii="Cambria Math" w:hAnsi="Cambria Math" w:cs="Arial"/>
                    <w:sz w:val="24"/>
                    <w:highlight w:val="none"/>
                    <w:lang w:val="en-US" w:eastAsia="zh-CN"/>
                  </w:rPr>
                  <m:t>=</m:t>
                </m:r>
                <m:sSub>
                  <m:sSubPr>
                    <m:ctrlPr>
                      <w:rPr>
                        <w:rFonts w:hint="default" w:ascii="Cambria Math" w:hAnsi="Cambria Math" w:cs="Arial"/>
                        <w:i/>
                        <w:sz w:val="24"/>
                        <w:highlight w:val="none"/>
                        <w:lang w:val="en-US" w:eastAsia="zh-CN"/>
                      </w:rPr>
                    </m:ctrlPr>
                  </m:sSubPr>
                  <m:e>
                    <m:r>
                      <m:rPr/>
                      <w:rPr>
                        <w:rFonts w:hint="default" w:ascii="Cambria Math" w:hAnsi="Cambria Math" w:cs="Arial"/>
                        <w:sz w:val="24"/>
                        <w:highlight w:val="none"/>
                        <w:lang w:val="en-US" w:eastAsia="zh-CN"/>
                      </w:rPr>
                      <m:t>Q</m:t>
                    </m:r>
                    <m:ctrlPr>
                      <w:rPr>
                        <w:rFonts w:hint="default" w:ascii="Cambria Math" w:hAnsi="Cambria Math" w:cs="Arial"/>
                        <w:i/>
                        <w:sz w:val="24"/>
                        <w:highlight w:val="none"/>
                        <w:lang w:val="en-US" w:eastAsia="zh-CN"/>
                      </w:rPr>
                    </m:ctrlPr>
                  </m:e>
                  <m:sub>
                    <m:r>
                      <m:rPr/>
                      <w:rPr>
                        <w:rFonts w:hint="default" w:ascii="Cambria Math" w:hAnsi="Cambria Math" w:cs="Arial"/>
                        <w:sz w:val="24"/>
                        <w:highlight w:val="none"/>
                        <w:lang w:val="en-US" w:eastAsia="zh-CN"/>
                      </w:rPr>
                      <m:t>p</m:t>
                    </m:r>
                    <m:ctrlPr>
                      <w:rPr>
                        <w:rFonts w:hint="default" w:ascii="Cambria Math" w:hAnsi="Cambria Math" w:cs="Arial"/>
                        <w:i/>
                        <w:sz w:val="24"/>
                        <w:highlight w:val="none"/>
                        <w:lang w:val="en-US" w:eastAsia="zh-CN"/>
                      </w:rPr>
                    </m:ctrlPr>
                  </m:sub>
                </m:sSub>
                <m:r>
                  <m:rPr/>
                  <w:rPr>
                    <w:rFonts w:hint="default" w:ascii="Cambria Math" w:hAnsi="Cambria Math" w:cs="Cambria Math"/>
                    <w:sz w:val="24"/>
                    <w:highlight w:val="none"/>
                    <w:lang w:val="en-US" w:eastAsia="zh-CN"/>
                  </w:rPr>
                  <m:t>×</m:t>
                </m:r>
                <m:r>
                  <m:rPr/>
                  <w:rPr>
                    <w:rFonts w:hint="default" w:ascii="Cambria Math" w:hAnsi="Cambria Math" w:cs="Arial"/>
                    <w:sz w:val="24"/>
                    <w:highlight w:val="none"/>
                    <w:lang w:val="en-US" w:eastAsia="zh-CN"/>
                  </w:rPr>
                  <m:t>L</m:t>
                </m:r>
                <m:r>
                  <m:rPr/>
                  <w:rPr>
                    <w:rFonts w:hint="default" w:ascii="Cambria Math" w:hAnsi="Cambria Math" w:cs="Cambria Math"/>
                    <w:sz w:val="24"/>
                    <w:highlight w:val="none"/>
                    <w:lang w:val="en-US" w:eastAsia="zh-CN"/>
                  </w:rPr>
                  <m:t>×</m:t>
                </m:r>
                <m:r>
                  <m:rPr/>
                  <w:rPr>
                    <w:rFonts w:hint="default" w:ascii="Cambria Math" w:hAnsi="Cambria Math" w:cs="Arial"/>
                    <w:sz w:val="24"/>
                    <w:highlight w:val="none"/>
                    <w:lang w:val="en-US" w:eastAsia="zh-CN"/>
                  </w:rPr>
                  <m:t>Q/M</m:t>
                </m:r>
              </m:oMath>
            </m:oMathPara>
          </w:p>
          <w:p>
            <w:pPr>
              <w:spacing w:before="120" w:beforeLines="50" w:line="360" w:lineRule="auto"/>
              <w:ind w:firstLine="480" w:firstLineChars="200"/>
              <w:jc w:val="left"/>
              <w:rPr>
                <w:rFonts w:hint="eastAsia" w:eastAsia="宋体"/>
                <w:sz w:val="24"/>
                <w:highlight w:val="none"/>
                <w:lang w:val="en-US" w:eastAsia="zh-CN"/>
              </w:rPr>
            </w:pPr>
            <w:r>
              <w:rPr>
                <w:rFonts w:hint="eastAsia" w:eastAsia="宋体"/>
                <w:sz w:val="24"/>
                <w:highlight w:val="none"/>
                <w:lang w:val="en-US" w:eastAsia="zh-CN"/>
              </w:rPr>
              <w:t>式中：</w:t>
            </w:r>
            <m:oMath>
              <m:sSub>
                <m:sSubPr>
                  <m:ctrlPr>
                    <w:rPr>
                      <w:rFonts w:ascii="Cambria Math" w:hAnsi="Cambria Math"/>
                      <w:i/>
                      <w:sz w:val="24"/>
                      <w:highlight w:val="none"/>
                      <w:lang w:val="en-US"/>
                    </w:rPr>
                  </m:ctrlPr>
                </m:sSubPr>
                <m:e>
                  <m:r>
                    <m:rPr/>
                    <w:rPr>
                      <w:rFonts w:hint="default" w:ascii="Cambria Math" w:hAnsi="Cambria Math"/>
                      <w:sz w:val="24"/>
                      <w:highlight w:val="none"/>
                      <w:lang w:val="en-US" w:eastAsia="zh-CN"/>
                    </w:rPr>
                    <m:t>Q</m:t>
                  </m:r>
                  <m:ctrlPr>
                    <w:rPr>
                      <w:rFonts w:ascii="Cambria Math" w:hAnsi="Cambria Math"/>
                      <w:i/>
                      <w:sz w:val="24"/>
                      <w:highlight w:val="none"/>
                      <w:lang w:val="en-US"/>
                    </w:rPr>
                  </m:ctrlPr>
                </m:e>
                <m:sub>
                  <m:r>
                    <m:rPr/>
                    <w:rPr>
                      <w:rFonts w:hint="default" w:ascii="Cambria Math" w:hAnsi="Cambria Math"/>
                      <w:sz w:val="24"/>
                      <w:highlight w:val="none"/>
                      <w:lang w:val="en-US" w:eastAsia="zh-CN"/>
                    </w:rPr>
                    <m:t>p</m:t>
                  </m:r>
                  <m:ctrlPr>
                    <w:rPr>
                      <w:rFonts w:ascii="Cambria Math" w:hAnsi="Cambria Math"/>
                      <w:i/>
                      <w:sz w:val="24"/>
                      <w:highlight w:val="none"/>
                      <w:lang w:val="en-US"/>
                    </w:rPr>
                  </m:ctrlPr>
                </m:sub>
              </m:sSub>
            </m:oMath>
            <w:r>
              <w:rPr>
                <w:rFonts w:hint="eastAsia" w:hAnsi="Cambria Math"/>
                <w:i w:val="0"/>
                <w:sz w:val="24"/>
                <w:highlight w:val="none"/>
                <w:lang w:val="en-US" w:eastAsia="zh-CN"/>
              </w:rPr>
              <w:t>——</w:t>
            </w:r>
            <w:r>
              <w:rPr>
                <w:rFonts w:hint="eastAsia" w:eastAsia="宋体"/>
                <w:sz w:val="24"/>
                <w:highlight w:val="none"/>
                <w:lang w:val="en-US" w:eastAsia="zh-CN"/>
              </w:rPr>
              <w:t>交通运输起尘量，kg/km</w:t>
            </w:r>
            <w:r>
              <w:rPr>
                <w:rFonts w:hint="eastAsia" w:ascii="宋体" w:hAnsi="宋体" w:eastAsia="宋体" w:cs="宋体"/>
                <w:sz w:val="24"/>
                <w:highlight w:val="none"/>
                <w:lang w:val="en-US" w:eastAsia="zh-CN"/>
              </w:rPr>
              <w:t>·</w:t>
            </w:r>
            <w:r>
              <w:rPr>
                <w:rFonts w:hint="eastAsia" w:eastAsia="宋体"/>
                <w:sz w:val="24"/>
                <w:highlight w:val="none"/>
                <w:lang w:val="en-US" w:eastAsia="zh-CN"/>
              </w:rPr>
              <w:t>辆；</w:t>
            </w:r>
          </w:p>
          <w:p>
            <w:pPr>
              <w:spacing w:before="120" w:beforeLines="50" w:line="360" w:lineRule="auto"/>
              <w:ind w:firstLine="1200" w:firstLineChars="500"/>
              <w:jc w:val="left"/>
              <w:rPr>
                <w:rFonts w:hint="eastAsia" w:eastAsia="宋体"/>
                <w:sz w:val="24"/>
                <w:highlight w:val="none"/>
                <w:lang w:val="en-US" w:eastAsia="zh-CN"/>
              </w:rPr>
            </w:pPr>
            <m:oMath>
              <m:sSubSup>
                <m:sSubSupPr>
                  <m:ctrlPr>
                    <w:rPr>
                      <w:rFonts w:ascii="Cambria Math" w:hAnsi="Cambria Math" w:cs="Arial"/>
                      <w:i/>
                      <w:sz w:val="24"/>
                      <w:highlight w:val="none"/>
                      <w:lang w:val="en-US"/>
                    </w:rPr>
                  </m:ctrlPr>
                </m:sSubSupPr>
                <m:e>
                  <m:r>
                    <m:rPr/>
                    <w:rPr>
                      <w:rFonts w:hint="default" w:ascii="Cambria Math" w:hAnsi="Cambria Math" w:cs="Arial"/>
                      <w:sz w:val="24"/>
                      <w:highlight w:val="none"/>
                      <w:lang w:val="en-US" w:eastAsia="zh-CN"/>
                    </w:rPr>
                    <m:t>Q</m:t>
                  </m:r>
                  <m:ctrlPr>
                    <w:rPr>
                      <w:rFonts w:ascii="Cambria Math" w:hAnsi="Cambria Math" w:cs="Arial"/>
                      <w:i/>
                      <w:sz w:val="24"/>
                      <w:highlight w:val="none"/>
                      <w:lang w:val="en-US"/>
                    </w:rPr>
                  </m:ctrlPr>
                </m:e>
                <m:sub>
                  <m:r>
                    <m:rPr/>
                    <w:rPr>
                      <w:rFonts w:hint="default" w:ascii="Cambria Math" w:hAnsi="Cambria Math" w:cs="Arial"/>
                      <w:sz w:val="24"/>
                      <w:highlight w:val="none"/>
                      <w:lang w:val="en-US" w:eastAsia="zh-CN"/>
                    </w:rPr>
                    <m:t>p</m:t>
                  </m:r>
                  <m:ctrlPr>
                    <w:rPr>
                      <w:rFonts w:ascii="Cambria Math" w:hAnsi="Cambria Math" w:cs="Arial"/>
                      <w:i/>
                      <w:sz w:val="24"/>
                      <w:highlight w:val="none"/>
                      <w:lang w:val="en-US"/>
                    </w:rPr>
                  </m:ctrlPr>
                </m:sub>
                <m:sup>
                  <m:r>
                    <m:rPr/>
                    <w:rPr>
                      <w:rFonts w:hint="default" w:ascii="Cambria Math" w:hAnsi="Cambria Math" w:cs="Arial"/>
                      <w:sz w:val="24"/>
                      <w:highlight w:val="none"/>
                      <w:lang w:val="en-US" w:eastAsia="zh-CN"/>
                    </w:rPr>
                    <m:t>'</m:t>
                  </m:r>
                  <m:ctrlPr>
                    <w:rPr>
                      <w:rFonts w:ascii="Cambria Math" w:hAnsi="Cambria Math" w:cs="Arial"/>
                      <w:i/>
                      <w:sz w:val="24"/>
                      <w:highlight w:val="none"/>
                      <w:lang w:val="en-US"/>
                    </w:rPr>
                  </m:ctrlPr>
                </m:sup>
              </m:sSubSup>
            </m:oMath>
            <w:r>
              <w:rPr>
                <w:rFonts w:hint="eastAsia" w:hAnsi="Cambria Math" w:cs="Arial"/>
                <w:i w:val="0"/>
                <w:sz w:val="24"/>
                <w:highlight w:val="none"/>
                <w:lang w:val="en-US" w:eastAsia="zh-CN"/>
              </w:rPr>
              <w:t>——</w:t>
            </w:r>
            <w:r>
              <w:rPr>
                <w:rFonts w:hint="eastAsia" w:eastAsia="宋体"/>
                <w:sz w:val="24"/>
                <w:highlight w:val="none"/>
                <w:lang w:val="en-US" w:eastAsia="zh-CN"/>
              </w:rPr>
              <w:t>运输途中起尘量，kg/a；</w:t>
            </w:r>
          </w:p>
          <w:p>
            <w:pPr>
              <w:spacing w:before="120" w:beforeLines="50" w:line="360" w:lineRule="auto"/>
              <w:ind w:firstLine="1200" w:firstLineChars="500"/>
              <w:jc w:val="left"/>
              <w:rPr>
                <w:rFonts w:hint="eastAsia" w:eastAsia="宋体"/>
                <w:sz w:val="24"/>
                <w:highlight w:val="none"/>
                <w:lang w:val="en-US" w:eastAsia="zh-CN"/>
              </w:rPr>
            </w:pPr>
            <w:r>
              <w:rPr>
                <w:rFonts w:hint="eastAsia" w:eastAsia="宋体"/>
                <w:sz w:val="24"/>
                <w:highlight w:val="none"/>
                <w:lang w:val="en-US" w:eastAsia="zh-CN"/>
              </w:rPr>
              <w:t>V——车辆行驶速度，km/h；取值为10；</w:t>
            </w:r>
          </w:p>
          <w:p>
            <w:pPr>
              <w:spacing w:before="120" w:beforeLines="50" w:line="360" w:lineRule="auto"/>
              <w:ind w:firstLine="1200" w:firstLineChars="500"/>
              <w:jc w:val="left"/>
              <w:rPr>
                <w:rFonts w:hint="eastAsia" w:eastAsia="宋体"/>
                <w:sz w:val="24"/>
                <w:highlight w:val="none"/>
                <w:lang w:val="en-US" w:eastAsia="zh-CN"/>
              </w:rPr>
            </w:pPr>
            <w:r>
              <w:rPr>
                <w:rFonts w:hint="eastAsia" w:eastAsia="宋体"/>
                <w:sz w:val="24"/>
                <w:highlight w:val="none"/>
                <w:lang w:val="en-US" w:eastAsia="zh-CN"/>
              </w:rPr>
              <w:t>M——车辆载重，t/辆；取值为50；</w:t>
            </w:r>
          </w:p>
          <w:p>
            <w:pPr>
              <w:spacing w:before="120" w:beforeLines="50" w:line="360" w:lineRule="auto"/>
              <w:ind w:firstLine="1200" w:firstLineChars="500"/>
              <w:jc w:val="left"/>
              <w:rPr>
                <w:rFonts w:hint="eastAsia" w:eastAsia="宋体"/>
                <w:sz w:val="24"/>
                <w:highlight w:val="none"/>
                <w:lang w:val="en-US" w:eastAsia="zh-CN"/>
              </w:rPr>
            </w:pPr>
            <w:r>
              <w:rPr>
                <w:rFonts w:hint="eastAsia" w:eastAsia="宋体"/>
                <w:sz w:val="24"/>
                <w:highlight w:val="none"/>
                <w:lang w:val="en-US" w:eastAsia="zh-CN"/>
              </w:rPr>
              <w:t>P——路面状况，路面起尘量表示，kg/m</w:t>
            </w:r>
            <w:r>
              <w:rPr>
                <w:rFonts w:hint="eastAsia" w:eastAsia="宋体"/>
                <w:sz w:val="24"/>
                <w:highlight w:val="none"/>
                <w:vertAlign w:val="superscript"/>
                <w:lang w:val="en-US" w:eastAsia="zh-CN"/>
              </w:rPr>
              <w:t>2</w:t>
            </w:r>
            <w:r>
              <w:rPr>
                <w:rFonts w:hint="eastAsia" w:eastAsia="宋体"/>
                <w:sz w:val="24"/>
                <w:highlight w:val="none"/>
                <w:lang w:val="en-US" w:eastAsia="zh-CN"/>
              </w:rPr>
              <w:t>；取值0.02；</w:t>
            </w:r>
          </w:p>
          <w:p>
            <w:pPr>
              <w:spacing w:before="120" w:beforeLines="50" w:line="360" w:lineRule="auto"/>
              <w:ind w:firstLine="1200" w:firstLineChars="500"/>
              <w:jc w:val="left"/>
              <w:rPr>
                <w:rFonts w:hint="eastAsia" w:eastAsia="宋体"/>
                <w:sz w:val="24"/>
                <w:highlight w:val="none"/>
                <w:lang w:val="en-US" w:eastAsia="zh-CN"/>
              </w:rPr>
            </w:pPr>
            <w:r>
              <w:rPr>
                <w:rFonts w:hint="eastAsia" w:eastAsia="宋体"/>
                <w:sz w:val="24"/>
                <w:highlight w:val="none"/>
                <w:lang w:val="en-US" w:eastAsia="zh-CN"/>
              </w:rPr>
              <w:t>L——运输距离，km，厂内运输距离约0.5km；</w:t>
            </w:r>
          </w:p>
          <w:p>
            <w:pPr>
              <w:spacing w:before="120" w:beforeLines="50" w:line="360" w:lineRule="auto"/>
              <w:ind w:firstLine="1200" w:firstLineChars="500"/>
              <w:jc w:val="left"/>
              <w:rPr>
                <w:rFonts w:hint="eastAsia" w:eastAsia="宋体"/>
                <w:sz w:val="24"/>
                <w:highlight w:val="none"/>
                <w:lang w:val="en-US" w:eastAsia="zh-CN"/>
              </w:rPr>
            </w:pPr>
            <w:r>
              <w:rPr>
                <w:rFonts w:hint="eastAsia" w:eastAsia="宋体"/>
                <w:sz w:val="24"/>
                <w:highlight w:val="none"/>
                <w:lang w:val="en-US" w:eastAsia="zh-CN"/>
              </w:rPr>
              <w:t>Q——运输量，t/a，取值</w:t>
            </w:r>
            <w:r>
              <w:rPr>
                <w:rFonts w:hint="eastAsia"/>
                <w:sz w:val="24"/>
                <w:highlight w:val="none"/>
                <w:lang w:val="en-US" w:eastAsia="zh-CN"/>
              </w:rPr>
              <w:t>11.3</w:t>
            </w:r>
            <w:r>
              <w:rPr>
                <w:rFonts w:hint="eastAsia" w:eastAsia="宋体"/>
                <w:sz w:val="24"/>
                <w:highlight w:val="none"/>
                <w:lang w:val="en-US" w:eastAsia="zh-CN"/>
              </w:rPr>
              <w:t>万</w:t>
            </w:r>
            <w:r>
              <w:rPr>
                <w:rFonts w:hint="eastAsia"/>
                <w:sz w:val="24"/>
                <w:highlight w:val="none"/>
                <w:lang w:val="en-US" w:eastAsia="zh-CN"/>
              </w:rPr>
              <w:t>（车辆运出10万t，运入1.3万t）</w:t>
            </w:r>
            <w:r>
              <w:rPr>
                <w:rFonts w:hint="eastAsia" w:eastAsia="宋体"/>
                <w:sz w:val="24"/>
                <w:highlight w:val="none"/>
                <w:lang w:val="en-US" w:eastAsia="zh-CN"/>
              </w:rPr>
              <w:t>。</w:t>
            </w:r>
          </w:p>
          <w:p>
            <w:pPr>
              <w:spacing w:before="120" w:beforeLines="50" w:line="360" w:lineRule="auto"/>
              <w:ind w:firstLine="480" w:firstLineChars="200"/>
              <w:jc w:val="left"/>
              <w:rPr>
                <w:rFonts w:hint="eastAsia" w:eastAsia="宋体"/>
                <w:sz w:val="24"/>
                <w:highlight w:val="none"/>
                <w:lang w:val="en-US" w:eastAsia="zh-CN"/>
              </w:rPr>
            </w:pPr>
            <w:r>
              <w:rPr>
                <w:rFonts w:hint="eastAsia" w:eastAsia="宋体"/>
                <w:sz w:val="24"/>
                <w:highlight w:val="none"/>
                <w:lang w:val="en-US" w:eastAsia="zh-CN"/>
              </w:rPr>
              <w:t>本项目车辆行驶速度不超过10km/h，经常洒水抑尘的道路表面粉尘量取值0.02kg/m</w:t>
            </w:r>
            <w:r>
              <w:rPr>
                <w:rFonts w:hint="eastAsia" w:eastAsia="宋体"/>
                <w:sz w:val="24"/>
                <w:highlight w:val="none"/>
                <w:vertAlign w:val="superscript"/>
                <w:lang w:val="en-US" w:eastAsia="zh-CN"/>
              </w:rPr>
              <w:t>2</w:t>
            </w:r>
            <w:r>
              <w:rPr>
                <w:rFonts w:hint="eastAsia" w:eastAsia="宋体"/>
                <w:sz w:val="24"/>
                <w:highlight w:val="none"/>
                <w:lang w:val="en-US" w:eastAsia="zh-CN"/>
              </w:rPr>
              <w:t>，运输车辆载重为50t，运输距离约为0.5km，</w:t>
            </w:r>
            <w:r>
              <w:rPr>
                <w:rFonts w:hint="eastAsia"/>
                <w:sz w:val="24"/>
                <w:highlight w:val="none"/>
                <w:lang w:val="en-US" w:eastAsia="zh-CN"/>
              </w:rPr>
              <w:t>车辆</w:t>
            </w:r>
            <w:r>
              <w:rPr>
                <w:rFonts w:hint="eastAsia" w:eastAsia="宋体"/>
                <w:sz w:val="24"/>
                <w:highlight w:val="none"/>
                <w:lang w:val="en-US" w:eastAsia="zh-CN"/>
              </w:rPr>
              <w:t>年运输量为</w:t>
            </w:r>
            <w:r>
              <w:rPr>
                <w:rFonts w:hint="eastAsia"/>
                <w:sz w:val="24"/>
                <w:highlight w:val="none"/>
                <w:lang w:val="en-US" w:eastAsia="zh-CN"/>
              </w:rPr>
              <w:t>11.3</w:t>
            </w:r>
            <w:r>
              <w:rPr>
                <w:rFonts w:hint="eastAsia" w:eastAsia="宋体"/>
                <w:sz w:val="24"/>
                <w:highlight w:val="none"/>
                <w:lang w:val="en-US" w:eastAsia="zh-CN"/>
              </w:rPr>
              <w:t>万吨。</w:t>
            </w:r>
          </w:p>
          <w:p>
            <w:pPr>
              <w:spacing w:before="120" w:beforeLines="50" w:line="360" w:lineRule="auto"/>
              <w:ind w:firstLine="480" w:firstLineChars="200"/>
              <w:jc w:val="left"/>
              <w:rPr>
                <w:rFonts w:hint="eastAsia" w:eastAsia="宋体"/>
                <w:sz w:val="24"/>
                <w:highlight w:val="none"/>
                <w:lang w:val="en-US" w:eastAsia="zh-CN"/>
              </w:rPr>
            </w:pPr>
            <w:r>
              <w:rPr>
                <w:rFonts w:hint="eastAsia" w:eastAsia="宋体"/>
                <w:sz w:val="24"/>
                <w:highlight w:val="none"/>
                <w:lang w:val="en-US" w:eastAsia="zh-CN"/>
              </w:rPr>
              <w:t>本项目采取限超限速、道路洒水、及时清扫等措施，</w:t>
            </w:r>
            <w:r>
              <w:rPr>
                <w:rFonts w:hint="eastAsia"/>
                <w:sz w:val="24"/>
                <w:highlight w:val="none"/>
                <w:lang w:val="en-US" w:eastAsia="zh-CN"/>
              </w:rPr>
              <w:t>且路面均已硬化。根据《逸散性工业粉尘控制技术》以上措施</w:t>
            </w:r>
            <w:r>
              <w:rPr>
                <w:rFonts w:hint="eastAsia" w:eastAsia="宋体"/>
                <w:sz w:val="24"/>
                <w:highlight w:val="none"/>
                <w:lang w:val="en-US" w:eastAsia="zh-CN"/>
              </w:rPr>
              <w:t>可抑尘</w:t>
            </w:r>
            <w:r>
              <w:rPr>
                <w:rFonts w:hint="eastAsia"/>
                <w:sz w:val="24"/>
                <w:highlight w:val="none"/>
                <w:lang w:val="en-US" w:eastAsia="zh-CN"/>
              </w:rPr>
              <w:t>70</w:t>
            </w:r>
            <w:r>
              <w:rPr>
                <w:rFonts w:hint="eastAsia" w:eastAsia="宋体"/>
                <w:sz w:val="24"/>
                <w:highlight w:val="none"/>
                <w:lang w:val="en-US" w:eastAsia="zh-CN"/>
              </w:rPr>
              <w:t>%以上，运输扬尘排放量约为</w:t>
            </w:r>
            <w:r>
              <w:rPr>
                <w:rFonts w:hint="eastAsia"/>
                <w:sz w:val="24"/>
                <w:highlight w:val="none"/>
                <w:lang w:val="en-US" w:eastAsia="zh-CN"/>
              </w:rPr>
              <w:t>26.42kg</w:t>
            </w:r>
            <w:r>
              <w:rPr>
                <w:rFonts w:hint="eastAsia" w:eastAsia="宋体"/>
                <w:sz w:val="24"/>
                <w:highlight w:val="none"/>
                <w:lang w:val="en-US" w:eastAsia="zh-CN"/>
              </w:rPr>
              <w:t>/a，扬尘产排放情况详见表4-1。</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421" w:firstLineChars="200"/>
              <w:jc w:val="center"/>
              <w:textAlignment w:val="auto"/>
              <w:outlineLvl w:val="9"/>
              <w:rPr>
                <w:rFonts w:hint="eastAsia" w:eastAsia="宋体"/>
                <w:sz w:val="21"/>
                <w:szCs w:val="21"/>
                <w:highlight w:val="none"/>
                <w:lang w:val="en-US" w:eastAsia="zh-CN"/>
              </w:rPr>
            </w:pPr>
            <w:r>
              <w:rPr>
                <w:rFonts w:hint="eastAsia" w:ascii="Times New Roman" w:hAnsi="Times New Roman" w:eastAsia="宋体" w:cs="Times New Roman"/>
                <w:b/>
                <w:kern w:val="0"/>
                <w:sz w:val="21"/>
                <w:szCs w:val="21"/>
                <w:highlight w:val="none"/>
                <w:lang w:val="en-US" w:eastAsia="zh-CN"/>
              </w:rPr>
              <w:t>表4-1</w:t>
            </w:r>
            <w:r>
              <w:rPr>
                <w:rFonts w:hint="eastAsia" w:eastAsia="宋体" w:cs="Times New Roman"/>
                <w:b/>
                <w:kern w:val="0"/>
                <w:sz w:val="21"/>
                <w:szCs w:val="21"/>
                <w:highlight w:val="none"/>
                <w:lang w:val="en-US" w:eastAsia="zh-CN"/>
              </w:rPr>
              <w:t>扬</w:t>
            </w:r>
            <w:r>
              <w:rPr>
                <w:rFonts w:hint="eastAsia" w:ascii="Times New Roman" w:hAnsi="Times New Roman" w:eastAsia="宋体" w:cs="Times New Roman"/>
                <w:b/>
                <w:kern w:val="0"/>
                <w:sz w:val="21"/>
                <w:szCs w:val="21"/>
                <w:highlight w:val="none"/>
                <w:lang w:val="en-US" w:eastAsia="zh-CN"/>
              </w:rPr>
              <w:t>尘产排情况一览表</w:t>
            </w:r>
          </w:p>
          <w:tbl>
            <w:tblPr>
              <w:tblStyle w:val="22"/>
              <w:tblW w:w="0" w:type="auto"/>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41"/>
              <w:gridCol w:w="840"/>
              <w:gridCol w:w="747"/>
              <w:gridCol w:w="484"/>
              <w:gridCol w:w="1018"/>
              <w:gridCol w:w="550"/>
              <w:gridCol w:w="1288"/>
              <w:gridCol w:w="818"/>
              <w:gridCol w:w="764"/>
              <w:gridCol w:w="518"/>
              <w:gridCol w:w="818"/>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参数</w:t>
                  </w:r>
                </w:p>
              </w:tc>
              <w:tc>
                <w:tcPr>
                  <w:tcW w:w="71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P</w:t>
                  </w:r>
                </w:p>
              </w:tc>
              <w:tc>
                <w:tcPr>
                  <w:tcW w:w="64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V</w:t>
                  </w:r>
                </w:p>
              </w:tc>
              <w:tc>
                <w:tcPr>
                  <w:tcW w:w="47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M</w:t>
                  </w:r>
                </w:p>
              </w:tc>
              <w:tc>
                <w:tcPr>
                  <w:tcW w:w="87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Q</w:t>
                  </w:r>
                </w:p>
              </w:tc>
              <w:tc>
                <w:tcPr>
                  <w:tcW w:w="53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L</w:t>
                  </w:r>
                </w:p>
              </w:tc>
              <w:tc>
                <w:tcPr>
                  <w:tcW w:w="109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m:oMathPara>
                    <m:oMath>
                      <m:sSub>
                        <m:sSubPr>
                          <m:ctrlPr>
                            <w:rPr>
                              <w:rFonts w:hint="default" w:ascii="Cambria Math" w:hAnsi="Cambria Math"/>
                              <w:i/>
                              <w:sz w:val="21"/>
                              <w:szCs w:val="21"/>
                              <w:highlight w:val="none"/>
                              <w:lang w:val="en-US"/>
                            </w:rPr>
                          </m:ctrlPr>
                        </m:sSubPr>
                        <m:e>
                          <m:r>
                            <m:rPr/>
                            <w:rPr>
                              <w:rFonts w:hint="default" w:ascii="Cambria Math" w:hAnsi="Cambria Math"/>
                              <w:sz w:val="21"/>
                              <w:szCs w:val="21"/>
                              <w:highlight w:val="none"/>
                              <w:lang w:val="en-US" w:eastAsia="zh-CN"/>
                            </w:rPr>
                            <m:t>Q</m:t>
                          </m:r>
                          <m:ctrlPr>
                            <w:rPr>
                              <w:rFonts w:hint="default" w:ascii="Cambria Math" w:hAnsi="Cambria Math"/>
                              <w:i/>
                              <w:sz w:val="21"/>
                              <w:szCs w:val="21"/>
                              <w:highlight w:val="none"/>
                              <w:lang w:val="en-US"/>
                            </w:rPr>
                          </m:ctrlPr>
                        </m:e>
                        <m:sub>
                          <m:r>
                            <m:rPr/>
                            <w:rPr>
                              <w:rFonts w:hint="default" w:ascii="Cambria Math" w:hAnsi="Cambria Math"/>
                              <w:sz w:val="21"/>
                              <w:szCs w:val="21"/>
                              <w:highlight w:val="none"/>
                              <w:lang w:val="en-US" w:eastAsia="zh-CN"/>
                            </w:rPr>
                            <m:t>p</m:t>
                          </m:r>
                          <m:ctrlPr>
                            <w:rPr>
                              <w:rFonts w:hint="default" w:ascii="Cambria Math" w:hAnsi="Cambria Math"/>
                              <w:i/>
                              <w:sz w:val="21"/>
                              <w:szCs w:val="21"/>
                              <w:highlight w:val="none"/>
                              <w:lang w:val="en-US"/>
                            </w:rPr>
                          </m:ctrlPr>
                        </m:sub>
                      </m:sSub>
                    </m:oMath>
                  </m:oMathPara>
                </w:p>
              </w:tc>
              <w:tc>
                <w:tcPr>
                  <w:tcW w:w="69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m:oMathPara>
                    <m:oMath>
                      <m:sSubSup>
                        <m:sSubSupPr>
                          <m:ctrlPr>
                            <w:rPr>
                              <w:rFonts w:hint="default" w:ascii="Cambria Math" w:hAnsi="Cambria Math" w:cs="Arial"/>
                              <w:i/>
                              <w:sz w:val="21"/>
                              <w:szCs w:val="21"/>
                              <w:highlight w:val="none"/>
                              <w:lang w:val="en-US"/>
                            </w:rPr>
                          </m:ctrlPr>
                        </m:sSubSupPr>
                        <m:e>
                          <m:r>
                            <m:rPr/>
                            <w:rPr>
                              <w:rFonts w:hint="default" w:ascii="Cambria Math" w:hAnsi="Cambria Math" w:cs="Arial"/>
                              <w:sz w:val="21"/>
                              <w:szCs w:val="21"/>
                              <w:highlight w:val="none"/>
                              <w:lang w:val="en-US" w:eastAsia="zh-CN"/>
                            </w:rPr>
                            <m:t>Q</m:t>
                          </m:r>
                          <m:ctrlPr>
                            <w:rPr>
                              <w:rFonts w:hint="default" w:ascii="Cambria Math" w:hAnsi="Cambria Math" w:cs="Arial"/>
                              <w:i/>
                              <w:sz w:val="21"/>
                              <w:szCs w:val="21"/>
                              <w:highlight w:val="none"/>
                              <w:lang w:val="en-US"/>
                            </w:rPr>
                          </m:ctrlPr>
                        </m:e>
                        <m:sub>
                          <m:r>
                            <m:rPr/>
                            <w:rPr>
                              <w:rFonts w:hint="default" w:ascii="Cambria Math" w:hAnsi="Cambria Math" w:cs="Arial"/>
                              <w:sz w:val="21"/>
                              <w:szCs w:val="21"/>
                              <w:highlight w:val="none"/>
                              <w:lang w:val="en-US" w:eastAsia="zh-CN"/>
                            </w:rPr>
                            <m:t>p</m:t>
                          </m:r>
                          <m:ctrlPr>
                            <w:rPr>
                              <w:rFonts w:hint="default" w:ascii="Cambria Math" w:hAnsi="Cambria Math" w:cs="Arial"/>
                              <w:i/>
                              <w:sz w:val="21"/>
                              <w:szCs w:val="21"/>
                              <w:highlight w:val="none"/>
                              <w:lang w:val="en-US"/>
                            </w:rPr>
                          </m:ctrlPr>
                        </m:sub>
                        <m:sup>
                          <m:r>
                            <m:rPr/>
                            <w:rPr>
                              <w:rFonts w:hint="default" w:ascii="Cambria Math" w:hAnsi="Cambria Math" w:cs="Arial"/>
                              <w:sz w:val="21"/>
                              <w:szCs w:val="21"/>
                              <w:highlight w:val="none"/>
                              <w:lang w:val="en-US" w:eastAsia="zh-CN"/>
                            </w:rPr>
                            <m:t>'</m:t>
                          </m:r>
                          <m:ctrlPr>
                            <w:rPr>
                              <w:rFonts w:hint="default" w:ascii="Cambria Math" w:hAnsi="Cambria Math" w:cs="Arial"/>
                              <w:i/>
                              <w:sz w:val="21"/>
                              <w:szCs w:val="21"/>
                              <w:highlight w:val="none"/>
                              <w:lang w:val="en-US"/>
                            </w:rPr>
                          </m:ctrlPr>
                        </m:sup>
                      </m:sSubSup>
                    </m:oMath>
                  </m:oMathPara>
                </w:p>
              </w:tc>
              <w:tc>
                <w:tcPr>
                  <w:tcW w:w="132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处理措施</w:t>
                  </w:r>
                </w:p>
              </w:tc>
              <w:tc>
                <w:tcPr>
                  <w:tcW w:w="66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处理效率</w:t>
                  </w:r>
                </w:p>
              </w:tc>
              <w:tc>
                <w:tcPr>
                  <w:tcW w:w="74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排放量</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50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单位</w:t>
                  </w:r>
                </w:p>
              </w:tc>
              <w:tc>
                <w:tcPr>
                  <w:tcW w:w="71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eastAsia="宋体"/>
                      <w:sz w:val="21"/>
                      <w:szCs w:val="21"/>
                      <w:highlight w:val="none"/>
                      <w:lang w:val="en-US" w:eastAsia="zh-CN"/>
                    </w:rPr>
                    <w:t>kg/m</w:t>
                  </w:r>
                  <w:r>
                    <w:rPr>
                      <w:rFonts w:hint="eastAsia" w:eastAsia="宋体"/>
                      <w:sz w:val="21"/>
                      <w:szCs w:val="21"/>
                      <w:highlight w:val="none"/>
                      <w:vertAlign w:val="superscript"/>
                      <w:lang w:val="en-US" w:eastAsia="zh-CN"/>
                    </w:rPr>
                    <w:t>2</w:t>
                  </w:r>
                </w:p>
              </w:tc>
              <w:tc>
                <w:tcPr>
                  <w:tcW w:w="64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eastAsia="宋体"/>
                      <w:sz w:val="21"/>
                      <w:szCs w:val="21"/>
                      <w:highlight w:val="none"/>
                      <w:lang w:val="en-US" w:eastAsia="zh-CN"/>
                    </w:rPr>
                    <w:t>km/h</w:t>
                  </w:r>
                </w:p>
              </w:tc>
              <w:tc>
                <w:tcPr>
                  <w:tcW w:w="47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eastAsia="宋体"/>
                      <w:sz w:val="21"/>
                      <w:szCs w:val="21"/>
                      <w:highlight w:val="none"/>
                      <w:lang w:val="en-US" w:eastAsia="zh-CN"/>
                    </w:rPr>
                    <w:t>t/辆</w:t>
                  </w:r>
                </w:p>
              </w:tc>
              <w:tc>
                <w:tcPr>
                  <w:tcW w:w="87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eastAsia="宋体"/>
                      <w:sz w:val="21"/>
                      <w:szCs w:val="21"/>
                      <w:highlight w:val="none"/>
                      <w:lang w:val="en-US" w:eastAsia="zh-CN"/>
                    </w:rPr>
                    <w:t>t/a</w:t>
                  </w:r>
                </w:p>
              </w:tc>
              <w:tc>
                <w:tcPr>
                  <w:tcW w:w="53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eastAsia="宋体"/>
                      <w:sz w:val="21"/>
                      <w:szCs w:val="21"/>
                      <w:highlight w:val="none"/>
                      <w:lang w:val="en-US" w:eastAsia="zh-CN"/>
                    </w:rPr>
                    <w:t>km</w:t>
                  </w:r>
                </w:p>
              </w:tc>
              <w:tc>
                <w:tcPr>
                  <w:tcW w:w="109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eastAsia="宋体"/>
                      <w:sz w:val="21"/>
                      <w:szCs w:val="21"/>
                      <w:highlight w:val="none"/>
                      <w:lang w:val="en-US" w:eastAsia="zh-CN"/>
                    </w:rPr>
                    <w:t>kg/km</w:t>
                  </w:r>
                  <w:r>
                    <w:rPr>
                      <w:rFonts w:hint="eastAsia" w:ascii="宋体" w:hAnsi="宋体" w:eastAsia="宋体" w:cs="宋体"/>
                      <w:sz w:val="21"/>
                      <w:szCs w:val="21"/>
                      <w:highlight w:val="none"/>
                      <w:lang w:val="en-US" w:eastAsia="zh-CN"/>
                    </w:rPr>
                    <w:t>·</w:t>
                  </w:r>
                  <w:r>
                    <w:rPr>
                      <w:rFonts w:hint="eastAsia" w:eastAsia="宋体"/>
                      <w:sz w:val="21"/>
                      <w:szCs w:val="21"/>
                      <w:highlight w:val="none"/>
                      <w:lang w:val="en-US" w:eastAsia="zh-CN"/>
                    </w:rPr>
                    <w:t>辆</w:t>
                  </w:r>
                </w:p>
              </w:tc>
              <w:tc>
                <w:tcPr>
                  <w:tcW w:w="69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eastAsia="宋体"/>
                      <w:sz w:val="21"/>
                      <w:szCs w:val="21"/>
                      <w:highlight w:val="none"/>
                      <w:lang w:val="en-US" w:eastAsia="zh-CN"/>
                    </w:rPr>
                    <w:t>kg/a</w:t>
                  </w:r>
                </w:p>
              </w:tc>
              <w:tc>
                <w:tcPr>
                  <w:tcW w:w="1323"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eastAsia="宋体" w:cs="Times New Roman"/>
                      <w:sz w:val="21"/>
                      <w:szCs w:val="21"/>
                      <w:highlight w:val="none"/>
                      <w:lang w:val="en-US" w:eastAsia="zh-CN"/>
                    </w:rPr>
                    <w:t>限速、洒水降尘</w:t>
                  </w:r>
                </w:p>
              </w:tc>
              <w:tc>
                <w:tcPr>
                  <w:tcW w:w="66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w:t>
                  </w:r>
                </w:p>
              </w:tc>
              <w:tc>
                <w:tcPr>
                  <w:tcW w:w="74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kg/a</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50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取值</w:t>
                  </w:r>
                </w:p>
              </w:tc>
              <w:tc>
                <w:tcPr>
                  <w:tcW w:w="71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0.02</w:t>
                  </w:r>
                </w:p>
              </w:tc>
              <w:tc>
                <w:tcPr>
                  <w:tcW w:w="64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10</w:t>
                  </w:r>
                </w:p>
              </w:tc>
              <w:tc>
                <w:tcPr>
                  <w:tcW w:w="47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50</w:t>
                  </w:r>
                </w:p>
              </w:tc>
              <w:tc>
                <w:tcPr>
                  <w:tcW w:w="87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113000</w:t>
                  </w:r>
                </w:p>
              </w:tc>
              <w:tc>
                <w:tcPr>
                  <w:tcW w:w="53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0.5</w:t>
                  </w:r>
                </w:p>
              </w:tc>
              <w:tc>
                <w:tcPr>
                  <w:tcW w:w="109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0.</w:t>
                  </w:r>
                  <w:r>
                    <w:rPr>
                      <w:rFonts w:hint="eastAsia" w:cs="Times New Roman"/>
                      <w:sz w:val="21"/>
                      <w:szCs w:val="21"/>
                      <w:highlight w:val="none"/>
                      <w:lang w:val="en-US" w:eastAsia="zh-CN"/>
                    </w:rPr>
                    <w:t>1321</w:t>
                  </w:r>
                </w:p>
              </w:tc>
              <w:tc>
                <w:tcPr>
                  <w:tcW w:w="697" w:type="dxa"/>
                  <w:tcBorders>
                    <w:tl2br w:val="nil"/>
                    <w:tr2bl w:val="nil"/>
                  </w:tcBorders>
                  <w:shd w:val="clear" w:color="auto" w:fill="auto"/>
                  <w:noWrap w:val="0"/>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149.3</w:t>
                  </w:r>
                </w:p>
              </w:tc>
              <w:tc>
                <w:tcPr>
                  <w:tcW w:w="1323"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p>
              </w:tc>
              <w:tc>
                <w:tcPr>
                  <w:tcW w:w="66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70</w:t>
                  </w:r>
                </w:p>
              </w:tc>
              <w:tc>
                <w:tcPr>
                  <w:tcW w:w="74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44.79</w:t>
                  </w:r>
                </w:p>
              </w:tc>
            </w:tr>
          </w:tbl>
          <w:p>
            <w:pPr>
              <w:spacing w:before="120" w:beforeLines="50" w:line="360" w:lineRule="auto"/>
              <w:ind w:firstLine="480" w:firstLineChars="200"/>
              <w:jc w:val="left"/>
              <w:rPr>
                <w:rFonts w:hint="eastAsia"/>
                <w:sz w:val="24"/>
                <w:highlight w:val="none"/>
                <w:lang w:val="en-US" w:eastAsia="zh-CN"/>
              </w:rPr>
            </w:pPr>
          </w:p>
          <w:p>
            <w:pPr>
              <w:spacing w:before="120" w:beforeLines="50" w:line="360" w:lineRule="auto"/>
              <w:ind w:firstLine="480" w:firstLineChars="200"/>
              <w:jc w:val="left"/>
              <w:rPr>
                <w:rFonts w:hint="eastAsia"/>
                <w:sz w:val="24"/>
                <w:highlight w:val="none"/>
                <w:lang w:val="en-US" w:eastAsia="zh-CN"/>
              </w:rPr>
            </w:pPr>
          </w:p>
          <w:p>
            <w:pPr>
              <w:spacing w:before="120" w:beforeLines="50" w:line="360" w:lineRule="auto"/>
              <w:ind w:firstLine="480" w:firstLineChars="200"/>
              <w:jc w:val="left"/>
              <w:rPr>
                <w:rFonts w:hint="eastAsia" w:eastAsia="宋体"/>
                <w:sz w:val="24"/>
                <w:highlight w:val="none"/>
                <w:lang w:val="en-US" w:eastAsia="zh-CN"/>
              </w:rPr>
            </w:pPr>
            <w:r>
              <w:rPr>
                <w:rFonts w:hint="eastAsia"/>
                <w:sz w:val="24"/>
                <w:highlight w:val="none"/>
                <w:lang w:val="en-US" w:eastAsia="zh-CN"/>
              </w:rPr>
              <w:t>（2）</w:t>
            </w:r>
            <w:r>
              <w:rPr>
                <w:rFonts w:hint="eastAsia" w:eastAsia="宋体"/>
                <w:sz w:val="24"/>
                <w:highlight w:val="none"/>
                <w:lang w:val="en-US" w:eastAsia="zh-CN"/>
              </w:rPr>
              <w:t>装卸</w:t>
            </w:r>
            <w:r>
              <w:rPr>
                <w:rFonts w:hint="eastAsia"/>
                <w:sz w:val="24"/>
                <w:highlight w:val="none"/>
                <w:lang w:val="en-US" w:eastAsia="zh-CN"/>
              </w:rPr>
              <w:t>及</w:t>
            </w:r>
            <w:r>
              <w:rPr>
                <w:rFonts w:hint="eastAsia" w:eastAsia="宋体"/>
                <w:sz w:val="24"/>
                <w:highlight w:val="none"/>
                <w:lang w:val="en-US" w:eastAsia="zh-CN"/>
              </w:rPr>
              <w:t>堆存颗粒物</w:t>
            </w:r>
          </w:p>
          <w:p>
            <w:pPr>
              <w:spacing w:before="120" w:beforeLines="50" w:line="360" w:lineRule="auto"/>
              <w:ind w:firstLine="480" w:firstLineChars="200"/>
              <w:jc w:val="left"/>
              <w:rPr>
                <w:rFonts w:hint="eastAsia" w:eastAsia="宋体"/>
                <w:sz w:val="24"/>
                <w:szCs w:val="24"/>
                <w:highlight w:val="none"/>
                <w:lang w:val="en-US" w:eastAsia="zh-CN"/>
              </w:rPr>
            </w:pPr>
            <w:r>
              <w:rPr>
                <w:rFonts w:hint="eastAsia" w:eastAsia="宋体"/>
                <w:sz w:val="24"/>
                <w:szCs w:val="24"/>
                <w:highlight w:val="none"/>
                <w:lang w:val="en-US" w:eastAsia="zh-CN"/>
              </w:rPr>
              <w:t>参考</w:t>
            </w:r>
            <w:r>
              <w:rPr>
                <w:rFonts w:hint="eastAsia"/>
                <w:sz w:val="24"/>
                <w:szCs w:val="24"/>
                <w:highlight w:val="none"/>
                <w:lang w:val="en-US" w:eastAsia="zh-CN"/>
              </w:rPr>
              <w:t>《排放源统计调查产排污核算方法和系数手册（2021）》中的</w:t>
            </w:r>
            <w:r>
              <w:rPr>
                <w:rFonts w:hint="eastAsia" w:eastAsia="宋体"/>
                <w:sz w:val="24"/>
                <w:szCs w:val="24"/>
                <w:highlight w:val="none"/>
                <w:lang w:val="en-US" w:eastAsia="zh-CN"/>
              </w:rPr>
              <w:t>《固体物料堆存颗粒物产排污核算系数手册》，工业企业固体物料堆存颗粒物装卸场尘产生量核算公式如下：</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ighlight w:val="none"/>
                <w:lang w:val="en-US" w:eastAsia="zh-CN"/>
              </w:rPr>
            </w:pPr>
            <m:oMathPara>
              <m:oMath>
                <m:r>
                  <m:rPr/>
                  <w:rPr>
                    <w:rFonts w:hint="default" w:ascii="Cambria Math" w:hAnsi="Cambria Math" w:cs="Times New Roman"/>
                    <w:color w:val="auto"/>
                    <w:kern w:val="2"/>
                    <w:sz w:val="21"/>
                    <w:szCs w:val="21"/>
                    <w:highlight w:val="none"/>
                    <w:lang w:val="en-US" w:eastAsia="zh-CN" w:bidi="ar-SA"/>
                  </w:rPr>
                  <m:t>P=Z</m:t>
                </m:r>
                <m:sSub>
                  <m:sSubPr>
                    <m:ctrlPr>
                      <w:rPr>
                        <w:rFonts w:hint="default" w:ascii="Cambria Math" w:hAnsi="Cambria Math" w:cs="Times New Roman"/>
                        <w:i/>
                        <w:color w:val="auto"/>
                        <w:kern w:val="2"/>
                        <w:sz w:val="21"/>
                        <w:szCs w:val="21"/>
                        <w:highlight w:val="none"/>
                        <w:lang w:val="en-US" w:eastAsia="zh-CN" w:bidi="ar-SA"/>
                      </w:rPr>
                    </m:ctrlPr>
                  </m:sSubPr>
                  <m:e>
                    <m:r>
                      <m:rPr/>
                      <w:rPr>
                        <w:rFonts w:hint="default" w:ascii="Cambria Math" w:hAnsi="Cambria Math" w:cs="Times New Roman"/>
                        <w:color w:val="auto"/>
                        <w:kern w:val="2"/>
                        <w:sz w:val="21"/>
                        <w:szCs w:val="21"/>
                        <w:highlight w:val="none"/>
                        <w:lang w:val="en-US" w:eastAsia="zh-CN" w:bidi="ar-SA"/>
                      </w:rPr>
                      <m:t>C</m:t>
                    </m:r>
                    <m:ctrlPr>
                      <w:rPr>
                        <w:rFonts w:hint="default" w:ascii="Cambria Math" w:hAnsi="Cambria Math" w:cs="Times New Roman"/>
                        <w:i/>
                        <w:color w:val="auto"/>
                        <w:kern w:val="2"/>
                        <w:sz w:val="21"/>
                        <w:szCs w:val="21"/>
                        <w:highlight w:val="none"/>
                        <w:lang w:val="en-US" w:eastAsia="zh-CN" w:bidi="ar-SA"/>
                      </w:rPr>
                    </m:ctrlPr>
                  </m:e>
                  <m:sub>
                    <m:r>
                      <m:rPr/>
                      <w:rPr>
                        <w:rFonts w:hint="default" w:ascii="Cambria Math" w:hAnsi="Cambria Math" w:cs="Times New Roman"/>
                        <w:color w:val="auto"/>
                        <w:kern w:val="2"/>
                        <w:sz w:val="21"/>
                        <w:szCs w:val="21"/>
                        <w:highlight w:val="none"/>
                        <w:lang w:val="en-US" w:eastAsia="zh-CN" w:bidi="ar-SA"/>
                      </w:rPr>
                      <m:t>y</m:t>
                    </m:r>
                    <m:ctrlPr>
                      <w:rPr>
                        <w:rFonts w:hint="default" w:ascii="Cambria Math" w:hAnsi="Cambria Math" w:cs="Times New Roman"/>
                        <w:i/>
                        <w:color w:val="auto"/>
                        <w:kern w:val="2"/>
                        <w:sz w:val="21"/>
                        <w:szCs w:val="21"/>
                        <w:highlight w:val="none"/>
                        <w:lang w:val="en-US" w:eastAsia="zh-CN" w:bidi="ar-SA"/>
                      </w:rPr>
                    </m:ctrlPr>
                  </m:sub>
                </m:sSub>
                <m:r>
                  <m:rPr/>
                  <w:rPr>
                    <w:rFonts w:hint="default" w:ascii="Cambria Math" w:hAnsi="Cambria Math" w:cs="Times New Roman"/>
                    <w:color w:val="auto"/>
                    <w:kern w:val="2"/>
                    <w:sz w:val="21"/>
                    <w:szCs w:val="21"/>
                    <w:highlight w:val="none"/>
                    <w:lang w:val="en-US" w:eastAsia="zh-CN" w:bidi="ar-SA"/>
                  </w:rPr>
                  <m:t>+F</m:t>
                </m:r>
                <m:sSub>
                  <m:sSubPr>
                    <m:ctrlPr>
                      <w:rPr>
                        <w:rFonts w:hint="default" w:ascii="Cambria Math" w:hAnsi="Cambria Math" w:cs="Times New Roman"/>
                        <w:i/>
                        <w:color w:val="auto"/>
                        <w:kern w:val="2"/>
                        <w:sz w:val="21"/>
                        <w:szCs w:val="21"/>
                        <w:highlight w:val="none"/>
                        <w:lang w:val="en-US" w:eastAsia="zh-CN" w:bidi="ar-SA"/>
                      </w:rPr>
                    </m:ctrlPr>
                  </m:sSubPr>
                  <m:e>
                    <m:r>
                      <m:rPr/>
                      <w:rPr>
                        <w:rFonts w:hint="default" w:ascii="Cambria Math" w:hAnsi="Cambria Math" w:cs="Times New Roman"/>
                        <w:color w:val="auto"/>
                        <w:kern w:val="2"/>
                        <w:sz w:val="21"/>
                        <w:szCs w:val="21"/>
                        <w:highlight w:val="none"/>
                        <w:lang w:val="en-US" w:eastAsia="zh-CN" w:bidi="ar-SA"/>
                      </w:rPr>
                      <m:t>C</m:t>
                    </m:r>
                    <m:ctrlPr>
                      <w:rPr>
                        <w:rFonts w:hint="default" w:ascii="Cambria Math" w:hAnsi="Cambria Math" w:cs="Times New Roman"/>
                        <w:i/>
                        <w:color w:val="auto"/>
                        <w:kern w:val="2"/>
                        <w:sz w:val="21"/>
                        <w:szCs w:val="21"/>
                        <w:highlight w:val="none"/>
                        <w:lang w:val="en-US" w:eastAsia="zh-CN" w:bidi="ar-SA"/>
                      </w:rPr>
                    </m:ctrlPr>
                  </m:e>
                  <m:sub>
                    <m:r>
                      <m:rPr/>
                      <w:rPr>
                        <w:rFonts w:hint="default" w:ascii="Cambria Math" w:hAnsi="Cambria Math" w:cs="Times New Roman"/>
                        <w:color w:val="auto"/>
                        <w:kern w:val="2"/>
                        <w:sz w:val="21"/>
                        <w:szCs w:val="21"/>
                        <w:highlight w:val="none"/>
                        <w:lang w:val="en-US" w:eastAsia="zh-CN" w:bidi="ar-SA"/>
                      </w:rPr>
                      <m:t>y</m:t>
                    </m:r>
                    <m:ctrlPr>
                      <w:rPr>
                        <w:rFonts w:hint="default" w:ascii="Cambria Math" w:hAnsi="Cambria Math" w:cs="Times New Roman"/>
                        <w:i/>
                        <w:color w:val="auto"/>
                        <w:kern w:val="2"/>
                        <w:sz w:val="21"/>
                        <w:szCs w:val="21"/>
                        <w:highlight w:val="none"/>
                        <w:lang w:val="en-US" w:eastAsia="zh-CN" w:bidi="ar-SA"/>
                      </w:rPr>
                    </m:ctrlPr>
                  </m:sub>
                </m:sSub>
                <m:r>
                  <m:rPr/>
                  <w:rPr>
                    <w:rFonts w:hint="default" w:ascii="Cambria Math" w:hAnsi="Cambria Math" w:cs="Times New Roman"/>
                    <w:color w:val="auto"/>
                    <w:kern w:val="2"/>
                    <w:sz w:val="21"/>
                    <w:szCs w:val="21"/>
                    <w:highlight w:val="none"/>
                    <w:lang w:val="en-US" w:eastAsia="zh-CN" w:bidi="ar-SA"/>
                  </w:rPr>
                  <m:t>=</m:t>
                </m:r>
                <m:d>
                  <m:dPr>
                    <m:begChr m:val="{"/>
                    <m:endChr m:val="}"/>
                    <m:ctrlPr>
                      <w:rPr>
                        <w:rFonts w:hint="default" w:ascii="Cambria Math" w:hAnsi="Cambria Math" w:cs="Times New Roman"/>
                        <w:i/>
                        <w:color w:val="auto"/>
                        <w:kern w:val="2"/>
                        <w:sz w:val="21"/>
                        <w:szCs w:val="21"/>
                        <w:highlight w:val="none"/>
                        <w:lang w:val="en-US" w:eastAsia="zh-CN" w:bidi="ar-SA"/>
                      </w:rPr>
                    </m:ctrlPr>
                  </m:dPr>
                  <m:e>
                    <m:sSub>
                      <m:sSubPr>
                        <m:ctrlPr>
                          <w:rPr>
                            <w:rFonts w:hint="default" w:ascii="Cambria Math" w:hAnsi="Cambria Math" w:cs="Times New Roman"/>
                            <w:i/>
                            <w:color w:val="auto"/>
                            <w:kern w:val="2"/>
                            <w:sz w:val="21"/>
                            <w:szCs w:val="21"/>
                            <w:highlight w:val="none"/>
                            <w:lang w:val="en-US" w:eastAsia="zh-CN" w:bidi="ar-SA"/>
                          </w:rPr>
                        </m:ctrlPr>
                      </m:sSubPr>
                      <m:e>
                        <m:r>
                          <m:rPr/>
                          <w:rPr>
                            <w:rFonts w:hint="default" w:ascii="Cambria Math" w:hAnsi="Cambria Math" w:cs="Times New Roman"/>
                            <w:color w:val="auto"/>
                            <w:kern w:val="2"/>
                            <w:sz w:val="21"/>
                            <w:szCs w:val="21"/>
                            <w:highlight w:val="none"/>
                            <w:lang w:val="en-US" w:eastAsia="zh-CN" w:bidi="ar-SA"/>
                          </w:rPr>
                          <m:t>N</m:t>
                        </m:r>
                        <m:ctrlPr>
                          <w:rPr>
                            <w:rFonts w:hint="default" w:ascii="Cambria Math" w:hAnsi="Cambria Math" w:cs="Times New Roman"/>
                            <w:i/>
                            <w:color w:val="auto"/>
                            <w:kern w:val="2"/>
                            <w:sz w:val="21"/>
                            <w:szCs w:val="21"/>
                            <w:highlight w:val="none"/>
                            <w:lang w:val="en-US" w:eastAsia="zh-CN" w:bidi="ar-SA"/>
                          </w:rPr>
                        </m:ctrlPr>
                      </m:e>
                      <m:sub>
                        <m:r>
                          <m:rPr/>
                          <w:rPr>
                            <w:rFonts w:hint="default" w:ascii="Cambria Math" w:hAnsi="Cambria Math" w:cs="Times New Roman"/>
                            <w:color w:val="auto"/>
                            <w:kern w:val="2"/>
                            <w:sz w:val="21"/>
                            <w:szCs w:val="21"/>
                            <w:highlight w:val="none"/>
                            <w:lang w:val="en-US" w:eastAsia="zh-CN" w:bidi="ar-SA"/>
                          </w:rPr>
                          <m:t>c</m:t>
                        </m:r>
                        <m:ctrlPr>
                          <w:rPr>
                            <w:rFonts w:hint="default" w:ascii="Cambria Math" w:hAnsi="Cambria Math" w:cs="Times New Roman"/>
                            <w:i/>
                            <w:color w:val="auto"/>
                            <w:kern w:val="2"/>
                            <w:sz w:val="21"/>
                            <w:szCs w:val="21"/>
                            <w:highlight w:val="none"/>
                            <w:lang w:val="en-US" w:eastAsia="zh-CN" w:bidi="ar-SA"/>
                          </w:rPr>
                        </m:ctrlPr>
                      </m:sub>
                    </m:sSub>
                    <m:r>
                      <m:rPr/>
                      <w:rPr>
                        <w:rFonts w:hint="default" w:ascii="Cambria Math" w:hAnsi="Cambria Math" w:cs="Times New Roman"/>
                        <w:color w:val="auto"/>
                        <w:kern w:val="2"/>
                        <w:sz w:val="21"/>
                        <w:szCs w:val="21"/>
                        <w:highlight w:val="none"/>
                        <w:lang w:val="en-US" w:bidi="ar-SA"/>
                      </w:rPr>
                      <m:t>×</m:t>
                    </m:r>
                    <m:r>
                      <m:rPr/>
                      <w:rPr>
                        <w:rFonts w:hint="default" w:ascii="Cambria Math" w:hAnsi="Cambria Math" w:cs="Times New Roman"/>
                        <w:color w:val="auto"/>
                        <w:kern w:val="2"/>
                        <w:sz w:val="21"/>
                        <w:szCs w:val="21"/>
                        <w:highlight w:val="none"/>
                        <w:lang w:val="en-US" w:eastAsia="zh-CN" w:bidi="ar-SA"/>
                      </w:rPr>
                      <m:t>D</m:t>
                    </m:r>
                    <m:r>
                      <m:rPr/>
                      <w:rPr>
                        <w:rFonts w:hint="default" w:ascii="Cambria Math" w:hAnsi="Cambria Math" w:cs="Times New Roman"/>
                        <w:color w:val="auto"/>
                        <w:kern w:val="2"/>
                        <w:sz w:val="21"/>
                        <w:szCs w:val="21"/>
                        <w:highlight w:val="none"/>
                        <w:lang w:val="en-US" w:bidi="ar-SA"/>
                      </w:rPr>
                      <m:t>×</m:t>
                    </m:r>
                    <m:d>
                      <m:dPr>
                        <m:ctrlPr>
                          <w:rPr>
                            <w:rFonts w:hint="default" w:ascii="Cambria Math" w:hAnsi="Cambria Math" w:cs="Times New Roman"/>
                            <w:i/>
                            <w:color w:val="auto"/>
                            <w:kern w:val="2"/>
                            <w:sz w:val="21"/>
                            <w:szCs w:val="21"/>
                            <w:highlight w:val="none"/>
                            <w:lang w:val="en-US" w:bidi="ar-SA"/>
                          </w:rPr>
                        </m:ctrlPr>
                      </m:dPr>
                      <m:e>
                        <m:f>
                          <m:fPr>
                            <m:type m:val="lin"/>
                            <m:ctrlPr>
                              <w:rPr>
                                <w:rFonts w:hint="default" w:ascii="Cambria Math" w:hAnsi="Cambria Math" w:cs="Times New Roman"/>
                                <w:i/>
                                <w:color w:val="auto"/>
                                <w:kern w:val="2"/>
                                <w:sz w:val="21"/>
                                <w:szCs w:val="21"/>
                                <w:highlight w:val="none"/>
                                <w:lang w:val="en-US" w:bidi="ar-SA"/>
                              </w:rPr>
                            </m:ctrlPr>
                          </m:fPr>
                          <m:num>
                            <m:r>
                              <m:rPr/>
                              <w:rPr>
                                <w:rFonts w:hint="default" w:ascii="Cambria Math" w:hAnsi="Cambria Math" w:cs="Times New Roman"/>
                                <w:color w:val="auto"/>
                                <w:kern w:val="2"/>
                                <w:sz w:val="21"/>
                                <w:szCs w:val="21"/>
                                <w:highlight w:val="none"/>
                                <w:lang w:val="en-US" w:eastAsia="zh-CN" w:bidi="ar-SA"/>
                              </w:rPr>
                              <m:t>a</m:t>
                            </m:r>
                            <m:ctrlPr>
                              <w:rPr>
                                <w:rFonts w:hint="default" w:ascii="Cambria Math" w:hAnsi="Cambria Math" w:cs="Times New Roman"/>
                                <w:i/>
                                <w:color w:val="auto"/>
                                <w:kern w:val="2"/>
                                <w:sz w:val="21"/>
                                <w:szCs w:val="21"/>
                                <w:highlight w:val="none"/>
                                <w:lang w:val="en-US" w:bidi="ar-SA"/>
                              </w:rPr>
                            </m:ctrlPr>
                          </m:num>
                          <m:den>
                            <m:r>
                              <m:rPr/>
                              <w:rPr>
                                <w:rFonts w:hint="default" w:ascii="Cambria Math" w:hAnsi="Cambria Math" w:cs="Times New Roman"/>
                                <w:color w:val="auto"/>
                                <w:kern w:val="2"/>
                                <w:sz w:val="21"/>
                                <w:szCs w:val="21"/>
                                <w:highlight w:val="none"/>
                                <w:lang w:val="en-US" w:eastAsia="zh-CN" w:bidi="ar-SA"/>
                              </w:rPr>
                              <m:t>b</m:t>
                            </m:r>
                            <m:ctrlPr>
                              <w:rPr>
                                <w:rFonts w:hint="default" w:ascii="Cambria Math" w:hAnsi="Cambria Math" w:cs="Times New Roman"/>
                                <w:i/>
                                <w:color w:val="auto"/>
                                <w:kern w:val="2"/>
                                <w:sz w:val="21"/>
                                <w:szCs w:val="21"/>
                                <w:highlight w:val="none"/>
                                <w:lang w:val="en-US" w:bidi="ar-SA"/>
                              </w:rPr>
                            </m:ctrlPr>
                          </m:den>
                        </m:f>
                        <m:ctrlPr>
                          <w:rPr>
                            <w:rFonts w:hint="default" w:ascii="Cambria Math" w:hAnsi="Cambria Math" w:cs="Times New Roman"/>
                            <w:i/>
                            <w:color w:val="auto"/>
                            <w:kern w:val="2"/>
                            <w:sz w:val="21"/>
                            <w:szCs w:val="21"/>
                            <w:highlight w:val="none"/>
                            <w:lang w:val="en-US" w:bidi="ar-SA"/>
                          </w:rPr>
                        </m:ctrlPr>
                      </m:e>
                    </m:d>
                    <m:r>
                      <m:rPr/>
                      <w:rPr>
                        <w:rFonts w:hint="default" w:ascii="Cambria Math" w:hAnsi="Cambria Math" w:cs="Times New Roman"/>
                        <w:color w:val="auto"/>
                        <w:kern w:val="2"/>
                        <w:sz w:val="21"/>
                        <w:szCs w:val="21"/>
                        <w:highlight w:val="none"/>
                        <w:lang w:val="en-US" w:eastAsia="zh-CN" w:bidi="ar-SA"/>
                      </w:rPr>
                      <m:t>+2</m:t>
                    </m:r>
                    <m:r>
                      <m:rPr/>
                      <w:rPr>
                        <w:rFonts w:hint="default" w:ascii="Cambria Math" w:hAnsi="Cambria Math" w:cs="Times New Roman"/>
                        <w:color w:val="auto"/>
                        <w:kern w:val="2"/>
                        <w:sz w:val="21"/>
                        <w:szCs w:val="21"/>
                        <w:highlight w:val="none"/>
                        <w:lang w:val="en-US" w:bidi="ar-SA"/>
                      </w:rPr>
                      <m:t>×</m:t>
                    </m:r>
                    <m:sSub>
                      <m:sSubPr>
                        <m:ctrlPr>
                          <w:rPr>
                            <w:rFonts w:hint="default" w:ascii="Cambria Math" w:hAnsi="Cambria Math" w:cs="Times New Roman"/>
                            <w:i/>
                            <w:color w:val="auto"/>
                            <w:kern w:val="2"/>
                            <w:sz w:val="21"/>
                            <w:szCs w:val="21"/>
                            <w:highlight w:val="none"/>
                            <w:lang w:val="en-US" w:bidi="ar-SA"/>
                          </w:rPr>
                        </m:ctrlPr>
                      </m:sSubPr>
                      <m:e>
                        <m:r>
                          <m:rPr/>
                          <w:rPr>
                            <w:rFonts w:hint="default" w:ascii="Cambria Math" w:hAnsi="Cambria Math" w:cs="Times New Roman"/>
                            <w:color w:val="auto"/>
                            <w:kern w:val="2"/>
                            <w:sz w:val="21"/>
                            <w:szCs w:val="21"/>
                            <w:highlight w:val="none"/>
                            <w:lang w:val="en-US" w:eastAsia="zh-CN" w:bidi="ar-SA"/>
                          </w:rPr>
                          <m:t>E</m:t>
                        </m:r>
                        <m:ctrlPr>
                          <w:rPr>
                            <w:rFonts w:hint="default" w:ascii="Cambria Math" w:hAnsi="Cambria Math" w:cs="Times New Roman"/>
                            <w:i/>
                            <w:color w:val="auto"/>
                            <w:kern w:val="2"/>
                            <w:sz w:val="21"/>
                            <w:szCs w:val="21"/>
                            <w:highlight w:val="none"/>
                            <w:lang w:val="en-US" w:bidi="ar-SA"/>
                          </w:rPr>
                        </m:ctrlPr>
                      </m:e>
                      <m:sub>
                        <m:r>
                          <m:rPr/>
                          <w:rPr>
                            <w:rFonts w:hint="default" w:ascii="Cambria Math" w:hAnsi="Cambria Math" w:cs="Times New Roman"/>
                            <w:color w:val="auto"/>
                            <w:kern w:val="2"/>
                            <w:sz w:val="21"/>
                            <w:szCs w:val="21"/>
                            <w:highlight w:val="none"/>
                            <w:lang w:val="en-US" w:eastAsia="zh-CN" w:bidi="ar-SA"/>
                          </w:rPr>
                          <m:t>f</m:t>
                        </m:r>
                        <m:ctrlPr>
                          <w:rPr>
                            <w:rFonts w:hint="default" w:ascii="Cambria Math" w:hAnsi="Cambria Math" w:cs="Times New Roman"/>
                            <w:i/>
                            <w:color w:val="auto"/>
                            <w:kern w:val="2"/>
                            <w:sz w:val="21"/>
                            <w:szCs w:val="21"/>
                            <w:highlight w:val="none"/>
                            <w:lang w:val="en-US" w:bidi="ar-SA"/>
                          </w:rPr>
                        </m:ctrlPr>
                      </m:sub>
                    </m:sSub>
                    <m:r>
                      <m:rPr/>
                      <w:rPr>
                        <w:rFonts w:hint="default" w:ascii="Cambria Math" w:hAnsi="Cambria Math" w:cs="Times New Roman"/>
                        <w:color w:val="auto"/>
                        <w:kern w:val="2"/>
                        <w:sz w:val="21"/>
                        <w:szCs w:val="21"/>
                        <w:highlight w:val="none"/>
                        <w:lang w:val="en-US" w:bidi="ar-SA"/>
                      </w:rPr>
                      <m:t>×</m:t>
                    </m:r>
                    <m:r>
                      <m:rPr/>
                      <w:rPr>
                        <w:rFonts w:hint="default" w:ascii="Cambria Math" w:hAnsi="Cambria Math" w:cs="Times New Roman"/>
                        <w:color w:val="auto"/>
                        <w:kern w:val="2"/>
                        <w:sz w:val="21"/>
                        <w:szCs w:val="21"/>
                        <w:highlight w:val="none"/>
                        <w:lang w:val="en-US" w:eastAsia="zh-CN" w:bidi="ar-SA"/>
                      </w:rPr>
                      <m:t>S</m:t>
                    </m:r>
                    <m:ctrlPr>
                      <w:rPr>
                        <w:rFonts w:hint="default" w:ascii="Cambria Math" w:hAnsi="Cambria Math" w:cs="Times New Roman"/>
                        <w:i/>
                        <w:color w:val="auto"/>
                        <w:kern w:val="2"/>
                        <w:sz w:val="21"/>
                        <w:szCs w:val="21"/>
                        <w:highlight w:val="none"/>
                        <w:lang w:val="en-US" w:eastAsia="zh-CN" w:bidi="ar-SA"/>
                      </w:rPr>
                    </m:ctrlPr>
                  </m:e>
                </m:d>
                <m:r>
                  <m:rPr/>
                  <w:rPr>
                    <w:rFonts w:hint="default" w:ascii="Cambria Math" w:hAnsi="Cambria Math" w:cs="Times New Roman"/>
                    <w:color w:val="auto"/>
                    <w:kern w:val="2"/>
                    <w:sz w:val="21"/>
                    <w:szCs w:val="21"/>
                    <w:highlight w:val="none"/>
                    <w:lang w:val="en-US" w:bidi="ar-SA"/>
                  </w:rPr>
                  <m:t>×</m:t>
                </m:r>
                <m:sSup>
                  <m:sSupPr>
                    <m:ctrlPr>
                      <w:rPr>
                        <w:rFonts w:hint="default" w:ascii="Cambria Math" w:hAnsi="Cambria Math" w:cs="Times New Roman"/>
                        <w:i/>
                        <w:color w:val="auto"/>
                        <w:kern w:val="2"/>
                        <w:sz w:val="21"/>
                        <w:szCs w:val="21"/>
                        <w:highlight w:val="none"/>
                        <w:lang w:val="en-US" w:bidi="ar-SA"/>
                      </w:rPr>
                    </m:ctrlPr>
                  </m:sSupPr>
                  <m:e>
                    <m:r>
                      <m:rPr/>
                      <w:rPr>
                        <w:rFonts w:hint="default" w:ascii="Cambria Math" w:hAnsi="Cambria Math" w:cs="Times New Roman"/>
                        <w:color w:val="auto"/>
                        <w:kern w:val="2"/>
                        <w:sz w:val="21"/>
                        <w:szCs w:val="21"/>
                        <w:highlight w:val="none"/>
                        <w:lang w:val="en-US" w:eastAsia="zh-CN" w:bidi="ar-SA"/>
                      </w:rPr>
                      <m:t>10</m:t>
                    </m:r>
                    <m:ctrlPr>
                      <w:rPr>
                        <w:rFonts w:hint="default" w:ascii="Cambria Math" w:hAnsi="Cambria Math" w:cs="Times New Roman"/>
                        <w:i/>
                        <w:color w:val="auto"/>
                        <w:kern w:val="2"/>
                        <w:sz w:val="21"/>
                        <w:szCs w:val="21"/>
                        <w:highlight w:val="none"/>
                        <w:lang w:val="en-US" w:bidi="ar-SA"/>
                      </w:rPr>
                    </m:ctrlPr>
                  </m:e>
                  <m:sup>
                    <m:r>
                      <m:rPr/>
                      <w:rPr>
                        <w:rFonts w:hint="default" w:ascii="Cambria Math" w:hAnsi="Cambria Math" w:cs="Times New Roman"/>
                        <w:color w:val="auto"/>
                        <w:kern w:val="2"/>
                        <w:sz w:val="21"/>
                        <w:szCs w:val="21"/>
                        <w:highlight w:val="none"/>
                        <w:lang w:val="en-US" w:eastAsia="zh-CN" w:bidi="ar-SA"/>
                      </w:rPr>
                      <m:t>−3</m:t>
                    </m:r>
                    <m:ctrlPr>
                      <w:rPr>
                        <w:rFonts w:hint="default" w:ascii="Cambria Math" w:hAnsi="Cambria Math" w:cs="Times New Roman"/>
                        <w:i/>
                        <w:color w:val="auto"/>
                        <w:kern w:val="2"/>
                        <w:sz w:val="21"/>
                        <w:szCs w:val="21"/>
                        <w:highlight w:val="none"/>
                        <w:lang w:val="en-US" w:bidi="ar-SA"/>
                      </w:rPr>
                    </m:ctrlPr>
                  </m:sup>
                </m:sSup>
                <m:r>
                  <m:rPr/>
                  <w:rPr>
                    <w:rFonts w:hint="default" w:ascii="Cambria Math" w:hAnsi="Cambria Math" w:cs="Times New Roman"/>
                    <w:color w:val="auto"/>
                    <w:kern w:val="2"/>
                    <w:sz w:val="21"/>
                    <w:szCs w:val="21"/>
                    <w:highlight w:val="none"/>
                    <w:lang w:val="en-US" w:eastAsia="zh-CN" w:bidi="ar-SA"/>
                  </w:rPr>
                  <m:t xml:space="preserve"> </m:t>
                </m:r>
              </m:oMath>
            </m:oMathPara>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r>
              <w:rPr>
                <w:rFonts w:hint="eastAsia"/>
                <w:highlight w:val="none"/>
                <w:lang w:val="en-US" w:eastAsia="zh-CN"/>
              </w:rPr>
              <w:t>式中：P——颗粒物产生量，t/a；</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eastAsia"/>
                <w:highlight w:val="none"/>
                <w:lang w:val="en-US" w:eastAsia="zh-CN"/>
              </w:rPr>
            </w:pPr>
            <w:r>
              <w:rPr>
                <w:rFonts w:hint="eastAsia"/>
                <w:highlight w:val="none"/>
                <w:lang w:val="en-US" w:eastAsia="zh-CN"/>
              </w:rPr>
              <w:t>ZC</w:t>
            </w:r>
            <w:r>
              <w:rPr>
                <w:rFonts w:hint="eastAsia"/>
                <w:highlight w:val="none"/>
                <w:vertAlign w:val="subscript"/>
                <w:lang w:val="en-US" w:eastAsia="zh-CN"/>
              </w:rPr>
              <w:t>y</w:t>
            </w:r>
            <w:r>
              <w:rPr>
                <w:rFonts w:hint="eastAsia"/>
                <w:highlight w:val="none"/>
                <w:vertAlign w:val="baseline"/>
                <w:lang w:val="en-US" w:eastAsia="zh-CN"/>
              </w:rPr>
              <w:t>——</w:t>
            </w:r>
            <w:r>
              <w:rPr>
                <w:rFonts w:hint="eastAsia"/>
                <w:highlight w:val="none"/>
                <w:lang w:val="en-US" w:eastAsia="zh-CN"/>
              </w:rPr>
              <w:t>装卸扬尘产生量/t；</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eastAsia"/>
                <w:highlight w:val="none"/>
                <w:lang w:val="en-US" w:eastAsia="zh-CN"/>
              </w:rPr>
            </w:pPr>
            <w:r>
              <w:rPr>
                <w:rFonts w:hint="eastAsia"/>
                <w:highlight w:val="none"/>
                <w:lang w:val="en-US" w:eastAsia="zh-CN"/>
              </w:rPr>
              <w:t>FC</w:t>
            </w:r>
            <w:r>
              <w:rPr>
                <w:rFonts w:hint="eastAsia"/>
                <w:highlight w:val="none"/>
                <w:vertAlign w:val="subscript"/>
                <w:lang w:val="en-US" w:eastAsia="zh-CN"/>
              </w:rPr>
              <w:t>y</w:t>
            </w:r>
            <w:r>
              <w:rPr>
                <w:rFonts w:hint="eastAsia"/>
                <w:highlight w:val="none"/>
                <w:lang w:val="en-US" w:eastAsia="zh-CN"/>
              </w:rPr>
              <w:t>——风蚀扬尘产生量/t；</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eastAsia"/>
                <w:highlight w:val="none"/>
                <w:lang w:val="en-US" w:eastAsia="zh-CN"/>
              </w:rPr>
            </w:pPr>
            <w:r>
              <w:rPr>
                <w:rFonts w:hint="eastAsia"/>
                <w:highlight w:val="none"/>
                <w:lang w:val="en-US" w:eastAsia="zh-CN"/>
              </w:rPr>
              <w:t>N</w:t>
            </w:r>
            <w:r>
              <w:rPr>
                <w:rFonts w:hint="eastAsia"/>
                <w:highlight w:val="none"/>
                <w:vertAlign w:val="subscript"/>
                <w:lang w:val="en-US" w:eastAsia="zh-CN"/>
              </w:rPr>
              <w:t>c</w:t>
            </w:r>
            <w:r>
              <w:rPr>
                <w:rFonts w:hint="eastAsia"/>
                <w:highlight w:val="none"/>
                <w:lang w:val="en-US" w:eastAsia="zh-CN"/>
              </w:rPr>
              <w:t>——年物料运载车次，车/a；</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eastAsia"/>
                <w:highlight w:val="none"/>
                <w:lang w:val="en-US" w:eastAsia="zh-CN"/>
              </w:rPr>
            </w:pPr>
            <w:r>
              <w:rPr>
                <w:rFonts w:hint="eastAsia"/>
                <w:highlight w:val="none"/>
                <w:lang w:val="en-US" w:eastAsia="zh-CN"/>
              </w:rPr>
              <w:t>D——单车平均运载量（t/车）；</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080" w:firstLineChars="450"/>
              <w:textAlignment w:val="auto"/>
              <w:rPr>
                <w:rFonts w:hint="eastAsia"/>
                <w:highlight w:val="none"/>
                <w:lang w:val="en-US" w:eastAsia="zh-CN"/>
              </w:rPr>
            </w:pPr>
            <w:r>
              <w:rPr>
                <w:rFonts w:hint="eastAsia"/>
                <w:highlight w:val="none"/>
                <w:lang w:val="en-US" w:eastAsia="zh-CN"/>
              </w:rPr>
              <w:t>（a/b）——装卸扬尘概化系数（kg/t）；a指各省风速概化系数，辽宁省取0.0015；b指物料含水率概化系数，取0.0049；</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eastAsia"/>
                <w:highlight w:val="none"/>
                <w:lang w:val="en-US" w:eastAsia="zh-CN"/>
              </w:rPr>
            </w:pPr>
            <w:r>
              <w:rPr>
                <w:rFonts w:hint="eastAsia"/>
                <w:highlight w:val="none"/>
                <w:lang w:val="en-US" w:eastAsia="zh-CN"/>
              </w:rPr>
              <w:t>E</w:t>
            </w:r>
            <w:r>
              <w:rPr>
                <w:rFonts w:hint="eastAsia"/>
                <w:highlight w:val="none"/>
                <w:vertAlign w:val="subscript"/>
                <w:lang w:val="en-US" w:eastAsia="zh-CN"/>
              </w:rPr>
              <w:t>f</w:t>
            </w:r>
            <w:r>
              <w:rPr>
                <w:rFonts w:hint="eastAsia"/>
                <w:highlight w:val="none"/>
                <w:vertAlign w:val="baseline"/>
                <w:lang w:val="en-US" w:eastAsia="zh-CN"/>
              </w:rPr>
              <w:t>——</w:t>
            </w:r>
            <w:r>
              <w:rPr>
                <w:rFonts w:hint="eastAsia"/>
                <w:highlight w:val="none"/>
                <w:lang w:val="en-US" w:eastAsia="zh-CN"/>
              </w:rPr>
              <w:t>堆场风蚀扬尘概化系数（</w:t>
            </w:r>
            <w:r>
              <w:rPr>
                <w:rFonts w:hint="default"/>
                <w:highlight w:val="none"/>
                <w:lang w:val="en-US" w:eastAsia="zh-CN"/>
              </w:rPr>
              <w:t>kg/</w:t>
            </w:r>
            <w:r>
              <w:rPr>
                <w:rFonts w:hint="eastAsia"/>
                <w:highlight w:val="none"/>
                <w:lang w:val="en-US" w:eastAsia="zh-CN"/>
              </w:rPr>
              <w:t>m</w:t>
            </w:r>
            <w:r>
              <w:rPr>
                <w:rFonts w:hint="eastAsia"/>
                <w:highlight w:val="none"/>
                <w:vertAlign w:val="superscript"/>
                <w:lang w:val="en-US" w:eastAsia="zh-CN"/>
              </w:rPr>
              <w:t>2</w:t>
            </w:r>
            <w:r>
              <w:rPr>
                <w:rFonts w:hint="eastAsia"/>
                <w:highlight w:val="none"/>
                <w:lang w:val="en-US" w:eastAsia="zh-CN"/>
              </w:rPr>
              <w:t>），本项目为密闭仓库取值0，卸料区取0；</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eastAsia"/>
                <w:highlight w:val="none"/>
                <w:lang w:val="en-US" w:eastAsia="zh-CN"/>
              </w:rPr>
            </w:pPr>
            <w:r>
              <w:rPr>
                <w:rFonts w:hint="eastAsia"/>
                <w:highlight w:val="none"/>
                <w:lang w:val="en-US" w:eastAsia="zh-CN"/>
              </w:rPr>
              <w:t>S——堆场占地面积/m</w:t>
            </w:r>
            <w:r>
              <w:rPr>
                <w:rFonts w:hint="eastAsia"/>
                <w:highlight w:val="none"/>
                <w:vertAlign w:val="superscript"/>
                <w:lang w:val="en-US" w:eastAsia="zh-CN"/>
              </w:rPr>
              <w:t>2</w:t>
            </w:r>
            <w:r>
              <w:rPr>
                <w:rFonts w:hint="eastAsia"/>
                <w:highlight w:val="none"/>
                <w:lang w:val="en-US" w:eastAsia="zh-CN"/>
              </w:rPr>
              <w:t>，本项目仓库取20000；</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r>
              <w:rPr>
                <w:rFonts w:hint="eastAsia"/>
                <w:highlight w:val="none"/>
                <w:lang w:val="en-US" w:eastAsia="zh-CN"/>
              </w:rPr>
              <w:t>本项目仓库煤炭储存能力为10万吨/年，仓库内装卸年吞吐量为22.6</w:t>
            </w:r>
            <w:r>
              <w:rPr>
                <w:rFonts w:hint="eastAsia"/>
                <w:color w:val="auto"/>
                <w:highlight w:val="none"/>
                <w:lang w:val="en-US" w:eastAsia="zh-CN"/>
              </w:rPr>
              <w:t>万吨；卸料区卸料10万t。</w:t>
            </w:r>
            <w:r>
              <w:rPr>
                <w:rFonts w:hint="eastAsia"/>
                <w:highlight w:val="none"/>
                <w:lang w:val="en-US" w:eastAsia="zh-CN"/>
              </w:rPr>
              <w:t>经计算，本项目仓库颗粒物产生量约为69.2t/a，火车卸料区颗粒物产生量为30.61t/a；</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r>
              <w:rPr>
                <w:rFonts w:hint="eastAsia"/>
                <w:highlight w:val="none"/>
                <w:lang w:val="en-US" w:eastAsia="zh-CN"/>
              </w:rPr>
              <w:t>根据《排放源统计调查产排污核算方法和系数手册（2021）》中的</w:t>
            </w:r>
            <w:r>
              <w:rPr>
                <w:rFonts w:hint="eastAsia" w:eastAsia="宋体"/>
                <w:sz w:val="24"/>
                <w:highlight w:val="none"/>
                <w:lang w:val="en-US" w:eastAsia="zh-CN"/>
              </w:rPr>
              <w:t>《固体物料堆存颗粒物产排污核算系数手册》，</w:t>
            </w:r>
            <w:r>
              <w:rPr>
                <w:rFonts w:hint="eastAsia"/>
                <w:sz w:val="24"/>
                <w:highlight w:val="none"/>
                <w:lang w:val="en-US" w:eastAsia="zh-CN"/>
              </w:rPr>
              <w:t>工业企业固体物料堆场</w:t>
            </w:r>
            <w:r>
              <w:rPr>
                <w:rFonts w:hint="eastAsia"/>
                <w:highlight w:val="none"/>
                <w:lang w:val="en-US" w:eastAsia="zh-CN"/>
              </w:rPr>
              <w:t>颗粒物排放量核算公式如下：</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ighlight w:val="none"/>
                <w:lang w:val="en-US" w:eastAsia="zh-CN"/>
              </w:rPr>
            </w:pPr>
            <m:oMathPara>
              <m:oMath>
                <m:sSub>
                  <m:sSubPr>
                    <m:ctrlPr>
                      <w:rPr>
                        <w:rFonts w:hint="default" w:ascii="Cambria Math" w:hAnsi="Cambria Math"/>
                        <w:i/>
                        <w:color w:val="auto"/>
                        <w:sz w:val="21"/>
                        <w:szCs w:val="21"/>
                        <w:highlight w:val="none"/>
                      </w:rPr>
                    </m:ctrlPr>
                  </m:sSubPr>
                  <m:e>
                    <m:r>
                      <m:rPr/>
                      <w:rPr>
                        <w:rFonts w:hint="default" w:ascii="Cambria Math" w:hAnsi="Cambria Math"/>
                        <w:color w:val="auto"/>
                        <w:sz w:val="21"/>
                        <w:szCs w:val="21"/>
                        <w:highlight w:val="none"/>
                        <w:lang w:val="en-US" w:eastAsia="zh-CN"/>
                      </w:rPr>
                      <m:t>U</m:t>
                    </m:r>
                    <m:ctrlPr>
                      <w:rPr>
                        <w:rFonts w:hint="default" w:ascii="Cambria Math" w:hAnsi="Cambria Math"/>
                        <w:i/>
                        <w:color w:val="auto"/>
                        <w:sz w:val="21"/>
                        <w:szCs w:val="21"/>
                        <w:highlight w:val="none"/>
                      </w:rPr>
                    </m:ctrlPr>
                  </m:e>
                  <m:sub>
                    <m:r>
                      <m:rPr/>
                      <w:rPr>
                        <w:rFonts w:hint="default" w:ascii="Cambria Math" w:hAnsi="Cambria Math"/>
                        <w:color w:val="auto"/>
                        <w:sz w:val="21"/>
                        <w:szCs w:val="21"/>
                        <w:highlight w:val="none"/>
                        <w:lang w:val="en-US" w:eastAsia="zh-CN"/>
                      </w:rPr>
                      <m:t>c</m:t>
                    </m:r>
                    <m:ctrlPr>
                      <w:rPr>
                        <w:rFonts w:hint="default" w:ascii="Cambria Math" w:hAnsi="Cambria Math"/>
                        <w:i/>
                        <w:color w:val="auto"/>
                        <w:sz w:val="21"/>
                        <w:szCs w:val="21"/>
                        <w:highlight w:val="none"/>
                      </w:rPr>
                    </m:ctrlPr>
                  </m:sub>
                </m:sSub>
                <m:r>
                  <m:rPr/>
                  <w:rPr>
                    <w:rFonts w:hint="default" w:ascii="Cambria Math" w:hAnsi="Cambria Math"/>
                    <w:color w:val="auto"/>
                    <w:sz w:val="21"/>
                    <w:szCs w:val="21"/>
                    <w:highlight w:val="none"/>
                    <w:lang w:val="en-US" w:eastAsia="zh-CN"/>
                  </w:rPr>
                  <m:t>=P</m:t>
                </m:r>
                <m:r>
                  <m:rPr/>
                  <w:rPr>
                    <w:rFonts w:hint="default" w:ascii="Cambria Math" w:hAnsi="Cambria Math" w:cs="Cambria Math"/>
                    <w:color w:val="auto"/>
                    <w:sz w:val="21"/>
                    <w:szCs w:val="21"/>
                    <w:highlight w:val="none"/>
                    <w:lang w:val="en-US" w:eastAsia="zh-CN"/>
                  </w:rPr>
                  <m:t>×</m:t>
                </m:r>
                <m:d>
                  <m:dPr>
                    <m:ctrlPr>
                      <w:rPr>
                        <w:rFonts w:hint="default" w:ascii="Cambria Math" w:hAnsi="Cambria Math" w:cs="Cambria Math"/>
                        <w:i/>
                        <w:color w:val="auto"/>
                        <w:sz w:val="21"/>
                        <w:szCs w:val="21"/>
                        <w:highlight w:val="none"/>
                        <w:lang w:val="en-US" w:eastAsia="zh-CN"/>
                      </w:rPr>
                    </m:ctrlPr>
                  </m:dPr>
                  <m:e>
                    <m:r>
                      <m:rPr/>
                      <w:rPr>
                        <w:rFonts w:hint="default" w:ascii="Cambria Math" w:hAnsi="Cambria Math" w:cs="Cambria Math"/>
                        <w:color w:val="auto"/>
                        <w:sz w:val="21"/>
                        <w:szCs w:val="21"/>
                        <w:highlight w:val="none"/>
                        <w:lang w:val="en-US" w:eastAsia="zh-CN"/>
                      </w:rPr>
                      <m:t>1−</m:t>
                    </m:r>
                    <m:sSub>
                      <m:sSubPr>
                        <m:ctrlPr>
                          <w:rPr>
                            <w:rFonts w:hint="default" w:ascii="Cambria Math" w:hAnsi="Cambria Math" w:cs="Cambria Math"/>
                            <w:i/>
                            <w:color w:val="auto"/>
                            <w:sz w:val="21"/>
                            <w:szCs w:val="21"/>
                            <w:highlight w:val="none"/>
                            <w:lang w:val="en-US" w:eastAsia="zh-CN"/>
                          </w:rPr>
                        </m:ctrlPr>
                      </m:sSubPr>
                      <m:e>
                        <m:r>
                          <m:rPr/>
                          <w:rPr>
                            <w:rFonts w:hint="default" w:ascii="Cambria Math" w:hAnsi="Cambria Math" w:cs="Cambria Math"/>
                            <w:color w:val="auto"/>
                            <w:sz w:val="21"/>
                            <w:szCs w:val="21"/>
                            <w:highlight w:val="none"/>
                            <w:lang w:val="en-US" w:eastAsia="zh-CN"/>
                          </w:rPr>
                          <m:t>C</m:t>
                        </m:r>
                        <m:ctrlPr>
                          <w:rPr>
                            <w:rFonts w:hint="default" w:ascii="Cambria Math" w:hAnsi="Cambria Math" w:cs="Cambria Math"/>
                            <w:i/>
                            <w:color w:val="auto"/>
                            <w:sz w:val="21"/>
                            <w:szCs w:val="21"/>
                            <w:highlight w:val="none"/>
                            <w:lang w:val="en-US" w:eastAsia="zh-CN"/>
                          </w:rPr>
                        </m:ctrlPr>
                      </m:e>
                      <m:sub>
                        <m:r>
                          <m:rPr/>
                          <w:rPr>
                            <w:rFonts w:hint="default" w:ascii="Cambria Math" w:hAnsi="Cambria Math" w:cs="Cambria Math"/>
                            <w:color w:val="auto"/>
                            <w:sz w:val="21"/>
                            <w:szCs w:val="21"/>
                            <w:highlight w:val="none"/>
                            <w:lang w:val="en-US" w:eastAsia="zh-CN"/>
                          </w:rPr>
                          <m:t>m</m:t>
                        </m:r>
                        <m:ctrlPr>
                          <w:rPr>
                            <w:rFonts w:hint="default" w:ascii="Cambria Math" w:hAnsi="Cambria Math" w:cs="Cambria Math"/>
                            <w:i/>
                            <w:color w:val="auto"/>
                            <w:sz w:val="21"/>
                            <w:szCs w:val="21"/>
                            <w:highlight w:val="none"/>
                            <w:lang w:val="en-US" w:eastAsia="zh-CN"/>
                          </w:rPr>
                        </m:ctrlPr>
                      </m:sub>
                    </m:sSub>
                    <m:ctrlPr>
                      <w:rPr>
                        <w:rFonts w:hint="default" w:ascii="Cambria Math" w:hAnsi="Cambria Math" w:cs="Cambria Math"/>
                        <w:i/>
                        <w:color w:val="auto"/>
                        <w:sz w:val="21"/>
                        <w:szCs w:val="21"/>
                        <w:highlight w:val="none"/>
                        <w:lang w:val="en-US" w:eastAsia="zh-CN"/>
                      </w:rPr>
                    </m:ctrlPr>
                  </m:e>
                </m:d>
                <m:r>
                  <m:rPr/>
                  <w:rPr>
                    <w:rFonts w:hint="default" w:ascii="Cambria Math" w:hAnsi="Cambria Math" w:cs="Cambria Math"/>
                    <w:color w:val="auto"/>
                    <w:sz w:val="21"/>
                    <w:szCs w:val="21"/>
                    <w:highlight w:val="none"/>
                    <w:lang w:val="en-US" w:eastAsia="zh-CN"/>
                  </w:rPr>
                  <m:t>×</m:t>
                </m:r>
                <m:d>
                  <m:dPr>
                    <m:ctrlPr>
                      <w:rPr>
                        <w:rFonts w:hint="default" w:ascii="Cambria Math" w:hAnsi="Cambria Math" w:cs="Cambria Math"/>
                        <w:i/>
                        <w:color w:val="auto"/>
                        <w:sz w:val="21"/>
                        <w:szCs w:val="21"/>
                        <w:highlight w:val="none"/>
                        <w:lang w:val="en-US" w:eastAsia="zh-CN"/>
                      </w:rPr>
                    </m:ctrlPr>
                  </m:dPr>
                  <m:e>
                    <m:r>
                      <m:rPr/>
                      <w:rPr>
                        <w:rFonts w:hint="default" w:ascii="Cambria Math" w:hAnsi="Cambria Math" w:cs="Cambria Math"/>
                        <w:color w:val="auto"/>
                        <w:sz w:val="21"/>
                        <w:szCs w:val="21"/>
                        <w:highlight w:val="none"/>
                        <w:lang w:val="en-US" w:eastAsia="zh-CN"/>
                      </w:rPr>
                      <m:t>1−</m:t>
                    </m:r>
                    <m:sSub>
                      <m:sSubPr>
                        <m:ctrlPr>
                          <w:rPr>
                            <w:rFonts w:hint="default" w:ascii="Cambria Math" w:hAnsi="Cambria Math" w:cs="Cambria Math"/>
                            <w:i/>
                            <w:color w:val="auto"/>
                            <w:sz w:val="21"/>
                            <w:szCs w:val="21"/>
                            <w:highlight w:val="none"/>
                            <w:lang w:val="en-US" w:eastAsia="zh-CN"/>
                          </w:rPr>
                        </m:ctrlPr>
                      </m:sSubPr>
                      <m:e>
                        <m:r>
                          <m:rPr/>
                          <w:rPr>
                            <w:rFonts w:hint="default" w:ascii="Cambria Math" w:hAnsi="Cambria Math" w:cs="Cambria Math"/>
                            <w:color w:val="auto"/>
                            <w:sz w:val="21"/>
                            <w:szCs w:val="21"/>
                            <w:highlight w:val="none"/>
                            <w:lang w:val="en-US" w:eastAsia="zh-CN"/>
                          </w:rPr>
                          <m:t>T</m:t>
                        </m:r>
                        <m:ctrlPr>
                          <w:rPr>
                            <w:rFonts w:hint="default" w:ascii="Cambria Math" w:hAnsi="Cambria Math" w:cs="Cambria Math"/>
                            <w:i/>
                            <w:color w:val="auto"/>
                            <w:sz w:val="21"/>
                            <w:szCs w:val="21"/>
                            <w:highlight w:val="none"/>
                            <w:lang w:val="en-US" w:eastAsia="zh-CN"/>
                          </w:rPr>
                        </m:ctrlPr>
                      </m:e>
                      <m:sub>
                        <m:r>
                          <m:rPr/>
                          <w:rPr>
                            <w:rFonts w:hint="default" w:ascii="Cambria Math" w:hAnsi="Cambria Math" w:cs="Cambria Math"/>
                            <w:color w:val="auto"/>
                            <w:sz w:val="21"/>
                            <w:szCs w:val="21"/>
                            <w:highlight w:val="none"/>
                            <w:lang w:val="en-US" w:eastAsia="zh-CN"/>
                          </w:rPr>
                          <m:t>m</m:t>
                        </m:r>
                        <m:ctrlPr>
                          <w:rPr>
                            <w:rFonts w:hint="default" w:ascii="Cambria Math" w:hAnsi="Cambria Math" w:cs="Cambria Math"/>
                            <w:i/>
                            <w:color w:val="auto"/>
                            <w:sz w:val="21"/>
                            <w:szCs w:val="21"/>
                            <w:highlight w:val="none"/>
                            <w:lang w:val="en-US" w:eastAsia="zh-CN"/>
                          </w:rPr>
                        </m:ctrlPr>
                      </m:sub>
                    </m:sSub>
                    <m:ctrlPr>
                      <w:rPr>
                        <w:rFonts w:hint="default" w:ascii="Cambria Math" w:hAnsi="Cambria Math" w:cs="Cambria Math"/>
                        <w:i/>
                        <w:color w:val="auto"/>
                        <w:sz w:val="21"/>
                        <w:szCs w:val="21"/>
                        <w:highlight w:val="none"/>
                        <w:lang w:val="en-US" w:eastAsia="zh-CN"/>
                      </w:rPr>
                    </m:ctrlPr>
                  </m:e>
                </m:d>
              </m:oMath>
            </m:oMathPara>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r>
              <w:rPr>
                <w:rFonts w:hint="eastAsia"/>
                <w:highlight w:val="none"/>
                <w:lang w:val="en-US" w:eastAsia="zh-CN"/>
              </w:rPr>
              <w:t>式中：P——颗粒物产生量，t/a；</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eastAsia"/>
                <w:highlight w:val="none"/>
                <w:lang w:val="en-US" w:eastAsia="zh-CN"/>
              </w:rPr>
            </w:pPr>
            <w:r>
              <w:rPr>
                <w:rFonts w:hint="eastAsia"/>
                <w:highlight w:val="none"/>
                <w:lang w:val="en-US" w:eastAsia="zh-CN"/>
              </w:rPr>
              <w:t>U</w:t>
            </w:r>
            <w:r>
              <w:rPr>
                <w:rFonts w:hint="eastAsia"/>
                <w:highlight w:val="none"/>
                <w:vertAlign w:val="subscript"/>
                <w:lang w:val="en-US" w:eastAsia="zh-CN"/>
              </w:rPr>
              <w:t>c</w:t>
            </w:r>
            <w:r>
              <w:rPr>
                <w:rFonts w:hint="eastAsia"/>
                <w:highlight w:val="none"/>
                <w:lang w:val="en-US" w:eastAsia="zh-CN"/>
              </w:rPr>
              <w:t>——颗粒物排放量，t/a；</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eastAsia"/>
                <w:highlight w:val="none"/>
                <w:lang w:val="en-US" w:eastAsia="zh-CN"/>
              </w:rPr>
            </w:pPr>
            <w:r>
              <w:rPr>
                <w:rFonts w:hint="eastAsia"/>
                <w:highlight w:val="none"/>
                <w:lang w:val="en-US" w:eastAsia="zh-CN"/>
              </w:rPr>
              <w:t>C</w:t>
            </w:r>
            <w:r>
              <w:rPr>
                <w:rFonts w:hint="eastAsia"/>
                <w:highlight w:val="none"/>
                <w:vertAlign w:val="subscript"/>
                <w:lang w:val="en-US" w:eastAsia="zh-CN"/>
              </w:rPr>
              <w:t>m</w:t>
            </w:r>
            <w:r>
              <w:rPr>
                <w:rFonts w:hint="eastAsia"/>
                <w:highlight w:val="none"/>
                <w:lang w:val="en-US" w:eastAsia="zh-CN"/>
              </w:rPr>
              <w:t>——颗粒物控制措施控制效率（%），根据附录4，本项目取74%；</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1920" w:leftChars="500" w:hanging="720" w:hangingChars="300"/>
              <w:textAlignment w:val="auto"/>
              <w:rPr>
                <w:rFonts w:hint="default"/>
                <w:highlight w:val="none"/>
                <w:lang w:val="en-US" w:eastAsia="zh-CN"/>
              </w:rPr>
            </w:pPr>
            <w:r>
              <w:rPr>
                <w:rFonts w:hint="eastAsia"/>
                <w:highlight w:val="none"/>
                <w:lang w:val="en-US" w:eastAsia="zh-CN"/>
              </w:rPr>
              <w:t>T</w:t>
            </w:r>
            <w:r>
              <w:rPr>
                <w:rFonts w:hint="eastAsia"/>
                <w:highlight w:val="none"/>
                <w:vertAlign w:val="subscript"/>
                <w:lang w:val="en-US" w:eastAsia="zh-CN"/>
              </w:rPr>
              <w:t>m</w:t>
            </w:r>
            <w:r>
              <w:rPr>
                <w:rFonts w:hint="eastAsia"/>
                <w:highlight w:val="none"/>
                <w:lang w:val="en-US" w:eastAsia="zh-CN"/>
              </w:rPr>
              <w:t>——堆场类型控制效率（%），根据附录5，本项目封闭储煤仓库取99%，卸料区取0.6；</w:t>
            </w:r>
          </w:p>
          <w:p>
            <w:pPr>
              <w:bidi w:val="0"/>
              <w:spacing w:line="360" w:lineRule="auto"/>
              <w:ind w:firstLine="480" w:firstLineChars="200"/>
              <w:rPr>
                <w:rFonts w:hint="eastAsia"/>
                <w:sz w:val="24"/>
                <w:szCs w:val="24"/>
                <w:highlight w:val="none"/>
                <w:lang w:val="en-US" w:eastAsia="zh-CN"/>
              </w:rPr>
            </w:pPr>
            <w:r>
              <w:rPr>
                <w:rFonts w:hint="eastAsia"/>
                <w:sz w:val="24"/>
                <w:szCs w:val="24"/>
                <w:highlight w:val="none"/>
                <w:lang w:val="en-US" w:eastAsia="zh-CN"/>
              </w:rPr>
              <w:t>本项目建设全封闭储煤仓库，仓库地面全部硬化，煤炭装卸过程采取洒水喷淋控制措施。根据《排放源统计调查产排污核算方法和系数手册（2021）》中的《固体物料堆存颗粒物产排污核算系数手册》附录4中洒水控制效率为74%，仓库堆存颗粒物排放量为0.17t/a，排放速率为0.0681kg</w:t>
            </w:r>
            <w:r>
              <w:rPr>
                <w:rFonts w:hint="eastAsia"/>
                <w:color w:val="auto"/>
                <w:sz w:val="24"/>
                <w:szCs w:val="24"/>
                <w:highlight w:val="none"/>
                <w:lang w:val="en-US" w:eastAsia="zh-CN"/>
              </w:rPr>
              <w:t>/h（年工作2640h）；卸料区颗粒物排放量为3.18t/a，排放速率为1.206kg/h，堆存</w:t>
            </w:r>
            <w:r>
              <w:rPr>
                <w:rFonts w:hint="eastAsia"/>
                <w:sz w:val="24"/>
                <w:szCs w:val="24"/>
                <w:highlight w:val="none"/>
                <w:lang w:val="en-US" w:eastAsia="zh-CN"/>
              </w:rPr>
              <w:t>颗粒物排放情况见表4-2。</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421" w:firstLineChars="200"/>
              <w:jc w:val="center"/>
              <w:textAlignment w:val="auto"/>
              <w:outlineLvl w:val="9"/>
              <w:rPr>
                <w:rFonts w:hint="eastAsia" w:eastAsia="宋体"/>
                <w:sz w:val="21"/>
                <w:szCs w:val="21"/>
                <w:highlight w:val="none"/>
                <w:lang w:val="en-US" w:eastAsia="zh-CN"/>
              </w:rPr>
            </w:pPr>
            <w:r>
              <w:rPr>
                <w:rFonts w:hint="eastAsia" w:ascii="Times New Roman" w:hAnsi="Times New Roman" w:eastAsia="宋体" w:cs="Times New Roman"/>
                <w:b/>
                <w:kern w:val="0"/>
                <w:sz w:val="21"/>
                <w:szCs w:val="21"/>
                <w:highlight w:val="none"/>
                <w:lang w:val="en-US" w:eastAsia="zh-CN"/>
              </w:rPr>
              <w:t>表4-</w:t>
            </w:r>
            <w:r>
              <w:rPr>
                <w:rFonts w:hint="eastAsia" w:cs="Times New Roman"/>
                <w:b/>
                <w:kern w:val="0"/>
                <w:sz w:val="21"/>
                <w:szCs w:val="21"/>
                <w:highlight w:val="none"/>
                <w:lang w:val="en-US" w:eastAsia="zh-CN"/>
              </w:rPr>
              <w:t>2</w:t>
            </w:r>
            <w:r>
              <w:rPr>
                <w:rFonts w:hint="eastAsia" w:eastAsia="宋体" w:cs="Times New Roman"/>
                <w:b/>
                <w:kern w:val="0"/>
                <w:sz w:val="21"/>
                <w:szCs w:val="21"/>
                <w:highlight w:val="none"/>
                <w:lang w:val="en-US" w:eastAsia="zh-CN"/>
              </w:rPr>
              <w:t xml:space="preserve"> 装卸及堆存颗粒物</w:t>
            </w:r>
            <w:r>
              <w:rPr>
                <w:rFonts w:hint="eastAsia" w:cs="Times New Roman"/>
                <w:b/>
                <w:kern w:val="0"/>
                <w:sz w:val="21"/>
                <w:szCs w:val="21"/>
                <w:highlight w:val="none"/>
                <w:lang w:val="en-US" w:eastAsia="zh-CN"/>
              </w:rPr>
              <w:t>排放</w:t>
            </w:r>
            <w:r>
              <w:rPr>
                <w:rFonts w:hint="eastAsia" w:ascii="Times New Roman" w:hAnsi="Times New Roman" w:eastAsia="宋体" w:cs="Times New Roman"/>
                <w:b/>
                <w:kern w:val="0"/>
                <w:sz w:val="21"/>
                <w:szCs w:val="21"/>
                <w:highlight w:val="none"/>
                <w:lang w:val="en-US" w:eastAsia="zh-CN"/>
              </w:rPr>
              <w:t>情况一览表</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92"/>
              <w:gridCol w:w="1687"/>
              <w:gridCol w:w="1525"/>
              <w:gridCol w:w="1276"/>
              <w:gridCol w:w="1150"/>
              <w:gridCol w:w="1153"/>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9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参数</w:t>
                  </w:r>
                </w:p>
              </w:tc>
              <w:tc>
                <w:tcPr>
                  <w:tcW w:w="101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m:oMathPara>
                    <m:oMath>
                      <m:r>
                        <m:rPr/>
                        <w:rPr>
                          <w:rFonts w:hint="default" w:ascii="Cambria Math" w:hAnsi="Cambria Math" w:cs="Times New Roman"/>
                          <w:color w:val="auto"/>
                          <w:kern w:val="2"/>
                          <w:sz w:val="21"/>
                          <w:szCs w:val="21"/>
                          <w:highlight w:val="none"/>
                          <w:lang w:val="en-US" w:eastAsia="zh-CN" w:bidi="ar-SA"/>
                        </w:rPr>
                        <m:t>P</m:t>
                      </m:r>
                    </m:oMath>
                  </m:oMathPara>
                </w:p>
              </w:tc>
              <w:tc>
                <w:tcPr>
                  <w:tcW w:w="9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sz w:val="21"/>
                      <w:szCs w:val="21"/>
                      <w:highlight w:val="none"/>
                      <w:lang w:val="en-US" w:eastAsia="zh-CN"/>
                    </w:rPr>
                    <w:t>C</w:t>
                  </w:r>
                  <w:r>
                    <w:rPr>
                      <w:rFonts w:hint="eastAsia"/>
                      <w:sz w:val="21"/>
                      <w:szCs w:val="21"/>
                      <w:highlight w:val="none"/>
                      <w:vertAlign w:val="subscript"/>
                      <w:lang w:val="en-US" w:eastAsia="zh-CN"/>
                    </w:rPr>
                    <w:t>m</w:t>
                  </w:r>
                </w:p>
              </w:tc>
              <w:tc>
                <w:tcPr>
                  <w:tcW w:w="7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sz w:val="21"/>
                      <w:szCs w:val="21"/>
                      <w:highlight w:val="none"/>
                      <w:lang w:val="en-US" w:eastAsia="zh-CN"/>
                    </w:rPr>
                    <w:t>T</w:t>
                  </w:r>
                  <w:r>
                    <w:rPr>
                      <w:rFonts w:hint="eastAsia"/>
                      <w:sz w:val="21"/>
                      <w:szCs w:val="21"/>
                      <w:highlight w:val="none"/>
                      <w:vertAlign w:val="subscript"/>
                      <w:lang w:val="en-US" w:eastAsia="zh-CN"/>
                    </w:rPr>
                    <w:t>m</w:t>
                  </w:r>
                </w:p>
              </w:tc>
              <w:tc>
                <w:tcPr>
                  <w:tcW w:w="1389"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Cambria Math" w:hAnsi="Cambria Math" w:cs="Times New Roman"/>
                      <w:i/>
                      <w:color w:val="auto"/>
                      <w:kern w:val="2"/>
                      <w:sz w:val="21"/>
                      <w:szCs w:val="21"/>
                      <w:highlight w:val="none"/>
                      <w:lang w:val="en-US" w:eastAsia="zh-CN" w:bidi="ar-SA"/>
                    </w:rPr>
                  </w:pPr>
                  <m:oMathPara>
                    <m:oMath>
                      <m:r>
                        <m:rPr/>
                        <w:rPr>
                          <w:rFonts w:hint="eastAsia" w:ascii="Cambria Math" w:hAnsi="Cambria Math" w:cs="Times New Roman"/>
                          <w:color w:val="auto"/>
                          <w:kern w:val="2"/>
                          <w:sz w:val="21"/>
                          <w:szCs w:val="21"/>
                          <w:highlight w:val="none"/>
                          <w:lang w:val="en-US" w:eastAsia="zh-CN" w:bidi="ar-SA"/>
                        </w:rPr>
                        <m:t>U</m:t>
                      </m:r>
                      <m:r>
                        <m:rPr/>
                        <w:rPr>
                          <w:rFonts w:hint="eastAsia" w:ascii="Cambria Math" w:hAnsi="Cambria Math" w:cs="Times New Roman"/>
                          <w:color w:val="auto"/>
                          <w:kern w:val="2"/>
                          <w:sz w:val="21"/>
                          <w:szCs w:val="21"/>
                          <w:highlight w:val="none"/>
                          <w:vertAlign w:val="subscript"/>
                          <w:lang w:val="en-US" w:eastAsia="zh-CN" w:bidi="ar-SA"/>
                        </w:rPr>
                        <m:t>c</m:t>
                      </m:r>
                    </m:oMath>
                  </m:oMathPara>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9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单位</w:t>
                  </w:r>
                </w:p>
              </w:tc>
              <w:tc>
                <w:tcPr>
                  <w:tcW w:w="101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t/a</w:t>
                  </w:r>
                </w:p>
              </w:tc>
              <w:tc>
                <w:tcPr>
                  <w:tcW w:w="9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w:t>
                  </w:r>
                </w:p>
              </w:tc>
              <w:tc>
                <w:tcPr>
                  <w:tcW w:w="7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sz w:val="21"/>
                      <w:szCs w:val="21"/>
                      <w:highlight w:val="none"/>
                      <w:lang w:val="en-US" w:eastAsia="zh-CN"/>
                    </w:rPr>
                    <w:t>%</w:t>
                  </w:r>
                </w:p>
              </w:tc>
              <w:tc>
                <w:tcPr>
                  <w:tcW w:w="69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t/a</w:t>
                  </w:r>
                </w:p>
              </w:tc>
              <w:tc>
                <w:tcPr>
                  <w:tcW w:w="6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kg/h</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900"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取值</w:t>
                  </w:r>
                </w:p>
              </w:tc>
              <w:tc>
                <w:tcPr>
                  <w:tcW w:w="101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69.2</w:t>
                  </w:r>
                </w:p>
              </w:tc>
              <w:tc>
                <w:tcPr>
                  <w:tcW w:w="9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74</w:t>
                  </w:r>
                </w:p>
              </w:tc>
              <w:tc>
                <w:tcPr>
                  <w:tcW w:w="7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99</w:t>
                  </w:r>
                </w:p>
              </w:tc>
              <w:tc>
                <w:tcPr>
                  <w:tcW w:w="69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0.17</w:t>
                  </w:r>
                </w:p>
              </w:tc>
              <w:tc>
                <w:tcPr>
                  <w:tcW w:w="6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0.0681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90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p>
              </w:tc>
              <w:tc>
                <w:tcPr>
                  <w:tcW w:w="101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30.61</w:t>
                  </w:r>
                </w:p>
              </w:tc>
              <w:tc>
                <w:tcPr>
                  <w:tcW w:w="9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74</w:t>
                  </w:r>
                </w:p>
              </w:tc>
              <w:tc>
                <w:tcPr>
                  <w:tcW w:w="7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60</w:t>
                  </w:r>
                </w:p>
              </w:tc>
              <w:tc>
                <w:tcPr>
                  <w:tcW w:w="69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3.18</w:t>
                  </w:r>
                </w:p>
              </w:tc>
              <w:tc>
                <w:tcPr>
                  <w:tcW w:w="6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1.206</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9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总计</w:t>
                  </w:r>
                </w:p>
              </w:tc>
              <w:tc>
                <w:tcPr>
                  <w:tcW w:w="101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99.81</w:t>
                  </w:r>
                </w:p>
              </w:tc>
              <w:tc>
                <w:tcPr>
                  <w:tcW w:w="9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w:t>
                  </w:r>
                </w:p>
              </w:tc>
              <w:tc>
                <w:tcPr>
                  <w:tcW w:w="7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w:t>
                  </w:r>
                </w:p>
              </w:tc>
              <w:tc>
                <w:tcPr>
                  <w:tcW w:w="69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3.35</w:t>
                  </w:r>
                </w:p>
              </w:tc>
              <w:tc>
                <w:tcPr>
                  <w:tcW w:w="6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1.2741</w:t>
                  </w:r>
                </w:p>
              </w:tc>
            </w:tr>
          </w:tbl>
          <w:p>
            <w:pPr>
              <w:bidi w:val="0"/>
              <w:spacing w:line="360" w:lineRule="auto"/>
              <w:ind w:firstLine="480" w:firstLineChars="200"/>
              <w:rPr>
                <w:rFonts w:hint="eastAsia"/>
                <w:sz w:val="21"/>
                <w:szCs w:val="21"/>
                <w:highlight w:val="none"/>
                <w:lang w:val="en-US" w:eastAsia="zh-CN"/>
              </w:rPr>
            </w:pPr>
            <w:r>
              <w:rPr>
                <w:rFonts w:hint="eastAsia"/>
                <w:sz w:val="24"/>
                <w:szCs w:val="24"/>
                <w:highlight w:val="none"/>
                <w:lang w:val="en-US" w:eastAsia="zh-CN"/>
              </w:rPr>
              <w:t>本项目颗粒物年产生量为99.95t/a，排放量为3.39t/a，情况汇总详见表4-3。</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421" w:firstLineChars="200"/>
              <w:jc w:val="center"/>
              <w:textAlignment w:val="auto"/>
              <w:outlineLvl w:val="9"/>
              <w:rPr>
                <w:rFonts w:hint="eastAsia" w:ascii="Times New Roman" w:hAnsi="Times New Roman" w:eastAsia="宋体" w:cs="Times New Roman"/>
                <w:b/>
                <w:kern w:val="0"/>
                <w:sz w:val="21"/>
                <w:szCs w:val="21"/>
                <w:highlight w:val="none"/>
                <w:lang w:val="en-US" w:eastAsia="zh-CN"/>
              </w:rPr>
            </w:pPr>
            <w:r>
              <w:rPr>
                <w:rFonts w:hint="eastAsia" w:ascii="Times New Roman" w:hAnsi="Times New Roman" w:eastAsia="宋体" w:cs="Times New Roman"/>
                <w:b/>
                <w:kern w:val="0"/>
                <w:sz w:val="21"/>
                <w:szCs w:val="21"/>
                <w:highlight w:val="none"/>
                <w:lang w:val="en-US" w:eastAsia="zh-CN"/>
              </w:rPr>
              <w:t>表4-</w:t>
            </w:r>
            <w:r>
              <w:rPr>
                <w:rFonts w:hint="eastAsia" w:cs="Times New Roman"/>
                <w:b/>
                <w:kern w:val="0"/>
                <w:sz w:val="21"/>
                <w:szCs w:val="21"/>
                <w:highlight w:val="none"/>
                <w:lang w:val="en-US" w:eastAsia="zh-CN"/>
              </w:rPr>
              <w:t>3</w:t>
            </w:r>
            <w:r>
              <w:rPr>
                <w:rFonts w:hint="eastAsia" w:ascii="Times New Roman" w:hAnsi="Times New Roman" w:eastAsia="宋体" w:cs="Times New Roman"/>
                <w:b/>
                <w:kern w:val="0"/>
                <w:sz w:val="21"/>
                <w:szCs w:val="21"/>
                <w:highlight w:val="none"/>
                <w:lang w:val="en-US" w:eastAsia="zh-CN"/>
              </w:rPr>
              <w:t xml:space="preserve"> 本项目颗粒物产排情况一览表</w:t>
            </w:r>
            <w:r>
              <w:rPr>
                <w:rFonts w:hint="eastAsia" w:cs="Times New Roman"/>
                <w:b/>
                <w:kern w:val="0"/>
                <w:sz w:val="21"/>
                <w:szCs w:val="21"/>
                <w:highlight w:val="none"/>
                <w:lang w:val="en-US" w:eastAsia="zh-CN"/>
              </w:rPr>
              <w:t>（t/a）</w:t>
            </w:r>
          </w:p>
          <w:tbl>
            <w:tblPr>
              <w:tblStyle w:val="22"/>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67"/>
              <w:gridCol w:w="1663"/>
              <w:gridCol w:w="1501"/>
              <w:gridCol w:w="1258"/>
              <w:gridCol w:w="1258"/>
              <w:gridCol w:w="1132"/>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8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产污环节</w:t>
                  </w:r>
                </w:p>
              </w:tc>
              <w:tc>
                <w:tcPr>
                  <w:tcW w:w="10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污染物种类</w:t>
                  </w:r>
                </w:p>
              </w:tc>
              <w:tc>
                <w:tcPr>
                  <w:tcW w:w="9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产生量</w:t>
                  </w:r>
                </w:p>
              </w:tc>
              <w:tc>
                <w:tcPr>
                  <w:tcW w:w="7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排放方式</w:t>
                  </w:r>
                </w:p>
              </w:tc>
              <w:tc>
                <w:tcPr>
                  <w:tcW w:w="7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sz w:val="21"/>
                      <w:szCs w:val="21"/>
                      <w:highlight w:val="none"/>
                      <w:lang w:val="en-US" w:eastAsia="zh-CN"/>
                    </w:rPr>
                    <w:t>治理措施</w:t>
                  </w:r>
                </w:p>
              </w:tc>
              <w:tc>
                <w:tcPr>
                  <w:tcW w:w="6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Cambria Math" w:hAnsi="Cambria Math" w:cs="Times New Roman"/>
                      <w:i/>
                      <w:color w:val="auto"/>
                      <w:kern w:val="2"/>
                      <w:sz w:val="21"/>
                      <w:szCs w:val="21"/>
                      <w:highlight w:val="none"/>
                      <w:lang w:val="en-US" w:eastAsia="zh-CN" w:bidi="ar-SA"/>
                    </w:rPr>
                  </w:pPr>
                  <w:r>
                    <w:rPr>
                      <w:rFonts w:hint="eastAsia" w:hAnsi="Cambria Math" w:cs="Times New Roman"/>
                      <w:i w:val="0"/>
                      <w:color w:val="auto"/>
                      <w:kern w:val="2"/>
                      <w:sz w:val="21"/>
                      <w:szCs w:val="21"/>
                      <w:highlight w:val="none"/>
                      <w:lang w:val="en-US" w:eastAsia="zh-CN" w:bidi="ar-SA"/>
                    </w:rPr>
                    <w:t>排放量</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8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运输</w:t>
                  </w:r>
                </w:p>
              </w:tc>
              <w:tc>
                <w:tcPr>
                  <w:tcW w:w="10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颗粒物</w:t>
                  </w:r>
                </w:p>
              </w:tc>
              <w:tc>
                <w:tcPr>
                  <w:tcW w:w="9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0.1493</w:t>
                  </w:r>
                </w:p>
              </w:tc>
              <w:tc>
                <w:tcPr>
                  <w:tcW w:w="7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无组织</w:t>
                  </w:r>
                </w:p>
              </w:tc>
              <w:tc>
                <w:tcPr>
                  <w:tcW w:w="7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eastAsia="宋体" w:cs="Times New Roman"/>
                      <w:sz w:val="21"/>
                      <w:szCs w:val="21"/>
                      <w:highlight w:val="none"/>
                      <w:lang w:val="en-US" w:eastAsia="zh-CN"/>
                    </w:rPr>
                    <w:t>限速、洒水降尘</w:t>
                  </w:r>
                </w:p>
              </w:tc>
              <w:tc>
                <w:tcPr>
                  <w:tcW w:w="6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0.04479</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8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装卸及堆存</w:t>
                  </w:r>
                </w:p>
              </w:tc>
              <w:tc>
                <w:tcPr>
                  <w:tcW w:w="10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颗粒物</w:t>
                  </w:r>
                </w:p>
              </w:tc>
              <w:tc>
                <w:tcPr>
                  <w:tcW w:w="9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69.2</w:t>
                  </w:r>
                </w:p>
              </w:tc>
              <w:tc>
                <w:tcPr>
                  <w:tcW w:w="7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无组织</w:t>
                  </w:r>
                </w:p>
              </w:tc>
              <w:tc>
                <w:tcPr>
                  <w:tcW w:w="7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喷淋设施、厂房密闭</w:t>
                  </w:r>
                </w:p>
              </w:tc>
              <w:tc>
                <w:tcPr>
                  <w:tcW w:w="6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0.17</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8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火车卸料</w:t>
                  </w:r>
                </w:p>
              </w:tc>
              <w:tc>
                <w:tcPr>
                  <w:tcW w:w="10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颗粒物</w:t>
                  </w:r>
                </w:p>
              </w:tc>
              <w:tc>
                <w:tcPr>
                  <w:tcW w:w="9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30.61</w:t>
                  </w:r>
                </w:p>
              </w:tc>
              <w:tc>
                <w:tcPr>
                  <w:tcW w:w="7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无组织</w:t>
                  </w:r>
                </w:p>
              </w:tc>
              <w:tc>
                <w:tcPr>
                  <w:tcW w:w="7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喷淋设施</w:t>
                  </w:r>
                </w:p>
              </w:tc>
              <w:tc>
                <w:tcPr>
                  <w:tcW w:w="6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3.18</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86" w:type="pct"/>
                  <w:tcBorders>
                    <w:tl2br w:val="nil"/>
                    <w:tr2bl w:val="nil"/>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2"/>
                      <w:sz w:val="21"/>
                      <w:szCs w:val="21"/>
                      <w:highlight w:val="none"/>
                      <w:lang w:val="en-US" w:eastAsia="zh-CN" w:bidi="ar-SA"/>
                    </w:rPr>
                  </w:pPr>
                  <w:r>
                    <w:rPr>
                      <w:rFonts w:hint="eastAsia" w:cs="Times New Roman"/>
                      <w:sz w:val="21"/>
                      <w:szCs w:val="21"/>
                      <w:highlight w:val="none"/>
                      <w:lang w:val="en-US" w:eastAsia="zh-CN"/>
                    </w:rPr>
                    <w:t>合计</w:t>
                  </w:r>
                </w:p>
              </w:tc>
              <w:tc>
                <w:tcPr>
                  <w:tcW w:w="1004" w:type="pct"/>
                  <w:tcBorders>
                    <w:tl2br w:val="nil"/>
                    <w:tr2bl w:val="nil"/>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2"/>
                      <w:sz w:val="21"/>
                      <w:szCs w:val="21"/>
                      <w:highlight w:val="none"/>
                      <w:lang w:val="en-US" w:eastAsia="zh-CN" w:bidi="ar-SA"/>
                    </w:rPr>
                  </w:pPr>
                  <w:r>
                    <w:rPr>
                      <w:rFonts w:hint="eastAsia" w:cs="Times New Roman"/>
                      <w:sz w:val="21"/>
                      <w:szCs w:val="21"/>
                      <w:highlight w:val="none"/>
                      <w:lang w:val="en-US" w:eastAsia="zh-CN"/>
                    </w:rPr>
                    <w:t>/</w:t>
                  </w:r>
                </w:p>
              </w:tc>
              <w:tc>
                <w:tcPr>
                  <w:tcW w:w="906" w:type="pct"/>
                  <w:tcBorders>
                    <w:tl2br w:val="nil"/>
                    <w:tr2bl w:val="nil"/>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eastAsia" w:cs="Times New Roman"/>
                      <w:sz w:val="21"/>
                      <w:szCs w:val="21"/>
                      <w:highlight w:val="none"/>
                      <w:lang w:val="en-US" w:eastAsia="zh-CN"/>
                    </w:rPr>
                    <w:t>99.95</w:t>
                  </w:r>
                </w:p>
              </w:tc>
              <w:tc>
                <w:tcPr>
                  <w:tcW w:w="759" w:type="pct"/>
                  <w:tcBorders>
                    <w:tl2br w:val="nil"/>
                    <w:tr2bl w:val="nil"/>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2"/>
                      <w:sz w:val="21"/>
                      <w:szCs w:val="21"/>
                      <w:highlight w:val="none"/>
                      <w:lang w:val="en-US" w:eastAsia="zh-CN" w:bidi="ar-SA"/>
                    </w:rPr>
                  </w:pPr>
                  <w:r>
                    <w:rPr>
                      <w:rFonts w:hint="eastAsia" w:cs="Times New Roman"/>
                      <w:sz w:val="21"/>
                      <w:szCs w:val="21"/>
                      <w:highlight w:val="none"/>
                      <w:lang w:val="en-US" w:eastAsia="zh-CN"/>
                    </w:rPr>
                    <w:t>/</w:t>
                  </w:r>
                </w:p>
              </w:tc>
              <w:tc>
                <w:tcPr>
                  <w:tcW w:w="759" w:type="pct"/>
                  <w:tcBorders>
                    <w:tl2br w:val="nil"/>
                    <w:tr2bl w:val="nil"/>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2"/>
                      <w:sz w:val="21"/>
                      <w:szCs w:val="21"/>
                      <w:highlight w:val="none"/>
                      <w:lang w:val="en-US" w:eastAsia="zh-CN" w:bidi="ar-SA"/>
                    </w:rPr>
                  </w:pPr>
                  <w:r>
                    <w:rPr>
                      <w:rFonts w:hint="eastAsia" w:cs="Times New Roman"/>
                      <w:sz w:val="21"/>
                      <w:szCs w:val="21"/>
                      <w:highlight w:val="none"/>
                      <w:lang w:val="en-US" w:eastAsia="zh-CN"/>
                    </w:rPr>
                    <w:t>/</w:t>
                  </w:r>
                </w:p>
              </w:tc>
              <w:tc>
                <w:tcPr>
                  <w:tcW w:w="683" w:type="pct"/>
                  <w:tcBorders>
                    <w:tl2br w:val="nil"/>
                    <w:tr2bl w:val="nil"/>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eastAsia" w:cs="Times New Roman"/>
                      <w:kern w:val="2"/>
                      <w:sz w:val="21"/>
                      <w:szCs w:val="21"/>
                      <w:highlight w:val="none"/>
                      <w:lang w:val="en-US" w:eastAsia="zh-CN" w:bidi="ar-SA"/>
                    </w:rPr>
                    <w:t>3.39</w:t>
                  </w:r>
                </w:p>
              </w:tc>
            </w:tr>
          </w:tbl>
          <w:p>
            <w:pPr>
              <w:bidi w:val="0"/>
              <w:spacing w:line="360" w:lineRule="auto"/>
              <w:ind w:firstLine="480" w:firstLineChars="200"/>
              <w:rPr>
                <w:rFonts w:hint="eastAsia"/>
                <w:sz w:val="24"/>
                <w:szCs w:val="24"/>
                <w:highlight w:val="none"/>
                <w:lang w:val="en-US" w:eastAsia="zh-CN"/>
              </w:rPr>
            </w:pPr>
            <w:r>
              <w:rPr>
                <w:rFonts w:hint="eastAsia"/>
                <w:sz w:val="24"/>
                <w:szCs w:val="24"/>
                <w:highlight w:val="none"/>
                <w:lang w:val="en-US" w:eastAsia="zh-CN"/>
              </w:rPr>
              <w:t>本项目车辆运输采取限超限速、道路洒水、及时清扫等措施，储煤库全封闭，设置洒水抑尘设施，卸料区采取密闭卸料口、雾炮机等措施。厂界颗粒物满足《环境空气质量标准》（GB3095-2026）表2标准（0.9mg/m</w:t>
            </w:r>
            <w:r>
              <w:rPr>
                <w:rFonts w:hint="eastAsia"/>
                <w:sz w:val="24"/>
                <w:szCs w:val="24"/>
                <w:highlight w:val="none"/>
                <w:vertAlign w:val="superscript"/>
                <w:lang w:val="en-US" w:eastAsia="zh-CN"/>
              </w:rPr>
              <w:t>3</w:t>
            </w:r>
            <w:r>
              <w:rPr>
                <w:rFonts w:hint="eastAsia"/>
                <w:sz w:val="24"/>
                <w:szCs w:val="24"/>
                <w:highlight w:val="none"/>
                <w:lang w:val="en-US" w:eastAsia="zh-CN"/>
              </w:rPr>
              <w:t>）要求。</w:t>
            </w:r>
          </w:p>
          <w:p>
            <w:pPr>
              <w:bidi w:val="0"/>
              <w:spacing w:line="360" w:lineRule="auto"/>
              <w:ind w:firstLine="480" w:firstLineChars="200"/>
              <w:rPr>
                <w:rFonts w:hint="eastAsia"/>
                <w:sz w:val="24"/>
                <w:szCs w:val="24"/>
                <w:highlight w:val="none"/>
                <w:lang w:val="en-US" w:eastAsia="zh-CN"/>
              </w:rPr>
            </w:pPr>
            <w:r>
              <w:rPr>
                <w:rFonts w:hint="eastAsia"/>
                <w:sz w:val="24"/>
                <w:szCs w:val="24"/>
                <w:highlight w:val="none"/>
                <w:lang w:val="en-US" w:eastAsia="zh-CN"/>
              </w:rPr>
              <w:t>本项目无组织废气采用《环境影响评价技术导则一大气环境》(HJ2.2-2018)附录A推荐模型中的AERSCREEN 模式对污染物最大排放浓度进行预测，无组织面源相关参数详见表4-4。</w:t>
            </w:r>
          </w:p>
          <w:p>
            <w:pPr>
              <w:bidi w:val="0"/>
              <w:spacing w:line="360" w:lineRule="auto"/>
              <w:ind w:firstLine="480" w:firstLineChars="200"/>
              <w:rPr>
                <w:rFonts w:hint="eastAsia"/>
                <w:sz w:val="24"/>
                <w:szCs w:val="24"/>
                <w:highlight w:val="none"/>
                <w:lang w:val="en-US" w:eastAsia="zh-CN"/>
              </w:rPr>
            </w:pPr>
          </w:p>
          <w:p>
            <w:pPr>
              <w:bidi w:val="0"/>
              <w:spacing w:line="360" w:lineRule="auto"/>
              <w:ind w:firstLine="480" w:firstLineChars="200"/>
              <w:rPr>
                <w:rFonts w:hint="eastAsia"/>
                <w:sz w:val="24"/>
                <w:szCs w:val="24"/>
                <w:highlight w:val="none"/>
                <w:lang w:val="en-US" w:eastAsia="zh-CN"/>
              </w:rPr>
            </w:pPr>
          </w:p>
          <w:p>
            <w:pPr>
              <w:bidi w:val="0"/>
              <w:spacing w:line="360" w:lineRule="auto"/>
              <w:ind w:firstLine="480" w:firstLineChars="200"/>
              <w:rPr>
                <w:rFonts w:hint="eastAsia"/>
                <w:sz w:val="24"/>
                <w:szCs w:val="24"/>
                <w:highlight w:val="none"/>
                <w:lang w:val="en-US" w:eastAsia="zh-CN"/>
              </w:rPr>
            </w:pPr>
          </w:p>
          <w:p>
            <w:pPr>
              <w:bidi w:val="0"/>
              <w:spacing w:line="360" w:lineRule="auto"/>
              <w:ind w:firstLine="480" w:firstLineChars="200"/>
              <w:rPr>
                <w:rFonts w:hint="eastAsia"/>
                <w:sz w:val="24"/>
                <w:szCs w:val="24"/>
                <w:highlight w:val="none"/>
                <w:lang w:val="en-US" w:eastAsia="zh-CN"/>
              </w:rPr>
            </w:pPr>
          </w:p>
          <w:p>
            <w:pPr>
              <w:bidi w:val="0"/>
              <w:spacing w:line="240" w:lineRule="auto"/>
              <w:ind w:firstLine="421" w:firstLineChars="200"/>
              <w:jc w:val="center"/>
              <w:rPr>
                <w:rFonts w:hint="eastAsia"/>
                <w:b/>
                <w:bCs/>
                <w:sz w:val="21"/>
                <w:szCs w:val="21"/>
                <w:highlight w:val="none"/>
                <w:lang w:val="en-US" w:eastAsia="zh-CN"/>
              </w:rPr>
            </w:pPr>
            <w:r>
              <w:rPr>
                <w:rFonts w:hint="eastAsia"/>
                <w:b/>
                <w:bCs/>
                <w:sz w:val="21"/>
                <w:szCs w:val="21"/>
                <w:highlight w:val="none"/>
                <w:lang w:val="en-US" w:eastAsia="zh-CN"/>
              </w:rPr>
              <w:t>表4-4 本项目面源参数一览表</w:t>
            </w:r>
          </w:p>
          <w:tbl>
            <w:tblPr>
              <w:tblStyle w:val="22"/>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
              <w:gridCol w:w="818"/>
              <w:gridCol w:w="818"/>
              <w:gridCol w:w="665"/>
              <w:gridCol w:w="667"/>
              <w:gridCol w:w="667"/>
              <w:gridCol w:w="668"/>
              <w:gridCol w:w="668"/>
              <w:gridCol w:w="752"/>
              <w:gridCol w:w="670"/>
              <w:gridCol w:w="1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Merge w:val="restart"/>
                  <w:tcBorders>
                    <w:top w:val="double" w:color="auto" w:sz="4" w:space="0"/>
                    <w:left w:val="nil"/>
                  </w:tcBorders>
                  <w:vAlign w:val="center"/>
                </w:tcPr>
                <w:p>
                  <w:pPr>
                    <w:bidi w:val="0"/>
                    <w:spacing w:line="360" w:lineRule="auto"/>
                    <w:jc w:val="center"/>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名称</w:t>
                  </w:r>
                </w:p>
              </w:tc>
              <w:tc>
                <w:tcPr>
                  <w:tcW w:w="926" w:type="pct"/>
                  <w:gridSpan w:val="2"/>
                  <w:tcBorders>
                    <w:top w:val="double" w:color="auto" w:sz="4" w:space="0"/>
                  </w:tcBorders>
                  <w:vAlign w:val="center"/>
                </w:tcPr>
                <w:p>
                  <w:pPr>
                    <w:bidi w:val="0"/>
                    <w:spacing w:line="360" w:lineRule="auto"/>
                    <w:jc w:val="center"/>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面源中心坐标（m）</w:t>
                  </w:r>
                </w:p>
              </w:tc>
              <w:tc>
                <w:tcPr>
                  <w:tcW w:w="416" w:type="pct"/>
                  <w:vMerge w:val="restart"/>
                  <w:tcBorders>
                    <w:top w:val="double" w:color="auto" w:sz="4" w:space="0"/>
                  </w:tcBorders>
                  <w:vAlign w:val="center"/>
                </w:tcPr>
                <w:p>
                  <w:pPr>
                    <w:bidi w:val="0"/>
                    <w:spacing w:line="360" w:lineRule="auto"/>
                    <w:jc w:val="center"/>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面源海拔高度/m</w:t>
                  </w:r>
                </w:p>
              </w:tc>
              <w:tc>
                <w:tcPr>
                  <w:tcW w:w="416" w:type="pct"/>
                  <w:vMerge w:val="restart"/>
                  <w:tcBorders>
                    <w:top w:val="double" w:color="auto" w:sz="4" w:space="0"/>
                  </w:tcBorders>
                  <w:vAlign w:val="center"/>
                </w:tcPr>
                <w:p>
                  <w:pPr>
                    <w:bidi w:val="0"/>
                    <w:spacing w:line="360" w:lineRule="auto"/>
                    <w:jc w:val="center"/>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面源长度/m</w:t>
                  </w:r>
                </w:p>
              </w:tc>
              <w:tc>
                <w:tcPr>
                  <w:tcW w:w="416" w:type="pct"/>
                  <w:vMerge w:val="restart"/>
                  <w:tcBorders>
                    <w:top w:val="double" w:color="auto" w:sz="4" w:space="0"/>
                  </w:tcBorders>
                  <w:vAlign w:val="center"/>
                </w:tcPr>
                <w:p>
                  <w:pPr>
                    <w:bidi w:val="0"/>
                    <w:spacing w:line="360" w:lineRule="auto"/>
                    <w:jc w:val="center"/>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面源宽度/m</w:t>
                  </w:r>
                </w:p>
              </w:tc>
              <w:tc>
                <w:tcPr>
                  <w:tcW w:w="416" w:type="pct"/>
                  <w:vMerge w:val="restart"/>
                  <w:tcBorders>
                    <w:top w:val="double" w:color="auto" w:sz="4" w:space="0"/>
                  </w:tcBorders>
                  <w:vAlign w:val="center"/>
                </w:tcPr>
                <w:p>
                  <w:pPr>
                    <w:bidi w:val="0"/>
                    <w:spacing w:line="360" w:lineRule="auto"/>
                    <w:jc w:val="center"/>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与正北向夹角/</w:t>
                  </w:r>
                  <w:r>
                    <w:rPr>
                      <w:rFonts w:hint="eastAsia" w:ascii="Times New Roman" w:hAnsi="Times New Roman" w:eastAsia="宋体" w:cs="Times New Roman"/>
                      <w:b/>
                      <w:bCs/>
                      <w:sz w:val="21"/>
                      <w:szCs w:val="21"/>
                      <w:highlight w:val="none"/>
                      <w:vertAlign w:val="baseline"/>
                      <w:lang w:val="en-US" w:eastAsia="zh-CN"/>
                    </w:rPr>
                    <w:t xml:space="preserve"> </w:t>
                  </w:r>
                  <w:r>
                    <w:rPr>
                      <w:rFonts w:hint="default" w:ascii="Times New Roman" w:hAnsi="Times New Roman" w:eastAsia="宋体" w:cs="Times New Roman"/>
                      <w:b/>
                      <w:bCs/>
                      <w:sz w:val="21"/>
                      <w:szCs w:val="21"/>
                      <w:highlight w:val="none"/>
                      <w:vertAlign w:val="baseline"/>
                      <w:lang w:val="en-US" w:eastAsia="zh-CN"/>
                    </w:rPr>
                    <w:t>°</w:t>
                  </w:r>
                </w:p>
              </w:tc>
              <w:tc>
                <w:tcPr>
                  <w:tcW w:w="416" w:type="pct"/>
                  <w:vMerge w:val="restart"/>
                  <w:tcBorders>
                    <w:top w:val="double" w:color="auto" w:sz="4" w:space="0"/>
                  </w:tcBorders>
                  <w:vAlign w:val="center"/>
                </w:tcPr>
                <w:p>
                  <w:pPr>
                    <w:bidi w:val="0"/>
                    <w:spacing w:line="360" w:lineRule="auto"/>
                    <w:jc w:val="center"/>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面源有限排放高度/m</w:t>
                  </w:r>
                </w:p>
              </w:tc>
              <w:tc>
                <w:tcPr>
                  <w:tcW w:w="416" w:type="pct"/>
                  <w:vMerge w:val="restart"/>
                  <w:tcBorders>
                    <w:top w:val="double" w:color="auto" w:sz="4" w:space="0"/>
                  </w:tcBorders>
                  <w:vAlign w:val="center"/>
                </w:tcPr>
                <w:p>
                  <w:pPr>
                    <w:bidi w:val="0"/>
                    <w:spacing w:line="360" w:lineRule="auto"/>
                    <w:jc w:val="center"/>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年排放小时数/h</w:t>
                  </w:r>
                </w:p>
              </w:tc>
              <w:tc>
                <w:tcPr>
                  <w:tcW w:w="417" w:type="pct"/>
                  <w:vMerge w:val="restart"/>
                  <w:tcBorders>
                    <w:top w:val="double" w:color="auto" w:sz="4" w:space="0"/>
                  </w:tcBorders>
                  <w:vAlign w:val="center"/>
                </w:tcPr>
                <w:p>
                  <w:pPr>
                    <w:bidi w:val="0"/>
                    <w:spacing w:line="360" w:lineRule="auto"/>
                    <w:jc w:val="center"/>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排放工况</w:t>
                  </w:r>
                </w:p>
              </w:tc>
              <w:tc>
                <w:tcPr>
                  <w:tcW w:w="837" w:type="pct"/>
                  <w:tcBorders>
                    <w:top w:val="double" w:color="auto" w:sz="4" w:space="0"/>
                    <w:right w:val="nil"/>
                  </w:tcBorders>
                  <w:vAlign w:val="center"/>
                </w:tcPr>
                <w:p>
                  <w:pPr>
                    <w:bidi w:val="0"/>
                    <w:spacing w:line="360" w:lineRule="auto"/>
                    <w:jc w:val="center"/>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污染物排放速率（</w:t>
                  </w:r>
                  <w:r>
                    <w:rPr>
                      <w:rFonts w:hint="eastAsia" w:ascii="Times New Roman" w:hAnsi="Times New Roman" w:eastAsia="宋体" w:cs="Times New Roman"/>
                      <w:b/>
                      <w:bCs/>
                      <w:sz w:val="21"/>
                      <w:szCs w:val="21"/>
                      <w:highlight w:val="none"/>
                      <w:vertAlign w:val="baseline"/>
                      <w:lang w:val="en-US" w:eastAsia="zh-CN"/>
                    </w:rPr>
                    <w:t>t</w:t>
                  </w:r>
                  <w:r>
                    <w:rPr>
                      <w:rFonts w:hint="default" w:ascii="Times New Roman" w:hAnsi="Times New Roman" w:eastAsia="宋体" w:cs="Times New Roman"/>
                      <w:b/>
                      <w:bCs/>
                      <w:sz w:val="21"/>
                      <w:szCs w:val="21"/>
                      <w:highlight w:val="none"/>
                      <w:vertAlign w:val="baseline"/>
                      <w:lang w:val="en-US" w:eastAsia="zh-CN"/>
                    </w:rPr>
                    <w:t>/</w:t>
                  </w:r>
                  <w:r>
                    <w:rPr>
                      <w:rFonts w:hint="eastAsia" w:ascii="Times New Roman" w:hAnsi="Times New Roman" w:eastAsia="宋体" w:cs="Times New Roman"/>
                      <w:b/>
                      <w:bCs/>
                      <w:sz w:val="21"/>
                      <w:szCs w:val="21"/>
                      <w:highlight w:val="none"/>
                      <w:vertAlign w:val="baseline"/>
                      <w:lang w:val="en-US" w:eastAsia="zh-CN"/>
                    </w:rPr>
                    <w:t>a</w:t>
                  </w:r>
                  <w:r>
                    <w:rPr>
                      <w:rFonts w:hint="default" w:ascii="Times New Roman" w:hAnsi="Times New Roman" w:eastAsia="宋体" w:cs="Times New Roman"/>
                      <w:b/>
                      <w:bCs/>
                      <w:sz w:val="21"/>
                      <w:szCs w:val="21"/>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Merge w:val="continue"/>
                  <w:tcBorders>
                    <w:left w:val="nil"/>
                  </w:tcBorders>
                </w:tcPr>
                <w:p>
                  <w:pPr>
                    <w:bidi w:val="0"/>
                    <w:spacing w:line="360" w:lineRule="auto"/>
                    <w:jc w:val="both"/>
                    <w:rPr>
                      <w:rFonts w:hint="default" w:ascii="Times New Roman" w:hAnsi="Times New Roman" w:eastAsia="宋体" w:cs="Times New Roman"/>
                      <w:b/>
                      <w:bCs/>
                      <w:sz w:val="21"/>
                      <w:szCs w:val="21"/>
                      <w:highlight w:val="none"/>
                      <w:vertAlign w:val="baseline"/>
                      <w:lang w:val="en-US" w:eastAsia="zh-CN"/>
                    </w:rPr>
                  </w:pPr>
                </w:p>
              </w:tc>
              <w:tc>
                <w:tcPr>
                  <w:tcW w:w="506" w:type="pct"/>
                  <w:vAlign w:val="center"/>
                </w:tcPr>
                <w:p>
                  <w:pPr>
                    <w:bidi w:val="0"/>
                    <w:spacing w:line="360" w:lineRule="auto"/>
                    <w:jc w:val="center"/>
                    <w:rPr>
                      <w:rFonts w:hint="default" w:ascii="Times New Roman" w:hAnsi="Times New Roman" w:eastAsia="宋体" w:cs="Times New Roman"/>
                      <w:b/>
                      <w:bCs/>
                      <w:sz w:val="28"/>
                      <w:szCs w:val="28"/>
                      <w:highlight w:val="none"/>
                      <w:vertAlign w:val="baseline"/>
                      <w:lang w:val="en-US" w:eastAsia="zh-CN"/>
                    </w:rPr>
                  </w:pPr>
                  <w:r>
                    <w:rPr>
                      <w:rFonts w:hint="default" w:ascii="Times New Roman" w:hAnsi="Times New Roman" w:eastAsia="宋体" w:cs="Times New Roman"/>
                      <w:b/>
                      <w:bCs/>
                      <w:sz w:val="28"/>
                      <w:szCs w:val="28"/>
                      <w:highlight w:val="none"/>
                      <w:vertAlign w:val="baseline"/>
                      <w:lang w:val="en-US" w:eastAsia="zh-CN"/>
                    </w:rPr>
                    <w:t>x</w:t>
                  </w:r>
                </w:p>
              </w:tc>
              <w:tc>
                <w:tcPr>
                  <w:tcW w:w="419" w:type="pct"/>
                  <w:vAlign w:val="center"/>
                </w:tcPr>
                <w:p>
                  <w:pPr>
                    <w:bidi w:val="0"/>
                    <w:spacing w:line="360" w:lineRule="auto"/>
                    <w:jc w:val="center"/>
                    <w:rPr>
                      <w:rFonts w:hint="default" w:ascii="Times New Roman" w:hAnsi="Times New Roman" w:eastAsia="宋体" w:cs="Times New Roman"/>
                      <w:b/>
                      <w:bCs/>
                      <w:sz w:val="28"/>
                      <w:szCs w:val="28"/>
                      <w:highlight w:val="none"/>
                      <w:vertAlign w:val="baseline"/>
                      <w:lang w:val="en-US" w:eastAsia="zh-CN"/>
                    </w:rPr>
                  </w:pPr>
                  <w:r>
                    <w:rPr>
                      <w:rFonts w:hint="default" w:ascii="Times New Roman" w:hAnsi="Times New Roman" w:eastAsia="宋体" w:cs="Times New Roman"/>
                      <w:b/>
                      <w:bCs/>
                      <w:sz w:val="28"/>
                      <w:szCs w:val="28"/>
                      <w:highlight w:val="none"/>
                      <w:vertAlign w:val="baseline"/>
                      <w:lang w:val="en-US" w:eastAsia="zh-CN"/>
                    </w:rPr>
                    <w:t>y</w:t>
                  </w:r>
                </w:p>
              </w:tc>
              <w:tc>
                <w:tcPr>
                  <w:tcW w:w="416" w:type="pct"/>
                  <w:vMerge w:val="continue"/>
                </w:tcPr>
                <w:p>
                  <w:pPr>
                    <w:bidi w:val="0"/>
                    <w:spacing w:line="360" w:lineRule="auto"/>
                    <w:jc w:val="both"/>
                    <w:rPr>
                      <w:rFonts w:hint="default" w:ascii="Times New Roman" w:hAnsi="Times New Roman" w:eastAsia="宋体" w:cs="Times New Roman"/>
                      <w:b/>
                      <w:bCs/>
                      <w:sz w:val="21"/>
                      <w:szCs w:val="21"/>
                      <w:highlight w:val="none"/>
                      <w:vertAlign w:val="baseline"/>
                      <w:lang w:val="en-US" w:eastAsia="zh-CN"/>
                    </w:rPr>
                  </w:pPr>
                </w:p>
              </w:tc>
              <w:tc>
                <w:tcPr>
                  <w:tcW w:w="416" w:type="pct"/>
                  <w:vMerge w:val="continue"/>
                </w:tcPr>
                <w:p>
                  <w:pPr>
                    <w:bidi w:val="0"/>
                    <w:spacing w:line="360" w:lineRule="auto"/>
                    <w:jc w:val="both"/>
                    <w:rPr>
                      <w:rFonts w:hint="default" w:ascii="Times New Roman" w:hAnsi="Times New Roman" w:eastAsia="宋体" w:cs="Times New Roman"/>
                      <w:b/>
                      <w:bCs/>
                      <w:sz w:val="21"/>
                      <w:szCs w:val="21"/>
                      <w:highlight w:val="none"/>
                      <w:vertAlign w:val="baseline"/>
                      <w:lang w:val="en-US" w:eastAsia="zh-CN"/>
                    </w:rPr>
                  </w:pPr>
                </w:p>
              </w:tc>
              <w:tc>
                <w:tcPr>
                  <w:tcW w:w="416" w:type="pct"/>
                  <w:vMerge w:val="continue"/>
                </w:tcPr>
                <w:p>
                  <w:pPr>
                    <w:bidi w:val="0"/>
                    <w:spacing w:line="360" w:lineRule="auto"/>
                    <w:jc w:val="both"/>
                    <w:rPr>
                      <w:rFonts w:hint="default" w:ascii="Times New Roman" w:hAnsi="Times New Roman" w:eastAsia="宋体" w:cs="Times New Roman"/>
                      <w:b/>
                      <w:bCs/>
                      <w:sz w:val="21"/>
                      <w:szCs w:val="21"/>
                      <w:highlight w:val="none"/>
                      <w:vertAlign w:val="baseline"/>
                      <w:lang w:val="en-US" w:eastAsia="zh-CN"/>
                    </w:rPr>
                  </w:pPr>
                </w:p>
              </w:tc>
              <w:tc>
                <w:tcPr>
                  <w:tcW w:w="416" w:type="pct"/>
                  <w:vMerge w:val="continue"/>
                </w:tcPr>
                <w:p>
                  <w:pPr>
                    <w:bidi w:val="0"/>
                    <w:spacing w:line="360" w:lineRule="auto"/>
                    <w:jc w:val="both"/>
                    <w:rPr>
                      <w:rFonts w:hint="default" w:ascii="Times New Roman" w:hAnsi="Times New Roman" w:eastAsia="宋体" w:cs="Times New Roman"/>
                      <w:b/>
                      <w:bCs/>
                      <w:sz w:val="21"/>
                      <w:szCs w:val="21"/>
                      <w:highlight w:val="none"/>
                      <w:vertAlign w:val="baseline"/>
                      <w:lang w:val="en-US" w:eastAsia="zh-CN"/>
                    </w:rPr>
                  </w:pPr>
                </w:p>
              </w:tc>
              <w:tc>
                <w:tcPr>
                  <w:tcW w:w="416" w:type="pct"/>
                  <w:vMerge w:val="continue"/>
                </w:tcPr>
                <w:p>
                  <w:pPr>
                    <w:bidi w:val="0"/>
                    <w:spacing w:line="360" w:lineRule="auto"/>
                    <w:jc w:val="both"/>
                    <w:rPr>
                      <w:rFonts w:hint="default" w:ascii="Times New Roman" w:hAnsi="Times New Roman" w:eastAsia="宋体" w:cs="Times New Roman"/>
                      <w:b/>
                      <w:bCs/>
                      <w:sz w:val="21"/>
                      <w:szCs w:val="21"/>
                      <w:highlight w:val="none"/>
                      <w:vertAlign w:val="baseline"/>
                      <w:lang w:val="en-US" w:eastAsia="zh-CN"/>
                    </w:rPr>
                  </w:pPr>
                </w:p>
              </w:tc>
              <w:tc>
                <w:tcPr>
                  <w:tcW w:w="416" w:type="pct"/>
                  <w:vMerge w:val="continue"/>
                </w:tcPr>
                <w:p>
                  <w:pPr>
                    <w:bidi w:val="0"/>
                    <w:spacing w:line="360" w:lineRule="auto"/>
                    <w:jc w:val="both"/>
                    <w:rPr>
                      <w:rFonts w:hint="default" w:ascii="Times New Roman" w:hAnsi="Times New Roman" w:eastAsia="宋体" w:cs="Times New Roman"/>
                      <w:b/>
                      <w:bCs/>
                      <w:sz w:val="21"/>
                      <w:szCs w:val="21"/>
                      <w:highlight w:val="none"/>
                      <w:vertAlign w:val="baseline"/>
                      <w:lang w:val="en-US" w:eastAsia="zh-CN"/>
                    </w:rPr>
                  </w:pPr>
                </w:p>
              </w:tc>
              <w:tc>
                <w:tcPr>
                  <w:tcW w:w="417" w:type="pct"/>
                  <w:vMerge w:val="continue"/>
                </w:tcPr>
                <w:p>
                  <w:pPr>
                    <w:bidi w:val="0"/>
                    <w:spacing w:line="360" w:lineRule="auto"/>
                    <w:jc w:val="both"/>
                    <w:rPr>
                      <w:rFonts w:hint="default" w:ascii="Times New Roman" w:hAnsi="Times New Roman" w:eastAsia="宋体" w:cs="Times New Roman"/>
                      <w:b/>
                      <w:bCs/>
                      <w:sz w:val="21"/>
                      <w:szCs w:val="21"/>
                      <w:highlight w:val="none"/>
                      <w:vertAlign w:val="baseline"/>
                      <w:lang w:val="en-US" w:eastAsia="zh-CN"/>
                    </w:rPr>
                  </w:pPr>
                </w:p>
              </w:tc>
              <w:tc>
                <w:tcPr>
                  <w:tcW w:w="837" w:type="pct"/>
                  <w:tcBorders>
                    <w:right w:val="nil"/>
                  </w:tcBorders>
                  <w:vAlign w:val="center"/>
                </w:tcPr>
                <w:p>
                  <w:pPr>
                    <w:bidi w:val="0"/>
                    <w:spacing w:line="360" w:lineRule="auto"/>
                    <w:jc w:val="center"/>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TSP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tcBorders>
                    <w:left w:val="nil"/>
                    <w:bottom w:val="double" w:color="auto" w:sz="4" w:space="0"/>
                  </w:tcBorders>
                  <w:vAlign w:val="center"/>
                </w:tcPr>
                <w:p>
                  <w:pPr>
                    <w:bidi w:val="0"/>
                    <w:spacing w:line="360" w:lineRule="auto"/>
                    <w:jc w:val="center"/>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cs="Times New Roman"/>
                      <w:sz w:val="21"/>
                      <w:szCs w:val="21"/>
                      <w:highlight w:val="none"/>
                      <w:vertAlign w:val="baseline"/>
                      <w:lang w:val="en-US" w:eastAsia="zh-CN"/>
                    </w:rPr>
                    <w:t>储煤场</w:t>
                  </w:r>
                </w:p>
              </w:tc>
              <w:tc>
                <w:tcPr>
                  <w:tcW w:w="506" w:type="pct"/>
                  <w:tcBorders>
                    <w:bottom w:val="double" w:color="auto" w:sz="4" w:space="0"/>
                  </w:tcBorders>
                  <w:vAlign w:val="center"/>
                </w:tcPr>
                <w:p>
                  <w:pPr>
                    <w:bidi w:val="0"/>
                    <w:spacing w:line="360" w:lineRule="auto"/>
                    <w:jc w:val="center"/>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265.9</w:t>
                  </w:r>
                </w:p>
              </w:tc>
              <w:tc>
                <w:tcPr>
                  <w:tcW w:w="419" w:type="pct"/>
                  <w:tcBorders>
                    <w:bottom w:val="double" w:color="auto" w:sz="4" w:space="0"/>
                  </w:tcBorders>
                  <w:vAlign w:val="center"/>
                </w:tcPr>
                <w:p>
                  <w:pPr>
                    <w:bidi w:val="0"/>
                    <w:spacing w:line="360" w:lineRule="auto"/>
                    <w:jc w:val="center"/>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115.7</w:t>
                  </w:r>
                </w:p>
              </w:tc>
              <w:tc>
                <w:tcPr>
                  <w:tcW w:w="416" w:type="pct"/>
                  <w:tcBorders>
                    <w:bottom w:val="double" w:color="auto" w:sz="4" w:space="0"/>
                  </w:tcBorders>
                  <w:vAlign w:val="center"/>
                </w:tcPr>
                <w:p>
                  <w:pPr>
                    <w:bidi w:val="0"/>
                    <w:spacing w:line="360" w:lineRule="auto"/>
                    <w:jc w:val="center"/>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146</w:t>
                  </w:r>
                </w:p>
              </w:tc>
              <w:tc>
                <w:tcPr>
                  <w:tcW w:w="416" w:type="pct"/>
                  <w:tcBorders>
                    <w:bottom w:val="double" w:color="auto" w:sz="4" w:space="0"/>
                  </w:tcBorders>
                  <w:vAlign w:val="center"/>
                </w:tcPr>
                <w:p>
                  <w:pPr>
                    <w:bidi w:val="0"/>
                    <w:spacing w:line="360" w:lineRule="auto"/>
                    <w:jc w:val="center"/>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520</w:t>
                  </w:r>
                </w:p>
              </w:tc>
              <w:tc>
                <w:tcPr>
                  <w:tcW w:w="416" w:type="pct"/>
                  <w:tcBorders>
                    <w:bottom w:val="double" w:color="auto" w:sz="4" w:space="0"/>
                  </w:tcBorders>
                  <w:vAlign w:val="center"/>
                </w:tcPr>
                <w:p>
                  <w:pPr>
                    <w:bidi w:val="0"/>
                    <w:spacing w:line="360" w:lineRule="auto"/>
                    <w:jc w:val="center"/>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160</w:t>
                  </w:r>
                </w:p>
              </w:tc>
              <w:tc>
                <w:tcPr>
                  <w:tcW w:w="416" w:type="pct"/>
                  <w:tcBorders>
                    <w:bottom w:val="double" w:color="auto" w:sz="4" w:space="0"/>
                  </w:tcBorders>
                  <w:vAlign w:val="center"/>
                </w:tcPr>
                <w:p>
                  <w:pPr>
                    <w:bidi w:val="0"/>
                    <w:spacing w:line="360" w:lineRule="auto"/>
                    <w:jc w:val="center"/>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0</w:t>
                  </w:r>
                </w:p>
              </w:tc>
              <w:tc>
                <w:tcPr>
                  <w:tcW w:w="416" w:type="pct"/>
                  <w:tcBorders>
                    <w:bottom w:val="double" w:color="auto" w:sz="4" w:space="0"/>
                  </w:tcBorders>
                  <w:vAlign w:val="center"/>
                </w:tcPr>
                <w:p>
                  <w:pPr>
                    <w:bidi w:val="0"/>
                    <w:spacing w:line="360" w:lineRule="auto"/>
                    <w:jc w:val="center"/>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7</w:t>
                  </w:r>
                </w:p>
              </w:tc>
              <w:tc>
                <w:tcPr>
                  <w:tcW w:w="416" w:type="pct"/>
                  <w:tcBorders>
                    <w:bottom w:val="double" w:color="auto" w:sz="4" w:space="0"/>
                  </w:tcBorders>
                  <w:vAlign w:val="center"/>
                </w:tcPr>
                <w:p>
                  <w:pPr>
                    <w:bidi w:val="0"/>
                    <w:spacing w:line="360" w:lineRule="auto"/>
                    <w:jc w:val="center"/>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2640</w:t>
                  </w:r>
                </w:p>
              </w:tc>
              <w:tc>
                <w:tcPr>
                  <w:tcW w:w="417" w:type="pct"/>
                  <w:tcBorders>
                    <w:bottom w:val="double" w:color="auto" w:sz="4" w:space="0"/>
                  </w:tcBorders>
                  <w:vAlign w:val="center"/>
                </w:tcPr>
                <w:p>
                  <w:pPr>
                    <w:bidi w:val="0"/>
                    <w:spacing w:line="360" w:lineRule="auto"/>
                    <w:jc w:val="center"/>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正常</w:t>
                  </w:r>
                </w:p>
              </w:tc>
              <w:tc>
                <w:tcPr>
                  <w:tcW w:w="837" w:type="pct"/>
                  <w:tcBorders>
                    <w:bottom w:val="double" w:color="auto" w:sz="4" w:space="0"/>
                    <w:right w:val="nil"/>
                  </w:tcBorders>
                  <w:vAlign w:val="center"/>
                </w:tcPr>
                <w:p>
                  <w:pPr>
                    <w:bidi w:val="0"/>
                    <w:spacing w:line="360" w:lineRule="auto"/>
                    <w:jc w:val="center"/>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3.39</w:t>
                  </w:r>
                </w:p>
              </w:tc>
            </w:tr>
          </w:tbl>
          <w:p>
            <w:pPr>
              <w:bidi w:val="0"/>
              <w:spacing w:line="360" w:lineRule="auto"/>
              <w:ind w:firstLine="421" w:firstLineChars="200"/>
              <w:jc w:val="both"/>
              <w:rPr>
                <w:rFonts w:hint="default"/>
                <w:sz w:val="21"/>
                <w:szCs w:val="21"/>
                <w:highlight w:val="none"/>
                <w:lang w:val="en-US" w:eastAsia="zh-CN"/>
              </w:rPr>
            </w:pPr>
            <w:r>
              <w:rPr>
                <w:rFonts w:hint="eastAsia" w:cs="宋体"/>
                <w:b/>
                <w:bCs/>
                <w:sz w:val="21"/>
                <w:szCs w:val="21"/>
                <w:highlight w:val="none"/>
                <w:lang w:val="en-US" w:eastAsia="zh-CN"/>
              </w:rPr>
              <w:t>注：以厂区西南边界为零点。</w:t>
            </w:r>
          </w:p>
          <w:p>
            <w:pPr>
              <w:bidi w:val="0"/>
              <w:spacing w:line="360" w:lineRule="auto"/>
              <w:ind w:firstLine="480" w:firstLineChars="200"/>
              <w:rPr>
                <w:rFonts w:hint="eastAsia"/>
                <w:sz w:val="24"/>
                <w:szCs w:val="24"/>
                <w:highlight w:val="none"/>
                <w:lang w:val="en-US" w:eastAsia="zh-CN"/>
              </w:rPr>
            </w:pPr>
            <w:r>
              <w:rPr>
                <w:rFonts w:hint="eastAsia"/>
                <w:sz w:val="24"/>
                <w:szCs w:val="24"/>
                <w:highlight w:val="none"/>
                <w:lang w:val="en-US" w:eastAsia="zh-CN"/>
              </w:rPr>
              <w:t>根据导则推荐的估算模式，本项目无组织废气排放估算结果见表4-5。</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421" w:firstLineChars="200"/>
              <w:jc w:val="center"/>
              <w:textAlignment w:val="auto"/>
              <w:outlineLvl w:val="9"/>
              <w:rPr>
                <w:rFonts w:hint="eastAsia" w:ascii="Times New Roman" w:hAnsi="Times New Roman" w:eastAsia="宋体" w:cs="Times New Roman"/>
                <w:b/>
                <w:kern w:val="0"/>
                <w:sz w:val="21"/>
                <w:szCs w:val="21"/>
                <w:highlight w:val="none"/>
                <w:lang w:val="en-US" w:eastAsia="zh-CN"/>
              </w:rPr>
            </w:pPr>
            <w:r>
              <w:rPr>
                <w:rFonts w:hint="eastAsia" w:ascii="Times New Roman" w:hAnsi="Times New Roman" w:eastAsia="宋体" w:cs="Times New Roman"/>
                <w:b/>
                <w:kern w:val="0"/>
                <w:sz w:val="21"/>
                <w:szCs w:val="21"/>
                <w:highlight w:val="none"/>
                <w:lang w:val="en-US" w:eastAsia="zh-CN"/>
              </w:rPr>
              <w:t>表4-</w:t>
            </w:r>
            <w:r>
              <w:rPr>
                <w:rFonts w:hint="eastAsia" w:cs="Times New Roman"/>
                <w:b/>
                <w:kern w:val="0"/>
                <w:sz w:val="21"/>
                <w:szCs w:val="21"/>
                <w:highlight w:val="none"/>
                <w:lang w:val="en-US" w:eastAsia="zh-CN"/>
              </w:rPr>
              <w:t>5</w:t>
            </w:r>
            <w:r>
              <w:rPr>
                <w:rFonts w:hint="eastAsia" w:ascii="Times New Roman" w:hAnsi="Times New Roman" w:eastAsia="宋体" w:cs="Times New Roman"/>
                <w:b/>
                <w:kern w:val="0"/>
                <w:sz w:val="21"/>
                <w:szCs w:val="21"/>
                <w:highlight w:val="none"/>
                <w:lang w:val="en-US" w:eastAsia="zh-CN"/>
              </w:rPr>
              <w:t xml:space="preserve"> 本项目</w:t>
            </w:r>
            <w:r>
              <w:rPr>
                <w:rFonts w:hint="eastAsia" w:cs="Times New Roman"/>
                <w:b/>
                <w:kern w:val="0"/>
                <w:sz w:val="21"/>
                <w:szCs w:val="21"/>
                <w:highlight w:val="none"/>
                <w:lang w:val="en-US" w:eastAsia="zh-CN"/>
              </w:rPr>
              <w:t>无组织废气估算排放结果</w:t>
            </w:r>
            <w:r>
              <w:rPr>
                <w:rFonts w:hint="eastAsia" w:ascii="Times New Roman" w:hAnsi="Times New Roman" w:eastAsia="宋体" w:cs="Times New Roman"/>
                <w:b/>
                <w:kern w:val="0"/>
                <w:sz w:val="21"/>
                <w:szCs w:val="21"/>
                <w:highlight w:val="none"/>
                <w:lang w:val="en-US" w:eastAsia="zh-CN"/>
              </w:rPr>
              <w:t>情况一览表</w:t>
            </w:r>
          </w:p>
          <w:tbl>
            <w:tblPr>
              <w:tblStyle w:val="21"/>
              <w:tblW w:w="4998" w:type="pct"/>
              <w:tblInd w:w="0" w:type="dxa"/>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910"/>
              <w:gridCol w:w="1083"/>
              <w:gridCol w:w="1290"/>
              <w:gridCol w:w="1502"/>
              <w:gridCol w:w="1502"/>
              <w:gridCol w:w="1033"/>
              <w:gridCol w:w="963"/>
            </w:tblGrid>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trPr>
              <w:tc>
                <w:tcPr>
                  <w:tcW w:w="549" w:type="pct"/>
                  <w:tcBorders>
                    <w:right w:val="single" w:color="auto" w:sz="4" w:space="0"/>
                  </w:tcBorders>
                  <w:noWrap w:val="0"/>
                  <w:vAlign w:val="center"/>
                </w:tcPr>
                <w:p>
                  <w:pPr>
                    <w:adjustRightInd w:val="0"/>
                    <w:snapToGrid w:val="0"/>
                    <w:jc w:val="center"/>
                    <w:rPr>
                      <w:rFonts w:hint="eastAsia"/>
                      <w:b/>
                      <w:color w:val="auto"/>
                      <w:sz w:val="21"/>
                      <w:szCs w:val="21"/>
                      <w:highlight w:val="none"/>
                    </w:rPr>
                  </w:pPr>
                  <w:r>
                    <w:rPr>
                      <w:rFonts w:hint="eastAsia"/>
                      <w:b/>
                      <w:color w:val="auto"/>
                      <w:sz w:val="21"/>
                      <w:szCs w:val="21"/>
                      <w:highlight w:val="none"/>
                    </w:rPr>
                    <w:t>类型</w:t>
                  </w:r>
                </w:p>
              </w:tc>
              <w:tc>
                <w:tcPr>
                  <w:tcW w:w="653" w:type="pct"/>
                  <w:noWrap w:val="0"/>
                  <w:vAlign w:val="center"/>
                </w:tcPr>
                <w:p>
                  <w:pPr>
                    <w:adjustRightInd w:val="0"/>
                    <w:snapToGrid w:val="0"/>
                    <w:jc w:val="center"/>
                    <w:rPr>
                      <w:rFonts w:hint="eastAsia"/>
                      <w:b/>
                      <w:color w:val="auto"/>
                      <w:sz w:val="21"/>
                      <w:szCs w:val="21"/>
                      <w:highlight w:val="none"/>
                    </w:rPr>
                  </w:pPr>
                  <w:r>
                    <w:rPr>
                      <w:rFonts w:hint="eastAsia"/>
                      <w:b/>
                      <w:color w:val="auto"/>
                      <w:sz w:val="21"/>
                      <w:szCs w:val="21"/>
                      <w:highlight w:val="none"/>
                    </w:rPr>
                    <w:t>污染源</w:t>
                  </w:r>
                </w:p>
              </w:tc>
              <w:tc>
                <w:tcPr>
                  <w:tcW w:w="778" w:type="pct"/>
                  <w:noWrap w:val="0"/>
                  <w:vAlign w:val="center"/>
                </w:tcPr>
                <w:p>
                  <w:pPr>
                    <w:adjustRightInd w:val="0"/>
                    <w:snapToGrid w:val="0"/>
                    <w:jc w:val="center"/>
                    <w:rPr>
                      <w:rFonts w:hint="eastAsia"/>
                      <w:b/>
                      <w:color w:val="auto"/>
                      <w:sz w:val="21"/>
                      <w:szCs w:val="21"/>
                      <w:highlight w:val="none"/>
                    </w:rPr>
                  </w:pPr>
                  <w:r>
                    <w:rPr>
                      <w:rFonts w:hint="eastAsia"/>
                      <w:b/>
                      <w:color w:val="auto"/>
                      <w:sz w:val="21"/>
                      <w:szCs w:val="21"/>
                      <w:highlight w:val="none"/>
                    </w:rPr>
                    <w:t>污染物</w:t>
                  </w:r>
                </w:p>
              </w:tc>
              <w:tc>
                <w:tcPr>
                  <w:tcW w:w="906" w:type="pct"/>
                  <w:noWrap w:val="0"/>
                  <w:vAlign w:val="center"/>
                </w:tcPr>
                <w:p>
                  <w:pPr>
                    <w:adjustRightInd w:val="0"/>
                    <w:snapToGrid w:val="0"/>
                    <w:jc w:val="center"/>
                    <w:rPr>
                      <w:rFonts w:hint="eastAsia"/>
                      <w:b/>
                      <w:color w:val="auto"/>
                      <w:sz w:val="21"/>
                      <w:szCs w:val="21"/>
                      <w:highlight w:val="none"/>
                    </w:rPr>
                  </w:pPr>
                  <w:r>
                    <w:rPr>
                      <w:rFonts w:hint="eastAsia"/>
                      <w:b/>
                      <w:color w:val="auto"/>
                      <w:sz w:val="21"/>
                      <w:szCs w:val="21"/>
                      <w:highlight w:val="none"/>
                    </w:rPr>
                    <w:t>最大落地浓度（mg/m</w:t>
                  </w:r>
                  <w:r>
                    <w:rPr>
                      <w:rFonts w:hint="eastAsia"/>
                      <w:b/>
                      <w:color w:val="auto"/>
                      <w:sz w:val="21"/>
                      <w:szCs w:val="21"/>
                      <w:highlight w:val="none"/>
                      <w:vertAlign w:val="superscript"/>
                    </w:rPr>
                    <w:t>3</w:t>
                  </w:r>
                  <w:r>
                    <w:rPr>
                      <w:rFonts w:hint="eastAsia"/>
                      <w:b/>
                      <w:color w:val="auto"/>
                      <w:sz w:val="21"/>
                      <w:szCs w:val="21"/>
                      <w:highlight w:val="none"/>
                    </w:rPr>
                    <w:t>）</w:t>
                  </w:r>
                </w:p>
              </w:tc>
              <w:tc>
                <w:tcPr>
                  <w:tcW w:w="906" w:type="pct"/>
                  <w:noWrap w:val="0"/>
                  <w:vAlign w:val="center"/>
                </w:tcPr>
                <w:p>
                  <w:pPr>
                    <w:adjustRightInd w:val="0"/>
                    <w:snapToGrid w:val="0"/>
                    <w:jc w:val="center"/>
                    <w:rPr>
                      <w:rFonts w:hint="eastAsia"/>
                      <w:b/>
                      <w:color w:val="auto"/>
                      <w:sz w:val="21"/>
                      <w:szCs w:val="21"/>
                      <w:highlight w:val="none"/>
                    </w:rPr>
                  </w:pPr>
                  <w:r>
                    <w:rPr>
                      <w:rFonts w:hint="eastAsia"/>
                      <w:b/>
                      <w:color w:val="auto"/>
                      <w:sz w:val="21"/>
                      <w:szCs w:val="21"/>
                      <w:highlight w:val="none"/>
                    </w:rPr>
                    <w:t>评价标准（mg/m</w:t>
                  </w:r>
                  <w:r>
                    <w:rPr>
                      <w:rFonts w:hint="eastAsia"/>
                      <w:b/>
                      <w:color w:val="auto"/>
                      <w:sz w:val="21"/>
                      <w:szCs w:val="21"/>
                      <w:highlight w:val="none"/>
                      <w:vertAlign w:val="superscript"/>
                    </w:rPr>
                    <w:t>3</w:t>
                  </w:r>
                  <w:r>
                    <w:rPr>
                      <w:rFonts w:hint="eastAsia"/>
                      <w:b/>
                      <w:color w:val="auto"/>
                      <w:sz w:val="21"/>
                      <w:szCs w:val="21"/>
                      <w:highlight w:val="none"/>
                    </w:rPr>
                    <w:t>）</w:t>
                  </w:r>
                </w:p>
              </w:tc>
              <w:tc>
                <w:tcPr>
                  <w:tcW w:w="623" w:type="pct"/>
                  <w:tcBorders>
                    <w:right w:val="single" w:color="auto" w:sz="4" w:space="0"/>
                  </w:tcBorders>
                  <w:noWrap w:val="0"/>
                  <w:vAlign w:val="center"/>
                </w:tcPr>
                <w:p>
                  <w:pPr>
                    <w:adjustRightInd w:val="0"/>
                    <w:snapToGrid w:val="0"/>
                    <w:jc w:val="center"/>
                    <w:rPr>
                      <w:b/>
                      <w:color w:val="auto"/>
                      <w:sz w:val="21"/>
                      <w:szCs w:val="21"/>
                      <w:highlight w:val="none"/>
                    </w:rPr>
                  </w:pPr>
                  <w:r>
                    <w:rPr>
                      <w:rFonts w:hint="eastAsia"/>
                      <w:b/>
                      <w:color w:val="auto"/>
                      <w:sz w:val="21"/>
                      <w:szCs w:val="21"/>
                      <w:highlight w:val="none"/>
                    </w:rPr>
                    <w:t>占标率（%）</w:t>
                  </w:r>
                </w:p>
              </w:tc>
              <w:tc>
                <w:tcPr>
                  <w:tcW w:w="581" w:type="pct"/>
                  <w:tcBorders>
                    <w:left w:val="single" w:color="auto" w:sz="4" w:space="0"/>
                    <w:right w:val="single" w:color="auto" w:sz="4" w:space="0"/>
                  </w:tcBorders>
                  <w:noWrap w:val="0"/>
                  <w:vAlign w:val="center"/>
                </w:tcPr>
                <w:p>
                  <w:pPr>
                    <w:adjustRightInd w:val="0"/>
                    <w:snapToGrid w:val="0"/>
                    <w:jc w:val="center"/>
                    <w:rPr>
                      <w:rFonts w:hint="default" w:eastAsia="宋体"/>
                      <w:b/>
                      <w:color w:val="auto"/>
                      <w:sz w:val="21"/>
                      <w:szCs w:val="21"/>
                      <w:highlight w:val="none"/>
                      <w:lang w:val="en-US" w:eastAsia="zh-CN"/>
                    </w:rPr>
                  </w:pPr>
                  <w:r>
                    <w:rPr>
                      <w:rFonts w:hint="eastAsia"/>
                      <w:b/>
                      <w:color w:val="auto"/>
                      <w:sz w:val="21"/>
                      <w:szCs w:val="21"/>
                      <w:highlight w:val="none"/>
                      <w:lang w:val="en-US" w:eastAsia="zh-CN"/>
                    </w:rPr>
                    <w:t>离源距离m</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93" w:hRule="atLeast"/>
              </w:trPr>
              <w:tc>
                <w:tcPr>
                  <w:tcW w:w="549" w:type="pct"/>
                  <w:tcBorders>
                    <w:right w:val="single" w:color="auto" w:sz="4" w:space="0"/>
                  </w:tcBorders>
                  <w:noWrap w:val="0"/>
                  <w:vAlign w:val="center"/>
                </w:tcPr>
                <w:p>
                  <w:pPr>
                    <w:adjustRightInd w:val="0"/>
                    <w:snapToGrid w:val="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面源</w:t>
                  </w:r>
                </w:p>
              </w:tc>
              <w:tc>
                <w:tcPr>
                  <w:tcW w:w="653" w:type="pct"/>
                  <w:noWrap w:val="0"/>
                  <w:vAlign w:val="center"/>
                </w:tcPr>
                <w:p>
                  <w:pPr>
                    <w:widowControl/>
                    <w:spacing w:line="240" w:lineRule="auto"/>
                    <w:ind w:firstLine="0" w:firstLineChars="0"/>
                    <w:jc w:val="center"/>
                    <w:rPr>
                      <w:rFonts w:hint="default" w:cs="Times New Roman" w:eastAsiaTheme="minorEastAsia"/>
                      <w:color w:val="auto"/>
                      <w:sz w:val="21"/>
                      <w:szCs w:val="21"/>
                      <w:highlight w:val="none"/>
                      <w:lang w:val="en-US" w:eastAsia="zh-CN"/>
                    </w:rPr>
                  </w:pPr>
                  <w:r>
                    <w:rPr>
                      <w:rFonts w:hint="eastAsia" w:cs="Times New Roman"/>
                      <w:sz w:val="21"/>
                      <w:szCs w:val="21"/>
                      <w:highlight w:val="none"/>
                      <w:lang w:val="en-US" w:eastAsia="zh-CN"/>
                    </w:rPr>
                    <w:t>储煤场</w:t>
                  </w:r>
                </w:p>
              </w:tc>
              <w:tc>
                <w:tcPr>
                  <w:tcW w:w="778" w:type="pct"/>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vertAlign w:val="subscript"/>
                      <w:lang w:val="en-US" w:eastAsia="zh-CN" w:bidi="ar-SA"/>
                    </w:rPr>
                  </w:pPr>
                  <w:r>
                    <w:rPr>
                      <w:rFonts w:hint="eastAsia" w:ascii="Times New Roman" w:hAnsi="Times New Roman" w:cs="Times New Roman" w:eastAsiaTheme="minorEastAsia"/>
                      <w:color w:val="auto"/>
                      <w:sz w:val="21"/>
                      <w:szCs w:val="21"/>
                      <w:highlight w:val="none"/>
                      <w:lang w:val="en-US" w:eastAsia="zh-CN"/>
                    </w:rPr>
                    <w:t>TSP</w:t>
                  </w:r>
                </w:p>
              </w:tc>
              <w:tc>
                <w:tcPr>
                  <w:tcW w:w="906" w:type="pct"/>
                  <w:shd w:val="clear" w:color="auto" w:fill="auto"/>
                  <w:noWrap w:val="0"/>
                  <w:vAlign w:val="center"/>
                </w:tcPr>
                <w:p>
                  <w:pPr>
                    <w:adjustRightInd w:val="0"/>
                    <w:snapToGrid w:val="0"/>
                    <w:jc w:val="center"/>
                    <w:rPr>
                      <w:rFonts w:hint="default"/>
                      <w:color w:val="auto"/>
                      <w:sz w:val="21"/>
                      <w:szCs w:val="21"/>
                      <w:highlight w:val="none"/>
                      <w:lang w:val="en-US" w:eastAsia="zh-CN"/>
                    </w:rPr>
                  </w:pPr>
                  <w:r>
                    <w:rPr>
                      <w:rFonts w:hint="eastAsia"/>
                      <w:color w:val="auto"/>
                      <w:sz w:val="21"/>
                      <w:szCs w:val="21"/>
                      <w:highlight w:val="none"/>
                      <w:lang w:val="en-US" w:eastAsia="zh-CN"/>
                    </w:rPr>
                    <w:t>1.13*10</w:t>
                  </w:r>
                  <w:r>
                    <w:rPr>
                      <w:rFonts w:hint="eastAsia"/>
                      <w:color w:val="auto"/>
                      <w:sz w:val="21"/>
                      <w:szCs w:val="21"/>
                      <w:highlight w:val="none"/>
                      <w:vertAlign w:val="superscript"/>
                      <w:lang w:val="en-US" w:eastAsia="zh-CN"/>
                    </w:rPr>
                    <w:t>-2</w:t>
                  </w:r>
                </w:p>
              </w:tc>
              <w:tc>
                <w:tcPr>
                  <w:tcW w:w="906" w:type="pct"/>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0.9</w:t>
                  </w:r>
                </w:p>
              </w:tc>
              <w:tc>
                <w:tcPr>
                  <w:tcW w:w="623" w:type="pct"/>
                  <w:tcBorders>
                    <w:right w:val="single" w:color="auto" w:sz="4" w:space="0"/>
                  </w:tcBorders>
                  <w:noWrap w:val="0"/>
                  <w:vAlign w:val="center"/>
                </w:tcPr>
                <w:p>
                  <w:pPr>
                    <w:adjustRightInd w:val="0"/>
                    <w:snapToGrid w:val="0"/>
                    <w:jc w:val="center"/>
                    <w:rPr>
                      <w:rFonts w:hint="default"/>
                      <w:color w:val="auto"/>
                      <w:sz w:val="21"/>
                      <w:szCs w:val="21"/>
                      <w:highlight w:val="none"/>
                      <w:lang w:val="en-US" w:eastAsia="zh-CN"/>
                    </w:rPr>
                  </w:pPr>
                  <w:r>
                    <w:rPr>
                      <w:rFonts w:hint="eastAsia"/>
                      <w:color w:val="auto"/>
                      <w:sz w:val="21"/>
                      <w:szCs w:val="21"/>
                      <w:highlight w:val="none"/>
                      <w:lang w:val="en-US" w:eastAsia="zh-CN"/>
                    </w:rPr>
                    <w:t>1.26</w:t>
                  </w:r>
                </w:p>
              </w:tc>
              <w:tc>
                <w:tcPr>
                  <w:tcW w:w="581" w:type="pct"/>
                  <w:tcBorders>
                    <w:left w:val="single" w:color="auto" w:sz="4" w:space="0"/>
                    <w:right w:val="single" w:color="auto" w:sz="4" w:space="0"/>
                  </w:tcBorders>
                  <w:noWrap w:val="0"/>
                  <w:vAlign w:val="center"/>
                </w:tcPr>
                <w:p>
                  <w:pPr>
                    <w:adjustRightInd w:val="0"/>
                    <w:snapToGrid w:val="0"/>
                    <w:jc w:val="center"/>
                    <w:rPr>
                      <w:rFonts w:hint="default"/>
                      <w:color w:val="auto"/>
                      <w:sz w:val="21"/>
                      <w:szCs w:val="21"/>
                      <w:highlight w:val="none"/>
                      <w:lang w:val="en-US" w:eastAsia="zh-CN"/>
                    </w:rPr>
                  </w:pPr>
                  <w:r>
                    <w:rPr>
                      <w:rFonts w:hint="eastAsia"/>
                      <w:color w:val="auto"/>
                      <w:sz w:val="21"/>
                      <w:szCs w:val="21"/>
                      <w:highlight w:val="none"/>
                      <w:lang w:val="en-US" w:eastAsia="zh-CN"/>
                    </w:rPr>
                    <w:t>268</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cs="Times New Roman"/>
                <w:b w:val="0"/>
                <w:bCs w:val="0"/>
                <w:sz w:val="24"/>
                <w:szCs w:val="24"/>
                <w:highlight w:val="none"/>
                <w:lang w:val="en-US" w:eastAsia="zh-CN"/>
              </w:rPr>
            </w:pPr>
            <w:r>
              <w:rPr>
                <w:rFonts w:hint="eastAsia" w:cs="Times New Roman"/>
                <w:b w:val="0"/>
                <w:bCs w:val="0"/>
                <w:sz w:val="24"/>
                <w:szCs w:val="24"/>
                <w:highlight w:val="none"/>
                <w:lang w:val="en-US" w:eastAsia="zh-CN"/>
              </w:rPr>
              <w:t>经估算TSP最大落地浓度为</w:t>
            </w:r>
            <w:r>
              <w:rPr>
                <w:rFonts w:hint="eastAsia"/>
                <w:color w:val="auto"/>
                <w:sz w:val="24"/>
                <w:szCs w:val="24"/>
                <w:highlight w:val="none"/>
                <w:lang w:val="en-US" w:eastAsia="zh-CN"/>
              </w:rPr>
              <w:t>1.13*10</w:t>
            </w:r>
            <w:r>
              <w:rPr>
                <w:rFonts w:hint="eastAsia"/>
                <w:color w:val="auto"/>
                <w:sz w:val="24"/>
                <w:szCs w:val="24"/>
                <w:highlight w:val="none"/>
                <w:vertAlign w:val="superscript"/>
                <w:lang w:val="en-US" w:eastAsia="zh-CN"/>
              </w:rPr>
              <w:t>-2</w:t>
            </w:r>
            <w:r>
              <w:rPr>
                <w:rFonts w:hint="eastAsia"/>
                <w:b w:val="0"/>
                <w:bCs w:val="0"/>
                <w:color w:val="auto"/>
                <w:sz w:val="24"/>
                <w:szCs w:val="24"/>
                <w:highlight w:val="none"/>
              </w:rPr>
              <w:t>mg/m</w:t>
            </w:r>
            <w:r>
              <w:rPr>
                <w:rFonts w:hint="eastAsia"/>
                <w:b w:val="0"/>
                <w:bCs w:val="0"/>
                <w:color w:val="auto"/>
                <w:sz w:val="24"/>
                <w:szCs w:val="24"/>
                <w:highlight w:val="none"/>
                <w:vertAlign w:val="superscript"/>
              </w:rPr>
              <w:t>3</w:t>
            </w:r>
            <w:r>
              <w:rPr>
                <w:rFonts w:hint="eastAsia" w:cs="Times New Roman"/>
                <w:b w:val="0"/>
                <w:bCs w:val="0"/>
                <w:sz w:val="24"/>
                <w:szCs w:val="24"/>
                <w:highlight w:val="none"/>
                <w:lang w:val="en-US" w:eastAsia="zh-CN"/>
              </w:rPr>
              <w:t>，</w:t>
            </w:r>
            <w:r>
              <w:rPr>
                <w:rFonts w:hint="eastAsia" w:cs="Times New Roman"/>
                <w:sz w:val="24"/>
                <w:szCs w:val="24"/>
                <w:highlight w:val="none"/>
                <w:lang w:val="en-US" w:eastAsia="zh-CN"/>
              </w:rPr>
              <w:t>最大落地点浓度符合</w:t>
            </w:r>
            <w:r>
              <w:rPr>
                <w:rFonts w:hint="eastAsia"/>
                <w:sz w:val="24"/>
                <w:szCs w:val="24"/>
                <w:highlight w:val="none"/>
                <w:lang w:val="en-US" w:eastAsia="zh-CN"/>
              </w:rPr>
              <w:t>《环境空气质量标准》（GB3095-2026）表2标准（0.9mg/m</w:t>
            </w:r>
            <w:r>
              <w:rPr>
                <w:rFonts w:hint="eastAsia"/>
                <w:sz w:val="24"/>
                <w:szCs w:val="24"/>
                <w:highlight w:val="none"/>
                <w:vertAlign w:val="superscript"/>
                <w:lang w:val="en-US" w:eastAsia="zh-CN"/>
              </w:rPr>
              <w:t>3</w:t>
            </w:r>
            <w:r>
              <w:rPr>
                <w:rFonts w:hint="eastAsia"/>
                <w:sz w:val="24"/>
                <w:szCs w:val="24"/>
                <w:highlight w:val="none"/>
                <w:lang w:val="en-US" w:eastAsia="zh-CN"/>
              </w:rPr>
              <w:t>）要求</w:t>
            </w:r>
            <w:r>
              <w:rPr>
                <w:rFonts w:hint="eastAsia" w:cs="Times New Roman"/>
                <w:sz w:val="24"/>
                <w:szCs w:val="24"/>
                <w:highlight w:val="none"/>
                <w:lang w:val="en-US" w:eastAsia="zh-CN"/>
              </w:rPr>
              <w:t>，本项目无组织废气排放达标。</w:t>
            </w:r>
            <w:r>
              <w:rPr>
                <w:rFonts w:hint="eastAsia" w:cs="Times New Roman"/>
                <w:b w:val="0"/>
                <w:bCs w:val="0"/>
                <w:sz w:val="24"/>
                <w:szCs w:val="24"/>
                <w:highlight w:val="none"/>
                <w:lang w:val="en-US" w:eastAsia="zh-CN"/>
              </w:rPr>
              <w:t>污染物排放对周边生态环境及附近居民日常生活影响较小，大气环境可接受。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2、</w:t>
            </w:r>
            <w:r>
              <w:rPr>
                <w:rFonts w:hint="default" w:ascii="Times New Roman" w:hAnsi="Times New Roman" w:eastAsia="宋体" w:cs="Times New Roman"/>
                <w:sz w:val="24"/>
                <w:szCs w:val="24"/>
                <w:highlight w:val="none"/>
                <w:lang w:val="en-US" w:eastAsia="zh-CN"/>
              </w:rPr>
              <w:t>大气环境防护距离</w:t>
            </w:r>
          </w:p>
          <w:p>
            <w:p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本项目废气无组织排放均满足要求，厂界处无超标点，无需设置大气环境防护距离。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3、</w:t>
            </w:r>
            <w:r>
              <w:rPr>
                <w:rFonts w:hint="default" w:ascii="Times New Roman" w:hAnsi="Times New Roman" w:eastAsia="宋体" w:cs="Times New Roman"/>
                <w:sz w:val="24"/>
                <w:szCs w:val="24"/>
                <w:highlight w:val="none"/>
                <w:lang w:val="en-US" w:eastAsia="zh-CN"/>
              </w:rPr>
              <w:t>监测要求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本项目无行业排污许可和自行监测技术指南，参照《排污单位自行监测技术指南总则》(HJ 819-2017)进行监测，废气排放的监测项目、监测点的选取详见表</w:t>
            </w:r>
            <w:r>
              <w:rPr>
                <w:rFonts w:hint="eastAsia" w:cs="Times New Roman"/>
                <w:sz w:val="24"/>
                <w:szCs w:val="24"/>
                <w:highlight w:val="none"/>
                <w:lang w:val="en-US" w:eastAsia="zh-CN"/>
              </w:rPr>
              <w:t>4-6</w:t>
            </w:r>
            <w:r>
              <w:rPr>
                <w:rFonts w:hint="default" w:ascii="Times New Roman" w:hAnsi="Times New Roman" w:eastAsia="宋体"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right="0" w:rightChars="0" w:firstLine="421" w:firstLineChars="200"/>
              <w:jc w:val="center"/>
              <w:textAlignment w:val="auto"/>
              <w:outlineLvl w:val="9"/>
              <w:rPr>
                <w:rFonts w:hint="eastAsia" w:ascii="Times New Roman" w:hAnsi="Times New Roman" w:eastAsia="宋体" w:cs="Times New Roman"/>
                <w:b/>
                <w:kern w:val="0"/>
                <w:sz w:val="21"/>
                <w:szCs w:val="21"/>
                <w:highlight w:val="none"/>
                <w:lang w:val="en-US" w:eastAsia="zh-CN"/>
              </w:rPr>
            </w:pPr>
            <w:r>
              <w:rPr>
                <w:rFonts w:hint="eastAsia" w:ascii="Times New Roman" w:hAnsi="Times New Roman" w:eastAsia="宋体" w:cs="Times New Roman"/>
                <w:b/>
                <w:kern w:val="0"/>
                <w:sz w:val="21"/>
                <w:szCs w:val="21"/>
                <w:highlight w:val="none"/>
                <w:lang w:val="en-US" w:eastAsia="zh-CN"/>
              </w:rPr>
              <w:t>表4-</w:t>
            </w:r>
            <w:r>
              <w:rPr>
                <w:rFonts w:hint="eastAsia" w:cs="Times New Roman"/>
                <w:b/>
                <w:kern w:val="0"/>
                <w:sz w:val="21"/>
                <w:szCs w:val="21"/>
                <w:highlight w:val="none"/>
                <w:lang w:val="en-US" w:eastAsia="zh-CN"/>
              </w:rPr>
              <w:t>6</w:t>
            </w:r>
            <w:r>
              <w:rPr>
                <w:rFonts w:hint="eastAsia" w:ascii="Times New Roman" w:hAnsi="Times New Roman" w:eastAsia="宋体" w:cs="Times New Roman"/>
                <w:b/>
                <w:kern w:val="0"/>
                <w:sz w:val="21"/>
                <w:szCs w:val="21"/>
                <w:highlight w:val="none"/>
                <w:lang w:val="en-US" w:eastAsia="zh-CN"/>
              </w:rPr>
              <w:t xml:space="preserve"> 本项目</w:t>
            </w:r>
            <w:r>
              <w:rPr>
                <w:rFonts w:hint="eastAsia" w:cs="Times New Roman"/>
                <w:b/>
                <w:kern w:val="0"/>
                <w:sz w:val="21"/>
                <w:szCs w:val="21"/>
                <w:highlight w:val="none"/>
                <w:lang w:val="en-US" w:eastAsia="zh-CN"/>
              </w:rPr>
              <w:t>无组织废气自行监测计划</w:t>
            </w:r>
            <w:r>
              <w:rPr>
                <w:rFonts w:hint="eastAsia" w:ascii="Times New Roman" w:hAnsi="Times New Roman" w:eastAsia="宋体" w:cs="Times New Roman"/>
                <w:b/>
                <w:kern w:val="0"/>
                <w:sz w:val="21"/>
                <w:szCs w:val="21"/>
                <w:highlight w:val="none"/>
                <w:lang w:val="en-US" w:eastAsia="zh-CN"/>
              </w:rPr>
              <w:t>一览表</w:t>
            </w:r>
          </w:p>
          <w:tbl>
            <w:tblPr>
              <w:tblStyle w:val="22"/>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426"/>
              <w:gridCol w:w="605"/>
              <w:gridCol w:w="426"/>
              <w:gridCol w:w="1352"/>
              <w:gridCol w:w="1486"/>
              <w:gridCol w:w="2222"/>
              <w:gridCol w:w="1343"/>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290"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类别</w:t>
                  </w:r>
                </w:p>
              </w:tc>
              <w:tc>
                <w:tcPr>
                  <w:tcW w:w="65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监测点位</w:t>
                  </w:r>
                </w:p>
              </w:tc>
              <w:tc>
                <w:tcPr>
                  <w:tcW w:w="51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监测因子</w:t>
                  </w:r>
                </w:p>
              </w:tc>
              <w:tc>
                <w:tcPr>
                  <w:tcW w:w="51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sz w:val="21"/>
                      <w:szCs w:val="21"/>
                      <w:highlight w:val="none"/>
                      <w:lang w:val="en-US" w:eastAsia="zh-CN"/>
                    </w:rPr>
                    <w:t>监测频率</w:t>
                  </w:r>
                </w:p>
              </w:tc>
              <w:tc>
                <w:tcPr>
                  <w:tcW w:w="1114"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sz w:val="21"/>
                      <w:szCs w:val="21"/>
                      <w:highlight w:val="none"/>
                      <w:lang w:val="en-US" w:eastAsia="zh-CN"/>
                    </w:rPr>
                  </w:pPr>
                  <w:r>
                    <w:rPr>
                      <w:rFonts w:hint="eastAsia"/>
                      <w:sz w:val="21"/>
                      <w:szCs w:val="21"/>
                      <w:highlight w:val="none"/>
                      <w:lang w:val="en-US" w:eastAsia="zh-CN"/>
                    </w:rPr>
                    <w:t>监测坐标</w:t>
                  </w:r>
                </w:p>
              </w:tc>
              <w:tc>
                <w:tcPr>
                  <w:tcW w:w="1174"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sz w:val="21"/>
                      <w:szCs w:val="21"/>
                      <w:highlight w:val="none"/>
                      <w:lang w:val="en-US" w:eastAsia="zh-CN"/>
                    </w:rPr>
                  </w:pPr>
                  <w:r>
                    <w:rPr>
                      <w:rFonts w:hint="eastAsia"/>
                      <w:sz w:val="21"/>
                      <w:szCs w:val="21"/>
                      <w:highlight w:val="none"/>
                      <w:lang w:val="en-US" w:eastAsia="zh-CN"/>
                    </w:rPr>
                    <w:t>执行标准</w:t>
                  </w:r>
                </w:p>
              </w:tc>
              <w:tc>
                <w:tcPr>
                  <w:tcW w:w="722"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sz w:val="21"/>
                      <w:szCs w:val="21"/>
                      <w:highlight w:val="none"/>
                      <w:lang w:val="en-US" w:eastAsia="zh-CN"/>
                    </w:rPr>
                  </w:pPr>
                  <w:r>
                    <w:rPr>
                      <w:rFonts w:hint="eastAsia"/>
                      <w:sz w:val="21"/>
                      <w:szCs w:val="21"/>
                      <w:highlight w:val="none"/>
                      <w:lang w:val="en-US" w:eastAsia="zh-CN"/>
                    </w:rPr>
                    <w:t>标准限值</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sz w:val="21"/>
                      <w:szCs w:val="21"/>
                      <w:highlight w:val="none"/>
                      <w:lang w:val="en-US" w:eastAsia="zh-CN"/>
                    </w:rPr>
                  </w:pPr>
                  <w:r>
                    <w:rPr>
                      <w:rFonts w:hint="eastAsia"/>
                      <w:sz w:val="21"/>
                      <w:szCs w:val="21"/>
                      <w:highlight w:val="none"/>
                      <w:lang w:val="en-US" w:eastAsia="zh-CN"/>
                    </w:rPr>
                    <w:t>（</w:t>
                  </w:r>
                  <w:r>
                    <w:rPr>
                      <w:rFonts w:hint="eastAsia" w:cs="Times New Roman"/>
                      <w:i w:val="0"/>
                      <w:color w:val="auto"/>
                      <w:kern w:val="2"/>
                      <w:sz w:val="21"/>
                      <w:szCs w:val="21"/>
                      <w:highlight w:val="none"/>
                      <w:lang w:val="en-US" w:eastAsia="zh-CN" w:bidi="ar-SA"/>
                    </w:rPr>
                    <w:t>m</w:t>
                  </w:r>
                  <w:r>
                    <w:rPr>
                      <w:rFonts w:hint="eastAsia" w:hAnsi="Cambria Math" w:cs="Times New Roman"/>
                      <w:i w:val="0"/>
                      <w:color w:val="auto"/>
                      <w:kern w:val="2"/>
                      <w:sz w:val="21"/>
                      <w:szCs w:val="21"/>
                      <w:highlight w:val="none"/>
                      <w:lang w:val="en-US" w:eastAsia="zh-CN" w:bidi="ar-SA"/>
                    </w:rPr>
                    <w:t>g/m</w:t>
                  </w:r>
                  <w:r>
                    <w:rPr>
                      <w:rFonts w:hint="eastAsia" w:hAnsi="Cambria Math" w:cs="Times New Roman"/>
                      <w:i w:val="0"/>
                      <w:color w:val="auto"/>
                      <w:kern w:val="2"/>
                      <w:sz w:val="21"/>
                      <w:szCs w:val="21"/>
                      <w:highlight w:val="none"/>
                      <w:vertAlign w:val="superscript"/>
                      <w:lang w:val="en-US" w:eastAsia="zh-CN" w:bidi="ar-SA"/>
                    </w:rPr>
                    <w:t>3</w:t>
                  </w:r>
                  <w:r>
                    <w:rPr>
                      <w:rFonts w:hint="eastAsia"/>
                      <w:sz w:val="21"/>
                      <w:szCs w:val="21"/>
                      <w:highlight w:val="none"/>
                      <w:lang w:val="en-US" w:eastAsia="zh-CN"/>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9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65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51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51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sz w:val="21"/>
                      <w:szCs w:val="21"/>
                      <w:highlight w:val="none"/>
                      <w:lang w:val="en-US" w:eastAsia="zh-CN"/>
                    </w:rPr>
                  </w:pPr>
                </w:p>
              </w:tc>
              <w:tc>
                <w:tcPr>
                  <w:tcW w:w="54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sz w:val="21"/>
                      <w:szCs w:val="21"/>
                      <w:highlight w:val="none"/>
                      <w:lang w:val="en-US" w:eastAsia="zh-CN"/>
                    </w:rPr>
                  </w:pPr>
                  <w:r>
                    <w:rPr>
                      <w:rFonts w:hint="eastAsia"/>
                      <w:sz w:val="21"/>
                      <w:szCs w:val="21"/>
                      <w:highlight w:val="none"/>
                      <w:lang w:val="en-US" w:eastAsia="zh-CN"/>
                    </w:rPr>
                    <w:t>x</w:t>
                  </w:r>
                </w:p>
              </w:tc>
              <w:tc>
                <w:tcPr>
                  <w:tcW w:w="56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sz w:val="21"/>
                      <w:szCs w:val="21"/>
                      <w:highlight w:val="none"/>
                      <w:lang w:val="en-US" w:eastAsia="zh-CN"/>
                    </w:rPr>
                  </w:pPr>
                  <w:r>
                    <w:rPr>
                      <w:rFonts w:hint="eastAsia"/>
                      <w:sz w:val="21"/>
                      <w:szCs w:val="21"/>
                      <w:highlight w:val="none"/>
                      <w:lang w:val="en-US" w:eastAsia="zh-CN"/>
                    </w:rPr>
                    <w:t>y</w:t>
                  </w:r>
                </w:p>
              </w:tc>
              <w:tc>
                <w:tcPr>
                  <w:tcW w:w="117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sz w:val="21"/>
                      <w:szCs w:val="21"/>
                      <w:highlight w:val="none"/>
                      <w:lang w:val="en-US" w:eastAsia="zh-CN"/>
                    </w:rPr>
                  </w:pPr>
                </w:p>
              </w:tc>
              <w:tc>
                <w:tcPr>
                  <w:tcW w:w="722"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90"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无组织废气</w:t>
                  </w:r>
                </w:p>
              </w:tc>
              <w:tc>
                <w:tcPr>
                  <w:tcW w:w="65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厂界</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下风向</w:t>
                  </w:r>
                </w:p>
              </w:tc>
              <w:tc>
                <w:tcPr>
                  <w:tcW w:w="51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TSP</w:t>
                  </w:r>
                </w:p>
              </w:tc>
              <w:tc>
                <w:tcPr>
                  <w:tcW w:w="51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1次/年</w:t>
                  </w:r>
                </w:p>
              </w:tc>
              <w:tc>
                <w:tcPr>
                  <w:tcW w:w="546" w:type="pct"/>
                  <w:tcBorders>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default" w:cs="Times New Roman"/>
                      <w:sz w:val="21"/>
                      <w:szCs w:val="21"/>
                      <w:highlight w:val="none"/>
                      <w:lang w:val="en-US" w:eastAsia="zh-CN"/>
                    </w:rPr>
                    <w:t>3953</w:t>
                  </w:r>
                  <w:r>
                    <w:rPr>
                      <w:rFonts w:hint="eastAsia" w:cs="Times New Roman"/>
                      <w:sz w:val="21"/>
                      <w:szCs w:val="21"/>
                      <w:highlight w:val="none"/>
                      <w:lang w:val="en-US" w:eastAsia="zh-CN"/>
                    </w:rPr>
                    <w:t>02.66</w:t>
                  </w:r>
                </w:p>
              </w:tc>
              <w:tc>
                <w:tcPr>
                  <w:tcW w:w="568" w:type="pct"/>
                  <w:tcBorders>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default" w:cs="Times New Roman"/>
                      <w:sz w:val="21"/>
                      <w:szCs w:val="21"/>
                      <w:highlight w:val="none"/>
                      <w:lang w:val="en-US" w:eastAsia="zh-CN"/>
                    </w:rPr>
                    <w:t>46554</w:t>
                  </w:r>
                  <w:r>
                    <w:rPr>
                      <w:rFonts w:hint="eastAsia" w:cs="Times New Roman"/>
                      <w:sz w:val="21"/>
                      <w:szCs w:val="21"/>
                      <w:highlight w:val="none"/>
                      <w:lang w:val="en-US" w:eastAsia="zh-CN"/>
                    </w:rPr>
                    <w:t>42.57</w:t>
                  </w:r>
                </w:p>
              </w:tc>
              <w:tc>
                <w:tcPr>
                  <w:tcW w:w="1174"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《煤炭工业污染物排放标准》（GB20426-2006）表5</w:t>
                  </w:r>
                </w:p>
              </w:tc>
              <w:tc>
                <w:tcPr>
                  <w:tcW w:w="722"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29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65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51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51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1109" w:type="dxa"/>
                  <w:tcBorders>
                    <w:top w:val="single" w:color="auto" w:sz="4" w:space="0"/>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default" w:cs="Times New Roman"/>
                      <w:sz w:val="21"/>
                      <w:szCs w:val="21"/>
                      <w:highlight w:val="none"/>
                      <w:lang w:val="en-US" w:eastAsia="zh-CN"/>
                    </w:rPr>
                    <w:t>3953</w:t>
                  </w:r>
                  <w:r>
                    <w:rPr>
                      <w:rFonts w:hint="eastAsia" w:cs="Times New Roman"/>
                      <w:sz w:val="21"/>
                      <w:szCs w:val="21"/>
                      <w:highlight w:val="none"/>
                      <w:lang w:val="en-US" w:eastAsia="zh-CN"/>
                    </w:rPr>
                    <w:t>81.76</w:t>
                  </w:r>
                </w:p>
              </w:tc>
              <w:tc>
                <w:tcPr>
                  <w:tcW w:w="1214" w:type="dxa"/>
                  <w:tcBorders>
                    <w:top w:val="single" w:color="auto" w:sz="4" w:space="0"/>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default" w:cs="Times New Roman"/>
                      <w:sz w:val="21"/>
                      <w:szCs w:val="21"/>
                      <w:highlight w:val="none"/>
                      <w:lang w:val="en-US" w:eastAsia="zh-CN"/>
                    </w:rPr>
                    <w:t>46554</w:t>
                  </w:r>
                  <w:r>
                    <w:rPr>
                      <w:rFonts w:hint="eastAsia" w:cs="Times New Roman"/>
                      <w:sz w:val="21"/>
                      <w:szCs w:val="21"/>
                      <w:highlight w:val="none"/>
                      <w:lang w:val="en-US" w:eastAsia="zh-CN"/>
                    </w:rPr>
                    <w:t>42.51</w:t>
                  </w:r>
                </w:p>
              </w:tc>
              <w:tc>
                <w:tcPr>
                  <w:tcW w:w="117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722"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9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65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51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51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1109" w:type="dxa"/>
                  <w:tcBorders>
                    <w:top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default" w:cs="Times New Roman"/>
                      <w:sz w:val="21"/>
                      <w:szCs w:val="21"/>
                      <w:highlight w:val="none"/>
                      <w:lang w:val="en-US" w:eastAsia="zh-CN"/>
                    </w:rPr>
                    <w:t>395</w:t>
                  </w:r>
                  <w:r>
                    <w:rPr>
                      <w:rFonts w:hint="eastAsia" w:cs="Times New Roman"/>
                      <w:sz w:val="21"/>
                      <w:szCs w:val="21"/>
                      <w:highlight w:val="none"/>
                      <w:lang w:val="en-US" w:eastAsia="zh-CN"/>
                    </w:rPr>
                    <w:t>211.65</w:t>
                  </w:r>
                </w:p>
              </w:tc>
              <w:tc>
                <w:tcPr>
                  <w:tcW w:w="1214" w:type="dxa"/>
                  <w:tcBorders>
                    <w:top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default" w:cs="Times New Roman"/>
                      <w:sz w:val="21"/>
                      <w:szCs w:val="21"/>
                      <w:highlight w:val="none"/>
                      <w:lang w:val="en-US" w:eastAsia="zh-CN"/>
                    </w:rPr>
                    <w:t>46554</w:t>
                  </w:r>
                  <w:r>
                    <w:rPr>
                      <w:rFonts w:hint="eastAsia" w:cs="Times New Roman"/>
                      <w:sz w:val="21"/>
                      <w:szCs w:val="21"/>
                      <w:highlight w:val="none"/>
                      <w:lang w:val="en-US" w:eastAsia="zh-CN"/>
                    </w:rPr>
                    <w:t>18.24</w:t>
                  </w:r>
                </w:p>
              </w:tc>
              <w:tc>
                <w:tcPr>
                  <w:tcW w:w="117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722"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9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p>
              </w:tc>
              <w:tc>
                <w:tcPr>
                  <w:tcW w:w="65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厂界</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sz w:val="21"/>
                      <w:szCs w:val="21"/>
                      <w:highlight w:val="none"/>
                      <w:lang w:val="en-US" w:eastAsia="zh-CN"/>
                    </w:rPr>
                  </w:pPr>
                  <w:r>
                    <w:rPr>
                      <w:rFonts w:hint="eastAsia" w:cs="Times New Roman"/>
                      <w:sz w:val="21"/>
                      <w:szCs w:val="21"/>
                      <w:highlight w:val="none"/>
                      <w:lang w:val="en-US" w:eastAsia="zh-CN"/>
                    </w:rPr>
                    <w:t>上风向</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TSP</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1次/年</w:t>
                  </w:r>
                </w:p>
              </w:tc>
              <w:tc>
                <w:tcPr>
                  <w:tcW w:w="54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sz w:val="21"/>
                      <w:szCs w:val="21"/>
                      <w:highlight w:val="none"/>
                    </w:rPr>
                    <w:t>394836.42</w:t>
                  </w:r>
                </w:p>
              </w:tc>
              <w:tc>
                <w:tcPr>
                  <w:tcW w:w="56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sz w:val="21"/>
                      <w:szCs w:val="21"/>
                      <w:highlight w:val="none"/>
                    </w:rPr>
                    <w:t>4655091.53</w:t>
                  </w:r>
                </w:p>
              </w:tc>
              <w:tc>
                <w:tcPr>
                  <w:tcW w:w="117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《煤炭工业污染物排放标准》（GB20426-2006）表5</w:t>
                  </w:r>
                </w:p>
              </w:tc>
              <w:tc>
                <w:tcPr>
                  <w:tcW w:w="72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1</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0" w:firstLineChars="200"/>
              <w:textAlignment w:val="auto"/>
              <w:rPr>
                <w:rFonts w:hint="eastAsia"/>
                <w:kern w:val="2"/>
                <w:sz w:val="24"/>
                <w:szCs w:val="24"/>
                <w:highlight w:val="none"/>
                <w:lang w:val="en-US" w:eastAsia="zh-CN" w:bidi="ar-SA"/>
              </w:rPr>
            </w:pPr>
            <w:r>
              <w:rPr>
                <w:rFonts w:hint="eastAsia"/>
                <w:kern w:val="2"/>
                <w:sz w:val="24"/>
                <w:szCs w:val="24"/>
                <w:highlight w:val="none"/>
                <w:lang w:val="en-US" w:eastAsia="zh-CN" w:bidi="ar-SA"/>
              </w:rPr>
              <w:t>4、废气治理设施可行性分析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运输粉尘：</w:t>
            </w:r>
            <w:r>
              <w:rPr>
                <w:rFonts w:hint="eastAsia" w:cs="Times New Roman"/>
                <w:sz w:val="24"/>
                <w:szCs w:val="24"/>
                <w:highlight w:val="none"/>
                <w:lang w:val="en-US" w:eastAsia="zh-CN"/>
              </w:rPr>
              <w:t>厂内</w:t>
            </w:r>
            <w:r>
              <w:rPr>
                <w:rFonts w:hint="eastAsia" w:cs="Times New Roman"/>
                <w:color w:val="auto"/>
                <w:sz w:val="24"/>
                <w:szCs w:val="24"/>
                <w:highlight w:val="none"/>
                <w:lang w:val="en-US" w:eastAsia="zh-CN"/>
              </w:rPr>
              <w:t>汽运</w:t>
            </w:r>
            <w:r>
              <w:rPr>
                <w:rFonts w:hint="eastAsia" w:ascii="Times New Roman" w:hAnsi="Times New Roman" w:eastAsia="宋体" w:cs="Times New Roman"/>
                <w:color w:val="auto"/>
                <w:sz w:val="24"/>
                <w:szCs w:val="24"/>
                <w:highlight w:val="none"/>
                <w:lang w:val="en-US" w:eastAsia="zh-CN"/>
              </w:rPr>
              <w:t>车</w:t>
            </w:r>
            <w:r>
              <w:rPr>
                <w:rFonts w:hint="eastAsia" w:ascii="Times New Roman" w:hAnsi="Times New Roman" w:eastAsia="宋体" w:cs="Times New Roman"/>
                <w:sz w:val="24"/>
                <w:szCs w:val="24"/>
                <w:highlight w:val="none"/>
                <w:lang w:val="en-US" w:eastAsia="zh-CN"/>
              </w:rPr>
              <w:t>辆</w:t>
            </w:r>
            <w:r>
              <w:rPr>
                <w:rFonts w:hint="eastAsia" w:cs="Times New Roman"/>
                <w:sz w:val="24"/>
                <w:szCs w:val="24"/>
                <w:highlight w:val="none"/>
                <w:lang w:val="en-US" w:eastAsia="zh-CN"/>
              </w:rPr>
              <w:t>运输扬尘，采用洒水车进行</w:t>
            </w:r>
            <w:r>
              <w:rPr>
                <w:rFonts w:hint="eastAsia" w:ascii="Times New Roman" w:hAnsi="Times New Roman" w:eastAsia="宋体" w:cs="Times New Roman"/>
                <w:sz w:val="24"/>
                <w:szCs w:val="24"/>
                <w:highlight w:val="none"/>
                <w:lang w:val="en-US" w:eastAsia="zh-CN"/>
              </w:rPr>
              <w:t>道路洒水</w:t>
            </w:r>
            <w:r>
              <w:rPr>
                <w:rFonts w:hint="eastAsia" w:cs="Times New Roman"/>
                <w:sz w:val="24"/>
                <w:szCs w:val="24"/>
                <w:highlight w:val="none"/>
                <w:lang w:val="en-US" w:eastAsia="zh-CN"/>
              </w:rPr>
              <w:t>减少扬尘。</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卸煤粉尘、储煤粉尘：</w:t>
            </w:r>
            <w:r>
              <w:rPr>
                <w:rFonts w:hint="eastAsia" w:cs="Times New Roman"/>
                <w:sz w:val="24"/>
                <w:szCs w:val="24"/>
                <w:highlight w:val="none"/>
                <w:lang w:val="en-US" w:eastAsia="zh-CN"/>
              </w:rPr>
              <w:t>火车卸料区设置移动雾炮机，采用半封闭卸料口和密闭传送带控制扬尘。</w:t>
            </w:r>
            <w:r>
              <w:rPr>
                <w:rFonts w:hint="eastAsia" w:ascii="Times New Roman" w:hAnsi="Times New Roman" w:eastAsia="宋体" w:cs="Times New Roman"/>
                <w:sz w:val="24"/>
                <w:szCs w:val="24"/>
                <w:highlight w:val="none"/>
                <w:lang w:val="en-US" w:eastAsia="zh-CN"/>
              </w:rPr>
              <w:t>封闭储煤</w:t>
            </w:r>
            <w:r>
              <w:rPr>
                <w:rFonts w:hint="eastAsia" w:cs="Times New Roman"/>
                <w:sz w:val="24"/>
                <w:szCs w:val="24"/>
                <w:highlight w:val="none"/>
                <w:lang w:val="en-US" w:eastAsia="zh-CN"/>
              </w:rPr>
              <w:t>仓库</w:t>
            </w:r>
            <w:r>
              <w:rPr>
                <w:rFonts w:hint="eastAsia" w:ascii="Times New Roman" w:hAnsi="Times New Roman" w:eastAsia="宋体" w:cs="Times New Roman"/>
                <w:sz w:val="24"/>
                <w:szCs w:val="24"/>
                <w:highlight w:val="none"/>
                <w:lang w:val="en-US" w:eastAsia="zh-CN"/>
              </w:rPr>
              <w:t>，</w:t>
            </w:r>
            <w:r>
              <w:rPr>
                <w:rFonts w:hint="eastAsia" w:cs="Times New Roman"/>
                <w:sz w:val="24"/>
                <w:szCs w:val="24"/>
                <w:highlight w:val="none"/>
                <w:lang w:val="en-US" w:eastAsia="zh-CN"/>
              </w:rPr>
              <w:t>采用洒水车、雾炮机定期洒水抑尘，</w:t>
            </w:r>
            <w:r>
              <w:rPr>
                <w:rFonts w:hint="eastAsia" w:ascii="Times New Roman" w:hAnsi="Times New Roman" w:eastAsia="宋体" w:cs="Times New Roman"/>
                <w:sz w:val="24"/>
                <w:szCs w:val="24"/>
                <w:highlight w:val="none"/>
                <w:lang w:val="en-US" w:eastAsia="zh-CN"/>
              </w:rPr>
              <w:t>确保煤场喷雾降尘全覆盖，无死角</w:t>
            </w:r>
            <w:r>
              <w:rPr>
                <w:rFonts w:hint="eastAsia" w:cs="Times New Roman"/>
                <w:sz w:val="24"/>
                <w:szCs w:val="24"/>
                <w:highlight w:val="none"/>
                <w:lang w:val="en-US" w:eastAsia="zh-CN"/>
              </w:rPr>
              <w:t>。参考《排污许可证申请与核发技术规范 码头》（HJ 1107-2020），煤炭堆垛表面含水率不宜低于6%，使用便携式煤堆表面含水率检测仪器对各个煤堆表面含水率进行检测，每日2次，对未达标的煤堆使用移动雾炮机补充喷淋。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综上所述，本项目废气处理措施可行，无组织排放的</w:t>
            </w:r>
            <w:r>
              <w:rPr>
                <w:rFonts w:hint="eastAsia" w:cs="Times New Roman"/>
                <w:sz w:val="24"/>
                <w:szCs w:val="24"/>
                <w:highlight w:val="none"/>
                <w:lang w:val="en-US" w:eastAsia="zh-CN"/>
              </w:rPr>
              <w:t>TSP</w:t>
            </w:r>
            <w:r>
              <w:rPr>
                <w:rFonts w:hint="eastAsia" w:ascii="Times New Roman" w:hAnsi="Times New Roman" w:eastAsia="宋体" w:cs="Times New Roman"/>
                <w:sz w:val="24"/>
                <w:szCs w:val="24"/>
                <w:highlight w:val="none"/>
                <w:lang w:val="en-US" w:eastAsia="zh-CN"/>
              </w:rPr>
              <w:t>对周围</w:t>
            </w:r>
            <w:r>
              <w:rPr>
                <w:rFonts w:hint="eastAsia" w:cs="Times New Roman"/>
                <w:sz w:val="24"/>
                <w:szCs w:val="24"/>
                <w:highlight w:val="none"/>
                <w:lang w:val="en-US" w:eastAsia="zh-CN"/>
              </w:rPr>
              <w:t>生态</w:t>
            </w:r>
            <w:r>
              <w:rPr>
                <w:rFonts w:hint="eastAsia" w:ascii="Times New Roman" w:hAnsi="Times New Roman" w:eastAsia="宋体" w:cs="Times New Roman"/>
                <w:sz w:val="24"/>
                <w:szCs w:val="24"/>
                <w:highlight w:val="none"/>
                <w:lang w:val="en-US" w:eastAsia="zh-CN"/>
              </w:rPr>
              <w:t>环境影响较小。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sz w:val="24"/>
                <w:szCs w:val="24"/>
                <w:highlight w:val="none"/>
                <w:lang w:val="en-US" w:eastAsia="zh-CN"/>
              </w:rPr>
            </w:pPr>
            <w:r>
              <w:rPr>
                <w:rFonts w:hint="eastAsia"/>
                <w:b/>
                <w:bCs/>
                <w:kern w:val="2"/>
                <w:sz w:val="24"/>
                <w:szCs w:val="24"/>
                <w:highlight w:val="none"/>
                <w:lang w:val="en-US" w:eastAsia="zh-CN" w:bidi="ar-SA"/>
              </w:rPr>
              <w:t>二</w:t>
            </w:r>
            <w:r>
              <w:rPr>
                <w:rFonts w:hint="eastAsia" w:ascii="Times New Roman" w:hAnsi="Times New Roman" w:eastAsia="宋体"/>
                <w:b/>
                <w:bCs/>
                <w:kern w:val="2"/>
                <w:sz w:val="24"/>
                <w:szCs w:val="24"/>
                <w:highlight w:val="none"/>
                <w:lang w:val="en-US" w:eastAsia="zh-CN" w:bidi="ar-SA"/>
              </w:rPr>
              <w:t>、</w:t>
            </w:r>
            <w:r>
              <w:rPr>
                <w:rFonts w:hint="eastAsia"/>
                <w:b/>
                <w:bCs/>
                <w:sz w:val="24"/>
                <w:szCs w:val="24"/>
                <w:highlight w:val="none"/>
                <w:lang w:val="en-US" w:eastAsia="zh-CN"/>
              </w:rPr>
              <w:t>废水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本项目废水主要为生活污水和生产废水，生活污水经下水管排入防渗化粪池，定期外委清掏。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eastAsia="宋体"/>
                <w:highlight w:val="none"/>
                <w:lang w:val="en-US" w:eastAsia="zh-CN"/>
              </w:rPr>
            </w:pPr>
            <w:r>
              <w:rPr>
                <w:rFonts w:hint="eastAsia"/>
                <w:sz w:val="24"/>
                <w:szCs w:val="24"/>
                <w:highlight w:val="none"/>
                <w:lang w:val="en-US" w:eastAsia="zh-CN"/>
              </w:rPr>
              <w:t>生产废水，即车辆清洗废水经二级沉淀池处理后回用于厂区储煤库内洒水抑尘，不外排。</w:t>
            </w:r>
            <w:r>
              <w:rPr>
                <w:rFonts w:hint="eastAsia" w:ascii="Times New Roman" w:hAnsi="Times New Roman" w:cs="Times New Roman"/>
                <w:highlight w:val="none"/>
                <w:lang w:eastAsia="zh-CN"/>
              </w:rPr>
              <w:t>洗车废水主要污染因子为</w:t>
            </w:r>
            <w:r>
              <w:rPr>
                <w:rFonts w:hint="default" w:ascii="Times New Roman" w:hAnsi="Times New Roman" w:eastAsia="宋体" w:cs="Times New Roman"/>
                <w:highlight w:val="none"/>
              </w:rPr>
              <w:t>SS</w:t>
            </w:r>
            <w:r>
              <w:rPr>
                <w:rFonts w:hint="default" w:ascii="Times New Roman" w:hAnsi="Times New Roman" w:eastAsia="宋体" w:cs="Times New Roman"/>
                <w:highlight w:val="none"/>
                <w:lang w:eastAsia="zh-CN"/>
              </w:rPr>
              <w:t>，</w:t>
            </w:r>
            <w:r>
              <w:rPr>
                <w:rFonts w:hint="default" w:ascii="Times New Roman" w:hAnsi="Times New Roman" w:eastAsia="宋体" w:cs="Times New Roman"/>
                <w:highlight w:val="none"/>
                <w:lang w:val="en-US" w:eastAsia="zh-CN"/>
              </w:rPr>
              <w:t>浓度</w:t>
            </w:r>
            <w:r>
              <w:rPr>
                <w:rFonts w:hint="default" w:ascii="Times New Roman" w:hAnsi="Times New Roman" w:eastAsia="宋体" w:cs="Times New Roman"/>
                <w:b w:val="0"/>
                <w:bCs/>
                <w:sz w:val="24"/>
                <w:szCs w:val="24"/>
                <w:highlight w:val="none"/>
                <w:lang w:val="en-US" w:eastAsia="zh-CN"/>
              </w:rPr>
              <w:t>类比《玉山县南山乡岩坞建筑用灰岩矿建设项目环境影响报告表》，冲洗废水中SS含量约为300mg/L</w:t>
            </w:r>
            <w:bookmarkStart w:id="3" w:name="_Hlk61580160"/>
            <w:r>
              <w:rPr>
                <w:rFonts w:hint="eastAsia" w:ascii="Times New Roman" w:hAnsi="Times New Roman" w:eastAsia="宋体" w:cs="Times New Roman"/>
                <w:b w:val="0"/>
                <w:bCs/>
                <w:sz w:val="24"/>
                <w:szCs w:val="24"/>
                <w:highlight w:val="none"/>
                <w:lang w:val="en-US" w:eastAsia="zh-CN"/>
              </w:rPr>
              <w:t>，二级沉淀池沉淀处理效率约为80%；本项目设置</w:t>
            </w:r>
            <w:r>
              <w:rPr>
                <w:rFonts w:hint="eastAsia" w:ascii="Times New Roman" w:hAnsi="Times New Roman" w:eastAsia="宋体" w:cs="Times New Roman"/>
                <w:b w:val="0"/>
                <w:bCs/>
                <w:sz w:val="24"/>
                <w:szCs w:val="24"/>
                <w:highlight w:val="none"/>
                <w:vertAlign w:val="baseline"/>
                <w:lang w:val="en-US" w:eastAsia="zh-CN"/>
              </w:rPr>
              <w:t>二级</w:t>
            </w:r>
            <w:r>
              <w:rPr>
                <w:rFonts w:hint="eastAsia" w:ascii="Times New Roman" w:hAnsi="Times New Roman" w:eastAsia="宋体" w:cs="Times New Roman"/>
                <w:b w:val="0"/>
                <w:bCs/>
                <w:sz w:val="24"/>
                <w:szCs w:val="24"/>
                <w:highlight w:val="none"/>
                <w:lang w:val="en-US" w:eastAsia="zh-CN"/>
              </w:rPr>
              <w:t>沉淀池，经处理后SS约为60mg/L，</w:t>
            </w:r>
            <w:r>
              <w:rPr>
                <w:rFonts w:hint="eastAsia"/>
                <w:highlight w:val="none"/>
              </w:rPr>
              <w:t>可满足《城市污水再生利用 城市杂用水水质》</w:t>
            </w:r>
            <w:r>
              <w:rPr>
                <w:rFonts w:hint="default" w:ascii="Times New Roman" w:hAnsi="Times New Roman" w:cs="Times New Roman"/>
                <w:highlight w:val="none"/>
              </w:rPr>
              <w:t>(GB/T18920-2020)中</w:t>
            </w:r>
            <w:r>
              <w:rPr>
                <w:rFonts w:hint="eastAsia" w:cs="Times New Roman"/>
                <w:highlight w:val="none"/>
                <w:lang w:val="en-US" w:eastAsia="zh-CN"/>
              </w:rPr>
              <w:t>洒水抑尘</w:t>
            </w:r>
            <w:r>
              <w:rPr>
                <w:rFonts w:hint="eastAsia"/>
                <w:highlight w:val="none"/>
              </w:rPr>
              <w:t>用水要求。</w:t>
            </w:r>
            <w:bookmarkEnd w:id="3"/>
            <w:r>
              <w:rPr>
                <w:rFonts w:hint="eastAsia" w:ascii="Times New Roman" w:hAnsi="Times New Roman" w:eastAsia="宋体" w:cs="Times New Roman"/>
                <w:sz w:val="24"/>
                <w:szCs w:val="24"/>
                <w:highlight w:val="none"/>
                <w:lang w:val="en-US" w:eastAsia="zh-CN"/>
              </w:rPr>
              <w:t>综上</w:t>
            </w:r>
            <w:r>
              <w:rPr>
                <w:rFonts w:hint="eastAsia" w:cs="Times New Roman"/>
                <w:sz w:val="24"/>
                <w:szCs w:val="24"/>
                <w:highlight w:val="none"/>
                <w:lang w:val="en-US" w:eastAsia="zh-CN"/>
              </w:rPr>
              <w:t>，本项目</w:t>
            </w:r>
            <w:r>
              <w:rPr>
                <w:rFonts w:hint="eastAsia"/>
                <w:highlight w:val="none"/>
                <w:lang w:val="en-US" w:eastAsia="zh-CN"/>
              </w:rPr>
              <w:t>废水经上述处理后对周围水体环境影响较小。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sz w:val="24"/>
                <w:szCs w:val="24"/>
                <w:highlight w:val="none"/>
                <w:lang w:val="en-US" w:eastAsia="zh-CN"/>
              </w:rPr>
            </w:pPr>
            <w:r>
              <w:rPr>
                <w:rFonts w:hint="eastAsia" w:ascii="Times New Roman" w:hAnsi="Times New Roman" w:eastAsia="宋体"/>
                <w:b/>
                <w:bCs/>
                <w:kern w:val="2"/>
                <w:sz w:val="24"/>
                <w:szCs w:val="24"/>
                <w:highlight w:val="none"/>
                <w:lang w:val="en-US" w:eastAsia="zh-CN" w:bidi="ar-SA"/>
              </w:rPr>
              <w:t>三、</w:t>
            </w:r>
            <w:r>
              <w:rPr>
                <w:rFonts w:hint="eastAsia"/>
                <w:b/>
                <w:bCs/>
                <w:sz w:val="24"/>
                <w:szCs w:val="24"/>
                <w:highlight w:val="none"/>
                <w:lang w:val="en-US" w:eastAsia="zh-CN"/>
              </w:rPr>
              <w:t>噪声</w:t>
            </w:r>
          </w:p>
          <w:p>
            <w:pPr>
              <w:pStyle w:val="3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lang w:val="en-US" w:eastAsia="zh-CN"/>
              </w:rPr>
            </w:pPr>
            <w:r>
              <w:rPr>
                <w:rFonts w:hint="eastAsia"/>
                <w:sz w:val="24"/>
                <w:szCs w:val="24"/>
                <w:highlight w:val="none"/>
                <w:lang w:val="en-US" w:eastAsia="zh-CN"/>
              </w:rPr>
              <w:t>1、</w:t>
            </w:r>
            <w:r>
              <w:rPr>
                <w:rFonts w:hint="eastAsia" w:ascii="宋体" w:hAnsi="宋体" w:eastAsia="宋体" w:cs="宋体"/>
                <w:sz w:val="24"/>
                <w:szCs w:val="24"/>
                <w:highlight w:val="none"/>
                <w:lang w:val="en-US" w:eastAsia="zh-CN"/>
              </w:rPr>
              <w:t>噪声源强及防治措施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本项目噪声源主要来自装载机、挖掘机、自卸车等设备行驶运行及火车卸料时产生的噪声，平均声级约80-90dB（A）</w:t>
            </w:r>
            <w:r>
              <w:rPr>
                <w:rFonts w:hint="eastAsia" w:ascii="宋体" w:hAnsi="宋体" w:eastAsia="宋体" w:cs="宋体"/>
                <w:sz w:val="24"/>
                <w:szCs w:val="24"/>
                <w:highlight w:val="none"/>
                <w:lang w:val="en-US" w:eastAsia="zh-CN"/>
              </w:rPr>
              <w:t>。</w:t>
            </w:r>
            <w:r>
              <w:rPr>
                <w:rFonts w:hint="eastAsia"/>
                <w:sz w:val="24"/>
                <w:szCs w:val="24"/>
                <w:highlight w:val="none"/>
                <w:lang w:val="en-US" w:eastAsia="zh-CN"/>
              </w:rPr>
              <w:t xml:space="preserve">为进一步降低噪声对周围生态环境的影响，项目采取污染防治措施从以下几个方面综合考虑：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cs="Times New Roman"/>
                <w:sz w:val="24"/>
                <w:szCs w:val="24"/>
                <w:highlight w:val="none"/>
                <w:lang w:val="en-US" w:eastAsia="zh-CN"/>
              </w:rPr>
              <w:t>（1）</w:t>
            </w:r>
            <w:r>
              <w:rPr>
                <w:rFonts w:hint="eastAsia"/>
                <w:sz w:val="24"/>
                <w:szCs w:val="24"/>
                <w:highlight w:val="none"/>
                <w:lang w:val="en-US" w:eastAsia="zh-CN"/>
              </w:rPr>
              <w:t xml:space="preserve">在厂区总体布置中遵循统筹规划，合理布局的原则，封闭仓库远离敏感区，以减轻噪声对厂外周围生态环境的影响。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 xml:space="preserve">（2）从声源上控制：选择低噪声和符合国家噪声标准的设备，并进行定期检修维护，使其处于良好运行状态；在项目出入口设置车辆减速警示标识和减速设施，厂区及周围应严格控制车速，文明驾驶，减少鸣笛，避免产生过大噪声。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（3）加强设备维护，确保设备处于良好运转状态，杜绝因设备非正常运转时产生的高噪声现象。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本项目主要噪声设备详见表4-7。</w:t>
            </w: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20"/>
              <w:rPr>
                <w:rFonts w:hint="eastAsia"/>
                <w:highlight w:val="none"/>
                <w:lang w:val="en-US" w:eastAsia="zh-CN"/>
              </w:rPr>
            </w:pPr>
          </w:p>
          <w:p>
            <w:pPr>
              <w:pStyle w:val="5"/>
              <w:ind w:left="0" w:leftChars="0" w:firstLine="0" w:firstLineChars="0"/>
              <w:rPr>
                <w:highlight w:val="none"/>
              </w:rPr>
            </w:pPr>
          </w:p>
          <w:p>
            <w:pPr>
              <w:rPr>
                <w:highlight w:val="none"/>
              </w:rPr>
            </w:pPr>
          </w:p>
          <w:p>
            <w:pPr>
              <w:rPr>
                <w:highlight w:val="none"/>
              </w:rPr>
            </w:pPr>
          </w:p>
          <w:p>
            <w:pPr>
              <w:pStyle w:val="5"/>
              <w:ind w:left="0" w:leftChars="0" w:firstLine="0" w:firstLineChars="0"/>
              <w:rPr>
                <w:highlight w:val="none"/>
              </w:rPr>
            </w:pPr>
          </w:p>
        </w:tc>
      </w:tr>
    </w:tbl>
    <w:p>
      <w:pPr>
        <w:adjustRightInd w:val="0"/>
        <w:snapToGrid w:val="0"/>
        <w:spacing w:line="360" w:lineRule="auto"/>
        <w:rPr>
          <w:rFonts w:hint="eastAsia" w:ascii="宋体" w:cs="宋体"/>
          <w:b/>
          <w:kern w:val="0"/>
          <w:sz w:val="28"/>
          <w:szCs w:val="28"/>
          <w:highlight w:val="none"/>
        </w:rPr>
        <w:sectPr>
          <w:pgSz w:w="11907" w:h="16840"/>
          <w:pgMar w:top="1701" w:right="1531" w:bottom="2127" w:left="1531"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1"/>
        <w:tblW w:w="1513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2"/>
        <w:gridCol w:w="154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16" w:hRule="atLeast"/>
          <w:jc w:val="center"/>
        </w:trPr>
        <w:tc>
          <w:tcPr>
            <w:tcW w:w="518" w:type="dxa"/>
            <w:noWrap w:val="0"/>
            <w:tcMar>
              <w:left w:w="28" w:type="dxa"/>
              <w:right w:w="28" w:type="dxa"/>
            </w:tcMar>
            <w:vAlign w:val="center"/>
          </w:tcPr>
          <w:p>
            <w:pPr>
              <w:adjustRightInd w:val="0"/>
              <w:snapToGrid w:val="0"/>
              <w:jc w:val="center"/>
              <w:rPr>
                <w:rFonts w:ascii="宋体" w:hAnsi="宋体" w:cs="宋体"/>
                <w:bCs/>
                <w:szCs w:val="21"/>
                <w:highlight w:val="none"/>
              </w:rPr>
            </w:pPr>
          </w:p>
        </w:tc>
        <w:tc>
          <w:tcPr>
            <w:tcW w:w="14618" w:type="dxa"/>
            <w:noWrap w:val="0"/>
            <w:vAlign w:val="center"/>
          </w:tcPr>
          <w:p>
            <w:pPr>
              <w:pStyle w:val="5"/>
              <w:keepNext w:val="0"/>
              <w:keepLines w:val="0"/>
              <w:pageBreakBefore w:val="0"/>
              <w:widowControl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b/>
                <w:bCs/>
                <w:color w:val="FF0000"/>
                <w:sz w:val="22"/>
                <w:szCs w:val="22"/>
                <w:highlight w:val="none"/>
                <w:lang w:val="en-US" w:eastAsia="zh-CN"/>
              </w:rPr>
            </w:pPr>
            <w:r>
              <w:rPr>
                <w:rFonts w:hint="eastAsia"/>
                <w:b/>
                <w:bCs/>
                <w:sz w:val="22"/>
                <w:szCs w:val="22"/>
                <w:highlight w:val="none"/>
                <w:lang w:val="en-US" w:eastAsia="zh-CN"/>
              </w:rPr>
              <w:t xml:space="preserve">表4-7 </w:t>
            </w:r>
            <w:r>
              <w:rPr>
                <w:rFonts w:hint="eastAsia"/>
                <w:b/>
                <w:bCs/>
                <w:color w:val="auto"/>
                <w:sz w:val="22"/>
                <w:szCs w:val="22"/>
                <w:highlight w:val="none"/>
                <w:lang w:val="en-US" w:eastAsia="zh-CN"/>
              </w:rPr>
              <w:t>设备噪声产生情况及处理措施</w:t>
            </w:r>
          </w:p>
          <w:tbl>
            <w:tblPr>
              <w:tblStyle w:val="21"/>
              <w:tblW w:w="4995"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484"/>
              <w:gridCol w:w="427"/>
              <w:gridCol w:w="427"/>
              <w:gridCol w:w="880"/>
              <w:gridCol w:w="958"/>
              <w:gridCol w:w="636"/>
              <w:gridCol w:w="617"/>
              <w:gridCol w:w="617"/>
              <w:gridCol w:w="550"/>
              <w:gridCol w:w="617"/>
              <w:gridCol w:w="617"/>
              <w:gridCol w:w="484"/>
              <w:gridCol w:w="484"/>
              <w:gridCol w:w="684"/>
              <w:gridCol w:w="684"/>
              <w:gridCol w:w="684"/>
              <w:gridCol w:w="684"/>
              <w:gridCol w:w="427"/>
              <w:gridCol w:w="958"/>
              <w:gridCol w:w="684"/>
              <w:gridCol w:w="684"/>
              <w:gridCol w:w="684"/>
              <w:gridCol w:w="684"/>
              <w:gridCol w:w="555"/>
            </w:tblGrid>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8" w:hRule="atLeast"/>
                <w:tblHeader/>
              </w:trPr>
              <w:tc>
                <w:tcPr>
                  <w:tcW w:w="148"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序号</w:t>
                  </w:r>
                </w:p>
              </w:tc>
              <w:tc>
                <w:tcPr>
                  <w:tcW w:w="148"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建筑物</w:t>
                  </w:r>
                </w:p>
              </w:tc>
              <w:tc>
                <w:tcPr>
                  <w:tcW w:w="445"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声源</w:t>
                  </w:r>
                </w:p>
              </w:tc>
              <w:tc>
                <w:tcPr>
                  <w:tcW w:w="275"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规格/型号</w:t>
                  </w:r>
                </w:p>
              </w:tc>
              <w:tc>
                <w:tcPr>
                  <w:tcW w:w="286"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声源源强</w:t>
                  </w:r>
                </w:p>
              </w:tc>
              <w:tc>
                <w:tcPr>
                  <w:tcW w:w="221"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声源控制措施</w:t>
                  </w:r>
                </w:p>
              </w:tc>
              <w:tc>
                <w:tcPr>
                  <w:tcW w:w="535" w:type="pct"/>
                  <w:gridSpan w:val="3"/>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Style w:val="54"/>
                      <w:rFonts w:hint="default" w:ascii="Times New Roman" w:hAnsi="Times New Roman" w:cs="Times New Roman"/>
                      <w:b/>
                      <w:bCs w:val="0"/>
                      <w:sz w:val="21"/>
                      <w:szCs w:val="21"/>
                      <w:highlight w:val="none"/>
                      <w:lang w:val="en-US" w:eastAsia="zh-CN" w:bidi="ar"/>
                    </w:rPr>
                    <w:t>空间相对位置</w:t>
                  </w:r>
                  <w:r>
                    <w:rPr>
                      <w:rStyle w:val="55"/>
                      <w:rFonts w:hint="default" w:ascii="Times New Roman" w:hAnsi="Times New Roman" w:eastAsia="宋体" w:cs="Times New Roman"/>
                      <w:b/>
                      <w:bCs w:val="0"/>
                      <w:sz w:val="21"/>
                      <w:szCs w:val="21"/>
                      <w:highlight w:val="none"/>
                      <w:lang w:val="en-US" w:eastAsia="zh-CN" w:bidi="ar"/>
                    </w:rPr>
                    <w:t>/m</w:t>
                  </w:r>
                </w:p>
              </w:tc>
              <w:tc>
                <w:tcPr>
                  <w:tcW w:w="666" w:type="pct"/>
                  <w:gridSpan w:val="4"/>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距室内边界距离/m</w:t>
                  </w:r>
                </w:p>
              </w:tc>
              <w:tc>
                <w:tcPr>
                  <w:tcW w:w="831" w:type="pct"/>
                  <w:gridSpan w:val="4"/>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Style w:val="54"/>
                      <w:rFonts w:hint="default" w:ascii="Times New Roman" w:hAnsi="Times New Roman" w:cs="Times New Roman"/>
                      <w:b/>
                      <w:bCs w:val="0"/>
                      <w:sz w:val="21"/>
                      <w:szCs w:val="21"/>
                      <w:highlight w:val="none"/>
                      <w:lang w:val="en-US" w:eastAsia="zh-CN" w:bidi="ar"/>
                    </w:rPr>
                    <w:t>室内边界声级</w:t>
                  </w:r>
                  <w:r>
                    <w:rPr>
                      <w:rStyle w:val="55"/>
                      <w:rFonts w:hint="default" w:ascii="Times New Roman" w:hAnsi="Times New Roman" w:eastAsia="宋体" w:cs="Times New Roman"/>
                      <w:b/>
                      <w:bCs w:val="0"/>
                      <w:sz w:val="21"/>
                      <w:szCs w:val="21"/>
                      <w:highlight w:val="none"/>
                      <w:lang w:val="en-US" w:eastAsia="zh-CN" w:bidi="ar"/>
                    </w:rPr>
                    <w:t>/dB(A)</w:t>
                  </w:r>
                </w:p>
              </w:tc>
              <w:tc>
                <w:tcPr>
                  <w:tcW w:w="148"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kern w:val="0"/>
                      <w:sz w:val="21"/>
                      <w:szCs w:val="21"/>
                      <w:highlight w:val="none"/>
                      <w:u w:val="none"/>
                      <w:lang w:val="en-US" w:eastAsia="zh-CN" w:bidi="ar"/>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运行</w:t>
                  </w:r>
                </w:p>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时段</w:t>
                  </w:r>
                </w:p>
              </w:tc>
              <w:tc>
                <w:tcPr>
                  <w:tcW w:w="286"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插入损失/dB(A)</w:t>
                  </w:r>
                </w:p>
              </w:tc>
              <w:tc>
                <w:tcPr>
                  <w:tcW w:w="1006" w:type="pct"/>
                  <w:gridSpan w:val="5"/>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建筑物外噪声</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8" w:hRule="atLeast"/>
                <w:tblHeader/>
              </w:trPr>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445" w:type="pct"/>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275" w:type="pct"/>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221" w:type="pct"/>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535" w:type="pct"/>
                  <w:gridSpan w:val="3"/>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666" w:type="pct"/>
                  <w:gridSpan w:val="4"/>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831" w:type="pct"/>
                  <w:gridSpan w:val="4"/>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837" w:type="pct"/>
                  <w:gridSpan w:val="4"/>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Style w:val="54"/>
                      <w:rFonts w:hint="default" w:ascii="Times New Roman" w:hAnsi="Times New Roman" w:cs="Times New Roman"/>
                      <w:b/>
                      <w:bCs w:val="0"/>
                      <w:sz w:val="21"/>
                      <w:szCs w:val="21"/>
                      <w:highlight w:val="none"/>
                      <w:lang w:val="en-US" w:eastAsia="zh-CN" w:bidi="ar"/>
                    </w:rPr>
                    <w:t>声压级</w:t>
                  </w:r>
                  <w:r>
                    <w:rPr>
                      <w:rStyle w:val="55"/>
                      <w:rFonts w:hint="default" w:ascii="Times New Roman" w:hAnsi="Times New Roman" w:eastAsia="宋体" w:cs="Times New Roman"/>
                      <w:b/>
                      <w:bCs w:val="0"/>
                      <w:sz w:val="21"/>
                      <w:szCs w:val="21"/>
                      <w:highlight w:val="none"/>
                      <w:lang w:val="en-US" w:eastAsia="zh-CN" w:bidi="ar"/>
                    </w:rPr>
                    <w:t>/dB</w:t>
                  </w:r>
                  <w:r>
                    <w:rPr>
                      <w:rStyle w:val="54"/>
                      <w:rFonts w:hint="default" w:ascii="Times New Roman" w:hAnsi="Times New Roman" w:cs="Times New Roman"/>
                      <w:b/>
                      <w:bCs w:val="0"/>
                      <w:sz w:val="21"/>
                      <w:szCs w:val="21"/>
                      <w:highlight w:val="none"/>
                      <w:lang w:val="en-US" w:eastAsia="zh-CN" w:bidi="ar"/>
                    </w:rPr>
                    <w:t>（</w:t>
                  </w:r>
                  <w:r>
                    <w:rPr>
                      <w:rStyle w:val="55"/>
                      <w:rFonts w:hint="default" w:ascii="Times New Roman" w:hAnsi="Times New Roman" w:eastAsia="宋体" w:cs="Times New Roman"/>
                      <w:b/>
                      <w:bCs w:val="0"/>
                      <w:sz w:val="21"/>
                      <w:szCs w:val="21"/>
                      <w:highlight w:val="none"/>
                      <w:lang w:val="en-US" w:eastAsia="zh-CN" w:bidi="ar"/>
                    </w:rPr>
                    <w:t>A</w:t>
                  </w:r>
                  <w:r>
                    <w:rPr>
                      <w:rStyle w:val="54"/>
                      <w:rFonts w:hint="default" w:ascii="Times New Roman" w:hAnsi="Times New Roman" w:cs="Times New Roman"/>
                      <w:b/>
                      <w:bCs w:val="0"/>
                      <w:sz w:val="21"/>
                      <w:szCs w:val="21"/>
                      <w:highlight w:val="none"/>
                      <w:lang w:val="en-US" w:eastAsia="zh-CN" w:bidi="ar"/>
                    </w:rPr>
                    <w:t>）</w:t>
                  </w:r>
                </w:p>
              </w:tc>
              <w:tc>
                <w:tcPr>
                  <w:tcW w:w="168"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val="0"/>
                      <w:i w:val="0"/>
                      <w:iCs w:val="0"/>
                      <w:color w:val="000000"/>
                      <w:sz w:val="21"/>
                      <w:szCs w:val="21"/>
                      <w:highlight w:val="none"/>
                      <w:u w:val="none"/>
                    </w:rPr>
                  </w:pPr>
                  <w:r>
                    <w:rPr>
                      <w:rFonts w:hint="eastAsia" w:ascii="宋体" w:hAnsi="宋体" w:eastAsia="宋体" w:cs="宋体"/>
                      <w:b/>
                      <w:bCs w:val="0"/>
                      <w:i w:val="0"/>
                      <w:iCs w:val="0"/>
                      <w:color w:val="000000"/>
                      <w:kern w:val="0"/>
                      <w:sz w:val="21"/>
                      <w:szCs w:val="21"/>
                      <w:highlight w:val="none"/>
                      <w:u w:val="none"/>
                      <w:lang w:val="en-US" w:eastAsia="zh-CN" w:bidi="ar"/>
                    </w:rPr>
                    <w:t>建筑物外距离</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tblHeader/>
              </w:trPr>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bCs/>
                      <w:i w:val="0"/>
                      <w:iCs w:val="0"/>
                      <w:color w:val="000000"/>
                      <w:sz w:val="21"/>
                      <w:szCs w:val="21"/>
                      <w:highlight w:val="none"/>
                      <w:u w:val="none"/>
                    </w:rPr>
                  </w:pP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bCs/>
                      <w:i w:val="0"/>
                      <w:iCs w:val="0"/>
                      <w:color w:val="000000"/>
                      <w:sz w:val="21"/>
                      <w:szCs w:val="21"/>
                      <w:highlight w:val="none"/>
                      <w:u w:val="none"/>
                    </w:rPr>
                  </w:pPr>
                </w:p>
              </w:tc>
              <w:tc>
                <w:tcPr>
                  <w:tcW w:w="445"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bCs/>
                      <w:i w:val="0"/>
                      <w:iCs w:val="0"/>
                      <w:color w:val="000000"/>
                      <w:sz w:val="21"/>
                      <w:szCs w:val="21"/>
                      <w:highlight w:val="none"/>
                      <w:u w:val="none"/>
                    </w:rPr>
                  </w:pPr>
                </w:p>
              </w:tc>
              <w:tc>
                <w:tcPr>
                  <w:tcW w:w="275"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bCs/>
                      <w:i w:val="0"/>
                      <w:iCs w:val="0"/>
                      <w:color w:val="000000"/>
                      <w:sz w:val="21"/>
                      <w:szCs w:val="21"/>
                      <w:highlight w:val="none"/>
                      <w:u w:val="none"/>
                    </w:rPr>
                  </w:pPr>
                </w:p>
              </w:tc>
              <w:tc>
                <w:tcPr>
                  <w:tcW w:w="286"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Style w:val="55"/>
                      <w:rFonts w:hint="default" w:ascii="Times New Roman" w:hAnsi="Times New Roman" w:eastAsia="宋体" w:cs="Times New Roman"/>
                      <w:b/>
                      <w:bCs w:val="0"/>
                      <w:sz w:val="21"/>
                      <w:szCs w:val="21"/>
                      <w:highlight w:val="none"/>
                      <w:lang w:val="en-US" w:eastAsia="zh-CN" w:bidi="ar"/>
                    </w:rPr>
                    <w:t>/dB(A)</w:t>
                  </w:r>
                </w:p>
              </w:tc>
              <w:tc>
                <w:tcPr>
                  <w:tcW w:w="221" w:type="pct"/>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X</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Y</w:t>
                  </w:r>
                </w:p>
              </w:tc>
              <w:tc>
                <w:tcPr>
                  <w:tcW w:w="166"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Z</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东</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西</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南</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北</w:t>
                  </w:r>
                </w:p>
              </w:tc>
              <w:tc>
                <w:tcPr>
                  <w:tcW w:w="202"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东</w:t>
                  </w:r>
                </w:p>
              </w:tc>
              <w:tc>
                <w:tcPr>
                  <w:tcW w:w="202"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西</w:t>
                  </w:r>
                </w:p>
              </w:tc>
              <w:tc>
                <w:tcPr>
                  <w:tcW w:w="202"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南</w:t>
                  </w:r>
                </w:p>
              </w:tc>
              <w:tc>
                <w:tcPr>
                  <w:tcW w:w="222"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北</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jc w:val="center"/>
                    <w:rPr>
                      <w:rFonts w:hint="default" w:ascii="Times New Roman" w:hAnsi="Times New Roman" w:eastAsia="宋体" w:cs="Times New Roman"/>
                      <w:b/>
                      <w:bCs w:val="0"/>
                      <w:i w:val="0"/>
                      <w:iCs w:val="0"/>
                      <w:color w:val="000000"/>
                      <w:sz w:val="21"/>
                      <w:szCs w:val="21"/>
                      <w:highlight w:val="none"/>
                      <w:u w:val="none"/>
                    </w:rPr>
                  </w:pPr>
                </w:p>
              </w:tc>
              <w:tc>
                <w:tcPr>
                  <w:tcW w:w="202"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东</w:t>
                  </w:r>
                </w:p>
              </w:tc>
              <w:tc>
                <w:tcPr>
                  <w:tcW w:w="202"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西</w:t>
                  </w:r>
                </w:p>
              </w:tc>
              <w:tc>
                <w:tcPr>
                  <w:tcW w:w="202"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南</w:t>
                  </w:r>
                </w:p>
              </w:tc>
              <w:tc>
                <w:tcPr>
                  <w:tcW w:w="229"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val="0"/>
                      <w:i w:val="0"/>
                      <w:iCs w:val="0"/>
                      <w:color w:val="000000"/>
                      <w:sz w:val="21"/>
                      <w:szCs w:val="21"/>
                      <w:highlight w:val="none"/>
                      <w:u w:val="none"/>
                    </w:rPr>
                  </w:pPr>
                  <w:r>
                    <w:rPr>
                      <w:rFonts w:hint="default" w:ascii="Times New Roman" w:hAnsi="Times New Roman" w:eastAsia="宋体" w:cs="Times New Roman"/>
                      <w:b/>
                      <w:bCs w:val="0"/>
                      <w:i w:val="0"/>
                      <w:iCs w:val="0"/>
                      <w:color w:val="000000"/>
                      <w:kern w:val="0"/>
                      <w:sz w:val="21"/>
                      <w:szCs w:val="21"/>
                      <w:highlight w:val="none"/>
                      <w:u w:val="none"/>
                      <w:lang w:val="en-US" w:eastAsia="zh-CN" w:bidi="ar"/>
                    </w:rPr>
                    <w:t>北</w:t>
                  </w:r>
                </w:p>
              </w:tc>
              <w:tc>
                <w:tcPr>
                  <w:tcW w:w="168" w:type="pct"/>
                  <w:vMerge w:val="continue"/>
                  <w:tcBorders>
                    <w:tl2br w:val="nil"/>
                    <w:tr2bl w:val="nil"/>
                  </w:tcBorders>
                  <w:shd w:val="clear" w:color="auto" w:fill="FFFFFF"/>
                  <w:vAlign w:val="center"/>
                </w:tcPr>
                <w:p>
                  <w:pPr>
                    <w:jc w:val="center"/>
                    <w:rPr>
                      <w:rFonts w:hint="eastAsia" w:ascii="宋体" w:hAnsi="宋体" w:eastAsia="宋体" w:cs="宋体"/>
                      <w:b w:val="0"/>
                      <w:bCs/>
                      <w:i w:val="0"/>
                      <w:iCs w:val="0"/>
                      <w:color w:val="000000"/>
                      <w:sz w:val="21"/>
                      <w:szCs w:val="21"/>
                      <w:highlight w:val="none"/>
                      <w:u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rPr>
                  </w:pPr>
                  <w:r>
                    <w:rPr>
                      <w:rFonts w:hint="default" w:ascii="Times New Roman" w:hAnsi="Times New Roman" w:eastAsia="宋体" w:cs="Times New Roman"/>
                      <w:b w:val="0"/>
                      <w:i w:val="0"/>
                      <w:iCs w:val="0"/>
                      <w:color w:val="000000"/>
                      <w:kern w:val="0"/>
                      <w:sz w:val="21"/>
                      <w:szCs w:val="21"/>
                      <w:highlight w:val="none"/>
                      <w:u w:val="none"/>
                      <w:lang w:val="en-US" w:eastAsia="zh-CN" w:bidi="ar"/>
                    </w:rPr>
                    <w:t>1</w:t>
                  </w:r>
                </w:p>
              </w:tc>
              <w:tc>
                <w:tcPr>
                  <w:tcW w:w="148" w:type="pct"/>
                  <w:vMerge w:val="restart"/>
                  <w:tcBorders>
                    <w:tl2br w:val="nil"/>
                    <w:tr2bl w:val="nil"/>
                  </w:tcBorders>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sz w:val="21"/>
                      <w:szCs w:val="21"/>
                      <w:highlight w:val="none"/>
                      <w:lang w:val="en-US" w:eastAsia="zh-CN"/>
                    </w:rPr>
                  </w:pPr>
                  <w:r>
                    <w:rPr>
                      <w:rFonts w:hint="eastAsia"/>
                      <w:sz w:val="21"/>
                      <w:szCs w:val="21"/>
                      <w:highlight w:val="none"/>
                      <w:lang w:val="en-US" w:eastAsia="zh-CN"/>
                    </w:rPr>
                    <w:t>储煤库</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Times New Roman" w:hAnsi="Times New Roman" w:eastAsia="宋体" w:cs="Times New Roman"/>
                      <w:b w:val="0"/>
                      <w:i w:val="0"/>
                      <w:iCs w:val="0"/>
                      <w:color w:val="000000"/>
                      <w:sz w:val="21"/>
                      <w:szCs w:val="21"/>
                      <w:highlight w:val="none"/>
                      <w:u w:val="none"/>
                      <w:lang w:eastAsia="zh-CN"/>
                    </w:rPr>
                  </w:pPr>
                  <w:r>
                    <w:rPr>
                      <w:rFonts w:hint="eastAsia"/>
                      <w:sz w:val="21"/>
                      <w:szCs w:val="21"/>
                      <w:highlight w:val="none"/>
                      <w:lang w:val="en-US" w:eastAsia="zh-CN"/>
                    </w:rPr>
                    <w:t>1</w:t>
                  </w:r>
                </w:p>
              </w:tc>
              <w:tc>
                <w:tcPr>
                  <w:tcW w:w="445"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装载机1</w:t>
                  </w:r>
                </w:p>
              </w:tc>
              <w:tc>
                <w:tcPr>
                  <w:tcW w:w="275" w:type="pct"/>
                  <w:vMerge w:val="restar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sz w:val="21"/>
                      <w:szCs w:val="21"/>
                      <w:highlight w:val="none"/>
                      <w:lang w:val="en-US" w:eastAsia="zh-CN"/>
                    </w:rPr>
                    <w:t>50型</w:t>
                  </w:r>
                </w:p>
              </w:tc>
              <w:tc>
                <w:tcPr>
                  <w:tcW w:w="286"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80</w:t>
                  </w:r>
                </w:p>
              </w:tc>
              <w:tc>
                <w:tcPr>
                  <w:tcW w:w="221" w:type="pct"/>
                  <w:vMerge w:val="restart"/>
                  <w:tcBorders>
                    <w:tl2br w:val="nil"/>
                    <w:tr2bl w:val="nil"/>
                  </w:tcBorders>
                  <w:shd w:val="clear" w:color="auto" w:fill="FFFFFF"/>
                  <w:vAlign w:val="center"/>
                </w:tcPr>
                <w:p>
                  <w:pPr>
                    <w:keepNext w:val="0"/>
                    <w:keepLines w:val="0"/>
                    <w:widowControl/>
                    <w:suppressLineNumbers w:val="0"/>
                    <w:jc w:val="center"/>
                    <w:textAlignment w:val="center"/>
                    <w:rPr>
                      <w:rStyle w:val="57"/>
                      <w:rFonts w:hint="default" w:ascii="Times New Roman" w:hAnsi="Times New Roman" w:cs="Times New Roman"/>
                      <w:b w:val="0"/>
                      <w:sz w:val="21"/>
                      <w:szCs w:val="21"/>
                      <w:highlight w:val="none"/>
                      <w:lang w:val="en-US" w:eastAsia="zh-CN" w:bidi="ar"/>
                    </w:rPr>
                  </w:pPr>
                  <w:r>
                    <w:rPr>
                      <w:rStyle w:val="56"/>
                      <w:rFonts w:hint="default" w:ascii="Times New Roman" w:hAnsi="Times New Roman" w:eastAsia="宋体" w:cs="Times New Roman"/>
                      <w:b w:val="0"/>
                      <w:sz w:val="21"/>
                      <w:szCs w:val="21"/>
                      <w:highlight w:val="none"/>
                      <w:lang w:val="en-US" w:eastAsia="zh-CN" w:bidi="ar"/>
                    </w:rPr>
                    <w:t>1.</w:t>
                  </w:r>
                  <w:r>
                    <w:rPr>
                      <w:rStyle w:val="57"/>
                      <w:rFonts w:hint="default" w:ascii="Times New Roman" w:hAnsi="Times New Roman" w:cs="Times New Roman"/>
                      <w:b w:val="0"/>
                      <w:sz w:val="21"/>
                      <w:szCs w:val="21"/>
                      <w:highlight w:val="none"/>
                      <w:lang w:val="en-US" w:eastAsia="zh-CN" w:bidi="ar"/>
                    </w:rPr>
                    <w:t>选用低噪声设备；</w:t>
                  </w:r>
                </w:p>
                <w:p>
                  <w:pPr>
                    <w:keepNext w:val="0"/>
                    <w:keepLines w:val="0"/>
                    <w:widowControl/>
                    <w:suppressLineNumbers w:val="0"/>
                    <w:jc w:val="center"/>
                    <w:textAlignment w:val="center"/>
                    <w:rPr>
                      <w:rStyle w:val="56"/>
                      <w:rFonts w:hint="eastAsia" w:cs="Times New Roman"/>
                      <w:b w:val="0"/>
                      <w:sz w:val="21"/>
                      <w:szCs w:val="21"/>
                      <w:highlight w:val="none"/>
                      <w:lang w:val="en-US" w:eastAsia="zh-CN" w:bidi="ar"/>
                    </w:rPr>
                  </w:pPr>
                  <w:r>
                    <w:rPr>
                      <w:rStyle w:val="56"/>
                      <w:rFonts w:hint="default" w:ascii="Times New Roman" w:hAnsi="Times New Roman" w:eastAsia="宋体" w:cs="Times New Roman"/>
                      <w:b w:val="0"/>
                      <w:sz w:val="21"/>
                      <w:szCs w:val="21"/>
                      <w:highlight w:val="none"/>
                      <w:lang w:val="en-US" w:eastAsia="zh-CN" w:bidi="ar"/>
                    </w:rPr>
                    <w:t>2.</w:t>
                  </w:r>
                  <w:r>
                    <w:rPr>
                      <w:rStyle w:val="56"/>
                      <w:rFonts w:hint="eastAsia" w:cs="Times New Roman"/>
                      <w:b w:val="0"/>
                      <w:sz w:val="21"/>
                      <w:szCs w:val="21"/>
                      <w:highlight w:val="none"/>
                      <w:lang w:val="en-US" w:eastAsia="zh-CN" w:bidi="ar"/>
                    </w:rPr>
                    <w:t>加强维护</w:t>
                  </w:r>
                </w:p>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rPr>
                  </w:pPr>
                  <w:r>
                    <w:rPr>
                      <w:rStyle w:val="56"/>
                      <w:rFonts w:hint="eastAsia" w:cs="Times New Roman"/>
                      <w:b w:val="0"/>
                      <w:sz w:val="21"/>
                      <w:szCs w:val="21"/>
                      <w:highlight w:val="none"/>
                      <w:lang w:val="en-US" w:eastAsia="zh-CN" w:bidi="ar"/>
                    </w:rPr>
                    <w:t>3.</w:t>
                  </w:r>
                  <w:r>
                    <w:rPr>
                      <w:rStyle w:val="57"/>
                      <w:rFonts w:hint="default" w:ascii="Times New Roman" w:hAnsi="Times New Roman" w:cs="Times New Roman"/>
                      <w:b w:val="0"/>
                      <w:sz w:val="21"/>
                      <w:szCs w:val="21"/>
                      <w:highlight w:val="none"/>
                      <w:lang w:val="en-US" w:eastAsia="zh-CN" w:bidi="ar"/>
                    </w:rPr>
                    <w:t>厂房隔声等。</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40</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71</w:t>
                  </w:r>
                </w:p>
              </w:tc>
              <w:tc>
                <w:tcPr>
                  <w:tcW w:w="166"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1.5</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188</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76</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21</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51.6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51.9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51.7 </w:t>
                  </w:r>
                </w:p>
              </w:tc>
              <w:tc>
                <w:tcPr>
                  <w:tcW w:w="22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52.2 </w:t>
                  </w:r>
                </w:p>
              </w:tc>
              <w:tc>
                <w:tcPr>
                  <w:tcW w:w="148"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lang w:val="en-US" w:eastAsia="zh-CN"/>
                    </w:rPr>
                  </w:pPr>
                  <w:r>
                    <w:rPr>
                      <w:rFonts w:hint="eastAsia" w:cs="Times New Roman"/>
                      <w:b w:val="0"/>
                      <w:i w:val="0"/>
                      <w:iCs w:val="0"/>
                      <w:color w:val="000000"/>
                      <w:sz w:val="21"/>
                      <w:szCs w:val="21"/>
                      <w:highlight w:val="none"/>
                      <w:u w:val="none"/>
                      <w:lang w:val="en-US" w:eastAsia="zh-CN"/>
                    </w:rPr>
                    <w:t>昼间</w:t>
                  </w:r>
                </w:p>
              </w:tc>
              <w:tc>
                <w:tcPr>
                  <w:tcW w:w="286"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eastAsia" w:cs="Times New Roman"/>
                      <w:b w:val="0"/>
                      <w:i w:val="0"/>
                      <w:iCs w:val="0"/>
                      <w:color w:val="000000"/>
                      <w:sz w:val="21"/>
                      <w:szCs w:val="21"/>
                      <w:highlight w:val="none"/>
                      <w:u w:val="none"/>
                      <w:lang w:val="en-US" w:eastAsia="zh-CN"/>
                    </w:rPr>
                    <w:t>15</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36.6</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36.9</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36.7</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37.2</w:t>
                  </w:r>
                </w:p>
              </w:tc>
              <w:tc>
                <w:tcPr>
                  <w:tcW w:w="168"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lang w:val="en-US" w:eastAsia="zh-CN"/>
                    </w:rPr>
                  </w:pPr>
                  <w:r>
                    <w:rPr>
                      <w:rFonts w:hint="default" w:ascii="Times New Roman" w:hAnsi="Times New Roman" w:eastAsia="宋体" w:cs="Times New Roman"/>
                      <w:b w:val="0"/>
                      <w:i w:val="0"/>
                      <w:iCs w:val="0"/>
                      <w:color w:val="000000"/>
                      <w:kern w:val="0"/>
                      <w:sz w:val="21"/>
                      <w:szCs w:val="21"/>
                      <w:highlight w:val="none"/>
                      <w:u w:val="none"/>
                      <w:lang w:val="en-US" w:eastAsia="zh-CN" w:bidi="ar"/>
                    </w:rPr>
                    <w:t>1m</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rPr>
                  </w:pPr>
                  <w:r>
                    <w:rPr>
                      <w:rFonts w:hint="default" w:ascii="Times New Roman" w:hAnsi="Times New Roman" w:eastAsia="宋体" w:cs="Times New Roman"/>
                      <w:b w:val="0"/>
                      <w:i w:val="0"/>
                      <w:iCs w:val="0"/>
                      <w:color w:val="000000"/>
                      <w:kern w:val="0"/>
                      <w:sz w:val="21"/>
                      <w:szCs w:val="21"/>
                      <w:highlight w:val="none"/>
                      <w:u w:val="none"/>
                      <w:lang w:val="en-US" w:eastAsia="zh-CN" w:bidi="ar"/>
                    </w:rPr>
                    <w:t>2</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445"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装载机2</w:t>
                  </w:r>
                </w:p>
              </w:tc>
              <w:tc>
                <w:tcPr>
                  <w:tcW w:w="275" w:type="pct"/>
                  <w:vMerge w:val="continue"/>
                  <w:tcBorders>
                    <w:bottom w:val="single" w:color="auto" w:sz="4" w:space="0"/>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p>
              </w:tc>
              <w:tc>
                <w:tcPr>
                  <w:tcW w:w="286"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80</w:t>
                  </w:r>
                </w:p>
              </w:tc>
              <w:tc>
                <w:tcPr>
                  <w:tcW w:w="221"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90</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86</w:t>
                  </w:r>
                </w:p>
              </w:tc>
              <w:tc>
                <w:tcPr>
                  <w:tcW w:w="16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140</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83</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72</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25</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51.7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51.7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51.7 </w:t>
                  </w:r>
                </w:p>
              </w:tc>
              <w:tc>
                <w:tcPr>
                  <w:tcW w:w="22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51.8 </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lang w:val="en-US"/>
                    </w:rPr>
                  </w:pP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36.7</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36.7</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36.7</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36.8</w:t>
                  </w:r>
                </w:p>
              </w:tc>
              <w:tc>
                <w:tcPr>
                  <w:tcW w:w="16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rPr>
                  </w:pPr>
                  <w:r>
                    <w:rPr>
                      <w:rFonts w:hint="default" w:ascii="Times New Roman" w:hAnsi="Times New Roman" w:eastAsia="宋体" w:cs="Times New Roman"/>
                      <w:b w:val="0"/>
                      <w:i w:val="0"/>
                      <w:iCs w:val="0"/>
                      <w:color w:val="000000"/>
                      <w:kern w:val="0"/>
                      <w:sz w:val="21"/>
                      <w:szCs w:val="21"/>
                      <w:highlight w:val="none"/>
                      <w:u w:val="none"/>
                      <w:lang w:val="en-US" w:eastAsia="zh-CN" w:bidi="ar"/>
                    </w:rPr>
                    <w:t>3</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445"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自卸车1</w:t>
                  </w:r>
                </w:p>
              </w:tc>
              <w:tc>
                <w:tcPr>
                  <w:tcW w:w="275" w:type="pct"/>
                  <w:vMerge w:val="restart"/>
                  <w:tcBorders>
                    <w:top w:val="single" w:color="auto" w:sz="4" w:space="0"/>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b w:val="0"/>
                      <w:i w:val="0"/>
                      <w:iCs w:val="0"/>
                      <w:color w:val="000000"/>
                      <w:kern w:val="0"/>
                      <w:sz w:val="21"/>
                      <w:szCs w:val="21"/>
                      <w:highlight w:val="none"/>
                      <w:u w:val="none"/>
                      <w:lang w:val="en-US" w:eastAsia="zh-CN" w:bidi="ar"/>
                    </w:rPr>
                    <w:t>/</w:t>
                  </w:r>
                </w:p>
              </w:tc>
              <w:tc>
                <w:tcPr>
                  <w:tcW w:w="286"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80</w:t>
                  </w:r>
                </w:p>
              </w:tc>
              <w:tc>
                <w:tcPr>
                  <w:tcW w:w="221"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93</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101</w:t>
                  </w:r>
                </w:p>
              </w:tc>
              <w:tc>
                <w:tcPr>
                  <w:tcW w:w="16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70</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155</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72</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33</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51.7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51.7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51.8 </w:t>
                  </w:r>
                </w:p>
              </w:tc>
              <w:tc>
                <w:tcPr>
                  <w:tcW w:w="22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52.5 </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lang w:val="en-US"/>
                    </w:rPr>
                  </w:pP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36.7</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36.7</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36.8</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37.5</w:t>
                  </w:r>
                </w:p>
              </w:tc>
              <w:tc>
                <w:tcPr>
                  <w:tcW w:w="16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rPr>
                  </w:pPr>
                  <w:r>
                    <w:rPr>
                      <w:rFonts w:hint="default" w:ascii="Times New Roman" w:hAnsi="Times New Roman" w:eastAsia="宋体" w:cs="Times New Roman"/>
                      <w:b w:val="0"/>
                      <w:i w:val="0"/>
                      <w:iCs w:val="0"/>
                      <w:color w:val="000000"/>
                      <w:kern w:val="0"/>
                      <w:sz w:val="21"/>
                      <w:szCs w:val="21"/>
                      <w:highlight w:val="none"/>
                      <w:u w:val="none"/>
                      <w:lang w:val="en-US" w:eastAsia="zh-CN" w:bidi="ar"/>
                    </w:rPr>
                    <w:t>4</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445"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自卸车2</w:t>
                  </w:r>
                </w:p>
              </w:tc>
              <w:tc>
                <w:tcPr>
                  <w:tcW w:w="275" w:type="pct"/>
                  <w:vMerge w:val="continue"/>
                  <w:tcBorders>
                    <w:top w:val="single" w:color="auto" w:sz="4" w:space="0"/>
                    <w:bottom w:val="single" w:color="auto" w:sz="4" w:space="0"/>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p>
              </w:tc>
              <w:tc>
                <w:tcPr>
                  <w:tcW w:w="286"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80</w:t>
                  </w:r>
                </w:p>
              </w:tc>
              <w:tc>
                <w:tcPr>
                  <w:tcW w:w="221"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106</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68</w:t>
                  </w:r>
                </w:p>
              </w:tc>
              <w:tc>
                <w:tcPr>
                  <w:tcW w:w="166" w:type="pct"/>
                  <w:vMerge w:val="continue"/>
                  <w:tcBorders>
                    <w:bottom w:val="single" w:color="auto" w:sz="4" w:space="0"/>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24</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194</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73</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26</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51.7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51.8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51.6 </w:t>
                  </w:r>
                </w:p>
              </w:tc>
              <w:tc>
                <w:tcPr>
                  <w:tcW w:w="22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51.7 </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lang w:val="en-US"/>
                    </w:rPr>
                  </w:pP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36.7</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36.8</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36.6</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36.7</w:t>
                  </w:r>
                </w:p>
              </w:tc>
              <w:tc>
                <w:tcPr>
                  <w:tcW w:w="16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rPr>
                  </w:pPr>
                  <w:r>
                    <w:rPr>
                      <w:rFonts w:hint="default" w:ascii="Times New Roman" w:hAnsi="Times New Roman" w:eastAsia="宋体" w:cs="Times New Roman"/>
                      <w:b w:val="0"/>
                      <w:i w:val="0"/>
                      <w:iCs w:val="0"/>
                      <w:color w:val="000000"/>
                      <w:kern w:val="0"/>
                      <w:sz w:val="21"/>
                      <w:szCs w:val="21"/>
                      <w:highlight w:val="none"/>
                      <w:u w:val="none"/>
                      <w:lang w:val="en-US" w:eastAsia="zh-CN" w:bidi="ar"/>
                    </w:rPr>
                    <w:t>5</w:t>
                  </w:r>
                </w:p>
              </w:tc>
              <w:tc>
                <w:tcPr>
                  <w:tcW w:w="148" w:type="pct"/>
                  <w:vMerge w:val="continue"/>
                  <w:tcBorders>
                    <w:bottom w:val="single" w:color="auto" w:sz="4" w:space="0"/>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445" w:type="pct"/>
                  <w:tcBorders>
                    <w:bottom w:val="single" w:color="auto" w:sz="4" w:space="0"/>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lang w:val="en-US"/>
                    </w:rPr>
                  </w:pPr>
                  <w:r>
                    <w:rPr>
                      <w:rFonts w:hint="default" w:ascii="Times New Roman" w:hAnsi="Times New Roman" w:eastAsia="宋体" w:cs="Times New Roman"/>
                      <w:i w:val="0"/>
                      <w:iCs w:val="0"/>
                      <w:color w:val="000000"/>
                      <w:kern w:val="0"/>
                      <w:sz w:val="21"/>
                      <w:szCs w:val="21"/>
                      <w:highlight w:val="none"/>
                      <w:u w:val="none"/>
                      <w:lang w:val="en-US" w:eastAsia="zh-CN" w:bidi="ar"/>
                    </w:rPr>
                    <w:t>挖掘机1</w:t>
                  </w:r>
                </w:p>
              </w:tc>
              <w:tc>
                <w:tcPr>
                  <w:tcW w:w="275" w:type="pct"/>
                  <w:tcBorders>
                    <w:top w:val="single" w:color="auto" w:sz="4" w:space="0"/>
                    <w:bottom w:val="single" w:color="auto" w:sz="4" w:space="0"/>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b w:val="0"/>
                      <w:i w:val="0"/>
                      <w:iCs w:val="0"/>
                      <w:color w:val="000000"/>
                      <w:kern w:val="0"/>
                      <w:sz w:val="21"/>
                      <w:szCs w:val="21"/>
                      <w:highlight w:val="none"/>
                      <w:u w:val="none"/>
                      <w:lang w:val="en-US" w:eastAsia="zh-CN" w:bidi="ar"/>
                    </w:rPr>
                    <w:t>225型</w:t>
                  </w:r>
                </w:p>
              </w:tc>
              <w:tc>
                <w:tcPr>
                  <w:tcW w:w="286"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80</w:t>
                  </w:r>
                </w:p>
              </w:tc>
              <w:tc>
                <w:tcPr>
                  <w:tcW w:w="221"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22</w:t>
                  </w:r>
                </w:p>
              </w:tc>
              <w:tc>
                <w:tcPr>
                  <w:tcW w:w="184" w:type="pct"/>
                  <w:tcBorders>
                    <w:bottom w:val="single" w:color="auto" w:sz="4" w:space="0"/>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47</w:t>
                  </w:r>
                </w:p>
              </w:tc>
              <w:tc>
                <w:tcPr>
                  <w:tcW w:w="166" w:type="pct"/>
                  <w:tcBorders>
                    <w:top w:val="single" w:color="auto" w:sz="4" w:space="0"/>
                    <w:bottom w:val="single" w:color="auto" w:sz="4" w:space="0"/>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27</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208</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21</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83</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46.6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55.1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47.2 </w:t>
                  </w:r>
                </w:p>
              </w:tc>
              <w:tc>
                <w:tcPr>
                  <w:tcW w:w="222" w:type="pct"/>
                  <w:tcBorders>
                    <w:bottom w:val="single" w:color="auto" w:sz="4" w:space="0"/>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46.9 </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highlight w:val="none"/>
                      <w:u w:val="none"/>
                      <w:lang w:val="en-US"/>
                    </w:rPr>
                  </w:pP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31.6</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40.1</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32.2</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31.9</w:t>
                  </w:r>
                </w:p>
              </w:tc>
              <w:tc>
                <w:tcPr>
                  <w:tcW w:w="16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eastAsia" w:cs="Times New Roman"/>
                      <w:b w:val="0"/>
                      <w:i w:val="0"/>
                      <w:iCs w:val="0"/>
                      <w:color w:val="000000"/>
                      <w:kern w:val="0"/>
                      <w:sz w:val="21"/>
                      <w:szCs w:val="21"/>
                      <w:highlight w:val="none"/>
                      <w:u w:val="none"/>
                      <w:lang w:val="en-US" w:eastAsia="zh-CN" w:bidi="ar"/>
                    </w:rPr>
                    <w:t>6</w:t>
                  </w:r>
                </w:p>
              </w:tc>
              <w:tc>
                <w:tcPr>
                  <w:tcW w:w="148" w:type="pct"/>
                  <w:vMerge w:val="restart"/>
                  <w:tcBorders>
                    <w:top w:val="single" w:color="auto" w:sz="4" w:space="0"/>
                    <w:tl2br w:val="nil"/>
                    <w:tr2bl w:val="nil"/>
                  </w:tcBorders>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储煤库</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Times New Roman" w:hAnsi="Times New Roman" w:eastAsia="宋体" w:cs="Times New Roman"/>
                      <w:b w:val="0"/>
                      <w:i w:val="0"/>
                      <w:iCs w:val="0"/>
                      <w:color w:val="000000"/>
                      <w:sz w:val="21"/>
                      <w:szCs w:val="21"/>
                      <w:highlight w:val="none"/>
                      <w:u w:val="none"/>
                    </w:rPr>
                  </w:pPr>
                  <w:r>
                    <w:rPr>
                      <w:rFonts w:hint="eastAsia" w:cs="Times New Roman"/>
                      <w:color w:val="auto"/>
                      <w:sz w:val="21"/>
                      <w:szCs w:val="21"/>
                      <w:highlight w:val="none"/>
                      <w:lang w:val="en-US" w:eastAsia="zh-CN"/>
                    </w:rPr>
                    <w:t>2</w:t>
                  </w:r>
                </w:p>
              </w:tc>
              <w:tc>
                <w:tcPr>
                  <w:tcW w:w="445"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装载机3</w:t>
                  </w:r>
                </w:p>
              </w:tc>
              <w:tc>
                <w:tcPr>
                  <w:tcW w:w="275" w:type="pct"/>
                  <w:tcBorders>
                    <w:top w:val="single" w:color="auto" w:sz="4" w:space="0"/>
                    <w:bottom w:val="single" w:color="auto" w:sz="4" w:space="0"/>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sz w:val="21"/>
                      <w:szCs w:val="21"/>
                      <w:highlight w:val="none"/>
                      <w:lang w:val="en-US" w:eastAsia="zh-CN"/>
                    </w:rPr>
                    <w:t>50型</w:t>
                  </w:r>
                </w:p>
              </w:tc>
              <w:tc>
                <w:tcPr>
                  <w:tcW w:w="286" w:type="pct"/>
                  <w:tcBorders>
                    <w:top w:val="single" w:color="auto" w:sz="4" w:space="0"/>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80</w:t>
                  </w:r>
                </w:p>
              </w:tc>
              <w:tc>
                <w:tcPr>
                  <w:tcW w:w="221"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276</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66</w:t>
                  </w:r>
                </w:p>
              </w:tc>
              <w:tc>
                <w:tcPr>
                  <w:tcW w:w="166" w:type="pct"/>
                  <w:vMerge w:val="restart"/>
                  <w:tcBorders>
                    <w:top w:val="single" w:color="auto" w:sz="4" w:space="0"/>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1.5</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196</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35</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21</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75</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52.7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52.8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52.8 </w:t>
                  </w:r>
                </w:p>
              </w:tc>
              <w:tc>
                <w:tcPr>
                  <w:tcW w:w="22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53.1 </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37.7</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37.8</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37.8</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38.1</w:t>
                  </w:r>
                </w:p>
              </w:tc>
              <w:tc>
                <w:tcPr>
                  <w:tcW w:w="16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eastAsia" w:cs="Times New Roman"/>
                      <w:b w:val="0"/>
                      <w:i w:val="0"/>
                      <w:iCs w:val="0"/>
                      <w:color w:val="000000"/>
                      <w:kern w:val="0"/>
                      <w:sz w:val="21"/>
                      <w:szCs w:val="21"/>
                      <w:highlight w:val="none"/>
                      <w:u w:val="none"/>
                      <w:lang w:val="en-US" w:eastAsia="zh-CN" w:bidi="ar"/>
                    </w:rPr>
                    <w:t>7</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445"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自卸车3</w:t>
                  </w:r>
                </w:p>
              </w:tc>
              <w:tc>
                <w:tcPr>
                  <w:tcW w:w="275" w:type="pct"/>
                  <w:vMerge w:val="restart"/>
                  <w:tcBorders>
                    <w:top w:val="single" w:color="auto" w:sz="4" w:space="0"/>
                    <w:bottom w:val="single" w:color="auto" w:sz="4" w:space="0"/>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b w:val="0"/>
                      <w:i w:val="0"/>
                      <w:iCs w:val="0"/>
                      <w:color w:val="000000"/>
                      <w:kern w:val="0"/>
                      <w:sz w:val="21"/>
                      <w:szCs w:val="21"/>
                      <w:highlight w:val="none"/>
                      <w:u w:val="none"/>
                      <w:lang w:val="en-US" w:eastAsia="zh-CN" w:bidi="ar"/>
                    </w:rPr>
                    <w:t>/</w:t>
                  </w:r>
                </w:p>
              </w:tc>
              <w:tc>
                <w:tcPr>
                  <w:tcW w:w="286"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80</w:t>
                  </w:r>
                </w:p>
              </w:tc>
              <w:tc>
                <w:tcPr>
                  <w:tcW w:w="221"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286</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w:t>
                  </w:r>
                </w:p>
              </w:tc>
              <w:tc>
                <w:tcPr>
                  <w:tcW w:w="16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129</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95</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62</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28</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52.7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53.3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52.7 </w:t>
                  </w:r>
                </w:p>
              </w:tc>
              <w:tc>
                <w:tcPr>
                  <w:tcW w:w="22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52.8 </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37.7</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38.3</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37.7</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37.8</w:t>
                  </w:r>
                </w:p>
              </w:tc>
              <w:tc>
                <w:tcPr>
                  <w:tcW w:w="16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eastAsia" w:cs="Times New Roman"/>
                      <w:b w:val="0"/>
                      <w:i w:val="0"/>
                      <w:iCs w:val="0"/>
                      <w:color w:val="000000"/>
                      <w:kern w:val="0"/>
                      <w:sz w:val="21"/>
                      <w:szCs w:val="21"/>
                      <w:highlight w:val="none"/>
                      <w:u w:val="none"/>
                      <w:lang w:val="en-US" w:eastAsia="zh-CN" w:bidi="ar"/>
                    </w:rPr>
                    <w:t>8</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445"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自卸车4</w:t>
                  </w:r>
                </w:p>
              </w:tc>
              <w:tc>
                <w:tcPr>
                  <w:tcW w:w="275" w:type="pct"/>
                  <w:vMerge w:val="continue"/>
                  <w:tcBorders>
                    <w:top w:val="single" w:color="auto" w:sz="4" w:space="0"/>
                    <w:bottom w:val="single" w:color="auto" w:sz="4" w:space="0"/>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p>
              </w:tc>
              <w:tc>
                <w:tcPr>
                  <w:tcW w:w="286"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80</w:t>
                  </w:r>
                </w:p>
              </w:tc>
              <w:tc>
                <w:tcPr>
                  <w:tcW w:w="221"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315</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57</w:t>
                  </w:r>
                </w:p>
              </w:tc>
              <w:tc>
                <w:tcPr>
                  <w:tcW w:w="166" w:type="pct"/>
                  <w:vMerge w:val="continue"/>
                  <w:tcBorders>
                    <w:bottom w:val="single" w:color="auto" w:sz="4" w:space="0"/>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48</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177</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67</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32</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52.8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52.9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52.7 </w:t>
                  </w:r>
                </w:p>
              </w:tc>
              <w:tc>
                <w:tcPr>
                  <w:tcW w:w="22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52.8 </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37.8</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37.9</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37.7</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37.8</w:t>
                  </w:r>
                </w:p>
              </w:tc>
              <w:tc>
                <w:tcPr>
                  <w:tcW w:w="16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eastAsia" w:cs="Times New Roman"/>
                      <w:b w:val="0"/>
                      <w:i w:val="0"/>
                      <w:iCs w:val="0"/>
                      <w:color w:val="000000"/>
                      <w:kern w:val="0"/>
                      <w:sz w:val="21"/>
                      <w:szCs w:val="21"/>
                      <w:highlight w:val="none"/>
                      <w:u w:val="none"/>
                      <w:lang w:val="en-US" w:eastAsia="zh-CN" w:bidi="ar"/>
                    </w:rPr>
                    <w:t>9</w:t>
                  </w:r>
                </w:p>
              </w:tc>
              <w:tc>
                <w:tcPr>
                  <w:tcW w:w="148" w:type="pct"/>
                  <w:vMerge w:val="continue"/>
                  <w:tcBorders>
                    <w:bottom w:val="single" w:color="auto" w:sz="4" w:space="0"/>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445"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挖掘机2</w:t>
                  </w:r>
                </w:p>
              </w:tc>
              <w:tc>
                <w:tcPr>
                  <w:tcW w:w="275" w:type="pct"/>
                  <w:tcBorders>
                    <w:top w:val="single" w:color="auto" w:sz="4" w:space="0"/>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b w:val="0"/>
                      <w:i w:val="0"/>
                      <w:iCs w:val="0"/>
                      <w:color w:val="000000"/>
                      <w:kern w:val="0"/>
                      <w:sz w:val="21"/>
                      <w:szCs w:val="21"/>
                      <w:highlight w:val="none"/>
                      <w:u w:val="none"/>
                      <w:lang w:val="en-US" w:eastAsia="zh-CN" w:bidi="ar"/>
                    </w:rPr>
                    <w:t>360型</w:t>
                  </w:r>
                </w:p>
              </w:tc>
              <w:tc>
                <w:tcPr>
                  <w:tcW w:w="286"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75</w:t>
                  </w:r>
                </w:p>
              </w:tc>
              <w:tc>
                <w:tcPr>
                  <w:tcW w:w="221"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184" w:type="pct"/>
                  <w:tcBorders>
                    <w:bottom w:val="single" w:color="auto" w:sz="4" w:space="0"/>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350</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145</w:t>
                  </w:r>
                </w:p>
              </w:tc>
              <w:tc>
                <w:tcPr>
                  <w:tcW w:w="166" w:type="pct"/>
                  <w:tcBorders>
                    <w:top w:val="single" w:color="auto" w:sz="4" w:space="0"/>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79</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155</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50</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46</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47.8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48.0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47.7 </w:t>
                  </w:r>
                </w:p>
              </w:tc>
              <w:tc>
                <w:tcPr>
                  <w:tcW w:w="22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47.8 </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32.8</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33</w:t>
                  </w:r>
                  <w:r>
                    <w:rPr>
                      <w:rFonts w:hint="eastAsia" w:ascii="Times New Roman" w:hAnsi="Times New Roman" w:eastAsia="宋体" w:cs="Times New Roman"/>
                      <w:i w:val="0"/>
                      <w:iCs w:val="0"/>
                      <w:color w:val="000000"/>
                      <w:kern w:val="0"/>
                      <w:sz w:val="21"/>
                      <w:szCs w:val="21"/>
                      <w:highlight w:val="none"/>
                      <w:u w:val="none"/>
                      <w:lang w:val="en-US" w:eastAsia="zh-CN" w:bidi="ar"/>
                    </w:rPr>
                    <w:t>.0</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32.7</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32.8</w:t>
                  </w:r>
                </w:p>
              </w:tc>
              <w:tc>
                <w:tcPr>
                  <w:tcW w:w="16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eastAsia" w:cs="Times New Roman"/>
                      <w:b w:val="0"/>
                      <w:i w:val="0"/>
                      <w:iCs w:val="0"/>
                      <w:color w:val="000000"/>
                      <w:kern w:val="0"/>
                      <w:sz w:val="21"/>
                      <w:szCs w:val="21"/>
                      <w:highlight w:val="none"/>
                      <w:u w:val="none"/>
                      <w:lang w:val="en-US" w:eastAsia="zh-CN" w:bidi="ar"/>
                    </w:rPr>
                    <w:t>10</w:t>
                  </w:r>
                </w:p>
              </w:tc>
              <w:tc>
                <w:tcPr>
                  <w:tcW w:w="148" w:type="pct"/>
                  <w:vMerge w:val="restart"/>
                  <w:tcBorders>
                    <w:top w:val="single" w:color="auto" w:sz="4" w:space="0"/>
                    <w:tl2br w:val="nil"/>
                    <w:tr2bl w:val="nil"/>
                  </w:tcBorders>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sz w:val="21"/>
                      <w:szCs w:val="21"/>
                      <w:highlight w:val="none"/>
                      <w:lang w:val="en-US" w:eastAsia="zh-CN"/>
                    </w:rPr>
                  </w:pPr>
                  <w:r>
                    <w:rPr>
                      <w:rFonts w:hint="eastAsia"/>
                      <w:sz w:val="21"/>
                      <w:szCs w:val="21"/>
                      <w:highlight w:val="none"/>
                      <w:lang w:val="en-US" w:eastAsia="zh-CN"/>
                    </w:rPr>
                    <w:t>储煤库</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Times New Roman" w:hAnsi="Times New Roman" w:eastAsia="宋体" w:cs="Times New Roman"/>
                      <w:b w:val="0"/>
                      <w:i w:val="0"/>
                      <w:iCs w:val="0"/>
                      <w:color w:val="000000"/>
                      <w:sz w:val="21"/>
                      <w:szCs w:val="21"/>
                      <w:highlight w:val="none"/>
                      <w:u w:val="none"/>
                    </w:rPr>
                  </w:pPr>
                  <w:r>
                    <w:rPr>
                      <w:rFonts w:hint="eastAsia"/>
                      <w:sz w:val="21"/>
                      <w:szCs w:val="21"/>
                      <w:highlight w:val="none"/>
                      <w:lang w:val="en-US" w:eastAsia="zh-CN"/>
                    </w:rPr>
                    <w:t>3</w:t>
                  </w:r>
                </w:p>
              </w:tc>
              <w:tc>
                <w:tcPr>
                  <w:tcW w:w="445"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装载机4</w:t>
                  </w:r>
                </w:p>
              </w:tc>
              <w:tc>
                <w:tcPr>
                  <w:tcW w:w="275"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sz w:val="21"/>
                      <w:szCs w:val="21"/>
                      <w:highlight w:val="none"/>
                      <w:lang w:val="en-US" w:eastAsia="zh-CN"/>
                    </w:rPr>
                    <w:t>50型</w:t>
                  </w:r>
                </w:p>
              </w:tc>
              <w:tc>
                <w:tcPr>
                  <w:tcW w:w="286"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75</w:t>
                  </w:r>
                </w:p>
              </w:tc>
              <w:tc>
                <w:tcPr>
                  <w:tcW w:w="221"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343</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145</w:t>
                  </w:r>
                </w:p>
              </w:tc>
              <w:tc>
                <w:tcPr>
                  <w:tcW w:w="166" w:type="pct"/>
                  <w:vMerge w:val="restar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1.5</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91</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128</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73</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23</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57.4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57.4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57.8 </w:t>
                  </w:r>
                </w:p>
              </w:tc>
              <w:tc>
                <w:tcPr>
                  <w:tcW w:w="22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57.3 </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42.4</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42.4</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42.8</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42.3</w:t>
                  </w:r>
                </w:p>
              </w:tc>
              <w:tc>
                <w:tcPr>
                  <w:tcW w:w="16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8"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cs="Times New Roman"/>
                      <w:b w:val="0"/>
                      <w:i w:val="0"/>
                      <w:iCs w:val="0"/>
                      <w:color w:val="000000"/>
                      <w:kern w:val="0"/>
                      <w:sz w:val="21"/>
                      <w:szCs w:val="21"/>
                      <w:highlight w:val="none"/>
                      <w:u w:val="none"/>
                      <w:lang w:val="en-US" w:eastAsia="zh-CN" w:bidi="ar"/>
                    </w:rPr>
                    <w:t>1</w:t>
                  </w:r>
                  <w:r>
                    <w:rPr>
                      <w:rFonts w:hint="eastAsia" w:cs="Times New Roman"/>
                      <w:b w:val="0"/>
                      <w:i w:val="0"/>
                      <w:iCs w:val="0"/>
                      <w:color w:val="000000"/>
                      <w:kern w:val="0"/>
                      <w:sz w:val="21"/>
                      <w:szCs w:val="21"/>
                      <w:highlight w:val="none"/>
                      <w:u w:val="none"/>
                      <w:lang w:val="en-US" w:eastAsia="zh-CN" w:bidi="ar"/>
                    </w:rPr>
                    <w:t>1</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445"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自卸车5</w:t>
                  </w:r>
                </w:p>
              </w:tc>
              <w:tc>
                <w:tcPr>
                  <w:tcW w:w="275" w:type="pct"/>
                  <w:vMerge w:val="restar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b w:val="0"/>
                      <w:i w:val="0"/>
                      <w:iCs w:val="0"/>
                      <w:color w:val="000000"/>
                      <w:kern w:val="0"/>
                      <w:sz w:val="21"/>
                      <w:szCs w:val="21"/>
                      <w:highlight w:val="none"/>
                      <w:u w:val="none"/>
                      <w:lang w:val="en-US" w:eastAsia="zh-CN" w:bidi="ar"/>
                    </w:rPr>
                    <w:t>/</w:t>
                  </w:r>
                </w:p>
              </w:tc>
              <w:tc>
                <w:tcPr>
                  <w:tcW w:w="286"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75</w:t>
                  </w:r>
                </w:p>
              </w:tc>
              <w:tc>
                <w:tcPr>
                  <w:tcW w:w="221"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342</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155</w:t>
                  </w:r>
                </w:p>
              </w:tc>
              <w:tc>
                <w:tcPr>
                  <w:tcW w:w="16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112</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122</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15</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77</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57.7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57.3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57.5 </w:t>
                  </w:r>
                </w:p>
              </w:tc>
              <w:tc>
                <w:tcPr>
                  <w:tcW w:w="22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57.3 </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42.7</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42.3</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42.5</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42.3</w:t>
                  </w:r>
                </w:p>
              </w:tc>
              <w:tc>
                <w:tcPr>
                  <w:tcW w:w="16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cs="Times New Roman"/>
                      <w:b w:val="0"/>
                      <w:i w:val="0"/>
                      <w:iCs w:val="0"/>
                      <w:color w:val="000000"/>
                      <w:kern w:val="0"/>
                      <w:sz w:val="21"/>
                      <w:szCs w:val="21"/>
                      <w:highlight w:val="none"/>
                      <w:u w:val="none"/>
                      <w:lang w:val="en-US" w:eastAsia="zh-CN" w:bidi="ar"/>
                    </w:rPr>
                    <w:t>1</w:t>
                  </w:r>
                  <w:r>
                    <w:rPr>
                      <w:rFonts w:hint="eastAsia" w:cs="Times New Roman"/>
                      <w:b w:val="0"/>
                      <w:i w:val="0"/>
                      <w:iCs w:val="0"/>
                      <w:color w:val="000000"/>
                      <w:kern w:val="0"/>
                      <w:sz w:val="21"/>
                      <w:szCs w:val="21"/>
                      <w:highlight w:val="none"/>
                      <w:u w:val="none"/>
                      <w:lang w:val="en-US" w:eastAsia="zh-CN" w:bidi="ar"/>
                    </w:rPr>
                    <w:t>2</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445"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自卸车6</w:t>
                  </w:r>
                </w:p>
              </w:tc>
              <w:tc>
                <w:tcPr>
                  <w:tcW w:w="275" w:type="pct"/>
                  <w:vMerge w:val="continue"/>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p>
              </w:tc>
              <w:tc>
                <w:tcPr>
                  <w:tcW w:w="286"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70</w:t>
                  </w:r>
                </w:p>
              </w:tc>
              <w:tc>
                <w:tcPr>
                  <w:tcW w:w="221"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352</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133</w:t>
                  </w:r>
                </w:p>
              </w:tc>
              <w:tc>
                <w:tcPr>
                  <w:tcW w:w="16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110</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125</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92</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57.4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57.4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57.6 </w:t>
                  </w:r>
                </w:p>
              </w:tc>
              <w:tc>
                <w:tcPr>
                  <w:tcW w:w="22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57.3 </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286" w:type="pct"/>
                  <w:vMerge w:val="continue"/>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42.4</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42.4</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42.6</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42.3</w:t>
                  </w:r>
                </w:p>
              </w:tc>
              <w:tc>
                <w:tcPr>
                  <w:tcW w:w="16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cs="Times New Roman"/>
                      <w:b w:val="0"/>
                      <w:i w:val="0"/>
                      <w:iCs w:val="0"/>
                      <w:color w:val="000000"/>
                      <w:kern w:val="0"/>
                      <w:sz w:val="21"/>
                      <w:szCs w:val="21"/>
                      <w:highlight w:val="none"/>
                      <w:u w:val="none"/>
                      <w:lang w:val="en-US" w:eastAsia="zh-CN" w:bidi="ar"/>
                    </w:rPr>
                    <w:t>1</w:t>
                  </w:r>
                  <w:r>
                    <w:rPr>
                      <w:rFonts w:hint="eastAsia" w:cs="Times New Roman"/>
                      <w:b w:val="0"/>
                      <w:i w:val="0"/>
                      <w:iCs w:val="0"/>
                      <w:color w:val="000000"/>
                      <w:kern w:val="0"/>
                      <w:sz w:val="21"/>
                      <w:szCs w:val="21"/>
                      <w:highlight w:val="none"/>
                      <w:u w:val="none"/>
                      <w:lang w:val="en-US" w:eastAsia="zh-CN" w:bidi="ar"/>
                    </w:rPr>
                    <w:t>3</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445"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挖掘机3</w:t>
                  </w:r>
                </w:p>
              </w:tc>
              <w:tc>
                <w:tcPr>
                  <w:tcW w:w="275"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b w:val="0"/>
                      <w:i w:val="0"/>
                      <w:iCs w:val="0"/>
                      <w:color w:val="000000"/>
                      <w:kern w:val="0"/>
                      <w:sz w:val="21"/>
                      <w:szCs w:val="21"/>
                      <w:highlight w:val="none"/>
                      <w:u w:val="none"/>
                      <w:lang w:val="en-US" w:eastAsia="zh-CN" w:bidi="ar"/>
                    </w:rPr>
                    <w:t>460型</w:t>
                  </w:r>
                </w:p>
              </w:tc>
              <w:tc>
                <w:tcPr>
                  <w:tcW w:w="286"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70</w:t>
                  </w:r>
                </w:p>
              </w:tc>
              <w:tc>
                <w:tcPr>
                  <w:tcW w:w="221" w:type="pct"/>
                  <w:vMerge w:val="continue"/>
                  <w:tcBorders>
                    <w:bottom w:val="single" w:color="auto" w:sz="4" w:space="0"/>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311</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46</w:t>
                  </w:r>
                </w:p>
              </w:tc>
              <w:tc>
                <w:tcPr>
                  <w:tcW w:w="166"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181</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70</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22</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52.4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52.4 </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53.1 </w:t>
                  </w:r>
                </w:p>
              </w:tc>
              <w:tc>
                <w:tcPr>
                  <w:tcW w:w="222" w:type="pct"/>
                  <w:tcBorders>
                    <w:bottom w:val="single" w:color="auto" w:sz="4" w:space="0"/>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52.2 </w:t>
                  </w:r>
                </w:p>
              </w:tc>
              <w:tc>
                <w:tcPr>
                  <w:tcW w:w="14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286" w:type="pct"/>
                  <w:vMerge w:val="continue"/>
                  <w:tcBorders>
                    <w:bottom w:val="single" w:color="auto" w:sz="4" w:space="0"/>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37.4</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37.4</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38.1</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37.2</w:t>
                  </w:r>
                </w:p>
              </w:tc>
              <w:tc>
                <w:tcPr>
                  <w:tcW w:w="168" w:type="pct"/>
                  <w:vMerge w:val="continue"/>
                  <w:tcBorders>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blHeader/>
              </w:trPr>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eastAsia" w:cs="Times New Roman"/>
                      <w:b w:val="0"/>
                      <w:i w:val="0"/>
                      <w:iCs w:val="0"/>
                      <w:color w:val="000000"/>
                      <w:kern w:val="0"/>
                      <w:sz w:val="21"/>
                      <w:szCs w:val="21"/>
                      <w:highlight w:val="none"/>
                      <w:u w:val="none"/>
                      <w:lang w:val="en-US" w:eastAsia="zh-CN" w:bidi="ar"/>
                    </w:rPr>
                    <w:t>14</w:t>
                  </w:r>
                </w:p>
              </w:tc>
              <w:tc>
                <w:tcPr>
                  <w:tcW w:w="148" w:type="pct"/>
                  <w:tcBorders>
                    <w:bottom w:val="double" w:color="auto" w:sz="4" w:space="0"/>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lang w:val="en-US" w:eastAsia="zh-CN"/>
                    </w:rPr>
                  </w:pPr>
                  <w:r>
                    <w:rPr>
                      <w:rFonts w:hint="eastAsia" w:cs="Times New Roman"/>
                      <w:b w:val="0"/>
                      <w:i w:val="0"/>
                      <w:iCs w:val="0"/>
                      <w:color w:val="000000"/>
                      <w:sz w:val="21"/>
                      <w:szCs w:val="21"/>
                      <w:highlight w:val="none"/>
                      <w:u w:val="none"/>
                      <w:lang w:val="en-US" w:eastAsia="zh-CN"/>
                    </w:rPr>
                    <w:t>/</w:t>
                  </w:r>
                </w:p>
              </w:tc>
              <w:tc>
                <w:tcPr>
                  <w:tcW w:w="445"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火车卸料</w:t>
                  </w:r>
                </w:p>
              </w:tc>
              <w:tc>
                <w:tcPr>
                  <w:tcW w:w="275"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highlight w:val="none"/>
                      <w:u w:val="none"/>
                      <w:lang w:val="en-US" w:eastAsia="zh-CN" w:bidi="ar"/>
                    </w:rPr>
                  </w:pPr>
                  <w:r>
                    <w:rPr>
                      <w:rFonts w:hint="eastAsia" w:cs="Times New Roman"/>
                      <w:b w:val="0"/>
                      <w:i w:val="0"/>
                      <w:iCs w:val="0"/>
                      <w:color w:val="000000"/>
                      <w:kern w:val="0"/>
                      <w:sz w:val="21"/>
                      <w:szCs w:val="21"/>
                      <w:highlight w:val="none"/>
                      <w:u w:val="none"/>
                      <w:lang w:val="en-US" w:eastAsia="zh-CN" w:bidi="ar"/>
                    </w:rPr>
                    <w:t>/</w:t>
                  </w:r>
                </w:p>
              </w:tc>
              <w:tc>
                <w:tcPr>
                  <w:tcW w:w="286" w:type="pct"/>
                  <w:tcBorders>
                    <w:tl2br w:val="nil"/>
                    <w:tr2bl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90</w:t>
                  </w:r>
                </w:p>
              </w:tc>
              <w:tc>
                <w:tcPr>
                  <w:tcW w:w="221" w:type="pct"/>
                  <w:tcBorders>
                    <w:top w:val="single" w:color="auto" w:sz="4" w:space="0"/>
                    <w:bottom w:val="double" w:color="auto" w:sz="4" w:space="0"/>
                    <w:tl2br w:val="nil"/>
                    <w:tr2bl w:val="nil"/>
                  </w:tcBorders>
                  <w:shd w:val="clear" w:color="auto" w:fill="FFFFFF"/>
                  <w:vAlign w:val="center"/>
                </w:tcPr>
                <w:p>
                  <w:pPr>
                    <w:jc w:val="center"/>
                    <w:rPr>
                      <w:rFonts w:hint="eastAsia" w:ascii="Times New Roman" w:hAnsi="Times New Roman" w:eastAsia="宋体" w:cs="Times New Roman"/>
                      <w:b w:val="0"/>
                      <w:i w:val="0"/>
                      <w:iCs w:val="0"/>
                      <w:color w:val="000000"/>
                      <w:sz w:val="21"/>
                      <w:szCs w:val="21"/>
                      <w:highlight w:val="none"/>
                      <w:u w:val="none"/>
                      <w:lang w:val="en-US" w:eastAsia="zh-CN"/>
                    </w:rPr>
                  </w:pPr>
                  <w:r>
                    <w:rPr>
                      <w:rFonts w:hint="eastAsia" w:cs="Times New Roman"/>
                      <w:b w:val="0"/>
                      <w:i w:val="0"/>
                      <w:iCs w:val="0"/>
                      <w:color w:val="000000"/>
                      <w:sz w:val="21"/>
                      <w:szCs w:val="21"/>
                      <w:highlight w:val="none"/>
                      <w:u w:val="none"/>
                      <w:lang w:val="en-US" w:eastAsia="zh-CN"/>
                    </w:rPr>
                    <w:t>/</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47</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22</w:t>
                  </w:r>
                </w:p>
              </w:tc>
              <w:tc>
                <w:tcPr>
                  <w:tcW w:w="166"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1</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w:t>
                  </w:r>
                </w:p>
              </w:tc>
              <w:tc>
                <w:tcPr>
                  <w:tcW w:w="184"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w:t>
                  </w:r>
                </w:p>
              </w:tc>
              <w:tc>
                <w:tcPr>
                  <w:tcW w:w="148" w:type="pct"/>
                  <w:tcBorders>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w:t>
                  </w:r>
                </w:p>
              </w:tc>
              <w:tc>
                <w:tcPr>
                  <w:tcW w:w="222" w:type="pct"/>
                  <w:tcBorders>
                    <w:top w:val="single" w:color="auto" w:sz="4" w:space="0"/>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w:t>
                  </w:r>
                </w:p>
              </w:tc>
              <w:tc>
                <w:tcPr>
                  <w:tcW w:w="148" w:type="pct"/>
                  <w:vMerge w:val="continue"/>
                  <w:tcBorders>
                    <w:bottom w:val="double" w:color="auto" w:sz="4" w:space="0"/>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c>
                <w:tcPr>
                  <w:tcW w:w="286" w:type="pct"/>
                  <w:tcBorders>
                    <w:top w:val="single" w:color="auto" w:sz="4" w:space="0"/>
                    <w:bottom w:val="double" w:color="auto" w:sz="4" w:space="0"/>
                    <w:tl2br w:val="nil"/>
                    <w:tr2bl w:val="nil"/>
                  </w:tcBorders>
                  <w:shd w:val="clear" w:color="auto" w:fill="FFFFFF"/>
                  <w:vAlign w:val="center"/>
                </w:tcPr>
                <w:p>
                  <w:pPr>
                    <w:keepNext w:val="0"/>
                    <w:keepLines w:val="0"/>
                    <w:widowControl/>
                    <w:suppressLineNumbers w:val="0"/>
                    <w:jc w:val="center"/>
                    <w:textAlignment w:val="center"/>
                    <w:rPr>
                      <w:rFonts w:hint="default" w:ascii="Times New Roman" w:hAnsi="Times New Roman" w:cs="Times New Roman"/>
                      <w:b w:val="0"/>
                      <w:i w:val="0"/>
                      <w:iCs w:val="0"/>
                      <w:color w:val="000000"/>
                      <w:kern w:val="0"/>
                      <w:sz w:val="21"/>
                      <w:szCs w:val="21"/>
                      <w:highlight w:val="none"/>
                      <w:u w:val="none"/>
                      <w:lang w:val="en-US" w:eastAsia="zh-CN" w:bidi="ar"/>
                    </w:rPr>
                  </w:pPr>
                  <w:r>
                    <w:rPr>
                      <w:rFonts w:hint="eastAsia" w:cs="Times New Roman"/>
                      <w:b w:val="0"/>
                      <w:i w:val="0"/>
                      <w:iCs w:val="0"/>
                      <w:color w:val="000000"/>
                      <w:kern w:val="0"/>
                      <w:sz w:val="21"/>
                      <w:szCs w:val="21"/>
                      <w:highlight w:val="none"/>
                      <w:u w:val="none"/>
                      <w:lang w:val="en-US" w:eastAsia="zh-CN" w:bidi="ar"/>
                    </w:rPr>
                    <w:t>0</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90</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90</w:t>
                  </w:r>
                </w:p>
              </w:tc>
              <w:tc>
                <w:tcPr>
                  <w:tcW w:w="202"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90</w:t>
                  </w:r>
                </w:p>
              </w:tc>
              <w:tc>
                <w:tcPr>
                  <w:tcW w:w="229" w:type="pct"/>
                  <w:tcBorders>
                    <w:tl2br w:val="nil"/>
                    <w:tr2bl w:val="nil"/>
                  </w:tcBorders>
                  <w:shd w:val="clear" w:color="auto" w:fill="FFFFFF"/>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90</w:t>
                  </w:r>
                </w:p>
              </w:tc>
              <w:tc>
                <w:tcPr>
                  <w:tcW w:w="168" w:type="pct"/>
                  <w:vMerge w:val="continue"/>
                  <w:tcBorders>
                    <w:bottom w:val="double" w:color="auto" w:sz="4" w:space="0"/>
                    <w:tl2br w:val="nil"/>
                    <w:tr2bl w:val="nil"/>
                  </w:tcBorders>
                  <w:shd w:val="clear" w:color="auto" w:fill="FFFFFF"/>
                  <w:vAlign w:val="center"/>
                </w:tcPr>
                <w:p>
                  <w:pPr>
                    <w:jc w:val="center"/>
                    <w:rPr>
                      <w:rFonts w:hint="default" w:ascii="Times New Roman" w:hAnsi="Times New Roman" w:eastAsia="宋体" w:cs="Times New Roman"/>
                      <w:b w:val="0"/>
                      <w:i w:val="0"/>
                      <w:iCs w:val="0"/>
                      <w:color w:val="000000"/>
                      <w:sz w:val="21"/>
                      <w:szCs w:val="21"/>
                      <w:highlight w:val="none"/>
                      <w:u w:val="none"/>
                    </w:rPr>
                  </w:pPr>
                </w:p>
              </w:tc>
            </w:tr>
          </w:tbl>
          <w:p>
            <w:pPr>
              <w:pStyle w:val="28"/>
              <w:rPr>
                <w:rFonts w:hint="default" w:ascii="宋体" w:hAnsi="宋体" w:eastAsia="宋体" w:cs="宋体"/>
                <w:highlight w:val="none"/>
                <w:lang w:val="en-US" w:eastAsia="zh-CN"/>
              </w:rPr>
            </w:pPr>
            <w:r>
              <w:rPr>
                <w:rFonts w:hint="eastAsia" w:cs="宋体"/>
                <w:b/>
                <w:bCs/>
                <w:sz w:val="22"/>
                <w:szCs w:val="22"/>
                <w:highlight w:val="none"/>
                <w:lang w:val="en-US" w:eastAsia="zh-CN"/>
              </w:rPr>
              <w:t>注：以厂区西南边界为零点,</w:t>
            </w:r>
            <w:r>
              <w:rPr>
                <w:rFonts w:hint="default" w:ascii="Times New Roman" w:hAnsi="Times New Roman" w:cs="Times New Roman"/>
                <w:b/>
                <w:bCs/>
                <w:sz w:val="22"/>
                <w:szCs w:val="22"/>
                <w:highlight w:val="none"/>
                <w:lang w:val="en-US" w:eastAsia="zh-CN"/>
              </w:rPr>
              <w:t>Z</w:t>
            </w:r>
            <w:r>
              <w:rPr>
                <w:rFonts w:hint="eastAsia" w:cs="宋体"/>
                <w:b/>
                <w:bCs/>
                <w:sz w:val="22"/>
                <w:szCs w:val="22"/>
                <w:highlight w:val="none"/>
                <w:lang w:val="en-US" w:eastAsia="zh-CN"/>
              </w:rPr>
              <w:t>代表声源高度。由于本项目噪声源主要为非道路移动机械和其他小范围的移动点声源，故空间相对位置按照移动点源的相对活动范围的中心点位选取。本项目厂房为钢构厂房，依照《环境影响评价技术导则 声环境》（HJ2.4-2009）同类项目取经验值，插入损失按</w:t>
            </w:r>
            <w:r>
              <w:rPr>
                <w:rFonts w:hint="eastAsia" w:cs="Times New Roman"/>
                <w:b/>
                <w:bCs/>
                <w:sz w:val="22"/>
                <w:szCs w:val="22"/>
                <w:highlight w:val="none"/>
                <w:lang w:val="en-US" w:eastAsia="zh-CN"/>
              </w:rPr>
              <w:t>15</w:t>
            </w:r>
            <w:r>
              <w:rPr>
                <w:rFonts w:hint="eastAsia" w:cs="宋体"/>
                <w:b/>
                <w:bCs/>
                <w:sz w:val="22"/>
                <w:szCs w:val="22"/>
                <w:highlight w:val="none"/>
                <w:lang w:val="en-US" w:eastAsia="zh-CN"/>
              </w:rPr>
              <w:t>分贝计。</w:t>
            </w:r>
          </w:p>
        </w:tc>
      </w:tr>
    </w:tbl>
    <w:p>
      <w:pPr>
        <w:pStyle w:val="18"/>
        <w:jc w:val="center"/>
        <w:outlineLvl w:val="0"/>
        <w:rPr>
          <w:rFonts w:hint="eastAsia" w:ascii="黑体" w:hAnsi="黑体" w:eastAsia="黑体"/>
          <w:snapToGrid w:val="0"/>
          <w:sz w:val="30"/>
          <w:szCs w:val="30"/>
          <w:highlight w:val="none"/>
        </w:rPr>
        <w:sectPr>
          <w:pgSz w:w="16838" w:h="11906" w:orient="landscape"/>
          <w:pgMar w:top="1531" w:right="1701" w:bottom="1531" w:left="1701"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1"/>
        <w:tblW w:w="898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91"/>
        <w:gridCol w:w="849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05" w:hRule="atLeast"/>
          <w:jc w:val="center"/>
        </w:trPr>
        <w:tc>
          <w:tcPr>
            <w:tcW w:w="491" w:type="dxa"/>
            <w:noWrap w:val="0"/>
            <w:tcMar>
              <w:left w:w="28" w:type="dxa"/>
              <w:right w:w="28" w:type="dxa"/>
            </w:tcMar>
            <w:vAlign w:val="center"/>
          </w:tcPr>
          <w:p>
            <w:pPr>
              <w:adjustRightInd w:val="0"/>
              <w:snapToGrid w:val="0"/>
              <w:jc w:val="center"/>
              <w:rPr>
                <w:rFonts w:hint="eastAsia" w:ascii="宋体" w:hAnsi="宋体" w:cs="宋体"/>
                <w:bCs/>
                <w:szCs w:val="21"/>
                <w:highlight w:val="none"/>
              </w:rPr>
            </w:pPr>
            <w:r>
              <w:rPr>
                <w:rFonts w:hint="eastAsia" w:ascii="宋体" w:hAnsi="宋体" w:cs="宋体"/>
                <w:bCs/>
                <w:szCs w:val="21"/>
                <w:highlight w:val="none"/>
              </w:rPr>
              <w:t>运营</w:t>
            </w:r>
          </w:p>
          <w:p>
            <w:pPr>
              <w:adjustRightInd w:val="0"/>
              <w:snapToGrid w:val="0"/>
              <w:jc w:val="center"/>
              <w:rPr>
                <w:rFonts w:hint="eastAsia" w:ascii="宋体" w:hAnsi="宋体" w:cs="宋体"/>
                <w:bCs/>
                <w:szCs w:val="21"/>
                <w:highlight w:val="none"/>
              </w:rPr>
            </w:pPr>
            <w:r>
              <w:rPr>
                <w:rFonts w:hint="eastAsia" w:ascii="宋体" w:hAnsi="宋体" w:cs="宋体"/>
                <w:bCs/>
                <w:szCs w:val="21"/>
                <w:highlight w:val="none"/>
              </w:rPr>
              <w:t>期</w:t>
            </w:r>
            <w:r>
              <w:rPr>
                <w:rFonts w:hint="eastAsia" w:ascii="宋体" w:hAnsi="宋体" w:cs="宋体"/>
                <w:bCs/>
                <w:szCs w:val="21"/>
                <w:highlight w:val="none"/>
                <w:lang w:val="en-US" w:eastAsia="zh-CN"/>
              </w:rPr>
              <w:t>生态</w:t>
            </w:r>
            <w:r>
              <w:rPr>
                <w:rFonts w:hint="eastAsia" w:ascii="宋体" w:hAnsi="宋体" w:cs="宋体"/>
                <w:bCs/>
                <w:szCs w:val="21"/>
                <w:highlight w:val="none"/>
              </w:rPr>
              <w:t>环</w:t>
            </w:r>
          </w:p>
          <w:p>
            <w:pPr>
              <w:adjustRightInd w:val="0"/>
              <w:snapToGrid w:val="0"/>
              <w:jc w:val="center"/>
              <w:rPr>
                <w:rFonts w:hint="eastAsia" w:ascii="宋体" w:hAnsi="宋体" w:cs="宋体"/>
                <w:bCs/>
                <w:szCs w:val="21"/>
                <w:highlight w:val="none"/>
              </w:rPr>
            </w:pPr>
            <w:r>
              <w:rPr>
                <w:rFonts w:hint="eastAsia" w:ascii="宋体" w:hAnsi="宋体" w:cs="宋体"/>
                <w:bCs/>
                <w:szCs w:val="21"/>
                <w:highlight w:val="none"/>
              </w:rPr>
              <w:t>境影</w:t>
            </w:r>
          </w:p>
          <w:p>
            <w:pPr>
              <w:adjustRightInd w:val="0"/>
              <w:snapToGrid w:val="0"/>
              <w:jc w:val="center"/>
              <w:rPr>
                <w:rFonts w:hint="eastAsia" w:ascii="宋体" w:hAnsi="宋体" w:cs="宋体"/>
                <w:bCs/>
                <w:szCs w:val="21"/>
                <w:highlight w:val="none"/>
              </w:rPr>
            </w:pPr>
            <w:r>
              <w:rPr>
                <w:rFonts w:hint="eastAsia" w:ascii="宋体" w:hAnsi="宋体" w:cs="宋体"/>
                <w:bCs/>
                <w:szCs w:val="21"/>
                <w:highlight w:val="none"/>
              </w:rPr>
              <w:t>响和</w:t>
            </w:r>
          </w:p>
          <w:p>
            <w:pPr>
              <w:adjustRightInd w:val="0"/>
              <w:snapToGrid w:val="0"/>
              <w:jc w:val="center"/>
              <w:rPr>
                <w:rFonts w:hint="eastAsia" w:ascii="宋体" w:hAnsi="宋体" w:cs="宋体"/>
                <w:bCs/>
                <w:szCs w:val="21"/>
                <w:highlight w:val="none"/>
              </w:rPr>
            </w:pPr>
            <w:r>
              <w:rPr>
                <w:rFonts w:hint="eastAsia" w:ascii="宋体" w:hAnsi="宋体" w:cs="宋体"/>
                <w:bCs/>
                <w:szCs w:val="21"/>
                <w:highlight w:val="none"/>
              </w:rPr>
              <w:t>保护</w:t>
            </w:r>
          </w:p>
          <w:p>
            <w:pPr>
              <w:adjustRightInd w:val="0"/>
              <w:snapToGrid w:val="0"/>
              <w:jc w:val="center"/>
              <w:rPr>
                <w:rFonts w:ascii="宋体" w:hAnsi="宋体" w:cs="宋体"/>
                <w:bCs/>
                <w:szCs w:val="21"/>
                <w:highlight w:val="none"/>
              </w:rPr>
            </w:pPr>
            <w:r>
              <w:rPr>
                <w:rFonts w:hint="eastAsia" w:ascii="宋体" w:hAnsi="宋体" w:cs="宋体"/>
                <w:bCs/>
                <w:szCs w:val="21"/>
                <w:highlight w:val="none"/>
              </w:rPr>
              <w:t>措施</w:t>
            </w:r>
          </w:p>
        </w:tc>
        <w:tc>
          <w:tcPr>
            <w:tcW w:w="8490" w:type="dxa"/>
            <w:noWrap w:val="0"/>
            <w:vAlign w:val="center"/>
          </w:tcPr>
          <w:p>
            <w:pPr>
              <w:bidi w:val="0"/>
              <w:spacing w:line="360" w:lineRule="auto"/>
              <w:ind w:firstLine="480" w:firstLineChars="200"/>
              <w:rPr>
                <w:rFonts w:hint="eastAsia" w:eastAsia="宋体"/>
                <w:sz w:val="24"/>
                <w:szCs w:val="24"/>
                <w:highlight w:val="none"/>
                <w:lang w:val="en-US" w:eastAsia="zh-CN"/>
              </w:rPr>
            </w:pPr>
            <w:r>
              <w:rPr>
                <w:rFonts w:hint="eastAsia"/>
                <w:sz w:val="24"/>
                <w:szCs w:val="24"/>
                <w:highlight w:val="none"/>
              </w:rPr>
              <w:t>根据工程情况，本项目运行期声源视为点</w:t>
            </w:r>
            <w:r>
              <w:rPr>
                <w:rFonts w:hint="eastAsia"/>
                <w:sz w:val="24"/>
                <w:szCs w:val="24"/>
                <w:highlight w:val="none"/>
                <w:lang w:eastAsia="zh-CN"/>
              </w:rPr>
              <w:t>声</w:t>
            </w:r>
            <w:r>
              <w:rPr>
                <w:rFonts w:hint="eastAsia"/>
                <w:sz w:val="24"/>
                <w:szCs w:val="24"/>
                <w:highlight w:val="none"/>
              </w:rPr>
              <w:t>源</w:t>
            </w:r>
            <w:r>
              <w:rPr>
                <w:rFonts w:hint="eastAsia"/>
                <w:sz w:val="24"/>
                <w:szCs w:val="24"/>
                <w:highlight w:val="none"/>
                <w:lang w:eastAsia="zh-CN"/>
              </w:rPr>
              <w:t>。</w:t>
            </w:r>
            <w:r>
              <w:rPr>
                <w:rFonts w:hint="eastAsia"/>
                <w:sz w:val="24"/>
                <w:szCs w:val="24"/>
                <w:highlight w:val="none"/>
                <w:lang w:val="en-US" w:eastAsia="zh-CN"/>
              </w:rPr>
              <w:t>室内</w:t>
            </w:r>
            <w:r>
              <w:rPr>
                <w:rFonts w:hint="eastAsia"/>
                <w:sz w:val="24"/>
                <w:szCs w:val="24"/>
                <w:highlight w:val="none"/>
              </w:rPr>
              <w:t>区域</w:t>
            </w:r>
            <w:r>
              <w:rPr>
                <w:rFonts w:hint="eastAsia"/>
                <w:sz w:val="24"/>
                <w:szCs w:val="24"/>
                <w:highlight w:val="none"/>
                <w:lang w:val="en-US" w:eastAsia="zh-CN"/>
              </w:rPr>
              <w:t>通过密闭厂房、</w:t>
            </w:r>
            <w:r>
              <w:rPr>
                <w:rFonts w:hint="eastAsia"/>
                <w:sz w:val="24"/>
                <w:szCs w:val="24"/>
                <w:highlight w:val="none"/>
              </w:rPr>
              <w:t>隔声门窗，噪声</w:t>
            </w:r>
            <w:r>
              <w:rPr>
                <w:rFonts w:hint="eastAsia"/>
                <w:sz w:val="24"/>
                <w:szCs w:val="24"/>
                <w:highlight w:val="none"/>
                <w:lang w:val="en-US" w:eastAsia="zh-CN"/>
              </w:rPr>
              <w:t>得到</w:t>
            </w:r>
            <w:r>
              <w:rPr>
                <w:rFonts w:hint="eastAsia"/>
                <w:sz w:val="24"/>
                <w:szCs w:val="24"/>
                <w:highlight w:val="none"/>
              </w:rPr>
              <w:t>有效衰减。</w:t>
            </w:r>
            <w:r>
              <w:rPr>
                <w:rFonts w:hint="eastAsia"/>
                <w:sz w:val="24"/>
                <w:szCs w:val="24"/>
                <w:highlight w:val="none"/>
                <w:lang w:val="en-US" w:eastAsia="zh-CN"/>
              </w:rPr>
              <w:t>按照《环境影响评价技术导则 声环境》（HJ 2.4-2021）中的规定及相关公式，预测本建设项目车间内外设备噪声对厂界四周和环境保护目标的影响。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eastAsia="zh-CN"/>
              </w:rPr>
              <w:t>（</w:t>
            </w:r>
            <w:r>
              <w:rPr>
                <w:rFonts w:hint="eastAsia"/>
                <w:sz w:val="24"/>
                <w:szCs w:val="24"/>
                <w:highlight w:val="none"/>
                <w:lang w:val="en-US" w:eastAsia="zh-CN"/>
              </w:rPr>
              <w:t>1</w:t>
            </w:r>
            <w:r>
              <w:rPr>
                <w:rFonts w:hint="eastAsia"/>
                <w:sz w:val="24"/>
                <w:szCs w:val="24"/>
                <w:highlight w:val="none"/>
                <w:lang w:eastAsia="zh-CN"/>
              </w:rPr>
              <w:t>）</w:t>
            </w:r>
            <w:r>
              <w:rPr>
                <w:rFonts w:hint="eastAsia"/>
                <w:sz w:val="24"/>
                <w:szCs w:val="24"/>
                <w:highlight w:val="none"/>
              </w:rPr>
              <w:t>计算某一室内声源靠近围护结构处产生的倍频带声压级：</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position w:val="-32"/>
                <w:sz w:val="24"/>
                <w:szCs w:val="24"/>
                <w:highlight w:val="none"/>
              </w:rPr>
              <w:object>
                <v:shape id="_x0000_i1025" o:spt="75" type="#_x0000_t75" style="height:34.75pt;width:122.75pt;" o:ole="t" filled="f" o:preferrelative="t" stroked="f" coordsize="21600,21600">
                  <v:path/>
                  <v:fill on="f" focussize="0,0"/>
                  <v:stroke on="f"/>
                  <v:imagedata r:id="rId18" o:title=""/>
                  <o:lock v:ext="edit" aspectratio="t"/>
                  <w10:wrap type="none"/>
                  <w10:anchorlock/>
                </v:shape>
                <o:OLEObject Type="Embed" ProgID="Equation.3" ShapeID="_x0000_i1025" DrawAspect="Content" ObjectID="_1468075725" r:id="rId17">
                  <o:LockedField>false</o:LockedField>
                </o:OLEObject>
              </w:objec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式中：</w:t>
            </w:r>
          </w:p>
          <w:p>
            <w:pPr>
              <w:bidi w:val="0"/>
              <w:spacing w:line="360" w:lineRule="auto"/>
              <w:ind w:firstLine="480" w:firstLineChars="200"/>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i/>
                <w:iCs/>
                <w:sz w:val="24"/>
                <w:szCs w:val="24"/>
                <w:highlight w:val="none"/>
              </w:rPr>
              <w:t>L</w:t>
            </w:r>
            <w:r>
              <w:rPr>
                <w:rFonts w:hint="eastAsia" w:ascii="Times New Roman" w:hAnsi="Times New Roman" w:eastAsia="宋体" w:cs="Times New Roman"/>
                <w:i/>
                <w:iCs/>
                <w:sz w:val="24"/>
                <w:szCs w:val="24"/>
                <w:highlight w:val="none"/>
                <w:vertAlign w:val="subscript"/>
              </w:rPr>
              <w:t>p1</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rPr>
              <w:t>靠近开口处（或窗户）室内某倍频带的声压级或 A 声级，dB</w:t>
            </w:r>
            <w:r>
              <w:rPr>
                <w:rFonts w:hint="eastAsia" w:ascii="Times New Roman" w:hAnsi="Times New Roman" w:eastAsia="宋体" w:cs="Times New Roman"/>
                <w:sz w:val="24"/>
                <w:szCs w:val="24"/>
                <w:highlight w:val="none"/>
                <w:lang w:eastAsia="zh-CN"/>
              </w:rPr>
              <w:t>；</w:t>
            </w:r>
          </w:p>
          <w:p>
            <w:pPr>
              <w:bidi w:val="0"/>
              <w:spacing w:line="360" w:lineRule="auto"/>
              <w:ind w:firstLine="480" w:firstLineChars="200"/>
              <w:rPr>
                <w:rFonts w:hint="eastAsia" w:eastAsia="宋体"/>
                <w:sz w:val="24"/>
                <w:szCs w:val="24"/>
                <w:highlight w:val="none"/>
                <w:lang w:eastAsia="zh-CN"/>
              </w:rPr>
            </w:pPr>
            <w:r>
              <w:rPr>
                <w:rFonts w:hint="eastAsia"/>
                <w:i/>
                <w:iCs/>
                <w:sz w:val="24"/>
                <w:szCs w:val="24"/>
                <w:highlight w:val="none"/>
              </w:rPr>
              <w:t>L</w:t>
            </w:r>
            <w:r>
              <w:rPr>
                <w:rFonts w:hint="eastAsia"/>
                <w:i/>
                <w:iCs/>
                <w:sz w:val="24"/>
                <w:szCs w:val="24"/>
                <w:highlight w:val="none"/>
                <w:vertAlign w:val="subscript"/>
              </w:rPr>
              <w:t>w</w:t>
            </w:r>
            <w:r>
              <w:rPr>
                <w:rFonts w:hint="default"/>
                <w:sz w:val="24"/>
                <w:szCs w:val="24"/>
                <w:highlight w:val="none"/>
                <w:lang w:val="en-US" w:eastAsia="zh-CN"/>
              </w:rPr>
              <w:t>—</w:t>
            </w:r>
            <w:r>
              <w:rPr>
                <w:rFonts w:hint="eastAsia"/>
                <w:sz w:val="24"/>
                <w:szCs w:val="24"/>
                <w:highlight w:val="none"/>
              </w:rPr>
              <w:t>点声源声功率级（A 计权或倍频带）</w:t>
            </w:r>
            <w:r>
              <w:rPr>
                <w:rFonts w:ascii="宋体" w:hAnsi="宋体" w:eastAsia="宋体" w:cs="宋体"/>
                <w:spacing w:val="-7"/>
                <w:sz w:val="24"/>
                <w:szCs w:val="24"/>
                <w:highlight w:val="none"/>
              </w:rPr>
              <w:t>，</w:t>
            </w:r>
            <w:r>
              <w:rPr>
                <w:rFonts w:ascii="Times New Roman" w:hAnsi="Times New Roman" w:eastAsia="Times New Roman" w:cs="Times New Roman"/>
                <w:spacing w:val="-7"/>
                <w:sz w:val="24"/>
                <w:szCs w:val="24"/>
                <w:highlight w:val="none"/>
              </w:rPr>
              <w:t>dB</w:t>
            </w:r>
            <w:r>
              <w:rPr>
                <w:rFonts w:hint="eastAsia" w:eastAsia="宋体"/>
                <w:sz w:val="24"/>
                <w:szCs w:val="24"/>
                <w:highlight w:val="none"/>
                <w:lang w:eastAsia="zh-CN"/>
              </w:rPr>
              <w:t>；</w:t>
            </w:r>
          </w:p>
          <w:p>
            <w:pPr>
              <w:bidi w:val="0"/>
              <w:spacing w:line="360" w:lineRule="auto"/>
              <w:ind w:firstLine="480" w:firstLineChars="200"/>
              <w:rPr>
                <w:rFonts w:hint="eastAsia" w:eastAsia="宋体"/>
                <w:sz w:val="24"/>
                <w:szCs w:val="24"/>
                <w:highlight w:val="none"/>
                <w:lang w:eastAsia="zh-CN"/>
              </w:rPr>
            </w:pPr>
            <w:r>
              <w:rPr>
                <w:rFonts w:hint="eastAsia"/>
                <w:i/>
                <w:iCs/>
                <w:sz w:val="24"/>
                <w:szCs w:val="24"/>
                <w:highlight w:val="none"/>
              </w:rPr>
              <w:t>Q</w:t>
            </w:r>
            <w:r>
              <w:rPr>
                <w:rFonts w:hint="default"/>
                <w:sz w:val="24"/>
                <w:szCs w:val="24"/>
                <w:highlight w:val="none"/>
                <w:lang w:val="en-US" w:eastAsia="zh-CN"/>
              </w:rPr>
              <w:t>—</w:t>
            </w:r>
            <w:r>
              <w:rPr>
                <w:rFonts w:hint="eastAsia"/>
                <w:sz w:val="24"/>
                <w:szCs w:val="24"/>
                <w:highlight w:val="none"/>
              </w:rPr>
              <w:t>指向性因数，通常对无指向性声源，当声源放在房间中心时，Q=1；当放在一面墙的中心时，Q=2；当放在两面墙夹角处时，Q=4；当放在三面墙夹角处时，Q=8</w:t>
            </w:r>
            <w:r>
              <w:rPr>
                <w:rFonts w:hint="eastAsia"/>
                <w:sz w:val="24"/>
                <w:szCs w:val="24"/>
                <w:highlight w:val="none"/>
                <w:lang w:eastAsia="zh-CN"/>
              </w:rPr>
              <w:t>；本项目主要噪声设备均设置在厂房中间故</w:t>
            </w:r>
            <w:r>
              <w:rPr>
                <w:rFonts w:hint="eastAsia"/>
                <w:sz w:val="24"/>
                <w:szCs w:val="24"/>
                <w:highlight w:val="none"/>
              </w:rPr>
              <w:t>Q值取1</w:t>
            </w:r>
            <w:r>
              <w:rPr>
                <w:rFonts w:hint="eastAsia"/>
                <w:sz w:val="24"/>
                <w:szCs w:val="24"/>
                <w:highlight w:val="none"/>
                <w:lang w:eastAsia="zh-CN"/>
              </w:rPr>
              <w:t>；</w:t>
            </w:r>
          </w:p>
          <w:p>
            <w:pPr>
              <w:bidi w:val="0"/>
              <w:spacing w:line="360" w:lineRule="auto"/>
              <w:ind w:firstLine="480" w:firstLineChars="200"/>
              <w:rPr>
                <w:rFonts w:hint="eastAsia" w:eastAsia="宋体"/>
                <w:sz w:val="24"/>
                <w:szCs w:val="24"/>
                <w:highlight w:val="none"/>
                <w:lang w:eastAsia="zh-CN"/>
              </w:rPr>
            </w:pPr>
            <w:r>
              <w:rPr>
                <w:rFonts w:hint="eastAsia"/>
                <w:sz w:val="24"/>
                <w:szCs w:val="24"/>
                <w:highlight w:val="none"/>
              </w:rPr>
              <w:t>R</w:t>
            </w:r>
            <w:r>
              <w:rPr>
                <w:rFonts w:hint="default"/>
                <w:sz w:val="24"/>
                <w:szCs w:val="24"/>
                <w:highlight w:val="none"/>
                <w:lang w:val="en-US" w:eastAsia="zh-CN"/>
              </w:rPr>
              <w:t>—</w:t>
            </w:r>
            <w:r>
              <w:rPr>
                <w:rFonts w:hint="eastAsia"/>
                <w:sz w:val="24"/>
                <w:szCs w:val="24"/>
                <w:highlight w:val="none"/>
              </w:rPr>
              <w:t>房间常数，R=S</w:t>
            </w:r>
            <w:r>
              <w:rPr>
                <w:rFonts w:hint="default" w:ascii="Times New Roman" w:hAnsi="Times New Roman" w:cs="Times New Roman"/>
                <w:sz w:val="24"/>
                <w:szCs w:val="24"/>
                <w:highlight w:val="none"/>
                <w:lang w:val="en-US" w:eastAsia="zh-CN"/>
              </w:rPr>
              <w:t>α</w:t>
            </w:r>
            <w:r>
              <w:rPr>
                <w:rFonts w:hint="eastAsia"/>
                <w:sz w:val="24"/>
                <w:szCs w:val="24"/>
                <w:highlight w:val="none"/>
                <w:lang w:val="en-US" w:eastAsia="zh-CN"/>
              </w:rPr>
              <w:t>/(1-</w:t>
            </w:r>
            <w:r>
              <w:rPr>
                <w:rFonts w:hint="default" w:ascii="Times New Roman" w:hAnsi="Times New Roman" w:cs="Times New Roman"/>
                <w:sz w:val="24"/>
                <w:szCs w:val="24"/>
                <w:highlight w:val="none"/>
                <w:lang w:val="en-US" w:eastAsia="zh-CN"/>
              </w:rPr>
              <w:t>α</w:t>
            </w:r>
            <w:r>
              <w:rPr>
                <w:rFonts w:hint="eastAsia"/>
                <w:sz w:val="24"/>
                <w:szCs w:val="24"/>
                <w:highlight w:val="none"/>
              </w:rPr>
              <w:t>)，S为房间内表面面积</w:t>
            </w:r>
            <w:r>
              <w:rPr>
                <w:rFonts w:hint="eastAsia"/>
                <w:sz w:val="24"/>
                <w:szCs w:val="24"/>
                <w:highlight w:val="none"/>
                <w:lang w:eastAsia="zh-CN"/>
              </w:rPr>
              <w:t>，</w:t>
            </w:r>
            <w:r>
              <w:rPr>
                <w:rFonts w:hint="eastAsia"/>
                <w:sz w:val="24"/>
                <w:szCs w:val="24"/>
                <w:highlight w:val="none"/>
                <w:lang w:val="en-US" w:eastAsia="zh-CN"/>
              </w:rPr>
              <w:t>m</w:t>
            </w:r>
            <w:r>
              <w:rPr>
                <w:rFonts w:hint="eastAsia"/>
                <w:sz w:val="24"/>
                <w:szCs w:val="24"/>
                <w:highlight w:val="none"/>
                <w:vertAlign w:val="superscript"/>
                <w:lang w:val="en-US" w:eastAsia="zh-CN"/>
              </w:rPr>
              <w:t>2</w:t>
            </w:r>
            <w:r>
              <w:rPr>
                <w:rFonts w:hint="eastAsia"/>
                <w:sz w:val="24"/>
                <w:szCs w:val="24"/>
                <w:highlight w:val="none"/>
                <w:lang w:val="en-US" w:eastAsia="zh-CN"/>
              </w:rPr>
              <w:t>；</w:t>
            </w:r>
            <w:r>
              <w:rPr>
                <w:rFonts w:hint="default" w:ascii="Times New Roman" w:hAnsi="Times New Roman" w:cs="Times New Roman"/>
                <w:sz w:val="24"/>
                <w:szCs w:val="24"/>
                <w:highlight w:val="none"/>
              </w:rPr>
              <w:t>α</w:t>
            </w:r>
            <w:r>
              <w:rPr>
                <w:rFonts w:hint="eastAsia"/>
                <w:sz w:val="24"/>
                <w:szCs w:val="24"/>
                <w:highlight w:val="none"/>
              </w:rPr>
              <w:t>为平均吸声系数。</w:t>
            </w:r>
            <w:r>
              <w:rPr>
                <w:rFonts w:hint="eastAsia"/>
                <w:sz w:val="24"/>
                <w:szCs w:val="24"/>
                <w:highlight w:val="none"/>
                <w:lang w:val="en-US" w:eastAsia="zh-CN"/>
              </w:rPr>
              <w:t>储煤仓库</w:t>
            </w:r>
            <w:r>
              <w:rPr>
                <w:rFonts w:hint="eastAsia"/>
                <w:sz w:val="24"/>
                <w:szCs w:val="24"/>
                <w:highlight w:val="none"/>
                <w:lang w:eastAsia="zh-CN"/>
              </w:rPr>
              <w:t>内表</w:t>
            </w:r>
            <w:r>
              <w:rPr>
                <w:rFonts w:hint="eastAsia"/>
                <w:sz w:val="24"/>
                <w:szCs w:val="24"/>
                <w:highlight w:val="none"/>
              </w:rPr>
              <w:t>面积</w:t>
            </w:r>
            <w:r>
              <w:rPr>
                <w:rFonts w:hint="eastAsia"/>
                <w:sz w:val="24"/>
                <w:szCs w:val="24"/>
                <w:highlight w:val="none"/>
                <w:lang w:eastAsia="zh-CN"/>
              </w:rPr>
              <w:t>约</w:t>
            </w:r>
            <w:r>
              <w:rPr>
                <w:rFonts w:hint="eastAsia"/>
                <w:sz w:val="24"/>
                <w:szCs w:val="24"/>
                <w:highlight w:val="none"/>
              </w:rPr>
              <w:t>为</w:t>
            </w:r>
            <w:r>
              <w:rPr>
                <w:rFonts w:hint="eastAsia"/>
                <w:sz w:val="24"/>
                <w:szCs w:val="24"/>
                <w:highlight w:val="none"/>
                <w:lang w:val="en-US" w:eastAsia="zh-CN"/>
              </w:rPr>
              <w:t>24260m</w:t>
            </w:r>
            <w:r>
              <w:rPr>
                <w:rFonts w:hint="eastAsia"/>
                <w:sz w:val="24"/>
                <w:szCs w:val="24"/>
                <w:highlight w:val="none"/>
                <w:vertAlign w:val="superscript"/>
                <w:lang w:val="en-US" w:eastAsia="zh-CN"/>
              </w:rPr>
              <w:t xml:space="preserve">2 </w:t>
            </w:r>
            <w:r>
              <w:rPr>
                <w:rFonts w:hint="eastAsia"/>
                <w:sz w:val="24"/>
                <w:szCs w:val="24"/>
                <w:highlight w:val="none"/>
                <w:lang w:eastAsia="zh-CN"/>
              </w:rPr>
              <w:t>、</w:t>
            </w:r>
            <w:r>
              <w:rPr>
                <w:rFonts w:hint="eastAsia"/>
                <w:sz w:val="24"/>
                <w:szCs w:val="24"/>
                <w:highlight w:val="none"/>
                <w:lang w:val="en-US" w:eastAsia="zh-CN"/>
              </w:rPr>
              <w:t>19392m</w:t>
            </w:r>
            <w:r>
              <w:rPr>
                <w:rFonts w:hint="eastAsia"/>
                <w:sz w:val="24"/>
                <w:szCs w:val="24"/>
                <w:highlight w:val="none"/>
                <w:vertAlign w:val="superscript"/>
                <w:lang w:val="en-US" w:eastAsia="zh-CN"/>
              </w:rPr>
              <w:t>2</w:t>
            </w:r>
            <w:r>
              <w:rPr>
                <w:rFonts w:hint="eastAsia"/>
                <w:sz w:val="24"/>
                <w:szCs w:val="24"/>
                <w:highlight w:val="none"/>
                <w:lang w:val="en-US" w:eastAsia="zh-CN"/>
              </w:rPr>
              <w:t>、7640m</w:t>
            </w:r>
            <w:r>
              <w:rPr>
                <w:rFonts w:hint="eastAsia"/>
                <w:sz w:val="24"/>
                <w:szCs w:val="24"/>
                <w:highlight w:val="none"/>
                <w:vertAlign w:val="superscript"/>
                <w:lang w:val="en-US" w:eastAsia="zh-CN"/>
              </w:rPr>
              <w:t>2</w:t>
            </w:r>
            <w:r>
              <w:rPr>
                <w:rFonts w:hint="eastAsia"/>
                <w:sz w:val="24"/>
                <w:szCs w:val="24"/>
                <w:highlight w:val="none"/>
                <w:lang w:eastAsia="zh-CN"/>
              </w:rPr>
              <w:t>，</w:t>
            </w:r>
            <w:r>
              <w:rPr>
                <w:rFonts w:hint="default" w:ascii="Times New Roman" w:hAnsi="Times New Roman" w:cs="Times New Roman"/>
                <w:sz w:val="24"/>
                <w:szCs w:val="24"/>
                <w:highlight w:val="none"/>
              </w:rPr>
              <w:t>α</w:t>
            </w:r>
            <w:r>
              <w:rPr>
                <w:rFonts w:hint="eastAsia"/>
                <w:sz w:val="24"/>
                <w:szCs w:val="24"/>
                <w:highlight w:val="none"/>
                <w:lang w:eastAsia="zh-CN"/>
              </w:rPr>
              <w:t>取</w:t>
            </w:r>
            <w:r>
              <w:rPr>
                <w:rFonts w:hint="eastAsia"/>
                <w:sz w:val="24"/>
                <w:szCs w:val="24"/>
                <w:highlight w:val="none"/>
                <w:lang w:val="en-US" w:eastAsia="zh-CN"/>
              </w:rPr>
              <w:t>0.21</w:t>
            </w:r>
            <w:r>
              <w:rPr>
                <w:rFonts w:hint="eastAsia"/>
                <w:sz w:val="24"/>
                <w:szCs w:val="24"/>
                <w:highlight w:val="none"/>
                <w:lang w:eastAsia="zh-CN"/>
              </w:rPr>
              <w:t>；</w:t>
            </w:r>
          </w:p>
          <w:p>
            <w:pPr>
              <w:bidi w:val="0"/>
              <w:spacing w:line="360" w:lineRule="auto"/>
              <w:ind w:firstLine="480" w:firstLineChars="200"/>
              <w:rPr>
                <w:rFonts w:hint="eastAsia"/>
                <w:sz w:val="24"/>
                <w:szCs w:val="24"/>
                <w:highlight w:val="none"/>
              </w:rPr>
            </w:pPr>
            <w:r>
              <w:rPr>
                <w:rFonts w:hint="eastAsia"/>
                <w:i/>
                <w:iCs/>
                <w:sz w:val="24"/>
                <w:szCs w:val="24"/>
                <w:highlight w:val="none"/>
              </w:rPr>
              <w:t>r</w:t>
            </w:r>
            <w:r>
              <w:rPr>
                <w:rFonts w:hint="default"/>
                <w:sz w:val="24"/>
                <w:szCs w:val="24"/>
                <w:highlight w:val="none"/>
                <w:lang w:val="en-US" w:eastAsia="zh-CN"/>
              </w:rPr>
              <w:t>—</w:t>
            </w:r>
            <w:r>
              <w:rPr>
                <w:rFonts w:hint="eastAsia"/>
                <w:sz w:val="24"/>
                <w:szCs w:val="24"/>
                <w:highlight w:val="none"/>
              </w:rPr>
              <w:t>声源到靠近</w:t>
            </w:r>
            <w:r>
              <w:rPr>
                <w:rFonts w:hint="eastAsia"/>
                <w:sz w:val="24"/>
                <w:szCs w:val="24"/>
                <w:highlight w:val="none"/>
                <w:lang w:eastAsia="zh-CN"/>
              </w:rPr>
              <w:t>室内</w:t>
            </w:r>
            <w:r>
              <w:rPr>
                <w:rFonts w:hint="eastAsia"/>
                <w:sz w:val="24"/>
                <w:szCs w:val="24"/>
                <w:highlight w:val="none"/>
              </w:rPr>
              <w:t>围护结构某点处的距离，m。</w:t>
            </w:r>
          </w:p>
          <w:p>
            <w:pPr>
              <w:bidi w:val="0"/>
              <w:spacing w:line="360" w:lineRule="auto"/>
              <w:ind w:firstLine="504" w:firstLineChars="200"/>
              <w:rPr>
                <w:rFonts w:ascii="宋体" w:hAnsi="宋体" w:eastAsia="宋体" w:cs="宋体"/>
                <w:sz w:val="24"/>
                <w:szCs w:val="24"/>
                <w:highlight w:val="none"/>
              </w:rPr>
            </w:pPr>
            <w:r>
              <w:rPr>
                <w:rFonts w:hint="eastAsia" w:ascii="宋体" w:hAnsi="宋体" w:eastAsia="宋体" w:cs="宋体"/>
                <w:spacing w:val="6"/>
                <w:sz w:val="24"/>
                <w:szCs w:val="24"/>
                <w:highlight w:val="none"/>
                <w:lang w:eastAsia="zh-CN"/>
              </w:rPr>
              <w:t>（</w:t>
            </w:r>
            <w:r>
              <w:rPr>
                <w:rFonts w:hint="default" w:ascii="Times New Roman" w:hAnsi="Times New Roman" w:eastAsia="宋体" w:cs="Times New Roman"/>
                <w:spacing w:val="6"/>
                <w:sz w:val="24"/>
                <w:szCs w:val="24"/>
                <w:highlight w:val="none"/>
                <w:lang w:val="en-US" w:eastAsia="zh-CN"/>
              </w:rPr>
              <w:t>2</w:t>
            </w:r>
            <w:r>
              <w:rPr>
                <w:rFonts w:hint="eastAsia" w:ascii="宋体" w:hAnsi="宋体" w:eastAsia="宋体" w:cs="宋体"/>
                <w:spacing w:val="6"/>
                <w:sz w:val="24"/>
                <w:szCs w:val="24"/>
                <w:highlight w:val="none"/>
                <w:lang w:eastAsia="zh-CN"/>
              </w:rPr>
              <w:t>）</w:t>
            </w:r>
            <w:r>
              <w:rPr>
                <w:rFonts w:ascii="宋体" w:hAnsi="宋体" w:eastAsia="宋体" w:cs="宋体"/>
                <w:spacing w:val="3"/>
                <w:sz w:val="24"/>
                <w:szCs w:val="24"/>
                <w:highlight w:val="none"/>
              </w:rPr>
              <w:t>计算出所有室内声源在围护结构处产生的倍频带叠加声压级：</w:t>
            </w:r>
          </w:p>
          <w:p>
            <w:pPr>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ascii="宋体" w:hAnsi="宋体" w:eastAsia="宋体" w:cs="宋体"/>
                <w:sz w:val="19"/>
                <w:szCs w:val="19"/>
                <w:highlight w:val="none"/>
              </w:rPr>
            </w:pPr>
            <w:r>
              <w:rPr>
                <w:rFonts w:hint="default" w:ascii="Times New Roman" w:hAnsi="Times New Roman" w:eastAsia="宋体" w:cs="Times New Roman"/>
                <w:color w:val="auto"/>
                <w:position w:val="-28"/>
                <w:sz w:val="24"/>
                <w:szCs w:val="24"/>
                <w:highlight w:val="none"/>
              </w:rPr>
              <w:object>
                <v:shape id="_x0000_i1026" o:spt="75" type="#_x0000_t75" style="height:52pt;width:161.2pt;" o:ole="t" filled="f" o:preferrelative="t" stroked="f" coordsize="21600,21600">
                  <v:path/>
                  <v:fill on="f" focussize="0,0"/>
                  <v:stroke on="f"/>
                  <v:imagedata r:id="rId20" o:title=""/>
                  <o:lock v:ext="edit" aspectratio="t"/>
                  <w10:wrap type="none"/>
                  <w10:anchorlock/>
                </v:shape>
                <o:OLEObject Type="Embed" ProgID="Equation.3" ShapeID="_x0000_i1026" DrawAspect="Content" ObjectID="_1468075726" r:id="rId19">
                  <o:LockedField>false</o:LockedField>
                </o:OLEObject>
              </w:object>
            </w:r>
          </w:p>
          <w:p>
            <w:pPr>
              <w:keepNext w:val="0"/>
              <w:keepLines w:val="0"/>
              <w:pageBreakBefore w:val="0"/>
              <w:widowControl w:val="0"/>
              <w:kinsoku/>
              <w:wordWrap/>
              <w:overflowPunct/>
              <w:topLinePunct w:val="0"/>
              <w:autoSpaceDE/>
              <w:autoSpaceDN/>
              <w:bidi w:val="0"/>
              <w:adjustRightInd/>
              <w:snapToGrid/>
              <w:spacing w:line="360" w:lineRule="auto"/>
              <w:ind w:left="0" w:firstLine="424" w:firstLineChars="200"/>
              <w:textAlignment w:val="auto"/>
              <w:rPr>
                <w:rFonts w:ascii="宋体" w:hAnsi="宋体" w:eastAsia="宋体" w:cs="宋体"/>
                <w:spacing w:val="-14"/>
                <w:sz w:val="24"/>
                <w:szCs w:val="24"/>
                <w:highlight w:val="none"/>
              </w:rPr>
            </w:pPr>
            <w:r>
              <w:rPr>
                <w:rFonts w:ascii="宋体" w:hAnsi="宋体" w:eastAsia="宋体" w:cs="宋体"/>
                <w:spacing w:val="-14"/>
                <w:sz w:val="24"/>
                <w:szCs w:val="24"/>
                <w:highlight w:val="none"/>
              </w:rPr>
              <w:t xml:space="preserve">式中： </w:t>
            </w:r>
          </w:p>
          <w:p>
            <w:pPr>
              <w:keepNext w:val="0"/>
              <w:keepLines w:val="0"/>
              <w:pageBreakBefore w:val="0"/>
              <w:widowControl w:val="0"/>
              <w:kinsoku/>
              <w:wordWrap/>
              <w:overflowPunct/>
              <w:topLinePunct w:val="0"/>
              <w:autoSpaceDE/>
              <w:autoSpaceDN/>
              <w:bidi w:val="0"/>
              <w:adjustRightInd/>
              <w:snapToGrid/>
              <w:spacing w:line="360" w:lineRule="auto"/>
              <w:ind w:left="0" w:firstLine="452" w:firstLineChars="200"/>
              <w:textAlignment w:val="auto"/>
              <w:rPr>
                <w:rFonts w:ascii="宋体" w:hAnsi="宋体" w:eastAsia="宋体" w:cs="宋体"/>
                <w:sz w:val="24"/>
                <w:szCs w:val="24"/>
                <w:highlight w:val="none"/>
              </w:rPr>
            </w:pPr>
            <w:r>
              <w:rPr>
                <w:rFonts w:ascii="Times New Roman" w:hAnsi="Times New Roman" w:eastAsia="Times New Roman" w:cs="Times New Roman"/>
                <w:i/>
                <w:iCs/>
                <w:spacing w:val="-7"/>
                <w:position w:val="1"/>
                <w:sz w:val="24"/>
                <w:szCs w:val="24"/>
                <w:highlight w:val="none"/>
              </w:rPr>
              <w:t>L</w:t>
            </w:r>
            <w:r>
              <w:rPr>
                <w:rFonts w:ascii="Times New Roman" w:hAnsi="Times New Roman" w:eastAsia="Times New Roman" w:cs="Times New Roman"/>
                <w:i/>
                <w:iCs/>
                <w:spacing w:val="-7"/>
                <w:position w:val="-4"/>
                <w:sz w:val="24"/>
                <w:szCs w:val="24"/>
                <w:highlight w:val="none"/>
                <w:vertAlign w:val="subscript"/>
              </w:rPr>
              <w:t>p</w:t>
            </w:r>
            <w:r>
              <w:rPr>
                <w:rFonts w:ascii="Times New Roman" w:hAnsi="Times New Roman" w:eastAsia="Times New Roman" w:cs="Times New Roman"/>
                <w:spacing w:val="-8"/>
                <w:position w:val="-4"/>
                <w:sz w:val="24"/>
                <w:szCs w:val="24"/>
                <w:highlight w:val="none"/>
                <w:vertAlign w:val="subscript"/>
              </w:rPr>
              <w:t>1</w:t>
            </w:r>
            <w:r>
              <w:rPr>
                <w:rFonts w:ascii="Times New Roman" w:hAnsi="Times New Roman" w:eastAsia="Times New Roman" w:cs="Times New Roman"/>
                <w:i/>
                <w:iCs/>
                <w:spacing w:val="-7"/>
                <w:position w:val="-4"/>
                <w:sz w:val="24"/>
                <w:szCs w:val="24"/>
                <w:highlight w:val="none"/>
                <w:vertAlign w:val="subscript"/>
              </w:rPr>
              <w:t>i</w:t>
            </w:r>
            <w:r>
              <w:rPr>
                <w:rFonts w:ascii="微软雅黑" w:hAnsi="微软雅黑" w:eastAsia="微软雅黑" w:cs="微软雅黑"/>
                <w:spacing w:val="-7"/>
                <w:sz w:val="24"/>
                <w:szCs w:val="24"/>
                <w:highlight w:val="none"/>
              </w:rPr>
              <w:t>(</w:t>
            </w:r>
            <w:r>
              <w:rPr>
                <w:rFonts w:ascii="Times New Roman" w:hAnsi="Times New Roman" w:eastAsia="Times New Roman" w:cs="Times New Roman"/>
                <w:i/>
                <w:iCs/>
                <w:spacing w:val="-7"/>
                <w:position w:val="1"/>
                <w:sz w:val="24"/>
                <w:szCs w:val="24"/>
                <w:highlight w:val="none"/>
              </w:rPr>
              <w:t>T</w:t>
            </w:r>
            <w:r>
              <w:rPr>
                <w:rFonts w:ascii="微软雅黑" w:hAnsi="微软雅黑" w:eastAsia="微软雅黑" w:cs="微软雅黑"/>
                <w:spacing w:val="-7"/>
                <w:sz w:val="24"/>
                <w:szCs w:val="24"/>
                <w:highlight w:val="none"/>
              </w:rPr>
              <w:t>)</w:t>
            </w:r>
            <w:r>
              <w:rPr>
                <w:rFonts w:hint="default"/>
                <w:highlight w:val="none"/>
                <w:lang w:val="en-US" w:eastAsia="zh-CN"/>
              </w:rPr>
              <w:t>—</w:t>
            </w:r>
            <w:r>
              <w:rPr>
                <w:rFonts w:ascii="宋体" w:hAnsi="宋体" w:eastAsia="宋体" w:cs="宋体"/>
                <w:spacing w:val="-7"/>
                <w:sz w:val="24"/>
                <w:szCs w:val="24"/>
                <w:highlight w:val="none"/>
              </w:rPr>
              <w:t>靠近围护结构处室内</w:t>
            </w:r>
            <w:r>
              <w:rPr>
                <w:rFonts w:ascii="Times New Roman" w:hAnsi="Times New Roman" w:eastAsia="Times New Roman" w:cs="Times New Roman"/>
                <w:i/>
                <w:iCs/>
                <w:spacing w:val="-7"/>
                <w:sz w:val="24"/>
                <w:szCs w:val="24"/>
                <w:highlight w:val="none"/>
              </w:rPr>
              <w:t>N</w:t>
            </w:r>
            <w:r>
              <w:rPr>
                <w:rFonts w:ascii="宋体" w:hAnsi="宋体" w:eastAsia="宋体" w:cs="宋体"/>
                <w:spacing w:val="-7"/>
                <w:sz w:val="24"/>
                <w:szCs w:val="24"/>
                <w:highlight w:val="none"/>
              </w:rPr>
              <w:t>个声源</w:t>
            </w:r>
            <w:r>
              <w:rPr>
                <w:rFonts w:ascii="Times New Roman" w:hAnsi="Times New Roman" w:eastAsia="Times New Roman" w:cs="Times New Roman"/>
                <w:i/>
                <w:iCs/>
                <w:spacing w:val="-7"/>
                <w:sz w:val="24"/>
                <w:szCs w:val="24"/>
                <w:highlight w:val="none"/>
              </w:rPr>
              <w:t>i</w:t>
            </w:r>
            <w:r>
              <w:rPr>
                <w:rFonts w:ascii="宋体" w:hAnsi="宋体" w:eastAsia="宋体" w:cs="宋体"/>
                <w:spacing w:val="-7"/>
                <w:sz w:val="24"/>
                <w:szCs w:val="24"/>
                <w:highlight w:val="none"/>
              </w:rPr>
              <w:t>倍频带的叠加声压级，</w:t>
            </w:r>
            <w:r>
              <w:rPr>
                <w:rFonts w:ascii="Times New Roman" w:hAnsi="Times New Roman" w:eastAsia="Times New Roman" w:cs="Times New Roman"/>
                <w:spacing w:val="-7"/>
                <w:sz w:val="24"/>
                <w:szCs w:val="24"/>
                <w:highlight w:val="none"/>
              </w:rPr>
              <w:t>dB</w:t>
            </w:r>
            <w:r>
              <w:rPr>
                <w:rFonts w:ascii="宋体" w:hAnsi="宋体" w:eastAsia="宋体" w:cs="宋体"/>
                <w:spacing w:val="-7"/>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eastAsia="宋体" w:cs="宋体"/>
                <w:sz w:val="24"/>
                <w:szCs w:val="24"/>
                <w:highlight w:val="none"/>
              </w:rPr>
            </w:pPr>
            <w:r>
              <w:rPr>
                <w:rFonts w:hint="eastAsia" w:ascii="Times New Roman" w:hAnsi="Times New Roman" w:eastAsia="宋体" w:cs="Times New Roman"/>
                <w:i/>
                <w:iCs/>
                <w:sz w:val="24"/>
                <w:szCs w:val="24"/>
                <w:highlight w:val="none"/>
                <w:lang w:val="en-US" w:eastAsia="zh-CN"/>
              </w:rPr>
              <w:t>L</w:t>
            </w:r>
            <w:r>
              <w:rPr>
                <w:rFonts w:hint="eastAsia" w:ascii="Times New Roman" w:hAnsi="Times New Roman" w:eastAsia="宋体" w:cs="Times New Roman"/>
                <w:i/>
                <w:iCs/>
                <w:sz w:val="24"/>
                <w:szCs w:val="24"/>
                <w:highlight w:val="none"/>
                <w:vertAlign w:val="subscript"/>
                <w:lang w:val="en-US" w:eastAsia="zh-CN"/>
              </w:rPr>
              <w:t>p1ij</w:t>
            </w:r>
            <w:r>
              <w:rPr>
                <w:rFonts w:hint="default"/>
                <w:highlight w:val="none"/>
                <w:lang w:val="en-US" w:eastAsia="zh-CN"/>
              </w:rPr>
              <w:t>—</w:t>
            </w:r>
            <w:r>
              <w:rPr>
                <w:rFonts w:hint="eastAsia" w:ascii="宋体" w:hAnsi="宋体" w:eastAsia="宋体" w:cs="宋体"/>
                <w:spacing w:val="1"/>
                <w:sz w:val="24"/>
                <w:szCs w:val="24"/>
                <w:highlight w:val="none"/>
              </w:rPr>
              <w:t>室内</w:t>
            </w:r>
            <w:r>
              <w:rPr>
                <w:rFonts w:hint="default" w:ascii="Times New Roman" w:hAnsi="Times New Roman" w:eastAsia="宋体" w:cs="Times New Roman"/>
                <w:i/>
                <w:iCs/>
                <w:spacing w:val="1"/>
                <w:sz w:val="24"/>
                <w:szCs w:val="24"/>
                <w:highlight w:val="none"/>
              </w:rPr>
              <w:t>j</w:t>
            </w:r>
            <w:r>
              <w:rPr>
                <w:rFonts w:hint="eastAsia" w:ascii="宋体" w:hAnsi="宋体" w:eastAsia="宋体" w:cs="宋体"/>
                <w:spacing w:val="1"/>
                <w:sz w:val="24"/>
                <w:szCs w:val="24"/>
                <w:highlight w:val="none"/>
              </w:rPr>
              <w:t>声源</w:t>
            </w:r>
            <w:r>
              <w:rPr>
                <w:rFonts w:hint="default" w:ascii="Times New Roman" w:hAnsi="Times New Roman" w:eastAsia="宋体" w:cs="Times New Roman"/>
                <w:i/>
                <w:iCs/>
                <w:spacing w:val="1"/>
                <w:sz w:val="24"/>
                <w:szCs w:val="24"/>
                <w:highlight w:val="none"/>
              </w:rPr>
              <w:t>i</w:t>
            </w:r>
            <w:r>
              <w:rPr>
                <w:rFonts w:hint="eastAsia" w:ascii="宋体" w:hAnsi="宋体" w:eastAsia="宋体" w:cs="宋体"/>
                <w:spacing w:val="1"/>
                <w:sz w:val="24"/>
                <w:szCs w:val="24"/>
                <w:highlight w:val="none"/>
              </w:rPr>
              <w:t>倍频带的声压级，</w:t>
            </w:r>
            <w:r>
              <w:rPr>
                <w:rFonts w:ascii="Times New Roman" w:hAnsi="Times New Roman" w:eastAsia="Times New Roman" w:cs="Times New Roman"/>
                <w:spacing w:val="-7"/>
                <w:sz w:val="24"/>
                <w:szCs w:val="24"/>
                <w:highlight w:val="none"/>
              </w:rPr>
              <w:t>dB</w:t>
            </w:r>
            <w:r>
              <w:rPr>
                <w:rFonts w:ascii="宋体" w:hAnsi="宋体" w:eastAsia="宋体" w:cs="宋体"/>
                <w:spacing w:val="-7"/>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firstLine="476" w:firstLineChars="200"/>
              <w:textAlignment w:val="auto"/>
              <w:rPr>
                <w:rFonts w:ascii="宋体" w:hAnsi="宋体" w:eastAsia="宋体" w:cs="宋体"/>
                <w:sz w:val="24"/>
                <w:szCs w:val="24"/>
                <w:highlight w:val="none"/>
              </w:rPr>
            </w:pPr>
            <w:r>
              <w:rPr>
                <w:rFonts w:ascii="Times New Roman" w:hAnsi="Times New Roman" w:eastAsia="Times New Roman" w:cs="Times New Roman"/>
                <w:i/>
                <w:iCs/>
                <w:spacing w:val="-1"/>
                <w:sz w:val="24"/>
                <w:szCs w:val="24"/>
                <w:highlight w:val="none"/>
              </w:rPr>
              <w:t>N</w:t>
            </w:r>
            <w:r>
              <w:rPr>
                <w:rFonts w:hint="default"/>
                <w:highlight w:val="none"/>
                <w:lang w:val="en-US" w:eastAsia="zh-CN"/>
              </w:rPr>
              <w:t>—</w:t>
            </w:r>
            <w:r>
              <w:rPr>
                <w:rFonts w:ascii="宋体" w:hAnsi="宋体" w:eastAsia="宋体" w:cs="宋体"/>
                <w:spacing w:val="-1"/>
                <w:sz w:val="24"/>
                <w:szCs w:val="24"/>
                <w:highlight w:val="none"/>
              </w:rPr>
              <w:t>室内声源总数。</w:t>
            </w:r>
          </w:p>
          <w:p>
            <w:pPr>
              <w:keepNext w:val="0"/>
              <w:keepLines w:val="0"/>
              <w:pageBreakBefore w:val="0"/>
              <w:widowControl w:val="0"/>
              <w:kinsoku/>
              <w:wordWrap/>
              <w:overflowPunct/>
              <w:topLinePunct w:val="0"/>
              <w:autoSpaceDE/>
              <w:autoSpaceDN/>
              <w:bidi w:val="0"/>
              <w:adjustRightInd/>
              <w:snapToGrid/>
              <w:spacing w:line="360" w:lineRule="auto"/>
              <w:ind w:firstLine="492" w:firstLineChars="200"/>
              <w:textAlignment w:val="auto"/>
              <w:rPr>
                <w:rFonts w:ascii="宋体" w:hAnsi="宋体" w:eastAsia="宋体" w:cs="宋体"/>
                <w:sz w:val="24"/>
                <w:szCs w:val="24"/>
                <w:highlight w:val="none"/>
              </w:rPr>
            </w:pPr>
            <w:r>
              <w:rPr>
                <w:rFonts w:hint="eastAsia" w:ascii="宋体" w:hAnsi="宋体" w:eastAsia="宋体" w:cs="宋体"/>
                <w:spacing w:val="3"/>
                <w:sz w:val="24"/>
                <w:szCs w:val="24"/>
                <w:highlight w:val="none"/>
                <w:lang w:eastAsia="zh-CN"/>
              </w:rPr>
              <w:t>（</w:t>
            </w:r>
            <w:r>
              <w:rPr>
                <w:rFonts w:hint="default" w:ascii="Times New Roman" w:hAnsi="Times New Roman" w:eastAsia="宋体" w:cs="Times New Roman"/>
                <w:spacing w:val="3"/>
                <w:sz w:val="24"/>
                <w:szCs w:val="24"/>
                <w:highlight w:val="none"/>
                <w:lang w:val="en-US" w:eastAsia="zh-CN"/>
              </w:rPr>
              <w:t>3</w:t>
            </w:r>
            <w:r>
              <w:rPr>
                <w:rFonts w:hint="eastAsia" w:ascii="宋体" w:hAnsi="宋体" w:eastAsia="宋体" w:cs="宋体"/>
                <w:spacing w:val="3"/>
                <w:sz w:val="24"/>
                <w:szCs w:val="24"/>
                <w:highlight w:val="none"/>
                <w:lang w:eastAsia="zh-CN"/>
              </w:rPr>
              <w:t>）</w:t>
            </w:r>
            <w:r>
              <w:rPr>
                <w:rFonts w:ascii="宋体" w:hAnsi="宋体" w:eastAsia="宋体" w:cs="宋体"/>
                <w:spacing w:val="3"/>
                <w:sz w:val="24"/>
                <w:szCs w:val="24"/>
                <w:highlight w:val="none"/>
              </w:rPr>
              <w:t>在室内近似为扩散声场时</w:t>
            </w:r>
            <w:r>
              <w:rPr>
                <w:rFonts w:hint="eastAsia" w:ascii="宋体" w:hAnsi="宋体" w:eastAsia="宋体" w:cs="宋体"/>
                <w:spacing w:val="3"/>
                <w:sz w:val="24"/>
                <w:szCs w:val="24"/>
                <w:highlight w:val="none"/>
                <w:lang w:eastAsia="zh-CN"/>
              </w:rPr>
              <w:t>，</w:t>
            </w:r>
            <w:r>
              <w:rPr>
                <w:rFonts w:ascii="宋体" w:hAnsi="宋体" w:eastAsia="宋体" w:cs="宋体"/>
                <w:spacing w:val="3"/>
                <w:sz w:val="24"/>
                <w:szCs w:val="24"/>
                <w:highlight w:val="none"/>
              </w:rPr>
              <w:t>计算出靠近室外围护结构处的声压</w:t>
            </w:r>
            <w:r>
              <w:rPr>
                <w:rFonts w:ascii="宋体" w:hAnsi="宋体" w:eastAsia="宋体" w:cs="宋体"/>
                <w:spacing w:val="1"/>
                <w:sz w:val="24"/>
                <w:szCs w:val="24"/>
                <w:highlight w:val="none"/>
              </w:rPr>
              <w:t>级</w:t>
            </w:r>
            <w:r>
              <w:rPr>
                <w:rFonts w:ascii="宋体" w:hAnsi="宋体" w:eastAsia="宋体" w:cs="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Times New Roman" w:hAnsi="Times New Roman" w:eastAsia="Times New Roman" w:cs="Times New Roman"/>
                <w:sz w:val="24"/>
                <w:szCs w:val="24"/>
                <w:highlight w:val="none"/>
              </w:rPr>
            </w:pPr>
            <w:r>
              <w:rPr>
                <w:rFonts w:ascii="Times New Roman" w:hAnsi="Times New Roman" w:eastAsia="Times New Roman" w:cs="Times New Roman"/>
                <w:i/>
                <w:iCs/>
                <w:spacing w:val="-4"/>
                <w:sz w:val="24"/>
                <w:szCs w:val="24"/>
                <w:highlight w:val="none"/>
              </w:rPr>
              <w:t>L</w:t>
            </w:r>
            <w:r>
              <w:rPr>
                <w:rFonts w:ascii="Times New Roman" w:hAnsi="Times New Roman" w:eastAsia="Times New Roman" w:cs="Times New Roman"/>
                <w:i/>
                <w:iCs/>
                <w:spacing w:val="-4"/>
                <w:position w:val="-5"/>
                <w:sz w:val="24"/>
                <w:szCs w:val="24"/>
                <w:highlight w:val="none"/>
              </w:rPr>
              <w:t>p</w:t>
            </w:r>
            <w:r>
              <w:rPr>
                <w:rFonts w:ascii="Times New Roman" w:hAnsi="Times New Roman" w:eastAsia="Times New Roman" w:cs="Times New Roman"/>
                <w:spacing w:val="-8"/>
                <w:position w:val="-5"/>
                <w:sz w:val="24"/>
                <w:szCs w:val="24"/>
                <w:highlight w:val="none"/>
              </w:rPr>
              <w:t>2</w:t>
            </w:r>
            <w:r>
              <w:rPr>
                <w:rFonts w:ascii="Times New Roman" w:hAnsi="Times New Roman" w:eastAsia="Times New Roman" w:cs="Times New Roman"/>
                <w:i/>
                <w:iCs/>
                <w:spacing w:val="-4"/>
                <w:position w:val="-5"/>
                <w:sz w:val="24"/>
                <w:szCs w:val="24"/>
                <w:highlight w:val="none"/>
              </w:rPr>
              <w:t>i</w:t>
            </w:r>
            <w:r>
              <w:rPr>
                <w:rFonts w:ascii="Times New Roman" w:hAnsi="Times New Roman" w:eastAsia="Times New Roman" w:cs="Times New Roman"/>
                <w:spacing w:val="-8"/>
                <w:position w:val="-5"/>
                <w:sz w:val="24"/>
                <w:szCs w:val="24"/>
                <w:highlight w:val="none"/>
              </w:rPr>
              <w:t xml:space="preserve"> </w:t>
            </w:r>
            <w:r>
              <w:rPr>
                <w:rFonts w:ascii="Times New Roman" w:hAnsi="Times New Roman" w:eastAsia="Times New Roman" w:cs="Times New Roman"/>
                <w:spacing w:val="-8"/>
                <w:sz w:val="24"/>
                <w:szCs w:val="24"/>
                <w:highlight w:val="none"/>
              </w:rPr>
              <w:t>(</w:t>
            </w:r>
            <w:r>
              <w:rPr>
                <w:rFonts w:ascii="Times New Roman" w:hAnsi="Times New Roman" w:eastAsia="Times New Roman" w:cs="Times New Roman"/>
                <w:i/>
                <w:iCs/>
                <w:spacing w:val="-4"/>
                <w:sz w:val="24"/>
                <w:szCs w:val="24"/>
                <w:highlight w:val="none"/>
              </w:rPr>
              <w:t>T</w:t>
            </w:r>
            <w:r>
              <w:rPr>
                <w:rFonts w:ascii="Times New Roman" w:hAnsi="Times New Roman" w:eastAsia="Times New Roman" w:cs="Times New Roman"/>
                <w:spacing w:val="-7"/>
                <w:sz w:val="24"/>
                <w:szCs w:val="24"/>
                <w:highlight w:val="none"/>
              </w:rPr>
              <w:t>)</w:t>
            </w:r>
            <w:r>
              <w:rPr>
                <w:rFonts w:ascii="Times New Roman" w:hAnsi="Times New Roman" w:eastAsia="Times New Roman" w:cs="Times New Roman"/>
                <w:spacing w:val="-4"/>
                <w:sz w:val="24"/>
                <w:szCs w:val="24"/>
                <w:highlight w:val="none"/>
              </w:rPr>
              <w:t xml:space="preserve"> </w:t>
            </w:r>
            <w:r>
              <w:rPr>
                <w:rFonts w:ascii="微软雅黑" w:hAnsi="微软雅黑" w:eastAsia="微软雅黑" w:cs="微软雅黑"/>
                <w:spacing w:val="-4"/>
                <w:sz w:val="24"/>
                <w:szCs w:val="24"/>
                <w:highlight w:val="none"/>
              </w:rPr>
              <w:t xml:space="preserve">= </w:t>
            </w:r>
            <w:r>
              <w:rPr>
                <w:rFonts w:ascii="Times New Roman" w:hAnsi="Times New Roman" w:eastAsia="Times New Roman" w:cs="Times New Roman"/>
                <w:i/>
                <w:iCs/>
                <w:spacing w:val="-4"/>
                <w:sz w:val="24"/>
                <w:szCs w:val="24"/>
                <w:highlight w:val="none"/>
              </w:rPr>
              <w:t>L</w:t>
            </w:r>
            <w:r>
              <w:rPr>
                <w:rFonts w:ascii="Times New Roman" w:hAnsi="Times New Roman" w:eastAsia="Times New Roman" w:cs="Times New Roman"/>
                <w:i/>
                <w:iCs/>
                <w:spacing w:val="-4"/>
                <w:position w:val="-5"/>
                <w:sz w:val="24"/>
                <w:szCs w:val="24"/>
                <w:highlight w:val="none"/>
              </w:rPr>
              <w:t>p</w:t>
            </w:r>
            <w:r>
              <w:rPr>
                <w:rFonts w:ascii="Times New Roman" w:hAnsi="Times New Roman" w:eastAsia="Times New Roman" w:cs="Times New Roman"/>
                <w:spacing w:val="-4"/>
                <w:position w:val="-5"/>
                <w:sz w:val="24"/>
                <w:szCs w:val="24"/>
                <w:highlight w:val="none"/>
              </w:rPr>
              <w:t>1</w:t>
            </w:r>
            <w:r>
              <w:rPr>
                <w:rFonts w:ascii="Times New Roman" w:hAnsi="Times New Roman" w:eastAsia="Times New Roman" w:cs="Times New Roman"/>
                <w:i/>
                <w:iCs/>
                <w:spacing w:val="-4"/>
                <w:position w:val="-5"/>
                <w:sz w:val="24"/>
                <w:szCs w:val="24"/>
                <w:highlight w:val="none"/>
              </w:rPr>
              <w:t>i</w:t>
            </w:r>
            <w:r>
              <w:rPr>
                <w:rFonts w:ascii="Times New Roman" w:hAnsi="Times New Roman" w:eastAsia="Times New Roman" w:cs="Times New Roman"/>
                <w:spacing w:val="-4"/>
                <w:position w:val="-5"/>
                <w:sz w:val="24"/>
                <w:szCs w:val="24"/>
                <w:highlight w:val="none"/>
              </w:rPr>
              <w:t xml:space="preserve"> </w:t>
            </w:r>
            <w:r>
              <w:rPr>
                <w:rFonts w:ascii="Times New Roman" w:hAnsi="Times New Roman" w:eastAsia="Times New Roman" w:cs="Times New Roman"/>
                <w:spacing w:val="-4"/>
                <w:sz w:val="24"/>
                <w:szCs w:val="24"/>
                <w:highlight w:val="none"/>
              </w:rPr>
              <w:t>(</w:t>
            </w:r>
            <w:r>
              <w:rPr>
                <w:rFonts w:ascii="Times New Roman" w:hAnsi="Times New Roman" w:eastAsia="Times New Roman" w:cs="Times New Roman"/>
                <w:i/>
                <w:iCs/>
                <w:spacing w:val="-4"/>
                <w:sz w:val="24"/>
                <w:szCs w:val="24"/>
                <w:highlight w:val="none"/>
              </w:rPr>
              <w:t>T</w:t>
            </w:r>
            <w:r>
              <w:rPr>
                <w:rFonts w:ascii="Times New Roman" w:hAnsi="Times New Roman" w:eastAsia="Times New Roman" w:cs="Times New Roman"/>
                <w:spacing w:val="-4"/>
                <w:sz w:val="24"/>
                <w:szCs w:val="24"/>
                <w:highlight w:val="none"/>
              </w:rPr>
              <w:t xml:space="preserve">) </w:t>
            </w:r>
            <w:r>
              <w:rPr>
                <w:rFonts w:ascii="微软雅黑" w:hAnsi="微软雅黑" w:eastAsia="微软雅黑" w:cs="微软雅黑"/>
                <w:spacing w:val="-4"/>
                <w:sz w:val="24"/>
                <w:szCs w:val="24"/>
                <w:highlight w:val="none"/>
              </w:rPr>
              <w:t xml:space="preserve">- </w:t>
            </w:r>
            <w:r>
              <w:rPr>
                <w:rFonts w:ascii="Times New Roman" w:hAnsi="Times New Roman" w:eastAsia="Times New Roman" w:cs="Times New Roman"/>
                <w:spacing w:val="-4"/>
                <w:sz w:val="24"/>
                <w:szCs w:val="24"/>
                <w:highlight w:val="none"/>
              </w:rPr>
              <w:t>(</w:t>
            </w:r>
            <w:r>
              <w:rPr>
                <w:rFonts w:ascii="Times New Roman" w:hAnsi="Times New Roman" w:eastAsia="Times New Roman" w:cs="Times New Roman"/>
                <w:i/>
                <w:iCs/>
                <w:spacing w:val="-4"/>
                <w:sz w:val="24"/>
                <w:szCs w:val="24"/>
                <w:highlight w:val="none"/>
              </w:rPr>
              <w:t>TL</w:t>
            </w:r>
            <w:r>
              <w:rPr>
                <w:rFonts w:ascii="Times New Roman" w:hAnsi="Times New Roman" w:eastAsia="Times New Roman" w:cs="Times New Roman"/>
                <w:i/>
                <w:iCs/>
                <w:spacing w:val="-4"/>
                <w:position w:val="-5"/>
                <w:sz w:val="24"/>
                <w:szCs w:val="24"/>
                <w:highlight w:val="none"/>
              </w:rPr>
              <w:t>i</w:t>
            </w:r>
            <w:r>
              <w:rPr>
                <w:rFonts w:ascii="Times New Roman" w:hAnsi="Times New Roman" w:eastAsia="Times New Roman" w:cs="Times New Roman"/>
                <w:spacing w:val="-4"/>
                <w:position w:val="-5"/>
                <w:sz w:val="24"/>
                <w:szCs w:val="24"/>
                <w:highlight w:val="none"/>
              </w:rPr>
              <w:t xml:space="preserve"> </w:t>
            </w:r>
            <w:r>
              <w:rPr>
                <w:rFonts w:ascii="微软雅黑" w:hAnsi="微软雅黑" w:eastAsia="微软雅黑" w:cs="微软雅黑"/>
                <w:spacing w:val="-4"/>
                <w:sz w:val="24"/>
                <w:szCs w:val="24"/>
                <w:highlight w:val="none"/>
              </w:rPr>
              <w:t xml:space="preserve">+ </w:t>
            </w:r>
            <w:r>
              <w:rPr>
                <w:rFonts w:ascii="Times New Roman" w:hAnsi="Times New Roman" w:eastAsia="Times New Roman" w:cs="Times New Roman"/>
                <w:spacing w:val="-4"/>
                <w:sz w:val="24"/>
                <w:szCs w:val="24"/>
                <w:highlight w:val="none"/>
              </w:rPr>
              <w:t>6)</w:t>
            </w:r>
          </w:p>
          <w:p>
            <w:pPr>
              <w:keepNext w:val="0"/>
              <w:keepLines w:val="0"/>
              <w:pageBreakBefore w:val="0"/>
              <w:widowControl w:val="0"/>
              <w:kinsoku/>
              <w:wordWrap/>
              <w:overflowPunct/>
              <w:topLinePunct w:val="0"/>
              <w:autoSpaceDE/>
              <w:autoSpaceDN/>
              <w:bidi w:val="0"/>
              <w:adjustRightInd/>
              <w:snapToGrid/>
              <w:spacing w:line="360" w:lineRule="auto"/>
              <w:ind w:left="0" w:firstLine="456" w:firstLineChars="200"/>
              <w:textAlignment w:val="auto"/>
              <w:rPr>
                <w:rFonts w:ascii="宋体" w:hAnsi="宋体" w:eastAsia="宋体" w:cs="宋体"/>
                <w:spacing w:val="-6"/>
                <w:sz w:val="24"/>
                <w:szCs w:val="24"/>
                <w:highlight w:val="none"/>
              </w:rPr>
            </w:pPr>
            <w:r>
              <w:rPr>
                <w:rFonts w:ascii="宋体" w:hAnsi="宋体" w:eastAsia="宋体" w:cs="宋体"/>
                <w:spacing w:val="-6"/>
                <w:sz w:val="24"/>
                <w:szCs w:val="24"/>
                <w:highlight w:val="none"/>
              </w:rPr>
              <w:t xml:space="preserve">式中： </w:t>
            </w:r>
          </w:p>
          <w:p>
            <w:pPr>
              <w:keepNext w:val="0"/>
              <w:keepLines w:val="0"/>
              <w:pageBreakBefore w:val="0"/>
              <w:widowControl w:val="0"/>
              <w:kinsoku/>
              <w:wordWrap/>
              <w:overflowPunct/>
              <w:topLinePunct w:val="0"/>
              <w:autoSpaceDE/>
              <w:autoSpaceDN/>
              <w:bidi w:val="0"/>
              <w:adjustRightInd/>
              <w:snapToGrid/>
              <w:spacing w:line="360" w:lineRule="auto"/>
              <w:ind w:left="0" w:firstLine="468" w:firstLineChars="200"/>
              <w:textAlignment w:val="auto"/>
              <w:rPr>
                <w:rFonts w:ascii="宋体" w:hAnsi="宋体" w:eastAsia="宋体" w:cs="宋体"/>
                <w:sz w:val="24"/>
                <w:szCs w:val="24"/>
                <w:highlight w:val="none"/>
              </w:rPr>
            </w:pPr>
            <w:r>
              <w:rPr>
                <w:rFonts w:ascii="Times New Roman" w:hAnsi="Times New Roman" w:eastAsia="Times New Roman" w:cs="Times New Roman"/>
                <w:i/>
                <w:iCs/>
                <w:spacing w:val="-3"/>
                <w:sz w:val="24"/>
                <w:szCs w:val="24"/>
                <w:highlight w:val="none"/>
              </w:rPr>
              <w:t>L</w:t>
            </w:r>
            <w:r>
              <w:rPr>
                <w:rFonts w:ascii="Times New Roman" w:hAnsi="Times New Roman" w:eastAsia="Times New Roman" w:cs="Times New Roman"/>
                <w:i/>
                <w:iCs/>
                <w:spacing w:val="-3"/>
                <w:position w:val="-5"/>
                <w:sz w:val="24"/>
                <w:szCs w:val="24"/>
                <w:highlight w:val="none"/>
              </w:rPr>
              <w:t>p</w:t>
            </w:r>
            <w:r>
              <w:rPr>
                <w:rFonts w:ascii="Times New Roman" w:hAnsi="Times New Roman" w:eastAsia="Times New Roman" w:cs="Times New Roman"/>
                <w:spacing w:val="-6"/>
                <w:position w:val="-5"/>
                <w:sz w:val="24"/>
                <w:szCs w:val="24"/>
                <w:highlight w:val="none"/>
              </w:rPr>
              <w:t>2</w:t>
            </w:r>
            <w:r>
              <w:rPr>
                <w:rFonts w:ascii="Times New Roman" w:hAnsi="Times New Roman" w:eastAsia="Times New Roman" w:cs="Times New Roman"/>
                <w:i/>
                <w:iCs/>
                <w:spacing w:val="-3"/>
                <w:position w:val="-5"/>
                <w:sz w:val="24"/>
                <w:szCs w:val="24"/>
                <w:highlight w:val="none"/>
              </w:rPr>
              <w:t>i</w:t>
            </w:r>
            <w:r>
              <w:rPr>
                <w:rFonts w:ascii="Times New Roman" w:hAnsi="Times New Roman" w:eastAsia="Times New Roman" w:cs="Times New Roman"/>
                <w:spacing w:val="-6"/>
                <w:position w:val="-5"/>
                <w:sz w:val="24"/>
                <w:szCs w:val="24"/>
                <w:highlight w:val="none"/>
              </w:rPr>
              <w:t xml:space="preserve"> </w:t>
            </w:r>
            <w:r>
              <w:rPr>
                <w:rFonts w:ascii="Times New Roman" w:hAnsi="Times New Roman" w:eastAsia="Times New Roman" w:cs="Times New Roman"/>
                <w:spacing w:val="-6"/>
                <w:sz w:val="24"/>
                <w:szCs w:val="24"/>
                <w:highlight w:val="none"/>
              </w:rPr>
              <w:t>(</w:t>
            </w:r>
            <w:r>
              <w:rPr>
                <w:rFonts w:ascii="Times New Roman" w:hAnsi="Times New Roman" w:eastAsia="Times New Roman" w:cs="Times New Roman"/>
                <w:i/>
                <w:iCs/>
                <w:spacing w:val="-3"/>
                <w:sz w:val="24"/>
                <w:szCs w:val="24"/>
                <w:highlight w:val="none"/>
              </w:rPr>
              <w:t>T</w:t>
            </w:r>
            <w:r>
              <w:rPr>
                <w:rFonts w:ascii="Times New Roman" w:hAnsi="Times New Roman" w:eastAsia="Times New Roman" w:cs="Times New Roman"/>
                <w:spacing w:val="-6"/>
                <w:sz w:val="24"/>
                <w:szCs w:val="24"/>
                <w:highlight w:val="none"/>
              </w:rPr>
              <w:t>)</w:t>
            </w:r>
            <w:r>
              <w:rPr>
                <w:rFonts w:hint="default"/>
                <w:highlight w:val="none"/>
                <w:lang w:val="en-US" w:eastAsia="zh-CN"/>
              </w:rPr>
              <w:t>—</w:t>
            </w:r>
            <w:r>
              <w:rPr>
                <w:rFonts w:ascii="宋体" w:hAnsi="宋体" w:eastAsia="宋体" w:cs="宋体"/>
                <w:spacing w:val="-3"/>
                <w:sz w:val="24"/>
                <w:szCs w:val="24"/>
                <w:highlight w:val="none"/>
              </w:rPr>
              <w:t>靠近围护结构处室外</w:t>
            </w:r>
            <w:r>
              <w:rPr>
                <w:rFonts w:ascii="Times New Roman" w:hAnsi="Times New Roman" w:eastAsia="Times New Roman" w:cs="Times New Roman"/>
                <w:i/>
                <w:iCs/>
                <w:spacing w:val="-3"/>
                <w:sz w:val="24"/>
                <w:szCs w:val="24"/>
                <w:highlight w:val="none"/>
              </w:rPr>
              <w:t>N</w:t>
            </w:r>
            <w:r>
              <w:rPr>
                <w:rFonts w:ascii="宋体" w:hAnsi="宋体" w:eastAsia="宋体" w:cs="宋体"/>
                <w:spacing w:val="-3"/>
                <w:sz w:val="24"/>
                <w:szCs w:val="24"/>
                <w:highlight w:val="none"/>
              </w:rPr>
              <w:t>个声源</w:t>
            </w:r>
            <w:r>
              <w:rPr>
                <w:rFonts w:ascii="Times New Roman" w:hAnsi="Times New Roman" w:eastAsia="Times New Roman" w:cs="Times New Roman"/>
                <w:i/>
                <w:iCs/>
                <w:spacing w:val="-3"/>
                <w:sz w:val="24"/>
                <w:szCs w:val="24"/>
                <w:highlight w:val="none"/>
              </w:rPr>
              <w:t>i</w:t>
            </w:r>
            <w:r>
              <w:rPr>
                <w:rFonts w:ascii="宋体" w:hAnsi="宋体" w:eastAsia="宋体" w:cs="宋体"/>
                <w:spacing w:val="-3"/>
                <w:sz w:val="24"/>
                <w:szCs w:val="24"/>
                <w:highlight w:val="none"/>
              </w:rPr>
              <w:t>倍频带的叠加声压级，</w:t>
            </w:r>
            <w:r>
              <w:rPr>
                <w:rFonts w:ascii="Times New Roman" w:hAnsi="Times New Roman" w:eastAsia="Times New Roman" w:cs="Times New Roman"/>
                <w:spacing w:val="-3"/>
                <w:sz w:val="24"/>
                <w:szCs w:val="24"/>
                <w:highlight w:val="none"/>
              </w:rPr>
              <w:t>dB</w:t>
            </w:r>
            <w:r>
              <w:rPr>
                <w:rFonts w:ascii="宋体" w:hAnsi="宋体" w:eastAsia="宋体" w:cs="宋体"/>
                <w:spacing w:val="-3"/>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firstLine="456" w:firstLineChars="200"/>
              <w:textAlignment w:val="auto"/>
              <w:rPr>
                <w:rFonts w:ascii="宋体" w:hAnsi="宋体" w:eastAsia="宋体" w:cs="宋体"/>
                <w:sz w:val="24"/>
                <w:szCs w:val="24"/>
                <w:highlight w:val="none"/>
              </w:rPr>
            </w:pPr>
            <w:r>
              <w:rPr>
                <w:rFonts w:ascii="Times New Roman" w:hAnsi="Times New Roman" w:eastAsia="Times New Roman" w:cs="Times New Roman"/>
                <w:i/>
                <w:iCs/>
                <w:spacing w:val="-6"/>
                <w:position w:val="1"/>
                <w:sz w:val="24"/>
                <w:szCs w:val="24"/>
                <w:highlight w:val="none"/>
              </w:rPr>
              <w:t>L</w:t>
            </w:r>
            <w:r>
              <w:rPr>
                <w:rFonts w:ascii="Times New Roman" w:hAnsi="Times New Roman" w:eastAsia="Times New Roman" w:cs="Times New Roman"/>
                <w:i/>
                <w:iCs/>
                <w:spacing w:val="-6"/>
                <w:position w:val="-4"/>
                <w:sz w:val="24"/>
                <w:szCs w:val="24"/>
                <w:highlight w:val="none"/>
              </w:rPr>
              <w:t>p</w:t>
            </w:r>
            <w:r>
              <w:rPr>
                <w:rFonts w:ascii="Times New Roman" w:hAnsi="Times New Roman" w:eastAsia="Times New Roman" w:cs="Times New Roman"/>
                <w:spacing w:val="-12"/>
                <w:position w:val="-4"/>
                <w:sz w:val="24"/>
                <w:szCs w:val="24"/>
                <w:highlight w:val="none"/>
              </w:rPr>
              <w:t>1</w:t>
            </w:r>
            <w:r>
              <w:rPr>
                <w:rFonts w:ascii="Times New Roman" w:hAnsi="Times New Roman" w:eastAsia="Times New Roman" w:cs="Times New Roman"/>
                <w:i/>
                <w:iCs/>
                <w:spacing w:val="-6"/>
                <w:position w:val="-4"/>
                <w:sz w:val="24"/>
                <w:szCs w:val="24"/>
                <w:highlight w:val="none"/>
              </w:rPr>
              <w:t>i</w:t>
            </w:r>
            <w:r>
              <w:rPr>
                <w:rFonts w:ascii="Times New Roman" w:hAnsi="Times New Roman" w:eastAsia="Times New Roman" w:cs="Times New Roman"/>
                <w:spacing w:val="-9"/>
                <w:position w:val="-4"/>
                <w:sz w:val="24"/>
                <w:szCs w:val="24"/>
                <w:highlight w:val="none"/>
              </w:rPr>
              <w:t xml:space="preserve"> </w:t>
            </w:r>
            <w:r>
              <w:rPr>
                <w:rFonts w:ascii="微软雅黑" w:hAnsi="微软雅黑" w:eastAsia="微软雅黑" w:cs="微软雅黑"/>
                <w:spacing w:val="-6"/>
                <w:sz w:val="24"/>
                <w:szCs w:val="24"/>
                <w:highlight w:val="none"/>
              </w:rPr>
              <w:t>(</w:t>
            </w:r>
            <w:r>
              <w:rPr>
                <w:rFonts w:ascii="Times New Roman" w:hAnsi="Times New Roman" w:eastAsia="Times New Roman" w:cs="Times New Roman"/>
                <w:i/>
                <w:iCs/>
                <w:spacing w:val="-6"/>
                <w:position w:val="1"/>
                <w:sz w:val="24"/>
                <w:szCs w:val="24"/>
                <w:highlight w:val="none"/>
              </w:rPr>
              <w:t>T</w:t>
            </w:r>
            <w:r>
              <w:rPr>
                <w:rFonts w:ascii="微软雅黑" w:hAnsi="微软雅黑" w:eastAsia="微软雅黑" w:cs="微软雅黑"/>
                <w:spacing w:val="-6"/>
                <w:sz w:val="24"/>
                <w:szCs w:val="24"/>
                <w:highlight w:val="none"/>
              </w:rPr>
              <w:t>)</w:t>
            </w:r>
            <w:r>
              <w:rPr>
                <w:rFonts w:hint="default"/>
                <w:highlight w:val="none"/>
                <w:lang w:val="en-US" w:eastAsia="zh-CN"/>
              </w:rPr>
              <w:t>—</w:t>
            </w:r>
            <w:r>
              <w:rPr>
                <w:rFonts w:ascii="宋体" w:hAnsi="宋体" w:eastAsia="宋体" w:cs="宋体"/>
                <w:spacing w:val="-6"/>
                <w:sz w:val="24"/>
                <w:szCs w:val="24"/>
                <w:highlight w:val="none"/>
              </w:rPr>
              <w:t>靠近围护结构处室内</w:t>
            </w:r>
            <w:r>
              <w:rPr>
                <w:rFonts w:ascii="Times New Roman" w:hAnsi="Times New Roman" w:eastAsia="Times New Roman" w:cs="Times New Roman"/>
                <w:i/>
                <w:iCs/>
                <w:spacing w:val="-6"/>
                <w:sz w:val="24"/>
                <w:szCs w:val="24"/>
                <w:highlight w:val="none"/>
              </w:rPr>
              <w:t>N</w:t>
            </w:r>
            <w:r>
              <w:rPr>
                <w:rFonts w:ascii="宋体" w:hAnsi="宋体" w:eastAsia="宋体" w:cs="宋体"/>
                <w:spacing w:val="-6"/>
                <w:sz w:val="24"/>
                <w:szCs w:val="24"/>
                <w:highlight w:val="none"/>
              </w:rPr>
              <w:t>个声源</w:t>
            </w:r>
            <w:r>
              <w:rPr>
                <w:rFonts w:ascii="Times New Roman" w:hAnsi="Times New Roman" w:eastAsia="Times New Roman" w:cs="Times New Roman"/>
                <w:i/>
                <w:iCs/>
                <w:spacing w:val="-6"/>
                <w:sz w:val="24"/>
                <w:szCs w:val="24"/>
                <w:highlight w:val="none"/>
              </w:rPr>
              <w:t>i</w:t>
            </w:r>
            <w:r>
              <w:rPr>
                <w:rFonts w:ascii="宋体" w:hAnsi="宋体" w:eastAsia="宋体" w:cs="宋体"/>
                <w:spacing w:val="-6"/>
                <w:sz w:val="24"/>
                <w:szCs w:val="24"/>
                <w:highlight w:val="none"/>
              </w:rPr>
              <w:t>倍频带的叠加声压级，</w:t>
            </w:r>
            <w:r>
              <w:rPr>
                <w:rFonts w:ascii="Times New Roman" w:hAnsi="Times New Roman" w:eastAsia="Times New Roman" w:cs="Times New Roman"/>
                <w:spacing w:val="-6"/>
                <w:sz w:val="24"/>
                <w:szCs w:val="24"/>
                <w:highlight w:val="none"/>
              </w:rPr>
              <w:t>dB</w:t>
            </w:r>
            <w:r>
              <w:rPr>
                <w:rFonts w:ascii="宋体" w:hAnsi="宋体" w:eastAsia="宋体" w:cs="宋体"/>
                <w:spacing w:val="-6"/>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sz w:val="24"/>
                <w:szCs w:val="24"/>
                <w:highlight w:val="none"/>
              </w:rPr>
            </w:pPr>
            <w:r>
              <w:rPr>
                <w:rFonts w:ascii="Times New Roman" w:hAnsi="Times New Roman" w:eastAsia="Times New Roman" w:cs="Times New Roman"/>
                <w:i/>
                <w:iCs/>
                <w:spacing w:val="-5"/>
                <w:position w:val="2"/>
                <w:sz w:val="24"/>
                <w:szCs w:val="24"/>
                <w:highlight w:val="none"/>
              </w:rPr>
              <w:t>TL</w:t>
            </w:r>
            <w:r>
              <w:rPr>
                <w:rFonts w:ascii="Times New Roman" w:hAnsi="Times New Roman" w:eastAsia="Times New Roman" w:cs="Times New Roman"/>
                <w:i/>
                <w:iCs/>
                <w:spacing w:val="-5"/>
                <w:position w:val="-2"/>
                <w:sz w:val="24"/>
                <w:szCs w:val="24"/>
                <w:highlight w:val="none"/>
              </w:rPr>
              <w:t>i</w:t>
            </w:r>
            <w:r>
              <w:rPr>
                <w:rFonts w:hint="default"/>
                <w:highlight w:val="none"/>
                <w:lang w:val="en-US" w:eastAsia="zh-CN"/>
              </w:rPr>
              <w:t>—</w:t>
            </w:r>
            <w:r>
              <w:rPr>
                <w:rFonts w:ascii="宋体" w:hAnsi="宋体" w:eastAsia="宋体" w:cs="宋体"/>
                <w:spacing w:val="-5"/>
                <w:sz w:val="24"/>
                <w:szCs w:val="24"/>
                <w:highlight w:val="none"/>
              </w:rPr>
              <w:t>围护结构</w:t>
            </w:r>
            <w:r>
              <w:rPr>
                <w:rFonts w:ascii="Times New Roman" w:hAnsi="Times New Roman" w:eastAsia="Times New Roman" w:cs="Times New Roman"/>
                <w:i/>
                <w:iCs/>
                <w:spacing w:val="-5"/>
                <w:sz w:val="24"/>
                <w:szCs w:val="24"/>
                <w:highlight w:val="none"/>
              </w:rPr>
              <w:t>i</w:t>
            </w:r>
            <w:r>
              <w:rPr>
                <w:rFonts w:ascii="宋体" w:hAnsi="宋体" w:eastAsia="宋体" w:cs="宋体"/>
                <w:spacing w:val="-5"/>
                <w:sz w:val="24"/>
                <w:szCs w:val="24"/>
                <w:highlight w:val="none"/>
              </w:rPr>
              <w:t>倍频带的隔声量，</w:t>
            </w:r>
            <w:r>
              <w:rPr>
                <w:rFonts w:ascii="Times New Roman" w:hAnsi="Times New Roman" w:eastAsia="Times New Roman" w:cs="Times New Roman"/>
                <w:spacing w:val="-5"/>
                <w:sz w:val="24"/>
                <w:szCs w:val="24"/>
                <w:highlight w:val="none"/>
              </w:rPr>
              <w:t>dB</w:t>
            </w:r>
            <w:r>
              <w:rPr>
                <w:rFonts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门窗</w:t>
            </w:r>
            <w:r>
              <w:rPr>
                <w:rFonts w:hint="eastAsia"/>
                <w:sz w:val="24"/>
                <w:szCs w:val="24"/>
                <w:highlight w:val="none"/>
              </w:rPr>
              <w:t>隔</w:t>
            </w:r>
            <w:r>
              <w:rPr>
                <w:rFonts w:hint="eastAsia"/>
                <w:sz w:val="24"/>
                <w:szCs w:val="24"/>
                <w:highlight w:val="none"/>
                <w:lang w:eastAsia="zh-CN"/>
              </w:rPr>
              <w:t>墙</w:t>
            </w:r>
            <w:r>
              <w:rPr>
                <w:rFonts w:hint="eastAsia"/>
                <w:sz w:val="24"/>
                <w:szCs w:val="24"/>
                <w:highlight w:val="none"/>
              </w:rPr>
              <w:t>隔声量</w:t>
            </w:r>
            <w:r>
              <w:rPr>
                <w:rFonts w:hint="eastAsia"/>
                <w:sz w:val="24"/>
                <w:szCs w:val="24"/>
                <w:highlight w:val="none"/>
                <w:lang w:eastAsia="zh-CN"/>
              </w:rPr>
              <w:t>取</w:t>
            </w:r>
            <w:r>
              <w:rPr>
                <w:rFonts w:hint="eastAsia"/>
                <w:sz w:val="24"/>
                <w:szCs w:val="24"/>
                <w:highlight w:val="none"/>
                <w:lang w:val="en-US" w:eastAsia="zh-CN"/>
              </w:rPr>
              <w:t>21</w:t>
            </w:r>
            <w:r>
              <w:rPr>
                <w:rFonts w:hint="eastAsia"/>
                <w:sz w:val="24"/>
                <w:szCs w:val="24"/>
                <w:highlight w:val="none"/>
              </w:rPr>
              <w:t>dB。</w:t>
            </w:r>
          </w:p>
          <w:p>
            <w:pPr>
              <w:keepNext w:val="0"/>
              <w:keepLines w:val="0"/>
              <w:pageBreakBefore w:val="0"/>
              <w:widowControl w:val="0"/>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eastAsia="zh-CN"/>
              </w:rPr>
              <w:t>（</w:t>
            </w:r>
            <w:r>
              <w:rPr>
                <w:rFonts w:hint="default" w:ascii="Times New Roman" w:hAnsi="Times New Roman" w:eastAsia="宋体" w:cs="Times New Roman"/>
                <w:spacing w:val="1"/>
                <w:sz w:val="24"/>
                <w:szCs w:val="24"/>
                <w:highlight w:val="none"/>
                <w:lang w:val="en-US" w:eastAsia="zh-CN"/>
              </w:rPr>
              <w:t>4</w:t>
            </w:r>
            <w:r>
              <w:rPr>
                <w:rFonts w:hint="eastAsia" w:ascii="宋体" w:hAnsi="宋体" w:eastAsia="宋体" w:cs="宋体"/>
                <w:spacing w:val="1"/>
                <w:sz w:val="24"/>
                <w:szCs w:val="24"/>
                <w:highlight w:val="none"/>
                <w:lang w:eastAsia="zh-CN"/>
              </w:rPr>
              <w:t>）</w:t>
            </w:r>
            <w:r>
              <w:rPr>
                <w:rFonts w:ascii="宋体" w:hAnsi="宋体" w:eastAsia="宋体" w:cs="宋体"/>
                <w:spacing w:val="1"/>
                <w:sz w:val="24"/>
                <w:szCs w:val="24"/>
                <w:highlight w:val="none"/>
              </w:rPr>
              <w:t>将室外声源</w:t>
            </w:r>
            <w:r>
              <w:rPr>
                <w:rFonts w:ascii="宋体" w:hAnsi="宋体" w:eastAsia="宋体" w:cs="宋体"/>
                <w:sz w:val="24"/>
                <w:szCs w:val="24"/>
                <w:highlight w:val="none"/>
              </w:rPr>
              <w:t>的声压级和透过面积换算成等效的室外声源，计算出中心位置位于透</w:t>
            </w:r>
            <w:r>
              <w:rPr>
                <w:rFonts w:ascii="宋体" w:hAnsi="宋体" w:eastAsia="宋体" w:cs="宋体"/>
                <w:spacing w:val="14"/>
                <w:sz w:val="24"/>
                <w:szCs w:val="24"/>
                <w:highlight w:val="none"/>
              </w:rPr>
              <w:t>声</w:t>
            </w:r>
            <w:r>
              <w:rPr>
                <w:rFonts w:ascii="宋体" w:hAnsi="宋体" w:eastAsia="宋体" w:cs="宋体"/>
                <w:spacing w:val="9"/>
                <w:sz w:val="24"/>
                <w:szCs w:val="24"/>
                <w:highlight w:val="none"/>
              </w:rPr>
              <w:t>面积(</w:t>
            </w:r>
            <w:r>
              <w:rPr>
                <w:rFonts w:ascii="Times New Roman" w:hAnsi="Times New Roman" w:eastAsia="Times New Roman" w:cs="Times New Roman"/>
                <w:i/>
                <w:iCs/>
                <w:sz w:val="24"/>
                <w:szCs w:val="24"/>
                <w:highlight w:val="none"/>
              </w:rPr>
              <w:t>S</w:t>
            </w:r>
            <w:r>
              <w:rPr>
                <w:rFonts w:ascii="宋体" w:hAnsi="宋体" w:eastAsia="宋体" w:cs="宋体"/>
                <w:spacing w:val="9"/>
                <w:sz w:val="24"/>
                <w:szCs w:val="24"/>
                <w:highlight w:val="none"/>
              </w:rPr>
              <w:t>)处的等效声源的倍频带声功率级</w:t>
            </w:r>
            <w:r>
              <w:rPr>
                <w:rFonts w:hint="eastAsia" w:ascii="宋体" w:hAnsi="宋体" w:eastAsia="宋体" w:cs="宋体"/>
                <w:spacing w:val="9"/>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ascii="宋体" w:hAnsi="宋体" w:eastAsia="宋体" w:cs="宋体"/>
                <w:sz w:val="24"/>
                <w:szCs w:val="24"/>
                <w:highlight w:val="none"/>
              </w:rPr>
            </w:pPr>
            <w:r>
              <w:rPr>
                <w:rFonts w:ascii="Times New Roman" w:hAnsi="Times New Roman" w:eastAsia="Times New Roman" w:cs="Times New Roman"/>
                <w:i/>
                <w:iCs/>
                <w:position w:val="1"/>
                <w:sz w:val="24"/>
                <w:szCs w:val="24"/>
                <w:highlight w:val="none"/>
              </w:rPr>
              <w:t>L</w:t>
            </w:r>
            <w:r>
              <w:rPr>
                <w:rFonts w:ascii="Times New Roman" w:hAnsi="Times New Roman" w:eastAsia="Times New Roman" w:cs="Times New Roman"/>
                <w:i/>
                <w:iCs/>
                <w:position w:val="-3"/>
                <w:sz w:val="24"/>
                <w:szCs w:val="24"/>
                <w:highlight w:val="none"/>
              </w:rPr>
              <w:t>w</w:t>
            </w:r>
            <w:r>
              <w:rPr>
                <w:rFonts w:ascii="Times New Roman" w:hAnsi="Times New Roman" w:eastAsia="Times New Roman" w:cs="Times New Roman"/>
                <w:spacing w:val="4"/>
                <w:position w:val="-3"/>
                <w:sz w:val="24"/>
                <w:szCs w:val="24"/>
                <w:highlight w:val="none"/>
              </w:rPr>
              <w:t xml:space="preserve"> </w:t>
            </w:r>
            <w:r>
              <w:rPr>
                <w:rFonts w:ascii="微软雅黑" w:hAnsi="微软雅黑" w:eastAsia="微软雅黑" w:cs="微软雅黑"/>
                <w:spacing w:val="4"/>
                <w:position w:val="1"/>
                <w:sz w:val="24"/>
                <w:szCs w:val="24"/>
                <w:highlight w:val="none"/>
              </w:rPr>
              <w:t xml:space="preserve">= </w:t>
            </w:r>
            <w:r>
              <w:rPr>
                <w:rFonts w:ascii="Times New Roman" w:hAnsi="Times New Roman" w:eastAsia="Times New Roman" w:cs="Times New Roman"/>
                <w:i/>
                <w:iCs/>
                <w:position w:val="1"/>
                <w:sz w:val="24"/>
                <w:szCs w:val="24"/>
                <w:highlight w:val="none"/>
              </w:rPr>
              <w:t>L</w:t>
            </w:r>
            <w:r>
              <w:rPr>
                <w:rFonts w:ascii="Times New Roman" w:hAnsi="Times New Roman" w:eastAsia="Times New Roman" w:cs="Times New Roman"/>
                <w:i/>
                <w:iCs/>
                <w:position w:val="-3"/>
                <w:sz w:val="24"/>
                <w:szCs w:val="24"/>
                <w:highlight w:val="none"/>
              </w:rPr>
              <w:t>p</w:t>
            </w:r>
            <w:r>
              <w:rPr>
                <w:rFonts w:ascii="Times New Roman" w:hAnsi="Times New Roman" w:eastAsia="Times New Roman" w:cs="Times New Roman"/>
                <w:spacing w:val="4"/>
                <w:position w:val="-3"/>
                <w:sz w:val="24"/>
                <w:szCs w:val="24"/>
                <w:highlight w:val="none"/>
              </w:rPr>
              <w:t>2</w:t>
            </w:r>
            <w:r>
              <w:rPr>
                <w:rFonts w:ascii="Times New Roman" w:hAnsi="Times New Roman" w:eastAsia="Times New Roman" w:cs="Times New Roman"/>
                <w:spacing w:val="4"/>
                <w:position w:val="1"/>
                <w:sz w:val="24"/>
                <w:szCs w:val="24"/>
                <w:highlight w:val="none"/>
              </w:rPr>
              <w:t>(</w:t>
            </w:r>
            <w:r>
              <w:rPr>
                <w:rFonts w:ascii="Times New Roman" w:hAnsi="Times New Roman" w:eastAsia="Times New Roman" w:cs="Times New Roman"/>
                <w:i/>
                <w:iCs/>
                <w:position w:val="1"/>
                <w:sz w:val="24"/>
                <w:szCs w:val="24"/>
                <w:highlight w:val="none"/>
              </w:rPr>
              <w:t>T</w:t>
            </w:r>
            <w:r>
              <w:rPr>
                <w:rFonts w:ascii="Times New Roman" w:hAnsi="Times New Roman" w:eastAsia="Times New Roman" w:cs="Times New Roman"/>
                <w:spacing w:val="4"/>
                <w:position w:val="1"/>
                <w:sz w:val="24"/>
                <w:szCs w:val="24"/>
                <w:highlight w:val="none"/>
              </w:rPr>
              <w:t xml:space="preserve">) </w:t>
            </w:r>
            <w:r>
              <w:rPr>
                <w:rFonts w:ascii="微软雅黑" w:hAnsi="微软雅黑" w:eastAsia="微软雅黑" w:cs="微软雅黑"/>
                <w:spacing w:val="4"/>
                <w:position w:val="1"/>
                <w:sz w:val="24"/>
                <w:szCs w:val="24"/>
                <w:highlight w:val="none"/>
              </w:rPr>
              <w:t>+</w:t>
            </w:r>
            <w:r>
              <w:rPr>
                <w:rFonts w:ascii="Times New Roman" w:hAnsi="Times New Roman" w:eastAsia="Times New Roman" w:cs="Times New Roman"/>
                <w:spacing w:val="4"/>
                <w:position w:val="1"/>
                <w:sz w:val="24"/>
                <w:szCs w:val="24"/>
                <w:highlight w:val="none"/>
              </w:rPr>
              <w:t>10</w:t>
            </w:r>
            <w:r>
              <w:rPr>
                <w:rFonts w:ascii="Times New Roman" w:hAnsi="Times New Roman" w:eastAsia="Times New Roman" w:cs="Times New Roman"/>
                <w:position w:val="1"/>
                <w:sz w:val="24"/>
                <w:szCs w:val="24"/>
                <w:highlight w:val="none"/>
              </w:rPr>
              <w:t>lg</w:t>
            </w:r>
            <w:r>
              <w:rPr>
                <w:rFonts w:ascii="Times New Roman" w:hAnsi="Times New Roman" w:eastAsia="Times New Roman" w:cs="Times New Roman"/>
                <w:i/>
                <w:iCs/>
                <w:position w:val="1"/>
                <w:sz w:val="24"/>
                <w:szCs w:val="24"/>
                <w:highlight w:val="none"/>
              </w:rPr>
              <w:t>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8" w:firstLineChars="200"/>
              <w:textAlignment w:val="auto"/>
              <w:rPr>
                <w:rFonts w:ascii="宋体" w:hAnsi="宋体" w:eastAsia="宋体" w:cs="宋体"/>
                <w:spacing w:val="2"/>
                <w:sz w:val="24"/>
                <w:szCs w:val="24"/>
                <w:highlight w:val="none"/>
              </w:rPr>
            </w:pPr>
            <w:r>
              <w:rPr>
                <w:rFonts w:ascii="宋体" w:hAnsi="宋体" w:eastAsia="宋体" w:cs="宋体"/>
                <w:spacing w:val="2"/>
                <w:sz w:val="24"/>
                <w:szCs w:val="24"/>
                <w:highlight w:val="none"/>
              </w:rPr>
              <w:t>式中：</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s="宋体"/>
                <w:sz w:val="24"/>
                <w:szCs w:val="24"/>
                <w:highlight w:val="none"/>
              </w:rPr>
            </w:pPr>
            <w:r>
              <w:rPr>
                <w:rFonts w:ascii="Times New Roman" w:hAnsi="Times New Roman" w:eastAsia="Times New Roman" w:cs="Times New Roman"/>
                <w:i/>
                <w:iCs/>
                <w:sz w:val="24"/>
                <w:szCs w:val="24"/>
                <w:highlight w:val="none"/>
              </w:rPr>
              <w:t>L</w:t>
            </w:r>
            <w:r>
              <w:rPr>
                <w:rFonts w:ascii="Times New Roman" w:hAnsi="Times New Roman" w:eastAsia="Times New Roman" w:cs="Times New Roman"/>
                <w:i/>
                <w:iCs/>
                <w:position w:val="-1"/>
                <w:sz w:val="24"/>
                <w:szCs w:val="24"/>
                <w:highlight w:val="none"/>
              </w:rPr>
              <w:t>w</w:t>
            </w:r>
            <w:r>
              <w:rPr>
                <w:rFonts w:hint="default"/>
                <w:sz w:val="24"/>
                <w:szCs w:val="24"/>
                <w:highlight w:val="none"/>
                <w:lang w:val="en-US" w:eastAsia="zh-CN"/>
              </w:rPr>
              <w:t>—</w:t>
            </w:r>
            <w:r>
              <w:rPr>
                <w:rFonts w:ascii="宋体" w:hAnsi="宋体" w:eastAsia="宋体" w:cs="宋体"/>
                <w:spacing w:val="2"/>
                <w:sz w:val="24"/>
                <w:szCs w:val="24"/>
                <w:highlight w:val="none"/>
              </w:rPr>
              <w:t>中心位置位</w:t>
            </w:r>
            <w:r>
              <w:rPr>
                <w:rFonts w:ascii="宋体" w:hAnsi="宋体" w:eastAsia="宋体" w:cs="宋体"/>
                <w:spacing w:val="1"/>
                <w:sz w:val="24"/>
                <w:szCs w:val="24"/>
                <w:highlight w:val="none"/>
              </w:rPr>
              <w:t>于透声面积(</w:t>
            </w:r>
            <w:r>
              <w:rPr>
                <w:rFonts w:ascii="Times New Roman" w:hAnsi="Times New Roman" w:eastAsia="Times New Roman" w:cs="Times New Roman"/>
                <w:i/>
                <w:iCs/>
                <w:sz w:val="24"/>
                <w:szCs w:val="24"/>
                <w:highlight w:val="none"/>
              </w:rPr>
              <w:t>S</w:t>
            </w:r>
            <w:r>
              <w:rPr>
                <w:rFonts w:ascii="宋体" w:hAnsi="宋体" w:eastAsia="宋体" w:cs="宋体"/>
                <w:spacing w:val="1"/>
                <w:sz w:val="24"/>
                <w:szCs w:val="24"/>
                <w:highlight w:val="none"/>
              </w:rPr>
              <w:t>)处的等效声源的倍频带声功率级，</w:t>
            </w:r>
            <w:r>
              <w:rPr>
                <w:rFonts w:ascii="Times New Roman" w:hAnsi="Times New Roman" w:eastAsia="Times New Roman" w:cs="Times New Roman"/>
                <w:sz w:val="24"/>
                <w:szCs w:val="24"/>
                <w:highlight w:val="none"/>
              </w:rPr>
              <w:t>dB</w:t>
            </w:r>
            <w:r>
              <w:rPr>
                <w:rFonts w:ascii="宋体" w:hAnsi="宋体" w:eastAsia="宋体" w:cs="宋体"/>
                <w:spacing w:val="1"/>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firstLine="468" w:firstLineChars="200"/>
              <w:textAlignment w:val="auto"/>
              <w:rPr>
                <w:rFonts w:ascii="宋体" w:hAnsi="宋体" w:eastAsia="宋体" w:cs="宋体"/>
                <w:sz w:val="24"/>
                <w:szCs w:val="24"/>
                <w:highlight w:val="none"/>
              </w:rPr>
            </w:pPr>
            <w:r>
              <w:rPr>
                <w:rFonts w:ascii="Times New Roman" w:hAnsi="Times New Roman" w:eastAsia="Times New Roman" w:cs="Times New Roman"/>
                <w:i/>
                <w:iCs/>
                <w:spacing w:val="-3"/>
                <w:sz w:val="24"/>
                <w:szCs w:val="24"/>
                <w:highlight w:val="none"/>
              </w:rPr>
              <w:t>L</w:t>
            </w:r>
            <w:r>
              <w:rPr>
                <w:rFonts w:ascii="Times New Roman" w:hAnsi="Times New Roman" w:eastAsia="Times New Roman" w:cs="Times New Roman"/>
                <w:i/>
                <w:iCs/>
                <w:spacing w:val="-3"/>
                <w:position w:val="-2"/>
                <w:sz w:val="24"/>
                <w:szCs w:val="24"/>
                <w:highlight w:val="none"/>
              </w:rPr>
              <w:t>p</w:t>
            </w:r>
            <w:r>
              <w:rPr>
                <w:rFonts w:ascii="Times New Roman" w:hAnsi="Times New Roman" w:eastAsia="Times New Roman" w:cs="Times New Roman"/>
                <w:spacing w:val="-3"/>
                <w:position w:val="-2"/>
                <w:sz w:val="24"/>
                <w:szCs w:val="24"/>
                <w:highlight w:val="none"/>
              </w:rPr>
              <w:t>2</w:t>
            </w:r>
            <w:r>
              <w:rPr>
                <w:rFonts w:ascii="Times New Roman" w:hAnsi="Times New Roman" w:eastAsia="Times New Roman" w:cs="Times New Roman"/>
                <w:spacing w:val="-3"/>
                <w:sz w:val="24"/>
                <w:szCs w:val="24"/>
                <w:highlight w:val="none"/>
              </w:rPr>
              <w:t>(</w:t>
            </w:r>
            <w:r>
              <w:rPr>
                <w:rFonts w:ascii="Times New Roman" w:hAnsi="Times New Roman" w:eastAsia="Times New Roman" w:cs="Times New Roman"/>
                <w:i/>
                <w:iCs/>
                <w:spacing w:val="-3"/>
                <w:sz w:val="24"/>
                <w:szCs w:val="24"/>
                <w:highlight w:val="none"/>
              </w:rPr>
              <w:t>T</w:t>
            </w:r>
            <w:r>
              <w:rPr>
                <w:rFonts w:ascii="Times New Roman" w:hAnsi="Times New Roman" w:eastAsia="Times New Roman" w:cs="Times New Roman"/>
                <w:spacing w:val="-3"/>
                <w:sz w:val="24"/>
                <w:szCs w:val="24"/>
                <w:highlight w:val="none"/>
              </w:rPr>
              <w:t>)</w:t>
            </w:r>
            <w:r>
              <w:rPr>
                <w:rFonts w:hint="default"/>
                <w:sz w:val="24"/>
                <w:szCs w:val="24"/>
                <w:highlight w:val="none"/>
                <w:lang w:val="en-US" w:eastAsia="zh-CN"/>
              </w:rPr>
              <w:t>—</w:t>
            </w:r>
            <w:r>
              <w:rPr>
                <w:rFonts w:ascii="宋体" w:hAnsi="宋体" w:eastAsia="宋体" w:cs="宋体"/>
                <w:spacing w:val="-3"/>
                <w:sz w:val="24"/>
                <w:szCs w:val="24"/>
                <w:highlight w:val="none"/>
              </w:rPr>
              <w:t>靠近围护结构处室外声源的声压级，</w:t>
            </w:r>
            <w:r>
              <w:rPr>
                <w:rFonts w:ascii="Times New Roman" w:hAnsi="Times New Roman" w:eastAsia="Times New Roman" w:cs="Times New Roman"/>
                <w:spacing w:val="-3"/>
                <w:sz w:val="24"/>
                <w:szCs w:val="24"/>
                <w:highlight w:val="none"/>
              </w:rPr>
              <w:t>dB</w:t>
            </w:r>
            <w:r>
              <w:rPr>
                <w:rFonts w:ascii="宋体" w:hAnsi="宋体" w:eastAsia="宋体" w:cs="宋体"/>
                <w:spacing w:val="-3"/>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sz w:val="24"/>
                <w:szCs w:val="24"/>
                <w:highlight w:val="none"/>
                <w:lang w:val="en-US" w:eastAsia="zh-CN"/>
              </w:rPr>
            </w:pPr>
            <w:r>
              <w:rPr>
                <w:rFonts w:ascii="Times New Roman" w:hAnsi="Times New Roman" w:eastAsia="Times New Roman" w:cs="Times New Roman"/>
                <w:i/>
                <w:iCs/>
                <w:sz w:val="24"/>
                <w:szCs w:val="24"/>
                <w:highlight w:val="none"/>
              </w:rPr>
              <w:t>S</w:t>
            </w:r>
            <w:r>
              <w:rPr>
                <w:rFonts w:hint="default"/>
                <w:sz w:val="24"/>
                <w:szCs w:val="24"/>
                <w:highlight w:val="none"/>
                <w:lang w:val="en-US" w:eastAsia="zh-CN"/>
              </w:rPr>
              <w:t>—</w:t>
            </w:r>
            <w:r>
              <w:rPr>
                <w:rFonts w:ascii="宋体" w:hAnsi="宋体" w:eastAsia="宋体" w:cs="宋体"/>
                <w:sz w:val="24"/>
                <w:szCs w:val="24"/>
                <w:highlight w:val="none"/>
              </w:rPr>
              <w:t>透声面积，</w:t>
            </w:r>
            <w:r>
              <w:rPr>
                <w:rFonts w:ascii="Times New Roman" w:hAnsi="Times New Roman" w:eastAsia="Times New Roman" w:cs="Times New Roman"/>
                <w:sz w:val="24"/>
                <w:szCs w:val="24"/>
                <w:highlight w:val="none"/>
              </w:rPr>
              <w:t>m</w:t>
            </w:r>
            <w:r>
              <w:rPr>
                <w:rFonts w:hint="eastAsia" w:eastAsia="宋体" w:cs="Times New Roman"/>
                <w:sz w:val="24"/>
                <w:szCs w:val="24"/>
                <w:highlight w:val="none"/>
                <w:vertAlign w:val="superscript"/>
                <w:lang w:val="en-US" w:eastAsia="zh-CN"/>
              </w:rPr>
              <w:t>2</w:t>
            </w:r>
            <w:r>
              <w:rPr>
                <w:rFonts w:ascii="宋体" w:hAnsi="宋体" w:eastAsia="宋体" w:cs="宋体"/>
                <w:sz w:val="24"/>
                <w:szCs w:val="24"/>
                <w:highlight w:val="none"/>
              </w:rPr>
              <w:t>。</w:t>
            </w:r>
            <w:r>
              <w:rPr>
                <w:rFonts w:hint="eastAsia" w:ascii="宋体" w:hAnsi="宋体" w:eastAsia="宋体" w:cs="宋体"/>
                <w:sz w:val="24"/>
                <w:szCs w:val="24"/>
                <w:highlight w:val="none"/>
                <w:lang w:eastAsia="zh-CN"/>
              </w:rPr>
              <w:t>本项目中</w:t>
            </w:r>
            <w:r>
              <w:rPr>
                <w:rFonts w:hint="eastAsia" w:ascii="宋体" w:hAnsi="宋体" w:cs="宋体"/>
                <w:sz w:val="24"/>
                <w:szCs w:val="24"/>
                <w:highlight w:val="none"/>
                <w:lang w:val="en-US" w:eastAsia="zh-CN"/>
              </w:rPr>
              <w:t>储煤仓库东西南北侧的</w:t>
            </w:r>
            <w:r>
              <w:rPr>
                <w:rFonts w:hint="eastAsia" w:ascii="宋体" w:hAnsi="宋体" w:eastAsia="宋体" w:cs="宋体"/>
                <w:sz w:val="24"/>
                <w:szCs w:val="24"/>
                <w:highlight w:val="none"/>
                <w:lang w:val="en-US" w:eastAsia="zh-CN"/>
              </w:rPr>
              <w:t>透声面积</w:t>
            </w:r>
            <w:r>
              <w:rPr>
                <w:rFonts w:hint="eastAsia" w:ascii="宋体" w:hAnsi="宋体" w:cs="宋体"/>
                <w:sz w:val="24"/>
                <w:szCs w:val="24"/>
                <w:highlight w:val="none"/>
                <w:lang w:val="en-US" w:eastAsia="zh-CN"/>
              </w:rPr>
              <w:t>分别</w:t>
            </w:r>
            <w:r>
              <w:rPr>
                <w:rFonts w:hint="eastAsia" w:ascii="宋体" w:hAnsi="宋体" w:eastAsia="宋体" w:cs="宋体"/>
                <w:sz w:val="24"/>
                <w:szCs w:val="24"/>
                <w:highlight w:val="none"/>
                <w:lang w:val="en-US" w:eastAsia="zh-CN"/>
              </w:rPr>
              <w:t>为</w:t>
            </w:r>
            <w:r>
              <w:rPr>
                <w:rFonts w:hint="eastAsia" w:cs="Times New Roman"/>
                <w:sz w:val="24"/>
                <w:szCs w:val="24"/>
                <w:highlight w:val="none"/>
                <w:lang w:val="en-US" w:eastAsia="zh-CN"/>
              </w:rPr>
              <w:t>1200</w:t>
            </w:r>
            <w:r>
              <w:rPr>
                <w:rFonts w:hint="default" w:ascii="Times New Roman" w:hAnsi="Times New Roman" w:eastAsia="宋体" w:cs="Times New Roman"/>
                <w:sz w:val="24"/>
                <w:szCs w:val="24"/>
                <w:highlight w:val="none"/>
                <w:lang w:val="en-US" w:eastAsia="zh-CN"/>
              </w:rPr>
              <w:t>m</w:t>
            </w:r>
            <w:r>
              <w:rPr>
                <w:rFonts w:hint="default" w:ascii="Times New Roman" w:hAnsi="Times New Roman" w:eastAsia="宋体" w:cs="Times New Roman"/>
                <w:sz w:val="24"/>
                <w:szCs w:val="24"/>
                <w:highlight w:val="none"/>
                <w:vertAlign w:val="superscript"/>
                <w:lang w:val="en-US" w:eastAsia="zh-CN"/>
              </w:rPr>
              <w:t>2</w:t>
            </w:r>
            <w:r>
              <w:rPr>
                <w:rFonts w:hint="eastAsia" w:ascii="宋体" w:hAnsi="宋体" w:cs="宋体"/>
                <w:sz w:val="24"/>
                <w:szCs w:val="24"/>
                <w:highlight w:val="none"/>
                <w:lang w:val="en-US" w:eastAsia="zh-CN"/>
              </w:rPr>
              <w:t>、</w:t>
            </w:r>
            <w:r>
              <w:rPr>
                <w:rFonts w:hint="eastAsia" w:cs="Times New Roman"/>
                <w:sz w:val="24"/>
                <w:szCs w:val="24"/>
                <w:highlight w:val="none"/>
                <w:lang w:val="en-US" w:eastAsia="zh-CN"/>
              </w:rPr>
              <w:t>2500</w:t>
            </w:r>
            <w:r>
              <w:rPr>
                <w:rFonts w:hint="default" w:ascii="Times New Roman" w:hAnsi="Times New Roman" w:eastAsia="宋体" w:cs="Times New Roman"/>
                <w:sz w:val="24"/>
                <w:szCs w:val="24"/>
                <w:highlight w:val="none"/>
                <w:lang w:val="en-US" w:eastAsia="zh-CN"/>
              </w:rPr>
              <w:t>m</w:t>
            </w:r>
            <w:r>
              <w:rPr>
                <w:rFonts w:hint="default" w:ascii="Times New Roman" w:hAnsi="Times New Roman" w:eastAsia="宋体" w:cs="Times New Roman"/>
                <w:sz w:val="24"/>
                <w:szCs w:val="24"/>
                <w:highlight w:val="none"/>
                <w:vertAlign w:val="superscript"/>
                <w:lang w:val="en-US" w:eastAsia="zh-CN"/>
              </w:rPr>
              <w:t>2</w:t>
            </w:r>
            <w:r>
              <w:rPr>
                <w:rFonts w:hint="default" w:ascii="Times New Roman" w:hAnsi="Times New Roman" w:cs="Times New Roman"/>
                <w:sz w:val="24"/>
                <w:szCs w:val="24"/>
                <w:highlight w:val="none"/>
                <w:lang w:val="en-US" w:eastAsia="zh-CN"/>
              </w:rPr>
              <w:t>、</w:t>
            </w:r>
            <w:r>
              <w:rPr>
                <w:rFonts w:hint="eastAsia" w:cs="Times New Roman"/>
                <w:sz w:val="24"/>
                <w:szCs w:val="24"/>
                <w:highlight w:val="none"/>
                <w:lang w:val="en-US" w:eastAsia="zh-CN"/>
              </w:rPr>
              <w:t>3000</w:t>
            </w:r>
            <w:r>
              <w:rPr>
                <w:rFonts w:hint="default" w:ascii="Times New Roman" w:hAnsi="Times New Roman" w:eastAsia="宋体" w:cs="Times New Roman"/>
                <w:sz w:val="24"/>
                <w:szCs w:val="24"/>
                <w:highlight w:val="none"/>
                <w:lang w:val="en-US" w:eastAsia="zh-CN"/>
              </w:rPr>
              <w:t>m</w:t>
            </w:r>
            <w:r>
              <w:rPr>
                <w:rFonts w:hint="default" w:ascii="Times New Roman" w:hAnsi="Times New Roman" w:eastAsia="宋体" w:cs="Times New Roman"/>
                <w:sz w:val="24"/>
                <w:szCs w:val="24"/>
                <w:highlight w:val="none"/>
                <w:vertAlign w:val="superscript"/>
                <w:lang w:val="en-US" w:eastAsia="zh-CN"/>
              </w:rPr>
              <w:t>2</w:t>
            </w:r>
            <w:r>
              <w:rPr>
                <w:rFonts w:hint="default" w:ascii="Times New Roman" w:hAnsi="Times New Roman" w:cs="Times New Roman"/>
                <w:sz w:val="24"/>
                <w:szCs w:val="24"/>
                <w:highlight w:val="none"/>
                <w:lang w:val="en-US" w:eastAsia="zh-CN"/>
              </w:rPr>
              <w:t>、</w:t>
            </w:r>
            <w:r>
              <w:rPr>
                <w:rFonts w:hint="eastAsia" w:cs="Times New Roman"/>
                <w:sz w:val="24"/>
                <w:szCs w:val="24"/>
                <w:highlight w:val="none"/>
                <w:lang w:val="en-US" w:eastAsia="zh-CN"/>
              </w:rPr>
              <w:t>3000</w:t>
            </w:r>
            <w:r>
              <w:rPr>
                <w:rFonts w:hint="default" w:ascii="Times New Roman" w:hAnsi="Times New Roman" w:eastAsia="宋体" w:cs="Times New Roman"/>
                <w:sz w:val="24"/>
                <w:szCs w:val="24"/>
                <w:highlight w:val="none"/>
                <w:lang w:val="en-US" w:eastAsia="zh-CN"/>
              </w:rPr>
              <w:t>m</w:t>
            </w:r>
            <w:r>
              <w:rPr>
                <w:rFonts w:hint="default" w:ascii="Times New Roman" w:hAnsi="Times New Roman" w:eastAsia="宋体" w:cs="Times New Roman"/>
                <w:sz w:val="24"/>
                <w:szCs w:val="24"/>
                <w:highlight w:val="none"/>
                <w:vertAlign w:val="superscript"/>
                <w:lang w:val="en-US" w:eastAsia="zh-CN"/>
              </w:rPr>
              <w:t>2</w:t>
            </w:r>
            <w:r>
              <w:rPr>
                <w:rFonts w:hint="eastAsia" w:ascii="宋体" w:hAnsi="宋体" w:eastAsia="宋体" w:cs="宋体"/>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eastAsia="zh-CN"/>
              </w:rPr>
              <w:t>（</w:t>
            </w:r>
            <w:r>
              <w:rPr>
                <w:rFonts w:hint="eastAsia"/>
                <w:sz w:val="24"/>
                <w:szCs w:val="24"/>
                <w:highlight w:val="none"/>
                <w:lang w:val="en-US" w:eastAsia="zh-CN"/>
              </w:rPr>
              <w:t>5</w:t>
            </w:r>
            <w:r>
              <w:rPr>
                <w:rFonts w:hint="eastAsia"/>
                <w:sz w:val="24"/>
                <w:szCs w:val="24"/>
                <w:highlight w:val="none"/>
                <w:lang w:eastAsia="zh-CN"/>
              </w:rPr>
              <w:t>）</w:t>
            </w:r>
            <w:r>
              <w:rPr>
                <w:rFonts w:hint="eastAsia"/>
                <w:sz w:val="24"/>
                <w:szCs w:val="24"/>
                <w:highlight w:val="none"/>
              </w:rPr>
              <w:t>点声源几何发散衰减</w:t>
            </w:r>
          </w:p>
          <w:p>
            <w:pPr>
              <w:bidi w:val="0"/>
              <w:spacing w:line="360" w:lineRule="auto"/>
              <w:ind w:firstLine="480" w:firstLineChars="200"/>
              <w:rPr>
                <w:rFonts w:hint="eastAsia" w:eastAsia="宋体"/>
                <w:sz w:val="24"/>
                <w:szCs w:val="24"/>
                <w:highlight w:val="none"/>
                <w:lang w:eastAsia="zh-CN"/>
              </w:rPr>
            </w:pPr>
            <w:r>
              <w:rPr>
                <w:rFonts w:hint="eastAsia"/>
                <w:sz w:val="24"/>
                <w:szCs w:val="24"/>
                <w:highlight w:val="none"/>
              </w:rPr>
              <w:t>此处只考虑几何发散衰减，无指向性点声源几何发散衰减</w:t>
            </w:r>
            <w:r>
              <w:rPr>
                <w:rFonts w:hint="eastAsia"/>
                <w:sz w:val="24"/>
                <w:szCs w:val="24"/>
                <w:highlight w:val="none"/>
                <w:lang w:eastAsia="zh-CN"/>
              </w:rPr>
              <w:t>，</w:t>
            </w:r>
            <w:r>
              <w:rPr>
                <w:rFonts w:ascii="宋体" w:hAnsi="宋体" w:eastAsia="宋体" w:cs="宋体"/>
                <w:spacing w:val="-2"/>
                <w:sz w:val="24"/>
                <w:szCs w:val="24"/>
                <w:highlight w:val="none"/>
              </w:rPr>
              <w:t>已知点声源的倍频带声功率级，且声源处于自由</w:t>
            </w:r>
            <w:r>
              <w:rPr>
                <w:rFonts w:ascii="宋体" w:hAnsi="宋体" w:eastAsia="宋体" w:cs="宋体"/>
                <w:spacing w:val="-1"/>
                <w:sz w:val="24"/>
                <w:szCs w:val="24"/>
                <w:highlight w:val="none"/>
              </w:rPr>
              <w:t>声场</w:t>
            </w:r>
            <w:r>
              <w:rPr>
                <w:rFonts w:hint="eastAsia" w:ascii="宋体" w:hAnsi="宋体" w:eastAsia="宋体" w:cs="宋体"/>
                <w:spacing w:val="-1"/>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Times New Roman" w:hAnsi="Times New Roman" w:eastAsia="Times New Roman" w:cs="Times New Roman"/>
                <w:sz w:val="24"/>
                <w:szCs w:val="24"/>
                <w:highlight w:val="none"/>
              </w:rPr>
            </w:pPr>
            <w:r>
              <w:rPr>
                <w:rFonts w:ascii="Times New Roman" w:hAnsi="Times New Roman" w:eastAsia="Times New Roman" w:cs="Times New Roman"/>
                <w:i/>
                <w:iCs/>
                <w:spacing w:val="-2"/>
                <w:position w:val="10"/>
                <w:sz w:val="24"/>
                <w:szCs w:val="24"/>
                <w:highlight w:val="none"/>
              </w:rPr>
              <w:t>L</w:t>
            </w:r>
            <w:r>
              <w:rPr>
                <w:rFonts w:ascii="Times New Roman" w:hAnsi="Times New Roman" w:eastAsia="Times New Roman" w:cs="Times New Roman"/>
                <w:i/>
                <w:iCs/>
                <w:spacing w:val="-2"/>
                <w:position w:val="5"/>
                <w:sz w:val="24"/>
                <w:szCs w:val="24"/>
                <w:highlight w:val="none"/>
              </w:rPr>
              <w:t>p</w:t>
            </w:r>
            <w:r>
              <w:rPr>
                <w:rFonts w:ascii="Times New Roman" w:hAnsi="Times New Roman" w:eastAsia="Times New Roman" w:cs="Times New Roman"/>
                <w:spacing w:val="-2"/>
                <w:position w:val="5"/>
                <w:sz w:val="24"/>
                <w:szCs w:val="24"/>
                <w:highlight w:val="none"/>
              </w:rPr>
              <w:t xml:space="preserve"> </w:t>
            </w:r>
            <w:r>
              <w:rPr>
                <w:rFonts w:ascii="Symbol" w:hAnsi="Symbol" w:eastAsia="Symbol" w:cs="Symbol"/>
                <w:spacing w:val="-2"/>
                <w:position w:val="10"/>
                <w:sz w:val="24"/>
                <w:szCs w:val="24"/>
                <w:highlight w:val="none"/>
              </w:rPr>
              <w:t>(</w:t>
            </w:r>
            <w:r>
              <w:rPr>
                <w:rFonts w:ascii="Times New Roman" w:hAnsi="Times New Roman" w:eastAsia="Times New Roman" w:cs="Times New Roman"/>
                <w:i/>
                <w:iCs/>
                <w:spacing w:val="-2"/>
                <w:position w:val="10"/>
                <w:sz w:val="24"/>
                <w:szCs w:val="24"/>
                <w:highlight w:val="none"/>
              </w:rPr>
              <w:t>r</w:t>
            </w:r>
            <w:r>
              <w:rPr>
                <w:rFonts w:ascii="Symbol" w:hAnsi="Symbol" w:eastAsia="Symbol" w:cs="Symbol"/>
                <w:spacing w:val="-2"/>
                <w:position w:val="10"/>
                <w:sz w:val="24"/>
                <w:szCs w:val="24"/>
                <w:highlight w:val="none"/>
              </w:rPr>
              <w:t xml:space="preserve">) = </w:t>
            </w:r>
            <w:r>
              <w:rPr>
                <w:rFonts w:ascii="Times New Roman" w:hAnsi="Times New Roman" w:eastAsia="Times New Roman" w:cs="Times New Roman"/>
                <w:i/>
                <w:iCs/>
                <w:spacing w:val="-2"/>
                <w:position w:val="10"/>
                <w:sz w:val="24"/>
                <w:szCs w:val="24"/>
                <w:highlight w:val="none"/>
              </w:rPr>
              <w:t>L</w:t>
            </w:r>
            <w:r>
              <w:rPr>
                <w:rFonts w:ascii="Times New Roman" w:hAnsi="Times New Roman" w:eastAsia="Times New Roman" w:cs="Times New Roman"/>
                <w:i/>
                <w:iCs/>
                <w:spacing w:val="-2"/>
                <w:position w:val="5"/>
                <w:sz w:val="24"/>
                <w:szCs w:val="24"/>
                <w:highlight w:val="none"/>
              </w:rPr>
              <w:t>w</w:t>
            </w:r>
            <w:r>
              <w:rPr>
                <w:rFonts w:ascii="Times New Roman" w:hAnsi="Times New Roman" w:eastAsia="Times New Roman" w:cs="Times New Roman"/>
                <w:spacing w:val="-2"/>
                <w:position w:val="5"/>
                <w:sz w:val="24"/>
                <w:szCs w:val="24"/>
                <w:highlight w:val="none"/>
              </w:rPr>
              <w:t xml:space="preserve">  </w:t>
            </w:r>
            <w:r>
              <w:rPr>
                <w:position w:val="6"/>
                <w:sz w:val="24"/>
                <w:szCs w:val="24"/>
                <w:highlight w:val="none"/>
              </w:rPr>
              <w:drawing>
                <wp:inline distT="0" distB="0" distL="114300" distR="114300">
                  <wp:extent cx="72390" cy="132080"/>
                  <wp:effectExtent l="0" t="0" r="3810" b="0"/>
                  <wp:docPr id="156" name="图片 29"/>
                  <wp:cNvGraphicFramePr/>
                  <a:graphic xmlns:a="http://schemas.openxmlformats.org/drawingml/2006/main">
                    <a:graphicData uri="http://schemas.openxmlformats.org/drawingml/2006/picture">
                      <pic:pic xmlns:pic="http://schemas.openxmlformats.org/drawingml/2006/picture">
                        <pic:nvPicPr>
                          <pic:cNvPr id="156" name="图片 29"/>
                          <pic:cNvPicPr/>
                        </pic:nvPicPr>
                        <pic:blipFill>
                          <a:blip r:embed="rId21"/>
                          <a:stretch>
                            <a:fillRect/>
                          </a:stretch>
                        </pic:blipFill>
                        <pic:spPr>
                          <a:xfrm>
                            <a:off x="0" y="0"/>
                            <a:ext cx="72390" cy="132080"/>
                          </a:xfrm>
                          <a:prstGeom prst="rect">
                            <a:avLst/>
                          </a:prstGeom>
                          <a:noFill/>
                          <a:ln>
                            <a:noFill/>
                          </a:ln>
                        </pic:spPr>
                      </pic:pic>
                    </a:graphicData>
                  </a:graphic>
                </wp:inline>
              </w:drawing>
            </w:r>
            <w:r>
              <w:rPr>
                <w:rFonts w:ascii="Times New Roman" w:hAnsi="Times New Roman" w:eastAsia="Times New Roman" w:cs="Times New Roman"/>
                <w:spacing w:val="-2"/>
                <w:position w:val="5"/>
                <w:sz w:val="24"/>
                <w:szCs w:val="24"/>
                <w:highlight w:val="none"/>
              </w:rPr>
              <w:t xml:space="preserve"> </w:t>
            </w:r>
            <w:r>
              <w:rPr>
                <w:rFonts w:ascii="Times New Roman" w:hAnsi="Times New Roman" w:eastAsia="Times New Roman" w:cs="Times New Roman"/>
                <w:spacing w:val="-2"/>
                <w:position w:val="10"/>
                <w:sz w:val="24"/>
                <w:szCs w:val="24"/>
                <w:highlight w:val="none"/>
              </w:rPr>
              <w:t>20lg</w:t>
            </w:r>
            <w:r>
              <w:rPr>
                <w:rFonts w:ascii="Times New Roman" w:hAnsi="Times New Roman" w:eastAsia="Times New Roman" w:cs="Times New Roman"/>
                <w:i/>
                <w:iCs/>
                <w:position w:val="10"/>
                <w:sz w:val="24"/>
                <w:szCs w:val="24"/>
                <w:highlight w:val="none"/>
              </w:rPr>
              <w:t>r</w:t>
            </w:r>
            <w:r>
              <w:rPr>
                <w:rFonts w:ascii="Times New Roman" w:hAnsi="Times New Roman" w:eastAsia="Times New Roman" w:cs="Times New Roman"/>
                <w:spacing w:val="-2"/>
                <w:position w:val="10"/>
                <w:sz w:val="24"/>
                <w:szCs w:val="24"/>
                <w:highlight w:val="none"/>
              </w:rPr>
              <w:t xml:space="preserve"> </w:t>
            </w:r>
            <w:r>
              <w:rPr>
                <w:position w:val="6"/>
                <w:sz w:val="24"/>
                <w:szCs w:val="24"/>
                <w:highlight w:val="none"/>
              </w:rPr>
              <w:drawing>
                <wp:inline distT="0" distB="0" distL="114300" distR="114300">
                  <wp:extent cx="72390" cy="132080"/>
                  <wp:effectExtent l="0" t="0" r="3810" b="0"/>
                  <wp:docPr id="157" name="图片 30"/>
                  <wp:cNvGraphicFramePr/>
                  <a:graphic xmlns:a="http://schemas.openxmlformats.org/drawingml/2006/main">
                    <a:graphicData uri="http://schemas.openxmlformats.org/drawingml/2006/picture">
                      <pic:pic xmlns:pic="http://schemas.openxmlformats.org/drawingml/2006/picture">
                        <pic:nvPicPr>
                          <pic:cNvPr id="157" name="图片 30"/>
                          <pic:cNvPicPr/>
                        </pic:nvPicPr>
                        <pic:blipFill>
                          <a:blip r:embed="rId21"/>
                          <a:stretch>
                            <a:fillRect/>
                          </a:stretch>
                        </pic:blipFill>
                        <pic:spPr>
                          <a:xfrm>
                            <a:off x="0" y="0"/>
                            <a:ext cx="72390" cy="132080"/>
                          </a:xfrm>
                          <a:prstGeom prst="rect">
                            <a:avLst/>
                          </a:prstGeom>
                          <a:noFill/>
                          <a:ln>
                            <a:noFill/>
                          </a:ln>
                        </pic:spPr>
                      </pic:pic>
                    </a:graphicData>
                  </a:graphic>
                </wp:inline>
              </w:drawing>
            </w:r>
            <w:r>
              <w:rPr>
                <w:rFonts w:ascii="Times New Roman" w:hAnsi="Times New Roman" w:eastAsia="Times New Roman" w:cs="Times New Roman"/>
                <w:spacing w:val="-2"/>
                <w:position w:val="10"/>
                <w:sz w:val="24"/>
                <w:szCs w:val="24"/>
                <w:highlight w:val="none"/>
              </w:rPr>
              <w:t>11</w:t>
            </w:r>
          </w:p>
          <w:p>
            <w:pPr>
              <w:keepNext w:val="0"/>
              <w:keepLines w:val="0"/>
              <w:pageBreakBefore w:val="0"/>
              <w:widowControl w:val="0"/>
              <w:kinsoku/>
              <w:wordWrap/>
              <w:overflowPunct/>
              <w:topLinePunct w:val="0"/>
              <w:autoSpaceDE/>
              <w:autoSpaceDN/>
              <w:bidi w:val="0"/>
              <w:adjustRightInd/>
              <w:snapToGrid/>
              <w:spacing w:line="360" w:lineRule="auto"/>
              <w:ind w:left="0" w:firstLine="448" w:firstLineChars="200"/>
              <w:textAlignment w:val="auto"/>
              <w:rPr>
                <w:rFonts w:ascii="宋体" w:hAnsi="宋体" w:eastAsia="宋体" w:cs="宋体"/>
                <w:spacing w:val="-8"/>
                <w:sz w:val="24"/>
                <w:szCs w:val="24"/>
                <w:highlight w:val="none"/>
              </w:rPr>
            </w:pPr>
            <w:r>
              <w:rPr>
                <w:rFonts w:ascii="宋体" w:hAnsi="宋体" w:eastAsia="宋体" w:cs="宋体"/>
                <w:spacing w:val="-8"/>
                <w:sz w:val="24"/>
                <w:szCs w:val="24"/>
                <w:highlight w:val="none"/>
              </w:rPr>
              <w:t xml:space="preserve">式中： </w:t>
            </w:r>
          </w:p>
          <w:p>
            <w:pPr>
              <w:keepNext w:val="0"/>
              <w:keepLines w:val="0"/>
              <w:pageBreakBefore w:val="0"/>
              <w:widowControl w:val="0"/>
              <w:kinsoku/>
              <w:wordWrap/>
              <w:overflowPunct/>
              <w:topLinePunct w:val="0"/>
              <w:autoSpaceDE/>
              <w:autoSpaceDN/>
              <w:bidi w:val="0"/>
              <w:adjustRightInd/>
              <w:snapToGrid/>
              <w:spacing w:line="360" w:lineRule="auto"/>
              <w:ind w:left="0" w:firstLine="464" w:firstLineChars="200"/>
              <w:textAlignment w:val="auto"/>
              <w:rPr>
                <w:rFonts w:ascii="宋体" w:hAnsi="宋体" w:eastAsia="宋体" w:cs="宋体"/>
                <w:sz w:val="24"/>
                <w:szCs w:val="24"/>
                <w:highlight w:val="none"/>
              </w:rPr>
            </w:pPr>
            <w:r>
              <w:rPr>
                <w:rFonts w:ascii="Times New Roman" w:hAnsi="Times New Roman" w:eastAsia="Times New Roman" w:cs="Times New Roman"/>
                <w:i/>
                <w:iCs/>
                <w:spacing w:val="-4"/>
                <w:sz w:val="24"/>
                <w:szCs w:val="24"/>
                <w:highlight w:val="none"/>
              </w:rPr>
              <w:t>L</w:t>
            </w:r>
            <w:r>
              <w:rPr>
                <w:rFonts w:ascii="Times New Roman" w:hAnsi="Times New Roman" w:eastAsia="Times New Roman" w:cs="Times New Roman"/>
                <w:i/>
                <w:iCs/>
                <w:spacing w:val="-4"/>
                <w:position w:val="-2"/>
                <w:sz w:val="24"/>
                <w:szCs w:val="24"/>
                <w:highlight w:val="none"/>
                <w:vertAlign w:val="subscript"/>
              </w:rPr>
              <w:t>p</w:t>
            </w:r>
            <w:r>
              <w:rPr>
                <w:rFonts w:ascii="Times New Roman" w:hAnsi="Times New Roman" w:eastAsia="Times New Roman" w:cs="Times New Roman"/>
                <w:spacing w:val="-6"/>
                <w:sz w:val="24"/>
                <w:szCs w:val="24"/>
                <w:highlight w:val="none"/>
              </w:rPr>
              <w:t>(</w:t>
            </w:r>
            <w:r>
              <w:rPr>
                <w:rFonts w:ascii="Times New Roman" w:hAnsi="Times New Roman" w:eastAsia="Times New Roman" w:cs="Times New Roman"/>
                <w:i/>
                <w:iCs/>
                <w:spacing w:val="-4"/>
                <w:sz w:val="24"/>
                <w:szCs w:val="24"/>
                <w:highlight w:val="none"/>
              </w:rPr>
              <w:t>r</w:t>
            </w:r>
            <w:r>
              <w:rPr>
                <w:rFonts w:ascii="Times New Roman" w:hAnsi="Times New Roman" w:eastAsia="Times New Roman" w:cs="Times New Roman"/>
                <w:spacing w:val="-4"/>
                <w:sz w:val="24"/>
                <w:szCs w:val="24"/>
                <w:highlight w:val="none"/>
              </w:rPr>
              <w:t>)</w:t>
            </w:r>
            <w:r>
              <w:rPr>
                <w:rFonts w:hint="default"/>
                <w:highlight w:val="none"/>
                <w:lang w:val="en-US" w:eastAsia="zh-CN"/>
              </w:rPr>
              <w:t>—</w:t>
            </w:r>
            <w:r>
              <w:rPr>
                <w:rFonts w:ascii="宋体" w:hAnsi="宋体" w:eastAsia="宋体" w:cs="宋体"/>
                <w:spacing w:val="-4"/>
                <w:sz w:val="24"/>
                <w:szCs w:val="24"/>
                <w:highlight w:val="none"/>
              </w:rPr>
              <w:t>预测点处声压级，</w:t>
            </w:r>
            <w:r>
              <w:rPr>
                <w:rFonts w:ascii="Times New Roman" w:hAnsi="Times New Roman" w:eastAsia="Times New Roman" w:cs="Times New Roman"/>
                <w:spacing w:val="-4"/>
                <w:sz w:val="24"/>
                <w:szCs w:val="24"/>
                <w:highlight w:val="none"/>
              </w:rPr>
              <w:t>dB</w:t>
            </w:r>
            <w:r>
              <w:rPr>
                <w:rFonts w:ascii="宋体" w:hAnsi="宋体" w:eastAsia="宋体" w:cs="宋体"/>
                <w:spacing w:val="-4"/>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firstLine="476" w:firstLineChars="200"/>
              <w:textAlignment w:val="auto"/>
              <w:rPr>
                <w:rFonts w:ascii="宋体" w:hAnsi="宋体" w:eastAsia="宋体" w:cs="宋体"/>
                <w:sz w:val="24"/>
                <w:szCs w:val="24"/>
                <w:highlight w:val="none"/>
              </w:rPr>
            </w:pPr>
            <w:r>
              <w:rPr>
                <w:rFonts w:ascii="Times New Roman" w:hAnsi="Times New Roman" w:eastAsia="Times New Roman" w:cs="Times New Roman"/>
                <w:i/>
                <w:iCs/>
                <w:spacing w:val="-1"/>
                <w:sz w:val="24"/>
                <w:szCs w:val="24"/>
                <w:highlight w:val="none"/>
              </w:rPr>
              <w:t>L</w:t>
            </w:r>
            <w:r>
              <w:rPr>
                <w:rFonts w:ascii="Times New Roman" w:hAnsi="Times New Roman" w:eastAsia="Times New Roman" w:cs="Times New Roman"/>
                <w:i/>
                <w:iCs/>
                <w:spacing w:val="-1"/>
                <w:position w:val="-1"/>
                <w:sz w:val="24"/>
                <w:szCs w:val="24"/>
                <w:highlight w:val="none"/>
                <w:vertAlign w:val="subscript"/>
              </w:rPr>
              <w:t>w</w:t>
            </w:r>
            <w:r>
              <w:rPr>
                <w:rFonts w:hint="default"/>
                <w:highlight w:val="none"/>
                <w:lang w:val="en-US" w:eastAsia="zh-CN"/>
              </w:rPr>
              <w:t>—</w:t>
            </w:r>
            <w:r>
              <w:rPr>
                <w:rFonts w:ascii="宋体" w:hAnsi="宋体" w:eastAsia="宋体" w:cs="宋体"/>
                <w:spacing w:val="-2"/>
                <w:sz w:val="24"/>
                <w:szCs w:val="24"/>
                <w:highlight w:val="none"/>
              </w:rPr>
              <w:t>由</w:t>
            </w:r>
            <w:r>
              <w:rPr>
                <w:rFonts w:ascii="宋体" w:hAnsi="宋体" w:eastAsia="宋体" w:cs="宋体"/>
                <w:spacing w:val="-1"/>
                <w:sz w:val="24"/>
                <w:szCs w:val="24"/>
                <w:highlight w:val="none"/>
              </w:rPr>
              <w:t>点声源产生的倍频带声功率级，</w:t>
            </w:r>
            <w:r>
              <w:rPr>
                <w:rFonts w:ascii="Times New Roman" w:hAnsi="Times New Roman" w:eastAsia="Times New Roman" w:cs="Times New Roman"/>
                <w:spacing w:val="-1"/>
                <w:sz w:val="24"/>
                <w:szCs w:val="24"/>
                <w:highlight w:val="none"/>
              </w:rPr>
              <w:t>dB</w:t>
            </w:r>
            <w:r>
              <w:rPr>
                <w:rFonts w:ascii="宋体" w:hAnsi="宋体" w:eastAsia="宋体" w:cs="宋体"/>
                <w:spacing w:val="-1"/>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eastAsia="宋体" w:cs="宋体"/>
                <w:sz w:val="24"/>
                <w:szCs w:val="24"/>
                <w:highlight w:val="none"/>
              </w:rPr>
            </w:pPr>
            <w:r>
              <w:rPr>
                <w:rFonts w:ascii="Times New Roman" w:hAnsi="Times New Roman" w:eastAsia="Times New Roman" w:cs="Times New Roman"/>
                <w:i/>
                <w:iCs/>
                <w:sz w:val="24"/>
                <w:szCs w:val="24"/>
                <w:highlight w:val="none"/>
              </w:rPr>
              <w:t>r</w:t>
            </w:r>
            <w:r>
              <w:rPr>
                <w:rFonts w:hint="default"/>
                <w:highlight w:val="none"/>
                <w:lang w:val="en-US" w:eastAsia="zh-CN"/>
              </w:rPr>
              <w:t>—</w:t>
            </w:r>
            <w:r>
              <w:rPr>
                <w:rFonts w:ascii="宋体" w:hAnsi="宋体" w:eastAsia="宋体" w:cs="宋体"/>
                <w:sz w:val="24"/>
                <w:szCs w:val="24"/>
                <w:highlight w:val="none"/>
              </w:rPr>
              <w:t>预测点距声源的距离。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6</w:t>
            </w:r>
            <w:r>
              <w:rPr>
                <w:rFonts w:hint="eastAsia"/>
                <w:sz w:val="24"/>
                <w:szCs w:val="24"/>
                <w:highlight w:val="none"/>
                <w:lang w:eastAsia="zh-CN"/>
              </w:rPr>
              <w:t>）</w:t>
            </w:r>
            <w:r>
              <w:rPr>
                <w:rFonts w:hint="eastAsia"/>
                <w:sz w:val="24"/>
                <w:szCs w:val="24"/>
                <w:highlight w:val="none"/>
              </w:rPr>
              <w:t>声源在预测点产生的等效声级贡献值计算</w:t>
            </w:r>
            <w:r>
              <w:rPr>
                <w:rFonts w:hint="eastAsia"/>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ind w:right="0"/>
              <w:jc w:val="center"/>
              <w:textAlignment w:val="auto"/>
              <w:rPr>
                <w:rFonts w:ascii="宋体" w:hAnsi="宋体" w:eastAsia="宋体" w:cs="宋体"/>
                <w:sz w:val="21"/>
                <w:szCs w:val="21"/>
                <w:highlight w:val="none"/>
              </w:rPr>
            </w:pPr>
            <w:r>
              <w:rPr>
                <w:rFonts w:ascii="Times New Roman" w:hAnsi="Times New Roman" w:eastAsia="Times New Roman" w:cs="Times New Roman"/>
                <w:i/>
                <w:iCs/>
                <w:position w:val="3"/>
                <w:sz w:val="21"/>
                <w:szCs w:val="21"/>
                <w:highlight w:val="none"/>
              </w:rPr>
              <w:t>L</w:t>
            </w:r>
            <w:r>
              <w:rPr>
                <w:rFonts w:ascii="Times New Roman" w:hAnsi="Times New Roman" w:eastAsia="Times New Roman" w:cs="Times New Roman"/>
                <w:position w:val="-1"/>
                <w:sz w:val="21"/>
                <w:szCs w:val="21"/>
                <w:highlight w:val="none"/>
              </w:rPr>
              <w:t>eqg</w:t>
            </w:r>
            <w:r>
              <w:rPr>
                <w:rFonts w:ascii="Times New Roman" w:hAnsi="Times New Roman" w:eastAsia="Times New Roman" w:cs="Times New Roman"/>
                <w:spacing w:val="1"/>
                <w:position w:val="-1"/>
                <w:sz w:val="21"/>
                <w:szCs w:val="21"/>
                <w:highlight w:val="none"/>
              </w:rPr>
              <w:t xml:space="preserve">  </w:t>
            </w:r>
            <w:r>
              <w:rPr>
                <w:rFonts w:ascii="微软雅黑" w:hAnsi="微软雅黑" w:eastAsia="微软雅黑" w:cs="微软雅黑"/>
                <w:spacing w:val="1"/>
                <w:position w:val="3"/>
                <w:sz w:val="21"/>
                <w:szCs w:val="21"/>
                <w:highlight w:val="none"/>
              </w:rPr>
              <w:t xml:space="preserve">= </w:t>
            </w:r>
            <w:r>
              <w:rPr>
                <w:rFonts w:ascii="Times New Roman" w:hAnsi="Times New Roman" w:eastAsia="Times New Roman" w:cs="Times New Roman"/>
                <w:spacing w:val="1"/>
                <w:position w:val="3"/>
                <w:sz w:val="21"/>
                <w:szCs w:val="21"/>
                <w:highlight w:val="none"/>
              </w:rPr>
              <w:t>10</w:t>
            </w:r>
            <w:r>
              <w:rPr>
                <w:rFonts w:ascii="Times New Roman" w:hAnsi="Times New Roman" w:eastAsia="Times New Roman" w:cs="Times New Roman"/>
                <w:position w:val="3"/>
                <w:sz w:val="21"/>
                <w:szCs w:val="21"/>
                <w:highlight w:val="none"/>
              </w:rPr>
              <w:t>lg</w:t>
            </w:r>
            <w:r>
              <w:rPr>
                <w:position w:val="-21"/>
                <w:sz w:val="21"/>
                <w:szCs w:val="21"/>
                <w:highlight w:val="none"/>
              </w:rPr>
              <w:drawing>
                <wp:inline distT="0" distB="0" distL="114300" distR="114300">
                  <wp:extent cx="54610" cy="380365"/>
                  <wp:effectExtent l="0" t="0" r="2540" b="635"/>
                  <wp:docPr id="158" name="图片 31"/>
                  <wp:cNvGraphicFramePr/>
                  <a:graphic xmlns:a="http://schemas.openxmlformats.org/drawingml/2006/main">
                    <a:graphicData uri="http://schemas.openxmlformats.org/drawingml/2006/picture">
                      <pic:pic xmlns:pic="http://schemas.openxmlformats.org/drawingml/2006/picture">
                        <pic:nvPicPr>
                          <pic:cNvPr id="158" name="图片 31"/>
                          <pic:cNvPicPr/>
                        </pic:nvPicPr>
                        <pic:blipFill>
                          <a:blip r:embed="rId22"/>
                          <a:stretch>
                            <a:fillRect/>
                          </a:stretch>
                        </pic:blipFill>
                        <pic:spPr>
                          <a:xfrm>
                            <a:off x="0" y="0"/>
                            <a:ext cx="54610" cy="380365"/>
                          </a:xfrm>
                          <a:prstGeom prst="rect">
                            <a:avLst/>
                          </a:prstGeom>
                          <a:noFill/>
                          <a:ln>
                            <a:noFill/>
                          </a:ln>
                        </pic:spPr>
                      </pic:pic>
                    </a:graphicData>
                  </a:graphic>
                </wp:inline>
              </w:drawing>
            </w:r>
            <w:r>
              <w:rPr>
                <w:position w:val="-12"/>
                <w:sz w:val="21"/>
                <w:szCs w:val="21"/>
                <w:highlight w:val="none"/>
              </w:rPr>
              <w:drawing>
                <wp:inline distT="0" distB="0" distL="114300" distR="114300">
                  <wp:extent cx="103505" cy="266700"/>
                  <wp:effectExtent l="0" t="0" r="10795" b="0"/>
                  <wp:docPr id="159" name="图片 32"/>
                  <wp:cNvGraphicFramePr/>
                  <a:graphic xmlns:a="http://schemas.openxmlformats.org/drawingml/2006/main">
                    <a:graphicData uri="http://schemas.openxmlformats.org/drawingml/2006/picture">
                      <pic:pic xmlns:pic="http://schemas.openxmlformats.org/drawingml/2006/picture">
                        <pic:nvPicPr>
                          <pic:cNvPr id="159" name="图片 32"/>
                          <pic:cNvPicPr/>
                        </pic:nvPicPr>
                        <pic:blipFill>
                          <a:blip r:embed="rId23"/>
                          <a:stretch>
                            <a:fillRect/>
                          </a:stretch>
                        </pic:blipFill>
                        <pic:spPr>
                          <a:xfrm>
                            <a:off x="0" y="0"/>
                            <a:ext cx="103505" cy="266700"/>
                          </a:xfrm>
                          <a:prstGeom prst="rect">
                            <a:avLst/>
                          </a:prstGeom>
                          <a:noFill/>
                          <a:ln>
                            <a:noFill/>
                          </a:ln>
                        </pic:spPr>
                      </pic:pic>
                    </a:graphicData>
                  </a:graphic>
                </wp:inline>
              </w:drawing>
            </w:r>
            <w:r>
              <w:rPr>
                <w:rFonts w:ascii="Times New Roman" w:hAnsi="Times New Roman" w:eastAsia="Times New Roman" w:cs="Times New Roman"/>
                <w:spacing w:val="1"/>
                <w:position w:val="3"/>
                <w:sz w:val="21"/>
                <w:szCs w:val="21"/>
                <w:highlight w:val="none"/>
              </w:rPr>
              <w:t xml:space="preserve"> </w:t>
            </w:r>
            <w:r>
              <w:rPr>
                <w:position w:val="-20"/>
                <w:sz w:val="21"/>
                <w:szCs w:val="21"/>
                <w:highlight w:val="none"/>
              </w:rPr>
              <w:drawing>
                <wp:inline distT="0" distB="0" distL="114300" distR="114300">
                  <wp:extent cx="56515" cy="360680"/>
                  <wp:effectExtent l="0" t="0" r="635" b="1270"/>
                  <wp:docPr id="160" name="图片 33"/>
                  <wp:cNvGraphicFramePr/>
                  <a:graphic xmlns:a="http://schemas.openxmlformats.org/drawingml/2006/main">
                    <a:graphicData uri="http://schemas.openxmlformats.org/drawingml/2006/picture">
                      <pic:pic xmlns:pic="http://schemas.openxmlformats.org/drawingml/2006/picture">
                        <pic:nvPicPr>
                          <pic:cNvPr id="160" name="图片 33"/>
                          <pic:cNvPicPr/>
                        </pic:nvPicPr>
                        <pic:blipFill>
                          <a:blip r:embed="rId24"/>
                          <a:stretch>
                            <a:fillRect/>
                          </a:stretch>
                        </pic:blipFill>
                        <pic:spPr>
                          <a:xfrm>
                            <a:off x="0" y="0"/>
                            <a:ext cx="56515" cy="360680"/>
                          </a:xfrm>
                          <a:prstGeom prst="rect">
                            <a:avLst/>
                          </a:prstGeom>
                          <a:noFill/>
                          <a:ln>
                            <a:noFill/>
                          </a:ln>
                        </pic:spPr>
                      </pic:pic>
                    </a:graphicData>
                  </a:graphic>
                </wp:inline>
              </w:drawing>
            </w:r>
            <w:r>
              <w:rPr>
                <w:position w:val="-18"/>
                <w:sz w:val="21"/>
                <w:szCs w:val="21"/>
                <w:highlight w:val="none"/>
              </w:rPr>
              <w:drawing>
                <wp:inline distT="0" distB="0" distL="114300" distR="114300">
                  <wp:extent cx="149225" cy="318135"/>
                  <wp:effectExtent l="0" t="0" r="3175" b="5715"/>
                  <wp:docPr id="23" name="图片 34"/>
                  <wp:cNvGraphicFramePr/>
                  <a:graphic xmlns:a="http://schemas.openxmlformats.org/drawingml/2006/main">
                    <a:graphicData uri="http://schemas.openxmlformats.org/drawingml/2006/picture">
                      <pic:pic xmlns:pic="http://schemas.openxmlformats.org/drawingml/2006/picture">
                        <pic:nvPicPr>
                          <pic:cNvPr id="23" name="图片 34"/>
                          <pic:cNvPicPr/>
                        </pic:nvPicPr>
                        <pic:blipFill>
                          <a:blip r:embed="rId25"/>
                          <a:stretch>
                            <a:fillRect/>
                          </a:stretch>
                        </pic:blipFill>
                        <pic:spPr>
                          <a:xfrm>
                            <a:off x="0" y="0"/>
                            <a:ext cx="149225" cy="318135"/>
                          </a:xfrm>
                          <a:prstGeom prst="rect">
                            <a:avLst/>
                          </a:prstGeom>
                          <a:noFill/>
                          <a:ln>
                            <a:noFill/>
                          </a:ln>
                        </pic:spPr>
                      </pic:pic>
                    </a:graphicData>
                  </a:graphic>
                </wp:inline>
              </w:drawing>
            </w:r>
            <w:r>
              <w:rPr>
                <w:rFonts w:ascii="Times New Roman" w:hAnsi="Times New Roman" w:eastAsia="Times New Roman" w:cs="Times New Roman"/>
                <w:i/>
                <w:iCs/>
                <w:position w:val="3"/>
                <w:sz w:val="21"/>
                <w:szCs w:val="21"/>
                <w:highlight w:val="none"/>
              </w:rPr>
              <w:t>t</w:t>
            </w:r>
            <w:r>
              <w:rPr>
                <w:rFonts w:ascii="Times New Roman" w:hAnsi="Times New Roman" w:eastAsia="Times New Roman" w:cs="Times New Roman"/>
                <w:i/>
                <w:iCs/>
                <w:position w:val="-1"/>
                <w:sz w:val="21"/>
                <w:szCs w:val="21"/>
                <w:highlight w:val="none"/>
              </w:rPr>
              <w:t>i</w:t>
            </w:r>
            <w:r>
              <w:rPr>
                <w:rFonts w:ascii="Times New Roman" w:hAnsi="Times New Roman" w:eastAsia="Times New Roman" w:cs="Times New Roman"/>
                <w:spacing w:val="1"/>
                <w:position w:val="-1"/>
                <w:sz w:val="21"/>
                <w:szCs w:val="21"/>
                <w:highlight w:val="none"/>
              </w:rPr>
              <w:t xml:space="preserve"> </w:t>
            </w:r>
            <w:r>
              <w:rPr>
                <w:rFonts w:ascii="Times New Roman" w:hAnsi="Times New Roman" w:eastAsia="Times New Roman" w:cs="Times New Roman"/>
                <w:spacing w:val="1"/>
                <w:position w:val="3"/>
                <w:sz w:val="21"/>
                <w:szCs w:val="21"/>
                <w:highlight w:val="none"/>
              </w:rPr>
              <w:t>10</w:t>
            </w:r>
            <w:r>
              <w:rPr>
                <w:rFonts w:ascii="Times New Roman" w:hAnsi="Times New Roman" w:eastAsia="Times New Roman" w:cs="Times New Roman"/>
                <w:spacing w:val="1"/>
                <w:position w:val="12"/>
                <w:sz w:val="21"/>
                <w:szCs w:val="21"/>
                <w:highlight w:val="none"/>
              </w:rPr>
              <w:t>0.1</w:t>
            </w:r>
            <w:r>
              <w:rPr>
                <w:rFonts w:ascii="Times New Roman" w:hAnsi="Times New Roman" w:eastAsia="Times New Roman" w:cs="Times New Roman"/>
                <w:i/>
                <w:iCs/>
                <w:position w:val="12"/>
                <w:sz w:val="21"/>
                <w:szCs w:val="21"/>
                <w:highlight w:val="none"/>
              </w:rPr>
              <w:t>L</w:t>
            </w:r>
            <w:r>
              <w:rPr>
                <w:rFonts w:ascii="Times New Roman" w:hAnsi="Times New Roman" w:eastAsia="Times New Roman" w:cs="Times New Roman"/>
                <w:position w:val="9"/>
                <w:sz w:val="21"/>
                <w:szCs w:val="21"/>
                <w:highlight w:val="none"/>
              </w:rPr>
              <w:t>A</w:t>
            </w:r>
            <w:r>
              <w:rPr>
                <w:rFonts w:ascii="Times New Roman" w:hAnsi="Times New Roman" w:eastAsia="Times New Roman" w:cs="Times New Roman"/>
                <w:i/>
                <w:iCs/>
                <w:position w:val="9"/>
                <w:sz w:val="21"/>
                <w:szCs w:val="21"/>
                <w:highlight w:val="none"/>
              </w:rPr>
              <w:t>i</w:t>
            </w:r>
            <w:r>
              <w:rPr>
                <w:rFonts w:ascii="Times New Roman" w:hAnsi="Times New Roman" w:eastAsia="Times New Roman" w:cs="Times New Roman"/>
                <w:spacing w:val="1"/>
                <w:position w:val="9"/>
                <w:sz w:val="21"/>
                <w:szCs w:val="21"/>
                <w:highlight w:val="none"/>
              </w:rPr>
              <w:t xml:space="preserve">    </w:t>
            </w:r>
            <w:r>
              <w:rPr>
                <w:rFonts w:ascii="微软雅黑" w:hAnsi="微软雅黑" w:eastAsia="微软雅黑" w:cs="微软雅黑"/>
                <w:spacing w:val="1"/>
                <w:position w:val="3"/>
                <w:sz w:val="21"/>
                <w:szCs w:val="21"/>
                <w:highlight w:val="none"/>
              </w:rPr>
              <w:t xml:space="preserve">+ </w:t>
            </w:r>
            <w:r>
              <w:rPr>
                <w:position w:val="-18"/>
                <w:sz w:val="21"/>
                <w:szCs w:val="21"/>
                <w:highlight w:val="none"/>
              </w:rPr>
              <w:drawing>
                <wp:inline distT="0" distB="0" distL="114300" distR="114300">
                  <wp:extent cx="149225" cy="318135"/>
                  <wp:effectExtent l="0" t="0" r="3175" b="5715"/>
                  <wp:docPr id="24" name="图片 35"/>
                  <wp:cNvGraphicFramePr/>
                  <a:graphic xmlns:a="http://schemas.openxmlformats.org/drawingml/2006/main">
                    <a:graphicData uri="http://schemas.openxmlformats.org/drawingml/2006/picture">
                      <pic:pic xmlns:pic="http://schemas.openxmlformats.org/drawingml/2006/picture">
                        <pic:nvPicPr>
                          <pic:cNvPr id="24" name="图片 35"/>
                          <pic:cNvPicPr/>
                        </pic:nvPicPr>
                        <pic:blipFill>
                          <a:blip r:embed="rId26"/>
                          <a:stretch>
                            <a:fillRect/>
                          </a:stretch>
                        </pic:blipFill>
                        <pic:spPr>
                          <a:xfrm>
                            <a:off x="0" y="0"/>
                            <a:ext cx="149225" cy="318135"/>
                          </a:xfrm>
                          <a:prstGeom prst="rect">
                            <a:avLst/>
                          </a:prstGeom>
                          <a:noFill/>
                          <a:ln>
                            <a:noFill/>
                          </a:ln>
                        </pic:spPr>
                      </pic:pic>
                    </a:graphicData>
                  </a:graphic>
                </wp:inline>
              </w:drawing>
            </w:r>
            <w:r>
              <w:rPr>
                <w:rFonts w:ascii="Times New Roman" w:hAnsi="Times New Roman" w:eastAsia="Times New Roman" w:cs="Times New Roman"/>
                <w:i/>
                <w:iCs/>
                <w:position w:val="3"/>
                <w:sz w:val="21"/>
                <w:szCs w:val="21"/>
                <w:highlight w:val="none"/>
              </w:rPr>
              <w:t>t</w:t>
            </w:r>
            <w:r>
              <w:rPr>
                <w:rFonts w:ascii="Times New Roman" w:hAnsi="Times New Roman" w:eastAsia="Times New Roman" w:cs="Times New Roman"/>
                <w:i/>
                <w:iCs/>
                <w:position w:val="-1"/>
                <w:sz w:val="21"/>
                <w:szCs w:val="21"/>
                <w:highlight w:val="none"/>
              </w:rPr>
              <w:t>j</w:t>
            </w:r>
            <w:r>
              <w:rPr>
                <w:rFonts w:ascii="Times New Roman" w:hAnsi="Times New Roman" w:eastAsia="Times New Roman" w:cs="Times New Roman"/>
                <w:spacing w:val="1"/>
                <w:position w:val="-1"/>
                <w:sz w:val="21"/>
                <w:szCs w:val="21"/>
                <w:highlight w:val="none"/>
              </w:rPr>
              <w:t xml:space="preserve"> </w:t>
            </w:r>
            <w:r>
              <w:rPr>
                <w:rFonts w:ascii="Times New Roman" w:hAnsi="Times New Roman" w:eastAsia="Times New Roman" w:cs="Times New Roman"/>
                <w:spacing w:val="1"/>
                <w:position w:val="3"/>
                <w:sz w:val="21"/>
                <w:szCs w:val="21"/>
                <w:highlight w:val="none"/>
              </w:rPr>
              <w:t>10</w:t>
            </w:r>
            <w:r>
              <w:rPr>
                <w:rFonts w:ascii="Times New Roman" w:hAnsi="Times New Roman" w:eastAsia="Times New Roman" w:cs="Times New Roman"/>
                <w:spacing w:val="1"/>
                <w:position w:val="14"/>
                <w:sz w:val="21"/>
                <w:szCs w:val="21"/>
                <w:highlight w:val="none"/>
              </w:rPr>
              <w:t>0.1</w:t>
            </w:r>
            <w:r>
              <w:rPr>
                <w:rFonts w:ascii="Times New Roman" w:hAnsi="Times New Roman" w:eastAsia="Times New Roman" w:cs="Times New Roman"/>
                <w:i/>
                <w:iCs/>
                <w:position w:val="14"/>
                <w:sz w:val="21"/>
                <w:szCs w:val="21"/>
                <w:highlight w:val="none"/>
              </w:rPr>
              <w:t>L</w:t>
            </w:r>
            <w:r>
              <w:rPr>
                <w:rFonts w:ascii="Times New Roman" w:hAnsi="Times New Roman" w:eastAsia="Times New Roman" w:cs="Times New Roman"/>
                <w:position w:val="11"/>
                <w:sz w:val="21"/>
                <w:szCs w:val="21"/>
                <w:highlight w:val="none"/>
              </w:rPr>
              <w:t>A</w:t>
            </w:r>
            <w:r>
              <w:rPr>
                <w:rFonts w:ascii="Times New Roman" w:hAnsi="Times New Roman" w:eastAsia="Times New Roman" w:cs="Times New Roman"/>
                <w:i/>
                <w:iCs/>
                <w:position w:val="11"/>
                <w:sz w:val="21"/>
                <w:szCs w:val="21"/>
                <w:highlight w:val="none"/>
              </w:rPr>
              <w:t>j</w:t>
            </w:r>
            <w:r>
              <w:rPr>
                <w:rFonts w:ascii="Times New Roman" w:hAnsi="Times New Roman" w:eastAsia="Times New Roman" w:cs="Times New Roman"/>
                <w:spacing w:val="1"/>
                <w:position w:val="11"/>
                <w:sz w:val="21"/>
                <w:szCs w:val="21"/>
                <w:highlight w:val="none"/>
              </w:rPr>
              <w:t xml:space="preserve">  </w:t>
            </w:r>
            <w:r>
              <w:rPr>
                <w:position w:val="-20"/>
                <w:sz w:val="21"/>
                <w:szCs w:val="21"/>
                <w:highlight w:val="none"/>
              </w:rPr>
              <w:drawing>
                <wp:inline distT="0" distB="0" distL="114300" distR="114300">
                  <wp:extent cx="62230" cy="360680"/>
                  <wp:effectExtent l="0" t="0" r="13970" b="1270"/>
                  <wp:docPr id="25" name="图片 36"/>
                  <wp:cNvGraphicFramePr/>
                  <a:graphic xmlns:a="http://schemas.openxmlformats.org/drawingml/2006/main">
                    <a:graphicData uri="http://schemas.openxmlformats.org/drawingml/2006/picture">
                      <pic:pic xmlns:pic="http://schemas.openxmlformats.org/drawingml/2006/picture">
                        <pic:nvPicPr>
                          <pic:cNvPr id="25" name="图片 36"/>
                          <pic:cNvPicPr/>
                        </pic:nvPicPr>
                        <pic:blipFill>
                          <a:blip r:embed="rId27"/>
                          <a:stretch>
                            <a:fillRect/>
                          </a:stretch>
                        </pic:blipFill>
                        <pic:spPr>
                          <a:xfrm>
                            <a:off x="0" y="0"/>
                            <a:ext cx="62230" cy="360680"/>
                          </a:xfrm>
                          <a:prstGeom prst="rect">
                            <a:avLst/>
                          </a:prstGeom>
                          <a:noFill/>
                          <a:ln>
                            <a:noFill/>
                          </a:ln>
                        </pic:spPr>
                      </pic:pic>
                    </a:graphicData>
                  </a:graphic>
                </wp:inline>
              </w:drawing>
            </w:r>
            <w:r>
              <w:rPr>
                <w:position w:val="-21"/>
                <w:sz w:val="21"/>
                <w:szCs w:val="21"/>
                <w:highlight w:val="none"/>
              </w:rPr>
              <w:drawing>
                <wp:inline distT="0" distB="0" distL="114300" distR="114300">
                  <wp:extent cx="52070" cy="380365"/>
                  <wp:effectExtent l="0" t="0" r="5080" b="635"/>
                  <wp:docPr id="26" name="图片 37"/>
                  <wp:cNvGraphicFramePr/>
                  <a:graphic xmlns:a="http://schemas.openxmlformats.org/drawingml/2006/main">
                    <a:graphicData uri="http://schemas.openxmlformats.org/drawingml/2006/picture">
                      <pic:pic xmlns:pic="http://schemas.openxmlformats.org/drawingml/2006/picture">
                        <pic:nvPicPr>
                          <pic:cNvPr id="26" name="图片 37"/>
                          <pic:cNvPicPr/>
                        </pic:nvPicPr>
                        <pic:blipFill>
                          <a:blip r:embed="rId28"/>
                          <a:stretch>
                            <a:fillRect/>
                          </a:stretch>
                        </pic:blipFill>
                        <pic:spPr>
                          <a:xfrm>
                            <a:off x="0" y="0"/>
                            <a:ext cx="52070" cy="38036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left="0" w:firstLine="456" w:firstLineChars="200"/>
              <w:textAlignment w:val="auto"/>
              <w:rPr>
                <w:rFonts w:ascii="宋体" w:hAnsi="宋体" w:eastAsia="宋体" w:cs="宋体"/>
                <w:spacing w:val="-3"/>
                <w:sz w:val="24"/>
                <w:szCs w:val="24"/>
                <w:highlight w:val="none"/>
              </w:rPr>
            </w:pPr>
            <w:r>
              <w:rPr>
                <w:rFonts w:ascii="宋体" w:hAnsi="宋体" w:eastAsia="宋体" w:cs="宋体"/>
                <w:spacing w:val="-6"/>
                <w:sz w:val="24"/>
                <w:szCs w:val="24"/>
                <w:highlight w:val="none"/>
              </w:rPr>
              <w:t>式</w:t>
            </w:r>
            <w:r>
              <w:rPr>
                <w:rFonts w:ascii="宋体" w:hAnsi="宋体" w:eastAsia="宋体" w:cs="宋体"/>
                <w:spacing w:val="-3"/>
                <w:sz w:val="24"/>
                <w:szCs w:val="24"/>
                <w:highlight w:val="none"/>
              </w:rPr>
              <w:t xml:space="preserve">中： </w:t>
            </w:r>
          </w:p>
          <w:p>
            <w:pPr>
              <w:keepNext w:val="0"/>
              <w:keepLines w:val="0"/>
              <w:pageBreakBefore w:val="0"/>
              <w:widowControl w:val="0"/>
              <w:kinsoku/>
              <w:wordWrap/>
              <w:overflowPunct/>
              <w:topLinePunct w:val="0"/>
              <w:autoSpaceDE/>
              <w:autoSpaceDN/>
              <w:bidi w:val="0"/>
              <w:adjustRightInd/>
              <w:snapToGrid/>
              <w:spacing w:line="360" w:lineRule="auto"/>
              <w:ind w:left="0" w:firstLine="468" w:firstLineChars="200"/>
              <w:textAlignment w:val="auto"/>
              <w:rPr>
                <w:rFonts w:ascii="宋体" w:hAnsi="宋体" w:eastAsia="宋体" w:cs="宋体"/>
                <w:sz w:val="24"/>
                <w:szCs w:val="24"/>
                <w:highlight w:val="none"/>
              </w:rPr>
            </w:pPr>
            <w:r>
              <w:rPr>
                <w:rFonts w:ascii="Times New Roman" w:hAnsi="Times New Roman" w:eastAsia="Times New Roman" w:cs="Times New Roman"/>
                <w:i/>
                <w:iCs/>
                <w:spacing w:val="-3"/>
                <w:sz w:val="24"/>
                <w:szCs w:val="24"/>
                <w:highlight w:val="none"/>
              </w:rPr>
              <w:t>L</w:t>
            </w:r>
            <w:r>
              <w:rPr>
                <w:rFonts w:ascii="Times New Roman" w:hAnsi="Times New Roman" w:eastAsia="Times New Roman" w:cs="Times New Roman"/>
                <w:spacing w:val="-3"/>
                <w:position w:val="-2"/>
                <w:sz w:val="24"/>
                <w:szCs w:val="24"/>
                <w:highlight w:val="none"/>
                <w:vertAlign w:val="subscript"/>
              </w:rPr>
              <w:t>eqg</w:t>
            </w:r>
            <w:r>
              <w:rPr>
                <w:rFonts w:hint="default"/>
                <w:highlight w:val="none"/>
                <w:lang w:val="en-US" w:eastAsia="zh-CN"/>
              </w:rPr>
              <w:t>—</w:t>
            </w:r>
            <w:r>
              <w:rPr>
                <w:rFonts w:ascii="宋体" w:hAnsi="宋体" w:eastAsia="宋体" w:cs="宋体"/>
                <w:spacing w:val="-3"/>
                <w:sz w:val="24"/>
                <w:szCs w:val="24"/>
                <w:highlight w:val="none"/>
              </w:rPr>
              <w:t>建设项目声源在预测点产生的噪声贡献值，</w:t>
            </w:r>
            <w:r>
              <w:rPr>
                <w:rFonts w:ascii="Times New Roman" w:hAnsi="Times New Roman" w:eastAsia="Times New Roman" w:cs="Times New Roman"/>
                <w:spacing w:val="-3"/>
                <w:sz w:val="24"/>
                <w:szCs w:val="24"/>
                <w:highlight w:val="none"/>
              </w:rPr>
              <w:t>dB</w:t>
            </w:r>
            <w:r>
              <w:rPr>
                <w:rFonts w:ascii="宋体" w:hAnsi="宋体" w:eastAsia="宋体" w:cs="宋体"/>
                <w:spacing w:val="-3"/>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firstLine="476" w:firstLineChars="200"/>
              <w:textAlignment w:val="auto"/>
              <w:rPr>
                <w:rFonts w:hint="eastAsia" w:ascii="宋体" w:hAnsi="宋体" w:eastAsia="宋体" w:cs="宋体"/>
                <w:spacing w:val="-1"/>
                <w:sz w:val="24"/>
                <w:szCs w:val="24"/>
                <w:highlight w:val="none"/>
                <w:lang w:eastAsia="zh-CN"/>
              </w:rPr>
            </w:pPr>
            <w:r>
              <w:rPr>
                <w:rFonts w:ascii="Times New Roman" w:hAnsi="Times New Roman" w:eastAsia="Times New Roman" w:cs="Times New Roman"/>
                <w:i/>
                <w:iCs/>
                <w:spacing w:val="-1"/>
                <w:sz w:val="24"/>
                <w:szCs w:val="24"/>
                <w:highlight w:val="none"/>
              </w:rPr>
              <w:t>L</w:t>
            </w:r>
            <w:r>
              <w:rPr>
                <w:rFonts w:ascii="Times New Roman" w:hAnsi="Times New Roman" w:eastAsia="Times New Roman" w:cs="Times New Roman"/>
                <w:spacing w:val="-1"/>
                <w:position w:val="-4"/>
                <w:sz w:val="24"/>
                <w:szCs w:val="24"/>
                <w:highlight w:val="none"/>
                <w:vertAlign w:val="subscript"/>
              </w:rPr>
              <w:t>A</w:t>
            </w:r>
            <w:r>
              <w:rPr>
                <w:rFonts w:ascii="Times New Roman" w:hAnsi="Times New Roman" w:eastAsia="Times New Roman" w:cs="Times New Roman"/>
                <w:i/>
                <w:iCs/>
                <w:spacing w:val="-1"/>
                <w:position w:val="-4"/>
                <w:sz w:val="24"/>
                <w:szCs w:val="24"/>
                <w:highlight w:val="none"/>
                <w:vertAlign w:val="subscript"/>
              </w:rPr>
              <w:t>i</w:t>
            </w:r>
            <w:r>
              <w:rPr>
                <w:rFonts w:hint="default"/>
                <w:highlight w:val="none"/>
                <w:lang w:val="en-US" w:eastAsia="zh-CN"/>
              </w:rPr>
              <w:t>—</w:t>
            </w:r>
            <w:r>
              <w:rPr>
                <w:rFonts w:ascii="宋体" w:hAnsi="宋体" w:eastAsia="宋体" w:cs="宋体"/>
                <w:spacing w:val="-2"/>
                <w:sz w:val="24"/>
                <w:szCs w:val="24"/>
                <w:highlight w:val="none"/>
              </w:rPr>
              <w:t>设第</w:t>
            </w:r>
            <w:r>
              <w:rPr>
                <w:rFonts w:ascii="Times New Roman" w:hAnsi="Times New Roman" w:eastAsia="Times New Roman" w:cs="Times New Roman"/>
                <w:i/>
                <w:iCs/>
                <w:spacing w:val="-1"/>
                <w:sz w:val="24"/>
                <w:szCs w:val="24"/>
                <w:highlight w:val="none"/>
              </w:rPr>
              <w:t>i</w:t>
            </w:r>
            <w:r>
              <w:rPr>
                <w:rFonts w:ascii="宋体" w:hAnsi="宋体" w:eastAsia="宋体" w:cs="宋体"/>
                <w:spacing w:val="-2"/>
                <w:sz w:val="24"/>
                <w:szCs w:val="24"/>
                <w:highlight w:val="none"/>
              </w:rPr>
              <w:t>个室外声源</w:t>
            </w:r>
            <w:r>
              <w:rPr>
                <w:rFonts w:ascii="宋体" w:hAnsi="宋体" w:eastAsia="宋体" w:cs="宋体"/>
                <w:spacing w:val="-1"/>
                <w:sz w:val="24"/>
                <w:szCs w:val="24"/>
                <w:highlight w:val="none"/>
              </w:rPr>
              <w:t>在预测点产生的</w:t>
            </w:r>
            <w:r>
              <w:rPr>
                <w:rFonts w:ascii="Times New Roman" w:hAnsi="Times New Roman" w:eastAsia="Times New Roman" w:cs="Times New Roman"/>
                <w:spacing w:val="-1"/>
                <w:sz w:val="24"/>
                <w:szCs w:val="24"/>
                <w:highlight w:val="none"/>
              </w:rPr>
              <w:t>A</w:t>
            </w:r>
            <w:r>
              <w:rPr>
                <w:rFonts w:ascii="宋体" w:hAnsi="宋体" w:eastAsia="宋体" w:cs="宋体"/>
                <w:spacing w:val="-1"/>
                <w:sz w:val="24"/>
                <w:szCs w:val="24"/>
                <w:highlight w:val="none"/>
              </w:rPr>
              <w:t>声级</w:t>
            </w:r>
            <w:r>
              <w:rPr>
                <w:rFonts w:hint="eastAsia" w:ascii="宋体" w:hAnsi="宋体" w:eastAsia="宋体" w:cs="宋体"/>
                <w:spacing w:val="-1"/>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firstLine="468" w:firstLineChars="200"/>
              <w:textAlignment w:val="auto"/>
              <w:rPr>
                <w:rFonts w:hint="eastAsia" w:ascii="宋体" w:hAnsi="宋体" w:eastAsia="宋体" w:cs="宋体"/>
                <w:spacing w:val="-3"/>
                <w:sz w:val="24"/>
                <w:szCs w:val="24"/>
                <w:highlight w:val="none"/>
                <w:lang w:eastAsia="zh-CN"/>
              </w:rPr>
            </w:pPr>
            <w:r>
              <w:rPr>
                <w:rFonts w:hint="default" w:ascii="Times New Roman" w:hAnsi="Times New Roman" w:eastAsia="宋体" w:cs="Times New Roman"/>
                <w:i/>
                <w:iCs/>
                <w:spacing w:val="-3"/>
                <w:sz w:val="24"/>
                <w:szCs w:val="24"/>
                <w:highlight w:val="none"/>
              </w:rPr>
              <w:t>L</w:t>
            </w:r>
            <w:r>
              <w:rPr>
                <w:rFonts w:hint="default" w:ascii="Times New Roman" w:hAnsi="Times New Roman" w:eastAsia="宋体" w:cs="Times New Roman"/>
                <w:spacing w:val="-3"/>
                <w:sz w:val="24"/>
                <w:szCs w:val="24"/>
                <w:highlight w:val="none"/>
                <w:vertAlign w:val="subscript"/>
              </w:rPr>
              <w:t>Aj</w:t>
            </w:r>
            <w:r>
              <w:rPr>
                <w:rFonts w:hint="default"/>
                <w:highlight w:val="none"/>
                <w:lang w:val="en-US" w:eastAsia="zh-CN"/>
              </w:rPr>
              <w:t>—</w:t>
            </w:r>
            <w:r>
              <w:rPr>
                <w:rFonts w:ascii="宋体" w:hAnsi="宋体" w:eastAsia="宋体" w:cs="宋体"/>
                <w:spacing w:val="-3"/>
                <w:sz w:val="24"/>
                <w:szCs w:val="24"/>
                <w:highlight w:val="none"/>
                <w:lang w:val="en-US" w:eastAsia="zh-CN"/>
              </w:rPr>
              <w:t>第</w:t>
            </w:r>
            <w:r>
              <w:rPr>
                <w:rFonts w:hint="default" w:ascii="Times New Roman" w:hAnsi="Times New Roman" w:eastAsia="宋体" w:cs="Times New Roman"/>
                <w:i/>
                <w:iCs/>
                <w:spacing w:val="-3"/>
                <w:sz w:val="24"/>
                <w:szCs w:val="24"/>
                <w:highlight w:val="none"/>
                <w:lang w:val="en-US" w:eastAsia="zh-CN"/>
              </w:rPr>
              <w:t>j</w:t>
            </w:r>
            <w:r>
              <w:rPr>
                <w:rFonts w:ascii="宋体" w:hAnsi="宋体" w:eastAsia="宋体" w:cs="宋体"/>
                <w:spacing w:val="-3"/>
                <w:sz w:val="24"/>
                <w:szCs w:val="24"/>
                <w:highlight w:val="none"/>
                <w:lang w:val="en-US" w:eastAsia="zh-CN"/>
              </w:rPr>
              <w:t>个等效室外声源在预测点产生的</w:t>
            </w:r>
            <w:r>
              <w:rPr>
                <w:rFonts w:ascii="Times New Roman" w:hAnsi="Times New Roman" w:eastAsia="Times New Roman" w:cs="Times New Roman"/>
                <w:spacing w:val="-1"/>
                <w:sz w:val="24"/>
                <w:szCs w:val="24"/>
                <w:highlight w:val="none"/>
              </w:rPr>
              <w:t>A</w:t>
            </w:r>
            <w:r>
              <w:rPr>
                <w:rFonts w:ascii="宋体" w:hAnsi="宋体" w:eastAsia="宋体" w:cs="宋体"/>
                <w:spacing w:val="-3"/>
                <w:sz w:val="24"/>
                <w:szCs w:val="24"/>
                <w:highlight w:val="none"/>
                <w:lang w:val="en-US" w:eastAsia="zh-CN"/>
              </w:rPr>
              <w:t>声级</w:t>
            </w:r>
            <w:r>
              <w:rPr>
                <w:rFonts w:hint="eastAsia" w:ascii="宋体" w:hAnsi="宋体" w:eastAsia="宋体" w:cs="宋体"/>
                <w:spacing w:val="-3"/>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eastAsia="宋体" w:cs="宋体"/>
                <w:sz w:val="24"/>
                <w:szCs w:val="24"/>
                <w:highlight w:val="none"/>
              </w:rPr>
            </w:pPr>
            <w:r>
              <w:rPr>
                <w:rFonts w:hint="eastAsia" w:ascii="Times New Roman" w:hAnsi="Times New Roman" w:eastAsia="宋体" w:cs="Times New Roman"/>
                <w:i/>
                <w:iCs/>
                <w:sz w:val="24"/>
                <w:szCs w:val="24"/>
                <w:highlight w:val="none"/>
                <w:lang w:val="en-US" w:eastAsia="zh-CN"/>
              </w:rPr>
              <w:t>T</w:t>
            </w:r>
            <w:r>
              <w:rPr>
                <w:rFonts w:hint="default"/>
                <w:highlight w:val="none"/>
                <w:lang w:val="en-US" w:eastAsia="zh-CN"/>
              </w:rPr>
              <w:t>—</w:t>
            </w:r>
            <w:r>
              <w:rPr>
                <w:rFonts w:hint="eastAsia" w:ascii="宋体" w:hAnsi="宋体" w:eastAsia="宋体" w:cs="宋体"/>
                <w:spacing w:val="1"/>
                <w:sz w:val="24"/>
                <w:szCs w:val="24"/>
                <w:highlight w:val="none"/>
              </w:rPr>
              <w:t>用于计算等效声级的时间，</w:t>
            </w:r>
            <w:r>
              <w:rPr>
                <w:rFonts w:hint="default" w:ascii="Times New Roman" w:hAnsi="Times New Roman" w:eastAsia="宋体" w:cs="Times New Roman"/>
                <w:spacing w:val="1"/>
                <w:sz w:val="24"/>
                <w:szCs w:val="24"/>
                <w:highlight w:val="none"/>
              </w:rPr>
              <w:t>s</w:t>
            </w:r>
            <w:r>
              <w:rPr>
                <w:rFonts w:hint="eastAsia" w:ascii="宋体" w:hAnsi="宋体" w:eastAsia="宋体" w:cs="宋体"/>
                <w:spacing w:val="1"/>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firstLine="472" w:firstLineChars="200"/>
              <w:textAlignment w:val="auto"/>
              <w:rPr>
                <w:rFonts w:ascii="宋体" w:hAnsi="宋体" w:eastAsia="宋体" w:cs="宋体"/>
                <w:sz w:val="24"/>
                <w:szCs w:val="24"/>
                <w:highlight w:val="none"/>
              </w:rPr>
            </w:pPr>
            <w:r>
              <w:rPr>
                <w:rFonts w:ascii="Times New Roman" w:hAnsi="Times New Roman" w:eastAsia="Times New Roman" w:cs="Times New Roman"/>
                <w:i/>
                <w:iCs/>
                <w:spacing w:val="-2"/>
                <w:sz w:val="24"/>
                <w:szCs w:val="24"/>
                <w:highlight w:val="none"/>
              </w:rPr>
              <w:t>N</w:t>
            </w:r>
            <w:r>
              <w:rPr>
                <w:rFonts w:hint="default"/>
                <w:highlight w:val="none"/>
                <w:lang w:val="en-US" w:eastAsia="zh-CN"/>
              </w:rPr>
              <w:t>—</w:t>
            </w:r>
            <w:r>
              <w:rPr>
                <w:rFonts w:ascii="宋体" w:hAnsi="宋体" w:eastAsia="宋体" w:cs="宋体"/>
                <w:spacing w:val="-2"/>
                <w:sz w:val="24"/>
                <w:szCs w:val="24"/>
                <w:highlight w:val="none"/>
              </w:rPr>
              <w:t>室外声源个数；</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eastAsia="宋体" w:cs="宋体"/>
                <w:sz w:val="24"/>
                <w:szCs w:val="24"/>
                <w:highlight w:val="none"/>
              </w:rPr>
            </w:pPr>
            <w:r>
              <w:rPr>
                <w:rFonts w:hint="eastAsia" w:ascii="Times New Roman" w:hAnsi="Times New Roman" w:eastAsia="宋体" w:cs="Times New Roman"/>
                <w:i/>
                <w:iCs/>
                <w:sz w:val="24"/>
                <w:szCs w:val="24"/>
                <w:highlight w:val="none"/>
                <w:lang w:val="en-US" w:eastAsia="zh-CN"/>
              </w:rPr>
              <w:t>t</w:t>
            </w:r>
            <w:r>
              <w:rPr>
                <w:rFonts w:hint="eastAsia" w:ascii="Times New Roman" w:hAnsi="Times New Roman" w:eastAsia="宋体" w:cs="Times New Roman"/>
                <w:i w:val="0"/>
                <w:iCs w:val="0"/>
                <w:sz w:val="24"/>
                <w:szCs w:val="24"/>
                <w:highlight w:val="none"/>
                <w:vertAlign w:val="subscript"/>
                <w:lang w:val="en-US" w:eastAsia="zh-CN"/>
              </w:rPr>
              <w:t>i</w:t>
            </w:r>
            <w:r>
              <w:rPr>
                <w:rFonts w:hint="default"/>
                <w:highlight w:val="none"/>
                <w:lang w:val="en-US" w:eastAsia="zh-CN"/>
              </w:rPr>
              <w:t>—</w:t>
            </w:r>
            <w:r>
              <w:rPr>
                <w:rFonts w:hint="eastAsia" w:ascii="宋体" w:hAnsi="宋体" w:eastAsia="宋体" w:cs="宋体"/>
                <w:spacing w:val="1"/>
                <w:sz w:val="24"/>
                <w:szCs w:val="24"/>
                <w:highlight w:val="none"/>
              </w:rPr>
              <w:t>在</w:t>
            </w:r>
            <w:r>
              <w:rPr>
                <w:rFonts w:hint="default" w:ascii="Times New Roman" w:hAnsi="Times New Roman" w:eastAsia="宋体" w:cs="Times New Roman"/>
                <w:spacing w:val="1"/>
                <w:sz w:val="24"/>
                <w:szCs w:val="24"/>
                <w:highlight w:val="none"/>
                <w:lang w:val="en-US" w:eastAsia="zh-CN"/>
              </w:rPr>
              <w:t>T</w:t>
            </w:r>
            <w:r>
              <w:rPr>
                <w:rFonts w:hint="eastAsia" w:ascii="宋体" w:hAnsi="宋体" w:eastAsia="宋体" w:cs="宋体"/>
                <w:spacing w:val="1"/>
                <w:sz w:val="24"/>
                <w:szCs w:val="24"/>
                <w:highlight w:val="none"/>
              </w:rPr>
              <w:t>时间内</w:t>
            </w:r>
            <w:r>
              <w:rPr>
                <w:rFonts w:hint="default" w:ascii="Times New Roman" w:hAnsi="Times New Roman" w:eastAsia="宋体" w:cs="Times New Roman"/>
                <w:i/>
                <w:iCs/>
                <w:spacing w:val="1"/>
                <w:sz w:val="24"/>
                <w:szCs w:val="24"/>
                <w:highlight w:val="none"/>
              </w:rPr>
              <w:t>i</w:t>
            </w:r>
            <w:r>
              <w:rPr>
                <w:rFonts w:hint="eastAsia" w:ascii="宋体" w:hAnsi="宋体" w:eastAsia="宋体" w:cs="宋体"/>
                <w:spacing w:val="1"/>
                <w:sz w:val="24"/>
                <w:szCs w:val="24"/>
                <w:highlight w:val="none"/>
              </w:rPr>
              <w:t>声源工作时间，</w:t>
            </w:r>
            <w:r>
              <w:rPr>
                <w:rFonts w:hint="default" w:ascii="Times New Roman" w:hAnsi="Times New Roman" w:eastAsia="宋体" w:cs="Times New Roman"/>
                <w:spacing w:val="1"/>
                <w:sz w:val="24"/>
                <w:szCs w:val="24"/>
                <w:highlight w:val="none"/>
              </w:rPr>
              <w:t>s</w:t>
            </w:r>
            <w:r>
              <w:rPr>
                <w:rFonts w:hint="eastAsia" w:ascii="宋体" w:hAnsi="宋体" w:eastAsia="宋体" w:cs="宋体"/>
                <w:spacing w:val="1"/>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eastAsia="宋体" w:cs="宋体"/>
                <w:sz w:val="24"/>
                <w:szCs w:val="24"/>
                <w:highlight w:val="none"/>
              </w:rPr>
            </w:pPr>
            <w:r>
              <w:rPr>
                <w:rFonts w:ascii="Times New Roman" w:hAnsi="Times New Roman" w:eastAsia="Times New Roman" w:cs="Times New Roman"/>
                <w:i/>
                <w:iCs/>
                <w:sz w:val="24"/>
                <w:szCs w:val="24"/>
                <w:highlight w:val="none"/>
              </w:rPr>
              <w:t>M</w:t>
            </w:r>
            <w:r>
              <w:rPr>
                <w:rFonts w:hint="default"/>
                <w:highlight w:val="none"/>
                <w:lang w:val="en-US" w:eastAsia="zh-CN"/>
              </w:rPr>
              <w:t>—</w:t>
            </w:r>
            <w:r>
              <w:rPr>
                <w:rFonts w:ascii="宋体" w:hAnsi="宋体" w:eastAsia="宋体" w:cs="宋体"/>
                <w:spacing w:val="1"/>
                <w:sz w:val="24"/>
                <w:szCs w:val="24"/>
                <w:highlight w:val="none"/>
              </w:rPr>
              <w:t>等效室外声源</w:t>
            </w:r>
            <w:r>
              <w:rPr>
                <w:rFonts w:ascii="宋体" w:hAnsi="宋体" w:eastAsia="宋体" w:cs="宋体"/>
                <w:sz w:val="24"/>
                <w:szCs w:val="24"/>
                <w:highlight w:val="none"/>
              </w:rPr>
              <w:t>个数；</w:t>
            </w:r>
          </w:p>
          <w:p>
            <w:pPr>
              <w:keepNext w:val="0"/>
              <w:keepLines w:val="0"/>
              <w:pageBreakBefore w:val="0"/>
              <w:widowControl w:val="0"/>
              <w:kinsoku/>
              <w:wordWrap/>
              <w:overflowPunct/>
              <w:topLinePunct w:val="0"/>
              <w:autoSpaceDE/>
              <w:autoSpaceDN/>
              <w:bidi w:val="0"/>
              <w:adjustRightInd/>
              <w:snapToGrid/>
              <w:spacing w:line="360" w:lineRule="auto"/>
              <w:ind w:left="0" w:firstLine="484" w:firstLineChars="200"/>
              <w:textAlignment w:val="auto"/>
              <w:rPr>
                <w:rFonts w:hint="eastAsia" w:ascii="宋体" w:hAnsi="宋体" w:eastAsia="宋体" w:cs="宋体"/>
                <w:spacing w:val="1"/>
                <w:sz w:val="24"/>
                <w:szCs w:val="24"/>
                <w:highlight w:val="none"/>
              </w:rPr>
            </w:pPr>
            <w:r>
              <w:rPr>
                <w:rFonts w:hint="default" w:ascii="Times New Roman" w:hAnsi="Times New Roman" w:eastAsia="宋体" w:cs="Times New Roman"/>
                <w:i/>
                <w:iCs/>
                <w:spacing w:val="1"/>
                <w:sz w:val="24"/>
                <w:szCs w:val="24"/>
                <w:highlight w:val="none"/>
              </w:rPr>
              <w:t>t</w:t>
            </w:r>
            <w:r>
              <w:rPr>
                <w:rFonts w:hint="default" w:ascii="Times New Roman" w:hAnsi="Times New Roman" w:eastAsia="宋体" w:cs="Times New Roman"/>
                <w:spacing w:val="1"/>
                <w:sz w:val="24"/>
                <w:szCs w:val="24"/>
                <w:highlight w:val="none"/>
                <w:vertAlign w:val="subscript"/>
              </w:rPr>
              <w:t>j</w:t>
            </w:r>
            <w:r>
              <w:rPr>
                <w:rFonts w:hint="default"/>
                <w:highlight w:val="none"/>
                <w:lang w:val="en-US" w:eastAsia="zh-CN"/>
              </w:rPr>
              <w:t>—</w:t>
            </w:r>
            <w:r>
              <w:rPr>
                <w:rFonts w:hint="eastAsia" w:ascii="宋体" w:hAnsi="宋体" w:eastAsia="宋体" w:cs="宋体"/>
                <w:spacing w:val="1"/>
                <w:sz w:val="24"/>
                <w:szCs w:val="24"/>
                <w:highlight w:val="none"/>
              </w:rPr>
              <w:t>在</w:t>
            </w:r>
            <w:r>
              <w:rPr>
                <w:rFonts w:hint="default" w:ascii="Times New Roman" w:hAnsi="Times New Roman" w:eastAsia="宋体" w:cs="Times New Roman"/>
                <w:spacing w:val="1"/>
                <w:sz w:val="24"/>
                <w:szCs w:val="24"/>
                <w:highlight w:val="none"/>
              </w:rPr>
              <w:t>T</w:t>
            </w:r>
            <w:r>
              <w:rPr>
                <w:rFonts w:hint="eastAsia" w:ascii="宋体" w:hAnsi="宋体" w:eastAsia="宋体" w:cs="宋体"/>
                <w:spacing w:val="1"/>
                <w:sz w:val="24"/>
                <w:szCs w:val="24"/>
                <w:highlight w:val="none"/>
              </w:rPr>
              <w:t>时间内</w:t>
            </w:r>
            <w:r>
              <w:rPr>
                <w:rFonts w:hint="default" w:ascii="Times New Roman" w:hAnsi="Times New Roman" w:eastAsia="宋体" w:cs="Times New Roman"/>
                <w:i/>
                <w:iCs/>
                <w:spacing w:val="1"/>
                <w:sz w:val="24"/>
                <w:szCs w:val="24"/>
                <w:highlight w:val="none"/>
                <w:lang w:val="en-US" w:eastAsia="zh-CN"/>
              </w:rPr>
              <w:t>j</w:t>
            </w:r>
            <w:r>
              <w:rPr>
                <w:rFonts w:hint="eastAsia" w:ascii="宋体" w:hAnsi="宋体" w:eastAsia="宋体" w:cs="宋体"/>
                <w:spacing w:val="1"/>
                <w:sz w:val="24"/>
                <w:szCs w:val="24"/>
                <w:highlight w:val="none"/>
              </w:rPr>
              <w:t>声源工作时间，</w:t>
            </w:r>
            <w:r>
              <w:rPr>
                <w:rFonts w:hint="default" w:ascii="Times New Roman" w:hAnsi="Times New Roman" w:eastAsia="宋体" w:cs="Times New Roman"/>
                <w:spacing w:val="1"/>
                <w:sz w:val="24"/>
                <w:szCs w:val="24"/>
                <w:highlight w:val="none"/>
              </w:rPr>
              <w:t>s</w:t>
            </w:r>
            <w:r>
              <w:rPr>
                <w:rFonts w:hint="eastAsia" w:ascii="宋体" w:hAnsi="宋体" w:eastAsia="宋体" w:cs="宋体"/>
                <w:spacing w:val="1"/>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主要噪声源距离厂界距离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4"/>
                <w:szCs w:val="24"/>
                <w:highlight w:val="none"/>
              </w:rPr>
              <w:t>根据项目所处的地理位置及项目平面布置情况，各噪声源与厂界距离详见表</w:t>
            </w:r>
            <w:r>
              <w:rPr>
                <w:rFonts w:hint="default" w:ascii="Times New Roman" w:hAnsi="Times New Roman" w:eastAsia="宋体" w:cs="Times New Roman"/>
                <w:color w:val="auto"/>
                <w:sz w:val="24"/>
                <w:szCs w:val="24"/>
                <w:highlight w:val="none"/>
                <w:lang w:val="en-US" w:eastAsia="zh-CN"/>
              </w:rPr>
              <w:t>4</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w:t>
            </w:r>
          </w:p>
          <w:p>
            <w:pPr>
              <w:keepNext w:val="0"/>
              <w:keepLines w:val="0"/>
              <w:pageBreakBefore w:val="0"/>
              <w:widowControl w:val="0"/>
              <w:tabs>
                <w:tab w:val="left" w:pos="2558"/>
                <w:tab w:val="right" w:pos="8077"/>
              </w:tabs>
              <w:kinsoku/>
              <w:wordWrap/>
              <w:overflowPunct/>
              <w:topLinePunct w:val="0"/>
              <w:autoSpaceDE/>
              <w:autoSpaceDN/>
              <w:bidi w:val="0"/>
              <w:adjustRightInd/>
              <w:snapToGrid w:val="0"/>
              <w:jc w:val="right"/>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表</w:t>
            </w:r>
            <w:r>
              <w:rPr>
                <w:rFonts w:hint="default" w:ascii="Times New Roman" w:hAnsi="Times New Roman" w:eastAsia="宋体" w:cs="Times New Roman"/>
                <w:b/>
                <w:color w:val="auto"/>
                <w:sz w:val="21"/>
                <w:szCs w:val="21"/>
                <w:highlight w:val="none"/>
                <w:lang w:val="en-US" w:eastAsia="zh-CN"/>
              </w:rPr>
              <w:t>4</w:t>
            </w:r>
            <w:r>
              <w:rPr>
                <w:rFonts w:hint="eastAsia" w:cs="Times New Roman"/>
                <w:b/>
                <w:color w:val="auto"/>
                <w:sz w:val="21"/>
                <w:szCs w:val="21"/>
                <w:highlight w:val="none"/>
                <w:lang w:val="en-US" w:eastAsia="zh-CN"/>
              </w:rPr>
              <w:t>-8</w:t>
            </w:r>
            <w:r>
              <w:rPr>
                <w:rFonts w:hint="default" w:ascii="Times New Roman" w:hAnsi="Times New Roman" w:eastAsia="宋体" w:cs="Times New Roman"/>
                <w:b/>
                <w:color w:val="auto"/>
                <w:sz w:val="21"/>
                <w:szCs w:val="21"/>
                <w:highlight w:val="none"/>
                <w:lang w:val="en-US" w:eastAsia="zh-CN"/>
              </w:rPr>
              <w:t xml:space="preserve">  </w:t>
            </w:r>
            <w:r>
              <w:rPr>
                <w:rFonts w:hint="default" w:ascii="Times New Roman" w:hAnsi="Times New Roman" w:eastAsia="宋体" w:cs="Times New Roman"/>
                <w:b/>
                <w:color w:val="auto"/>
                <w:sz w:val="21"/>
                <w:szCs w:val="21"/>
                <w:highlight w:val="none"/>
              </w:rPr>
              <w:t xml:space="preserve"> 噪声源距厂界距离       </w:t>
            </w:r>
            <w:r>
              <w:rPr>
                <w:rFonts w:hint="default" w:ascii="Times New Roman" w:hAnsi="Times New Roman" w:eastAsia="宋体" w:cs="Times New Roman"/>
                <w:b/>
                <w:color w:val="auto"/>
                <w:sz w:val="21"/>
                <w:szCs w:val="21"/>
                <w:highlight w:val="none"/>
                <w:lang w:val="en-US" w:eastAsia="zh-CN"/>
              </w:rPr>
              <w:t xml:space="preserve">     </w:t>
            </w:r>
            <w:r>
              <w:rPr>
                <w:rFonts w:hint="default" w:ascii="Times New Roman" w:hAnsi="Times New Roman" w:eastAsia="宋体" w:cs="Times New Roman"/>
                <w:b/>
                <w:color w:val="auto"/>
                <w:sz w:val="21"/>
                <w:szCs w:val="21"/>
                <w:highlight w:val="none"/>
              </w:rPr>
              <w:t xml:space="preserve">          单位：m</w:t>
            </w:r>
          </w:p>
          <w:tbl>
            <w:tblPr>
              <w:tblStyle w:val="21"/>
              <w:tblW w:w="4995"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2107"/>
              <w:gridCol w:w="1538"/>
              <w:gridCol w:w="1538"/>
              <w:gridCol w:w="1539"/>
              <w:gridCol w:w="154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274"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东厂界</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南厂界</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西厂界</w:t>
                  </w:r>
                </w:p>
              </w:tc>
              <w:tc>
                <w:tcPr>
                  <w:tcW w:w="933"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rPr>
                    <w:t>北厂界</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274"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sz w:val="21"/>
                      <w:szCs w:val="21"/>
                      <w:highlight w:val="none"/>
                      <w:lang w:val="en-US" w:eastAsia="zh-CN"/>
                    </w:rPr>
                    <w:t>储煤库1</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361</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24</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w:t>
                  </w:r>
                </w:p>
              </w:tc>
              <w:tc>
                <w:tcPr>
                  <w:tcW w:w="933"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274"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highlight w:val="none"/>
                      <w:lang w:val="en-US" w:eastAsia="zh-CN"/>
                    </w:rPr>
                  </w:pPr>
                  <w:r>
                    <w:rPr>
                      <w:rFonts w:hint="eastAsia" w:cs="Times New Roman"/>
                      <w:color w:val="auto"/>
                      <w:sz w:val="21"/>
                      <w:szCs w:val="21"/>
                      <w:highlight w:val="none"/>
                      <w:lang w:val="en-US" w:eastAsia="zh-CN"/>
                    </w:rPr>
                    <w:t>储煤库2</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184</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173</w:t>
                  </w:r>
                </w:p>
              </w:tc>
              <w:tc>
                <w:tcPr>
                  <w:tcW w:w="933"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119</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274" w:type="pct"/>
                  <w:tcBorders>
                    <w:bottom w:val="double" w:color="auto" w:sz="4" w:space="0"/>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highlight w:val="none"/>
                      <w:lang w:val="en-US" w:eastAsia="zh-CN"/>
                    </w:rPr>
                  </w:pPr>
                  <w:r>
                    <w:rPr>
                      <w:rFonts w:hint="eastAsia"/>
                      <w:sz w:val="21"/>
                      <w:szCs w:val="21"/>
                      <w:highlight w:val="none"/>
                      <w:lang w:val="en-US" w:eastAsia="zh-CN"/>
                    </w:rPr>
                    <w:t>储煤库3</w:t>
                  </w:r>
                </w:p>
              </w:tc>
              <w:tc>
                <w:tcPr>
                  <w:tcW w:w="930" w:type="pct"/>
                  <w:tcBorders>
                    <w:bottom w:val="double" w:color="auto" w:sz="4" w:space="0"/>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143</w:t>
                  </w:r>
                </w:p>
              </w:tc>
              <w:tc>
                <w:tcPr>
                  <w:tcW w:w="930" w:type="pct"/>
                  <w:tcBorders>
                    <w:bottom w:val="double" w:color="auto" w:sz="4" w:space="0"/>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63</w:t>
                  </w:r>
                </w:p>
              </w:tc>
              <w:tc>
                <w:tcPr>
                  <w:tcW w:w="930" w:type="pct"/>
                  <w:tcBorders>
                    <w:bottom w:val="double" w:color="auto" w:sz="4" w:space="0"/>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243</w:t>
                  </w:r>
                </w:p>
              </w:tc>
              <w:tc>
                <w:tcPr>
                  <w:tcW w:w="933" w:type="pct"/>
                  <w:tcBorders>
                    <w:bottom w:val="double" w:color="auto" w:sz="4" w:space="0"/>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50</w:t>
                  </w:r>
                </w:p>
              </w:tc>
            </w:tr>
          </w:tbl>
          <w:p>
            <w:pPr>
              <w:keepNext w:val="0"/>
              <w:keepLines w:val="0"/>
              <w:pageBreakBefore w:val="0"/>
              <w:widowControl/>
              <w:kinsoku/>
              <w:wordWrap/>
              <w:overflowPunct/>
              <w:topLinePunct w:val="0"/>
              <w:autoSpaceDE/>
              <w:autoSpaceDN/>
              <w:bidi w:val="0"/>
              <w:adjustRightInd/>
              <w:snapToGrid/>
              <w:spacing w:before="157" w:beforeLines="50" w:line="360" w:lineRule="auto"/>
              <w:ind w:firstLine="480" w:firstLineChars="200"/>
              <w:jc w:val="left"/>
              <w:textAlignment w:val="auto"/>
              <w:rPr>
                <w:rFonts w:hint="default" w:ascii="Times New Roman" w:hAnsi="Times New Roman" w:eastAsia="宋体" w:cs="Times New Roman"/>
                <w:b w:val="0"/>
                <w:bCs w:val="0"/>
                <w:color w:val="auto"/>
                <w:highlight w:val="none"/>
              </w:rPr>
            </w:pPr>
            <w:r>
              <w:rPr>
                <w:rFonts w:hint="eastAsia" w:cs="Times New Roman"/>
                <w:b w:val="0"/>
                <w:bCs w:val="0"/>
                <w:color w:val="auto"/>
                <w:kern w:val="0"/>
                <w:sz w:val="24"/>
                <w:highlight w:val="none"/>
                <w:lang w:val="en-US" w:eastAsia="zh-CN" w:bidi="ar"/>
              </w:rPr>
              <w:t>3</w:t>
            </w:r>
            <w:r>
              <w:rPr>
                <w:rFonts w:hint="eastAsia" w:ascii="Times New Roman" w:hAnsi="Times New Roman" w:eastAsia="宋体"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bidi="ar"/>
              </w:rPr>
              <w:t xml:space="preserve">预测结果及分析 </w:t>
            </w:r>
          </w:p>
          <w:p>
            <w:pPr>
              <w:tabs>
                <w:tab w:val="left" w:pos="4800"/>
              </w:tabs>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根据上述分析和计算公式，在项目采取降噪措施后，经</w:t>
            </w:r>
            <w:r>
              <w:rPr>
                <w:rFonts w:hint="default" w:ascii="Times New Roman" w:hAnsi="Times New Roman" w:eastAsia="宋体" w:cs="Times New Roman"/>
                <w:color w:val="auto"/>
                <w:sz w:val="24"/>
                <w:highlight w:val="none"/>
                <w:lang w:val="en-US" w:eastAsia="zh-CN"/>
              </w:rPr>
              <w:t>建筑隔声、</w:t>
            </w:r>
            <w:r>
              <w:rPr>
                <w:rFonts w:hint="default" w:ascii="Times New Roman" w:hAnsi="Times New Roman" w:eastAsia="宋体" w:cs="Times New Roman"/>
                <w:color w:val="auto"/>
                <w:sz w:val="24"/>
                <w:highlight w:val="none"/>
              </w:rPr>
              <w:t>距离衰减后对厂界影响计算出</w:t>
            </w:r>
            <w:r>
              <w:rPr>
                <w:rFonts w:hint="eastAsia" w:cs="Times New Roman"/>
                <w:color w:val="auto"/>
                <w:sz w:val="24"/>
                <w:highlight w:val="none"/>
                <w:lang w:eastAsia="zh-CN"/>
              </w:rPr>
              <w:t>各厂</w:t>
            </w:r>
            <w:r>
              <w:rPr>
                <w:rFonts w:hint="default" w:ascii="Times New Roman" w:hAnsi="Times New Roman" w:eastAsia="宋体" w:cs="Times New Roman"/>
                <w:color w:val="auto"/>
                <w:sz w:val="24"/>
                <w:highlight w:val="none"/>
              </w:rPr>
              <w:t>界噪声贡献值，预测结果见表4</w:t>
            </w:r>
            <w:r>
              <w:rPr>
                <w:rFonts w:hint="eastAsia" w:cs="Times New Roman"/>
                <w:color w:val="auto"/>
                <w:sz w:val="24"/>
                <w:highlight w:val="none"/>
                <w:lang w:val="en-US" w:eastAsia="zh-CN"/>
              </w:rPr>
              <w:t>-9</w:t>
            </w:r>
            <w:r>
              <w:rPr>
                <w:rFonts w:hint="default" w:ascii="Times New Roman" w:hAnsi="Times New Roman" w:eastAsia="宋体" w:cs="Times New Roman"/>
                <w:color w:val="auto"/>
                <w:sz w:val="24"/>
                <w:highlight w:val="none"/>
              </w:rPr>
              <w:t>。</w:t>
            </w:r>
          </w:p>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表4</w:t>
            </w:r>
            <w:r>
              <w:rPr>
                <w:rFonts w:hint="eastAsia" w:cs="Times New Roman"/>
                <w:b/>
                <w:bCs/>
                <w:color w:val="auto"/>
                <w:sz w:val="21"/>
                <w:szCs w:val="21"/>
                <w:highlight w:val="none"/>
                <w:lang w:val="en-US" w:eastAsia="zh-CN"/>
              </w:rPr>
              <w:t>-9</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 xml:space="preserve"> 厂界噪声预测结果与达标分析表  （单位：dB（A））</w:t>
            </w:r>
          </w:p>
          <w:tbl>
            <w:tblPr>
              <w:tblStyle w:val="22"/>
              <w:tblW w:w="4995"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4"/>
              <w:gridCol w:w="1729"/>
              <w:gridCol w:w="2205"/>
              <w:gridCol w:w="179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vMerge w:val="restar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序号</w:t>
                  </w:r>
                </w:p>
              </w:tc>
              <w:tc>
                <w:tcPr>
                  <w:tcW w:w="1012" w:type="pct"/>
                  <w:vMerge w:val="restar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预测位置</w:t>
                  </w:r>
                </w:p>
              </w:tc>
              <w:tc>
                <w:tcPr>
                  <w:tcW w:w="1045" w:type="pc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贡献值</w:t>
                  </w:r>
                </w:p>
              </w:tc>
              <w:tc>
                <w:tcPr>
                  <w:tcW w:w="1333" w:type="pc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标准值</w:t>
                  </w:r>
                </w:p>
              </w:tc>
              <w:tc>
                <w:tcPr>
                  <w:tcW w:w="1085" w:type="pc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达标情况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vMerge w:val="continue"/>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p>
              </w:tc>
              <w:tc>
                <w:tcPr>
                  <w:tcW w:w="1012" w:type="pct"/>
                  <w:vMerge w:val="continue"/>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p>
              </w:tc>
              <w:tc>
                <w:tcPr>
                  <w:tcW w:w="1045" w:type="pct"/>
                  <w:tcBorders>
                    <w:tl2br w:val="nil"/>
                    <w:tr2bl w:val="nil"/>
                  </w:tcBorders>
                  <w:shd w:val="clear" w:color="auto" w:fill="auto"/>
                  <w:tcMar>
                    <w:top w:w="0" w:type="dxa"/>
                    <w:left w:w="108" w:type="dxa"/>
                    <w:bottom w:w="0" w:type="dxa"/>
                    <w:right w:w="108" w:type="dxa"/>
                  </w:tcMar>
                  <w:vAlign w:val="center"/>
                </w:tcPr>
                <w:p>
                  <w:pPr>
                    <w:jc w:val="center"/>
                    <w:rPr>
                      <w:rFonts w:hint="default"/>
                      <w:b/>
                      <w:bCs/>
                      <w:color w:val="auto"/>
                      <w:sz w:val="21"/>
                      <w:szCs w:val="21"/>
                      <w:highlight w:val="none"/>
                      <w:lang w:val="en-US" w:eastAsia="zh-CN"/>
                    </w:rPr>
                  </w:pPr>
                  <w:r>
                    <w:rPr>
                      <w:rFonts w:hint="default"/>
                      <w:b/>
                      <w:bCs/>
                      <w:color w:val="auto"/>
                      <w:sz w:val="21"/>
                      <w:szCs w:val="21"/>
                      <w:highlight w:val="none"/>
                    </w:rPr>
                    <w:t>昼间</w:t>
                  </w:r>
                </w:p>
              </w:tc>
              <w:tc>
                <w:tcPr>
                  <w:tcW w:w="1333" w:type="pc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昼间</w:t>
                  </w:r>
                </w:p>
              </w:tc>
              <w:tc>
                <w:tcPr>
                  <w:tcW w:w="1085" w:type="pc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昼间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1</w:t>
                  </w:r>
                </w:p>
              </w:tc>
              <w:tc>
                <w:tcPr>
                  <w:tcW w:w="101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东厂界</w:t>
                  </w:r>
                </w:p>
              </w:tc>
              <w:tc>
                <w:tcPr>
                  <w:tcW w:w="1045"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36.88</w:t>
                  </w:r>
                </w:p>
              </w:tc>
              <w:tc>
                <w:tcPr>
                  <w:tcW w:w="1333" w:type="pct"/>
                  <w:vMerge w:val="restart"/>
                  <w:tcBorders>
                    <w:tl2br w:val="nil"/>
                    <w:tr2bl w:val="nil"/>
                  </w:tcBorders>
                  <w:tcMar>
                    <w:top w:w="0" w:type="dxa"/>
                    <w:left w:w="108" w:type="dxa"/>
                    <w:bottom w:w="0" w:type="dxa"/>
                    <w:right w:w="108" w:type="dxa"/>
                  </w:tcMar>
                  <w:vAlign w:val="center"/>
                </w:tcPr>
                <w:p>
                  <w:pPr>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65</w:t>
                  </w:r>
                </w:p>
              </w:tc>
              <w:tc>
                <w:tcPr>
                  <w:tcW w:w="1085" w:type="pct"/>
                  <w:vMerge w:val="restart"/>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r>
                    <w:rPr>
                      <w:rFonts w:hint="default"/>
                      <w:color w:val="auto"/>
                      <w:sz w:val="21"/>
                      <w:szCs w:val="21"/>
                      <w:highlight w:val="none"/>
                    </w:rPr>
                    <w:t>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2</w:t>
                  </w:r>
                </w:p>
              </w:tc>
              <w:tc>
                <w:tcPr>
                  <w:tcW w:w="101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南厂界</w:t>
                  </w:r>
                </w:p>
              </w:tc>
              <w:tc>
                <w:tcPr>
                  <w:tcW w:w="1045"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59.47</w:t>
                  </w:r>
                </w:p>
              </w:tc>
              <w:tc>
                <w:tcPr>
                  <w:tcW w:w="1333" w:type="pct"/>
                  <w:vMerge w:val="continue"/>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p>
              </w:tc>
              <w:tc>
                <w:tcPr>
                  <w:tcW w:w="1085" w:type="pct"/>
                  <w:vMerge w:val="continue"/>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3</w:t>
                  </w:r>
                </w:p>
              </w:tc>
              <w:tc>
                <w:tcPr>
                  <w:tcW w:w="101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西厂界</w:t>
                  </w:r>
                </w:p>
              </w:tc>
              <w:tc>
                <w:tcPr>
                  <w:tcW w:w="1045"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55.01</w:t>
                  </w:r>
                </w:p>
              </w:tc>
              <w:tc>
                <w:tcPr>
                  <w:tcW w:w="1333" w:type="pct"/>
                  <w:vMerge w:val="continue"/>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p>
              </w:tc>
              <w:tc>
                <w:tcPr>
                  <w:tcW w:w="1085" w:type="pct"/>
                  <w:vMerge w:val="continue"/>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4</w:t>
                  </w:r>
                </w:p>
              </w:tc>
              <w:tc>
                <w:tcPr>
                  <w:tcW w:w="101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北厂界</w:t>
                  </w:r>
                </w:p>
              </w:tc>
              <w:tc>
                <w:tcPr>
                  <w:tcW w:w="1045"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52.81</w:t>
                  </w:r>
                </w:p>
              </w:tc>
              <w:tc>
                <w:tcPr>
                  <w:tcW w:w="1333" w:type="pct"/>
                  <w:vMerge w:val="continue"/>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p>
              </w:tc>
              <w:tc>
                <w:tcPr>
                  <w:tcW w:w="1085" w:type="pct"/>
                  <w:vMerge w:val="continue"/>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p>
              </w:tc>
            </w:tr>
          </w:tbl>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highlight w:val="none"/>
                <w:lang w:val="en-US" w:eastAsia="zh-CN"/>
              </w:rPr>
            </w:pPr>
            <w:r>
              <w:rPr>
                <w:rFonts w:hint="eastAsia"/>
                <w:b/>
                <w:bCs/>
                <w:sz w:val="21"/>
                <w:szCs w:val="21"/>
                <w:highlight w:val="none"/>
                <w:lang w:val="en-US" w:eastAsia="zh-CN"/>
              </w:rPr>
              <w:t>注：本项目仅在昼间运营。</w:t>
            </w:r>
            <w:r>
              <w:rPr>
                <w:rFonts w:hint="eastAsia"/>
                <w:highlight w:val="none"/>
                <w:lang w:val="en-US" w:eastAsia="zh-CN"/>
              </w:rPr>
              <w:t xml:space="preserve">  </w:t>
            </w:r>
          </w:p>
          <w:p>
            <w:pPr>
              <w:spacing w:line="360" w:lineRule="auto"/>
              <w:ind w:firstLine="480" w:firstLineChars="200"/>
              <w:rPr>
                <w:rFonts w:hint="eastAsia"/>
                <w:highlight w:val="none"/>
                <w:lang w:val="en-US" w:eastAsia="zh-CN"/>
              </w:rPr>
            </w:pPr>
            <w:r>
              <w:rPr>
                <w:rFonts w:hint="eastAsia"/>
                <w:sz w:val="24"/>
                <w:szCs w:val="24"/>
                <w:highlight w:val="none"/>
                <w:lang w:val="en-US" w:eastAsia="zh-CN"/>
              </w:rPr>
              <w:t>通过上述结果可知，本项目厂界噪声贡献值满足</w:t>
            </w:r>
            <w:r>
              <w:rPr>
                <w:rFonts w:hint="default" w:ascii="Times New Roman" w:hAnsi="Times New Roman" w:eastAsia="宋体" w:cs="Times New Roman"/>
                <w:color w:val="auto"/>
                <w:sz w:val="24"/>
                <w:szCs w:val="24"/>
                <w:highlight w:val="none"/>
                <w:lang w:val="en-US" w:eastAsia="zh-CN"/>
              </w:rPr>
              <w:t>《工业企业厂界环境噪声排放标准》（GB</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12348-2008）</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类噪声标准</w:t>
            </w:r>
            <w:r>
              <w:rPr>
                <w:rFonts w:hint="eastAsia"/>
                <w:sz w:val="24"/>
                <w:szCs w:val="24"/>
                <w:highlight w:val="none"/>
                <w:lang w:val="en-US" w:eastAsia="zh-CN"/>
              </w:rPr>
              <w:t>昼间65dB（A）要求。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cs="Times New Roman"/>
                <w:b w:val="0"/>
                <w:bCs w:val="0"/>
                <w:color w:val="auto"/>
                <w:kern w:val="0"/>
                <w:sz w:val="24"/>
                <w:highlight w:val="none"/>
                <w:lang w:val="en-US" w:eastAsia="zh-CN" w:bidi="ar"/>
              </w:rPr>
              <w:t>4</w:t>
            </w:r>
            <w:r>
              <w:rPr>
                <w:rFonts w:hint="eastAsia" w:ascii="Times New Roman" w:hAnsi="Times New Roman" w:eastAsia="宋体" w:cs="Times New Roman"/>
                <w:b w:val="0"/>
                <w:bCs w:val="0"/>
                <w:color w:val="auto"/>
                <w:kern w:val="0"/>
                <w:sz w:val="24"/>
                <w:highlight w:val="none"/>
                <w:lang w:val="en-US" w:eastAsia="zh-CN" w:bidi="ar"/>
              </w:rPr>
              <w:t>、</w:t>
            </w:r>
            <w:r>
              <w:rPr>
                <w:rFonts w:hint="eastAsia"/>
                <w:sz w:val="24"/>
                <w:szCs w:val="24"/>
                <w:highlight w:val="none"/>
                <w:lang w:val="en-US" w:eastAsia="zh-CN"/>
              </w:rPr>
              <w:t>线声源噪声对附近居民的影响</w:t>
            </w:r>
          </w:p>
          <w:p>
            <w:pPr>
              <w:spacing w:line="360" w:lineRule="auto"/>
              <w:ind w:firstLine="480" w:firstLineChars="200"/>
              <w:rPr>
                <w:rFonts w:hint="eastAsia" w:cs="Times New Roman"/>
                <w:color w:val="auto"/>
                <w:sz w:val="24"/>
                <w:szCs w:val="24"/>
                <w:highlight w:val="none"/>
                <w:u w:val="none"/>
                <w:lang w:val="en-US" w:eastAsia="zh-CN"/>
              </w:rPr>
            </w:pPr>
            <w:r>
              <w:rPr>
                <w:rFonts w:hint="eastAsia" w:cs="Times New Roman"/>
                <w:color w:val="auto"/>
                <w:sz w:val="24"/>
                <w:szCs w:val="24"/>
                <w:highlight w:val="none"/>
                <w:u w:val="none"/>
                <w:lang w:val="en-US" w:eastAsia="zh-CN"/>
              </w:rPr>
              <w:t>由于采取了厂区内限值鸣笛等措施，本项目火车线声源仅考虑振动源强。根据铁道部《关于印发&lt;铁路建设项目环境影响评价噪声振动源强取值和治理原则指导意见（2010年修订稿）&gt;的通知》（铁计[2010]44号），普通列车振动源强见下表。</w:t>
            </w:r>
          </w:p>
          <w:p>
            <w:pPr>
              <w:spacing w:line="360" w:lineRule="auto"/>
              <w:jc w:val="center"/>
              <w:rPr>
                <w:rFonts w:hint="default" w:ascii="Times New Roman" w:hAnsi="Times New Roman" w:eastAsia="宋体" w:cs="Times New Roman"/>
                <w:b/>
                <w:bCs/>
                <w:color w:val="auto"/>
                <w:sz w:val="21"/>
                <w:szCs w:val="21"/>
                <w:highlight w:val="none"/>
                <w:u w:val="none"/>
                <w:lang w:val="en-US"/>
              </w:rPr>
            </w:pPr>
            <w:r>
              <w:rPr>
                <w:rFonts w:hint="default" w:ascii="Times New Roman" w:hAnsi="Times New Roman" w:eastAsia="宋体" w:cs="Times New Roman"/>
                <w:b/>
                <w:bCs/>
                <w:color w:val="auto"/>
                <w:sz w:val="21"/>
                <w:szCs w:val="21"/>
                <w:highlight w:val="none"/>
                <w:u w:val="none"/>
              </w:rPr>
              <w:br w:type="page"/>
            </w:r>
            <w:r>
              <w:rPr>
                <w:rFonts w:hint="default" w:ascii="Times New Roman" w:hAnsi="Times New Roman" w:eastAsia="宋体" w:cs="Times New Roman"/>
                <w:b/>
                <w:bCs/>
                <w:color w:val="auto"/>
                <w:sz w:val="21"/>
                <w:szCs w:val="21"/>
                <w:highlight w:val="none"/>
                <w:u w:val="none"/>
              </w:rPr>
              <w:t>表4</w:t>
            </w:r>
            <w:r>
              <w:rPr>
                <w:rFonts w:hint="eastAsia" w:ascii="Times New Roman" w:hAnsi="Times New Roman" w:eastAsia="宋体" w:cs="Times New Roman"/>
                <w:b/>
                <w:bCs/>
                <w:color w:val="auto"/>
                <w:sz w:val="21"/>
                <w:szCs w:val="21"/>
                <w:highlight w:val="none"/>
                <w:u w:val="none"/>
                <w:lang w:val="en-US" w:eastAsia="zh-CN"/>
              </w:rPr>
              <w:t>-</w:t>
            </w:r>
            <w:r>
              <w:rPr>
                <w:rFonts w:hint="eastAsia" w:cs="Times New Roman"/>
                <w:b/>
                <w:bCs/>
                <w:color w:val="auto"/>
                <w:sz w:val="21"/>
                <w:szCs w:val="21"/>
                <w:highlight w:val="none"/>
                <w:u w:val="none"/>
                <w:lang w:val="en-US" w:eastAsia="zh-CN"/>
              </w:rPr>
              <w:t>10</w:t>
            </w:r>
            <w:r>
              <w:rPr>
                <w:rFonts w:hint="default" w:ascii="Times New Roman" w:hAnsi="Times New Roman" w:eastAsia="宋体" w:cs="Times New Roman"/>
                <w:b/>
                <w:bCs/>
                <w:color w:val="auto"/>
                <w:sz w:val="21"/>
                <w:szCs w:val="21"/>
                <w:highlight w:val="none"/>
                <w:u w:val="none"/>
              </w:rPr>
              <w:t xml:space="preserve">  </w:t>
            </w:r>
            <w:r>
              <w:rPr>
                <w:rFonts w:hint="eastAsia" w:eastAsia="宋体" w:cs="Times New Roman"/>
                <w:b/>
                <w:bCs/>
                <w:color w:val="auto"/>
                <w:sz w:val="21"/>
                <w:szCs w:val="21"/>
                <w:highlight w:val="none"/>
                <w:u w:val="none"/>
                <w:lang w:val="en-US" w:eastAsia="zh-CN"/>
              </w:rPr>
              <w:t>普通列车振动源强</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6"/>
              <w:gridCol w:w="1378"/>
              <w:gridCol w:w="1201"/>
              <w:gridCol w:w="1314"/>
              <w:gridCol w:w="1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1855" w:type="pct"/>
                  <w:tcBorders>
                    <w:top w:val="double" w:color="auto" w:sz="4" w:space="0"/>
                    <w:left w:val="nil"/>
                  </w:tcBorders>
                  <w:shd w:val="clear" w:color="auto" w:fill="auto"/>
                  <w:noWrap w:val="0"/>
                  <w:vAlign w:val="center"/>
                </w:tcPr>
                <w:p>
                  <w:pPr>
                    <w:jc w:val="center"/>
                    <w:rPr>
                      <w:rFonts w:hint="default" w:cs="Times New Roman"/>
                      <w:color w:val="auto"/>
                      <w:sz w:val="21"/>
                      <w:szCs w:val="21"/>
                      <w:highlight w:val="none"/>
                      <w:u w:val="none"/>
                      <w:lang w:val="en-US" w:eastAsia="zh-CN"/>
                    </w:rPr>
                  </w:pPr>
                  <w:r>
                    <w:rPr>
                      <w:rFonts w:hint="eastAsia" w:cs="Times New Roman"/>
                      <w:color w:val="auto"/>
                      <w:sz w:val="21"/>
                      <w:szCs w:val="21"/>
                      <w:highlight w:val="none"/>
                      <w:u w:val="none"/>
                      <w:lang w:val="en-US" w:eastAsia="zh-CN"/>
                    </w:rPr>
                    <w:t>速度（km/h）</w:t>
                  </w:r>
                </w:p>
              </w:tc>
              <w:tc>
                <w:tcPr>
                  <w:tcW w:w="834" w:type="pct"/>
                  <w:tcBorders>
                    <w:top w:val="double" w:color="auto" w:sz="4" w:space="0"/>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u w:val="none"/>
                      <w:lang w:val="en-US" w:eastAsia="zh-CN" w:bidi="ar-SA"/>
                    </w:rPr>
                  </w:pPr>
                  <w:r>
                    <w:rPr>
                      <w:rFonts w:hint="eastAsia" w:ascii="Times New Roman" w:hAnsi="Times New Roman" w:eastAsia="宋体" w:cs="Times New Roman"/>
                      <w:color w:val="auto"/>
                      <w:sz w:val="21"/>
                      <w:szCs w:val="21"/>
                      <w:highlight w:val="none"/>
                      <w:u w:val="none"/>
                      <w:lang w:val="en-US" w:eastAsia="zh-CN"/>
                    </w:rPr>
                    <w:t>50</w:t>
                  </w:r>
                </w:p>
              </w:tc>
              <w:tc>
                <w:tcPr>
                  <w:tcW w:w="727" w:type="pct"/>
                  <w:tcBorders>
                    <w:top w:val="double" w:color="auto" w:sz="4" w:space="0"/>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auto"/>
                      <w:kern w:val="0"/>
                      <w:sz w:val="21"/>
                      <w:szCs w:val="21"/>
                      <w:highlight w:val="none"/>
                      <w:u w:val="none"/>
                      <w:lang w:val="en-US" w:eastAsia="zh-CN" w:bidi="ar"/>
                    </w:rPr>
                  </w:pPr>
                  <w:r>
                    <w:rPr>
                      <w:rFonts w:hint="eastAsia" w:ascii="Times New Roman" w:hAnsi="Times New Roman" w:eastAsia="等线" w:cs="Times New Roman"/>
                      <w:i w:val="0"/>
                      <w:iCs w:val="0"/>
                      <w:color w:val="auto"/>
                      <w:kern w:val="0"/>
                      <w:sz w:val="21"/>
                      <w:szCs w:val="21"/>
                      <w:highlight w:val="none"/>
                      <w:u w:val="none"/>
                      <w:lang w:val="en-US" w:eastAsia="zh-CN" w:bidi="ar"/>
                    </w:rPr>
                    <w:t>60</w:t>
                  </w:r>
                </w:p>
              </w:tc>
              <w:tc>
                <w:tcPr>
                  <w:tcW w:w="795" w:type="pct"/>
                  <w:tcBorders>
                    <w:top w:val="double" w:color="auto" w:sz="4" w:space="0"/>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auto"/>
                      <w:kern w:val="0"/>
                      <w:sz w:val="21"/>
                      <w:szCs w:val="21"/>
                      <w:highlight w:val="none"/>
                      <w:u w:val="none"/>
                      <w:lang w:val="en-US" w:eastAsia="zh-CN" w:bidi="ar"/>
                    </w:rPr>
                  </w:pPr>
                  <w:r>
                    <w:rPr>
                      <w:rFonts w:hint="eastAsia" w:ascii="Times New Roman" w:hAnsi="Times New Roman" w:eastAsia="等线" w:cs="Times New Roman"/>
                      <w:i w:val="0"/>
                      <w:iCs w:val="0"/>
                      <w:color w:val="auto"/>
                      <w:kern w:val="0"/>
                      <w:sz w:val="21"/>
                      <w:szCs w:val="21"/>
                      <w:highlight w:val="none"/>
                      <w:u w:val="none"/>
                      <w:lang w:val="en-US" w:eastAsia="zh-CN" w:bidi="ar"/>
                    </w:rPr>
                    <w:t>70</w:t>
                  </w:r>
                </w:p>
              </w:tc>
              <w:tc>
                <w:tcPr>
                  <w:tcW w:w="788" w:type="pct"/>
                  <w:tcBorders>
                    <w:top w:val="double" w:color="auto" w:sz="4" w:space="0"/>
                    <w:right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auto"/>
                      <w:kern w:val="0"/>
                      <w:sz w:val="21"/>
                      <w:szCs w:val="21"/>
                      <w:highlight w:val="none"/>
                      <w:u w:val="none"/>
                      <w:lang w:val="en-US" w:eastAsia="zh-CN" w:bidi="ar"/>
                    </w:rPr>
                  </w:pPr>
                  <w:r>
                    <w:rPr>
                      <w:rFonts w:hint="eastAsia" w:ascii="Times New Roman" w:hAnsi="Times New Roman" w:eastAsia="等线" w:cs="Times New Roman"/>
                      <w:i w:val="0"/>
                      <w:iCs w:val="0"/>
                      <w:color w:val="auto"/>
                      <w:kern w:val="0"/>
                      <w:sz w:val="21"/>
                      <w:szCs w:val="21"/>
                      <w:highlight w:val="none"/>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1855" w:type="pct"/>
                  <w:tcBorders>
                    <w:left w:val="nil"/>
                    <w:bottom w:val="double" w:color="auto" w:sz="4" w:space="0"/>
                  </w:tcBorders>
                  <w:shd w:val="clear" w:color="auto" w:fill="auto"/>
                  <w:noWrap w:val="0"/>
                  <w:vAlign w:val="center"/>
                </w:tcPr>
                <w:p>
                  <w:pPr>
                    <w:jc w:val="center"/>
                    <w:rPr>
                      <w:rFonts w:hint="eastAsia" w:ascii="Times New Roman" w:hAnsi="Times New Roman" w:eastAsia="宋体" w:cs="Times New Roman"/>
                      <w:color w:val="auto"/>
                      <w:kern w:val="2"/>
                      <w:sz w:val="21"/>
                      <w:szCs w:val="21"/>
                      <w:highlight w:val="none"/>
                      <w:u w:val="none"/>
                      <w:lang w:val="en-US" w:eastAsia="zh-CN" w:bidi="ar-SA"/>
                    </w:rPr>
                  </w:pPr>
                  <w:r>
                    <w:rPr>
                      <w:rFonts w:hint="eastAsia" w:cs="Times New Roman"/>
                      <w:color w:val="auto"/>
                      <w:sz w:val="21"/>
                      <w:szCs w:val="21"/>
                      <w:highlight w:val="none"/>
                      <w:u w:val="none"/>
                      <w:lang w:val="en-US" w:eastAsia="zh-CN"/>
                    </w:rPr>
                    <w:t>源强（dB）</w:t>
                  </w:r>
                </w:p>
              </w:tc>
              <w:tc>
                <w:tcPr>
                  <w:tcW w:w="834" w:type="pct"/>
                  <w:tcBorders>
                    <w:bottom w:val="double" w:color="auto" w:sz="4" w:space="0"/>
                  </w:tcBorders>
                  <w:shd w:val="clear" w:color="auto" w:fill="auto"/>
                  <w:noWrap w:val="0"/>
                  <w:vAlign w:val="center"/>
                </w:tcPr>
                <w:p>
                  <w:pPr>
                    <w:keepNext w:val="0"/>
                    <w:keepLines w:val="0"/>
                    <w:widowControl/>
                    <w:suppressLineNumbers w:val="0"/>
                    <w:jc w:val="center"/>
                    <w:textAlignment w:val="center"/>
                    <w:rPr>
                      <w:rFonts w:hint="eastAsia" w:ascii="Times New Roman" w:hAnsi="Times New Roman" w:eastAsia="等线" w:cs="Times New Roman"/>
                      <w:i w:val="0"/>
                      <w:iCs w:val="0"/>
                      <w:color w:val="auto"/>
                      <w:kern w:val="0"/>
                      <w:sz w:val="21"/>
                      <w:szCs w:val="21"/>
                      <w:highlight w:val="none"/>
                      <w:u w:val="none"/>
                      <w:lang w:val="en-US" w:eastAsia="zh-CN" w:bidi="ar"/>
                    </w:rPr>
                  </w:pPr>
                  <w:r>
                    <w:rPr>
                      <w:rFonts w:hint="eastAsia" w:ascii="Times New Roman" w:hAnsi="Times New Roman" w:eastAsia="等线" w:cs="Times New Roman"/>
                      <w:i w:val="0"/>
                      <w:iCs w:val="0"/>
                      <w:color w:val="auto"/>
                      <w:kern w:val="0"/>
                      <w:sz w:val="21"/>
                      <w:szCs w:val="21"/>
                      <w:highlight w:val="none"/>
                      <w:u w:val="none"/>
                      <w:lang w:val="en-US" w:eastAsia="zh-CN" w:bidi="ar"/>
                    </w:rPr>
                    <w:t>78.5</w:t>
                  </w:r>
                </w:p>
              </w:tc>
              <w:tc>
                <w:tcPr>
                  <w:tcW w:w="727" w:type="pct"/>
                  <w:tcBorders>
                    <w:bottom w:val="double" w:color="auto" w:sz="4" w:space="0"/>
                  </w:tcBorders>
                  <w:shd w:val="clear" w:color="auto" w:fill="auto"/>
                  <w:noWrap w:val="0"/>
                  <w:vAlign w:val="center"/>
                </w:tcPr>
                <w:p>
                  <w:pPr>
                    <w:keepNext w:val="0"/>
                    <w:keepLines w:val="0"/>
                    <w:widowControl/>
                    <w:suppressLineNumbers w:val="0"/>
                    <w:jc w:val="center"/>
                    <w:textAlignment w:val="center"/>
                    <w:rPr>
                      <w:rFonts w:hint="eastAsia" w:ascii="Times New Roman" w:hAnsi="Times New Roman" w:eastAsia="等线" w:cs="Times New Roman"/>
                      <w:i w:val="0"/>
                      <w:iCs w:val="0"/>
                      <w:color w:val="auto"/>
                      <w:kern w:val="0"/>
                      <w:sz w:val="21"/>
                      <w:szCs w:val="21"/>
                      <w:highlight w:val="none"/>
                      <w:u w:val="none"/>
                      <w:lang w:val="en-US" w:eastAsia="zh-CN" w:bidi="ar"/>
                    </w:rPr>
                  </w:pPr>
                  <w:r>
                    <w:rPr>
                      <w:rFonts w:hint="eastAsia" w:ascii="Times New Roman" w:hAnsi="Times New Roman" w:eastAsia="等线" w:cs="Times New Roman"/>
                      <w:i w:val="0"/>
                      <w:iCs w:val="0"/>
                      <w:color w:val="auto"/>
                      <w:kern w:val="0"/>
                      <w:sz w:val="21"/>
                      <w:szCs w:val="21"/>
                      <w:highlight w:val="none"/>
                      <w:u w:val="none"/>
                      <w:lang w:val="en-US" w:eastAsia="zh-CN" w:bidi="ar"/>
                    </w:rPr>
                    <w:t>79.0</w:t>
                  </w:r>
                </w:p>
              </w:tc>
              <w:tc>
                <w:tcPr>
                  <w:tcW w:w="795" w:type="pct"/>
                  <w:tcBorders>
                    <w:bottom w:val="double" w:color="auto" w:sz="4" w:space="0"/>
                  </w:tcBorders>
                  <w:shd w:val="clear" w:color="auto" w:fill="auto"/>
                  <w:noWrap w:val="0"/>
                  <w:vAlign w:val="center"/>
                </w:tcPr>
                <w:p>
                  <w:pPr>
                    <w:keepNext w:val="0"/>
                    <w:keepLines w:val="0"/>
                    <w:widowControl/>
                    <w:suppressLineNumbers w:val="0"/>
                    <w:jc w:val="center"/>
                    <w:textAlignment w:val="center"/>
                    <w:rPr>
                      <w:rFonts w:hint="eastAsia" w:ascii="Times New Roman" w:hAnsi="Times New Roman" w:eastAsia="等线" w:cs="Times New Roman"/>
                      <w:i w:val="0"/>
                      <w:iCs w:val="0"/>
                      <w:color w:val="auto"/>
                      <w:kern w:val="0"/>
                      <w:sz w:val="21"/>
                      <w:szCs w:val="21"/>
                      <w:highlight w:val="none"/>
                      <w:u w:val="none"/>
                      <w:lang w:val="en-US" w:eastAsia="zh-CN" w:bidi="ar"/>
                    </w:rPr>
                  </w:pPr>
                  <w:r>
                    <w:rPr>
                      <w:rFonts w:hint="eastAsia" w:ascii="Times New Roman" w:hAnsi="Times New Roman" w:eastAsia="等线" w:cs="Times New Roman"/>
                      <w:i w:val="0"/>
                      <w:iCs w:val="0"/>
                      <w:color w:val="auto"/>
                      <w:kern w:val="0"/>
                      <w:sz w:val="21"/>
                      <w:szCs w:val="21"/>
                      <w:highlight w:val="none"/>
                      <w:u w:val="none"/>
                      <w:lang w:val="en-US" w:eastAsia="zh-CN" w:bidi="ar"/>
                    </w:rPr>
                    <w:t>79.5</w:t>
                  </w:r>
                </w:p>
              </w:tc>
              <w:tc>
                <w:tcPr>
                  <w:tcW w:w="788" w:type="pct"/>
                  <w:tcBorders>
                    <w:bottom w:val="double" w:color="auto" w:sz="4" w:space="0"/>
                    <w:right w:val="nil"/>
                  </w:tcBorders>
                  <w:shd w:val="clear" w:color="auto" w:fill="auto"/>
                  <w:noWrap w:val="0"/>
                  <w:vAlign w:val="center"/>
                </w:tcPr>
                <w:p>
                  <w:pPr>
                    <w:keepNext w:val="0"/>
                    <w:keepLines w:val="0"/>
                    <w:widowControl/>
                    <w:suppressLineNumbers w:val="0"/>
                    <w:jc w:val="center"/>
                    <w:textAlignment w:val="center"/>
                    <w:rPr>
                      <w:rFonts w:hint="eastAsia" w:ascii="Times New Roman" w:hAnsi="Times New Roman" w:eastAsia="等线" w:cs="Times New Roman"/>
                      <w:i w:val="0"/>
                      <w:iCs w:val="0"/>
                      <w:color w:val="auto"/>
                      <w:kern w:val="0"/>
                      <w:sz w:val="21"/>
                      <w:szCs w:val="21"/>
                      <w:highlight w:val="none"/>
                      <w:u w:val="none"/>
                      <w:lang w:val="en-US" w:eastAsia="zh-CN" w:bidi="ar"/>
                    </w:rPr>
                  </w:pPr>
                  <w:r>
                    <w:rPr>
                      <w:rFonts w:hint="eastAsia" w:ascii="Times New Roman" w:hAnsi="Times New Roman" w:eastAsia="等线" w:cs="Times New Roman"/>
                      <w:i w:val="0"/>
                      <w:iCs w:val="0"/>
                      <w:color w:val="auto"/>
                      <w:kern w:val="0"/>
                      <w:sz w:val="21"/>
                      <w:szCs w:val="21"/>
                      <w:highlight w:val="none"/>
                      <w:u w:val="none"/>
                      <w:lang w:val="en-US" w:eastAsia="zh-CN" w:bidi="ar"/>
                    </w:rPr>
                    <w:t>80.0</w:t>
                  </w:r>
                </w:p>
              </w:tc>
            </w:tr>
          </w:tbl>
          <w:p>
            <w:pPr>
              <w:spacing w:line="360" w:lineRule="auto"/>
              <w:ind w:firstLine="200" w:firstLineChars="200"/>
              <w:rPr>
                <w:rFonts w:hint="eastAsia" w:cs="Times New Roman"/>
                <w:color w:val="auto"/>
                <w:sz w:val="10"/>
                <w:szCs w:val="10"/>
                <w:highlight w:val="none"/>
                <w:u w:val="none"/>
                <w:lang w:val="en-US" w:eastAsia="zh-CN"/>
              </w:rPr>
            </w:pPr>
          </w:p>
          <w:p>
            <w:pPr>
              <w:spacing w:line="360" w:lineRule="auto"/>
              <w:ind w:firstLine="480" w:firstLineChars="200"/>
              <w:rPr>
                <w:rFonts w:hint="eastAsia" w:cs="Times New Roman"/>
                <w:color w:val="auto"/>
                <w:sz w:val="24"/>
                <w:szCs w:val="24"/>
                <w:highlight w:val="none"/>
                <w:u w:val="none"/>
                <w:lang w:val="en-US" w:eastAsia="zh-CN"/>
              </w:rPr>
            </w:pPr>
            <w:r>
              <w:rPr>
                <w:rFonts w:hint="eastAsia" w:cs="Times New Roman"/>
                <w:color w:val="auto"/>
                <w:sz w:val="24"/>
                <w:szCs w:val="24"/>
                <w:highlight w:val="none"/>
                <w:u w:val="none"/>
                <w:lang w:val="en-US" w:eastAsia="zh-CN"/>
              </w:rPr>
              <w:t>注：参考点位置在距离列车运行线路中心30m的地面处；对于桥梁线路的源强值，减少3dB。有缝线路的轮轨振动比无缝线路平均高3.5dB。</w:t>
            </w:r>
          </w:p>
          <w:p>
            <w:pPr>
              <w:spacing w:line="360" w:lineRule="auto"/>
              <w:ind w:firstLine="480" w:firstLineChars="200"/>
              <w:rPr>
                <w:rFonts w:hint="default" w:ascii="Times New Roman" w:hAnsi="Times New Roman" w:eastAsia="宋体" w:cs="Times New Roman"/>
                <w:color w:val="auto"/>
                <w:sz w:val="24"/>
                <w:szCs w:val="24"/>
                <w:highlight w:val="none"/>
                <w:u w:val="none"/>
              </w:rPr>
            </w:pPr>
            <w:r>
              <w:rPr>
                <w:rFonts w:hint="eastAsia" w:cs="Times New Roman"/>
                <w:color w:val="auto"/>
                <w:sz w:val="24"/>
                <w:szCs w:val="24"/>
                <w:highlight w:val="none"/>
                <w:u w:val="none"/>
                <w:lang w:val="en-US" w:eastAsia="zh-CN"/>
              </w:rPr>
              <w:t>本工程走行线行车速度为20km/h，根据上表源强与速度的线性关系，代入本项目采用速度，确定源强为77dB。</w:t>
            </w:r>
            <w:r>
              <w:rPr>
                <w:rFonts w:hint="eastAsia" w:ascii="Times New Roman" w:hAnsi="Times New Roman" w:eastAsia="宋体" w:cs="Times New Roman"/>
                <w:color w:val="auto"/>
                <w:sz w:val="24"/>
                <w:szCs w:val="24"/>
                <w:highlight w:val="none"/>
                <w:u w:val="none"/>
                <w:lang w:val="en-US" w:eastAsia="zh-CN"/>
              </w:rPr>
              <w:t>本项目场界周边存在居民</w:t>
            </w:r>
            <w:r>
              <w:rPr>
                <w:rFonts w:hint="eastAsia" w:eastAsia="宋体" w:cs="Times New Roman"/>
                <w:color w:val="auto"/>
                <w:sz w:val="24"/>
                <w:szCs w:val="24"/>
                <w:highlight w:val="none"/>
                <w:u w:val="none"/>
                <w:lang w:val="en-US" w:eastAsia="zh-CN"/>
              </w:rPr>
              <w:t>，</w:t>
            </w:r>
            <w:r>
              <w:rPr>
                <w:rFonts w:hint="eastAsia" w:cs="Times New Roman"/>
                <w:color w:val="auto"/>
                <w:sz w:val="24"/>
                <w:szCs w:val="24"/>
                <w:highlight w:val="none"/>
                <w:u w:val="none"/>
                <w:lang w:val="en-US" w:eastAsia="zh-CN"/>
              </w:rPr>
              <w:t>该居住区居住商业混杂，</w:t>
            </w:r>
            <w:r>
              <w:rPr>
                <w:rFonts w:hint="default" w:ascii="Times New Roman" w:hAnsi="Times New Roman" w:eastAsia="宋体" w:cs="Times New Roman"/>
                <w:color w:val="auto"/>
                <w:sz w:val="24"/>
                <w:szCs w:val="24"/>
                <w:highlight w:val="none"/>
                <w:u w:val="none"/>
                <w:shd w:val="clear" w:color="auto" w:fill="auto"/>
                <w:lang w:val="en-US" w:eastAsia="zh-CN"/>
              </w:rPr>
              <w:t>环境噪声执行《声环境质量标准》（GB3096-2008）中的</w:t>
            </w:r>
            <w:r>
              <w:rPr>
                <w:rFonts w:hint="eastAsia" w:cs="Times New Roman"/>
                <w:color w:val="auto"/>
                <w:sz w:val="24"/>
                <w:szCs w:val="24"/>
                <w:highlight w:val="none"/>
                <w:u w:val="none"/>
                <w:shd w:val="clear" w:color="auto" w:fill="auto"/>
                <w:lang w:val="en-US" w:eastAsia="zh-CN"/>
              </w:rPr>
              <w:t>2</w:t>
            </w:r>
            <w:r>
              <w:rPr>
                <w:rFonts w:hint="default" w:ascii="Times New Roman" w:hAnsi="Times New Roman" w:eastAsia="宋体" w:cs="Times New Roman"/>
                <w:color w:val="auto"/>
                <w:sz w:val="24"/>
                <w:szCs w:val="24"/>
                <w:highlight w:val="none"/>
                <w:u w:val="none"/>
                <w:shd w:val="clear" w:color="auto" w:fill="auto"/>
                <w:lang w:val="en-US" w:eastAsia="zh-CN"/>
              </w:rPr>
              <w:t>类标准。</w:t>
            </w:r>
            <w:r>
              <w:rPr>
                <w:rFonts w:hint="eastAsia" w:eastAsia="宋体" w:cs="Times New Roman"/>
                <w:color w:val="auto"/>
                <w:sz w:val="24"/>
                <w:szCs w:val="24"/>
                <w:highlight w:val="none"/>
                <w:u w:val="none"/>
                <w:shd w:val="clear" w:color="auto" w:fill="auto"/>
                <w:lang w:val="en-US" w:eastAsia="zh-CN"/>
              </w:rPr>
              <w:t>由于项目线声源仅</w:t>
            </w:r>
            <w:r>
              <w:rPr>
                <w:rFonts w:hint="eastAsia" w:cs="Times New Roman"/>
                <w:color w:val="auto"/>
                <w:sz w:val="24"/>
                <w:szCs w:val="24"/>
                <w:highlight w:val="none"/>
                <w:u w:val="none"/>
                <w:shd w:val="clear" w:color="auto" w:fill="auto"/>
                <w:lang w:val="en-US" w:eastAsia="zh-CN"/>
              </w:rPr>
              <w:t>包含</w:t>
            </w:r>
            <w:r>
              <w:rPr>
                <w:rFonts w:hint="eastAsia" w:eastAsia="宋体" w:cs="Times New Roman"/>
                <w:color w:val="auto"/>
                <w:sz w:val="24"/>
                <w:szCs w:val="24"/>
                <w:highlight w:val="none"/>
                <w:u w:val="none"/>
                <w:shd w:val="clear" w:color="auto" w:fill="auto"/>
                <w:lang w:val="en-US" w:eastAsia="zh-CN"/>
              </w:rPr>
              <w:t>火车</w:t>
            </w:r>
            <w:r>
              <w:rPr>
                <w:rFonts w:hint="eastAsia" w:cs="Times New Roman"/>
                <w:color w:val="auto"/>
                <w:sz w:val="24"/>
                <w:szCs w:val="24"/>
                <w:highlight w:val="none"/>
                <w:u w:val="none"/>
                <w:shd w:val="clear" w:color="auto" w:fill="auto"/>
                <w:lang w:val="en-US" w:eastAsia="zh-CN"/>
              </w:rPr>
              <w:t>且采取了厂内限值鸣笛等措施</w:t>
            </w:r>
            <w:r>
              <w:rPr>
                <w:rFonts w:hint="eastAsia" w:eastAsia="宋体" w:cs="Times New Roman"/>
                <w:color w:val="auto"/>
                <w:sz w:val="24"/>
                <w:szCs w:val="24"/>
                <w:highlight w:val="none"/>
                <w:u w:val="none"/>
                <w:shd w:val="clear" w:color="auto" w:fill="auto"/>
                <w:lang w:val="en-US" w:eastAsia="zh-CN"/>
              </w:rPr>
              <w:t>，故仅对火车</w:t>
            </w:r>
            <w:r>
              <w:rPr>
                <w:rFonts w:hint="eastAsia" w:cs="Times New Roman"/>
                <w:color w:val="auto"/>
                <w:sz w:val="24"/>
                <w:szCs w:val="24"/>
                <w:highlight w:val="none"/>
                <w:u w:val="none"/>
                <w:shd w:val="clear" w:color="auto" w:fill="auto"/>
                <w:lang w:val="en-US" w:eastAsia="zh-CN"/>
              </w:rPr>
              <w:t>行驶时产生的振动噪声源强</w:t>
            </w:r>
            <w:r>
              <w:rPr>
                <w:rFonts w:hint="eastAsia" w:eastAsia="宋体" w:cs="Times New Roman"/>
                <w:color w:val="auto"/>
                <w:sz w:val="24"/>
                <w:szCs w:val="24"/>
                <w:highlight w:val="none"/>
                <w:u w:val="none"/>
                <w:shd w:val="clear" w:color="auto" w:fill="auto"/>
                <w:lang w:val="en-US" w:eastAsia="zh-CN"/>
              </w:rPr>
              <w:t>进行居民区线声源</w:t>
            </w:r>
            <w:r>
              <w:rPr>
                <w:rFonts w:hint="eastAsia" w:cs="Times New Roman"/>
                <w:color w:val="auto"/>
                <w:sz w:val="24"/>
                <w:szCs w:val="24"/>
                <w:highlight w:val="none"/>
                <w:u w:val="none"/>
                <w:shd w:val="clear" w:color="auto" w:fill="auto"/>
                <w:lang w:val="en-US" w:eastAsia="zh-CN"/>
              </w:rPr>
              <w:t>噪声</w:t>
            </w:r>
            <w:r>
              <w:rPr>
                <w:rFonts w:hint="eastAsia" w:eastAsia="宋体" w:cs="Times New Roman"/>
                <w:color w:val="auto"/>
                <w:sz w:val="24"/>
                <w:szCs w:val="24"/>
                <w:highlight w:val="none"/>
                <w:u w:val="none"/>
                <w:shd w:val="clear" w:color="auto" w:fill="auto"/>
                <w:lang w:val="en-US" w:eastAsia="zh-CN"/>
              </w:rPr>
              <w:t>环境影响分析，</w:t>
            </w:r>
            <w:r>
              <w:rPr>
                <w:rFonts w:hint="default" w:ascii="Times New Roman" w:hAnsi="Times New Roman" w:eastAsia="宋体" w:cs="Times New Roman"/>
                <w:color w:val="auto"/>
                <w:sz w:val="24"/>
                <w:szCs w:val="24"/>
                <w:highlight w:val="none"/>
                <w:u w:val="none"/>
              </w:rPr>
              <w:t>其衰减模式如下：</w:t>
            </w:r>
          </w:p>
          <w:p>
            <w:pPr>
              <w:jc w:val="center"/>
              <w:rPr>
                <w:rFonts w:hint="default" w:ascii="Times New Roman" w:hAnsi="Times New Roman" w:eastAsia="宋体" w:cs="Times New Roman"/>
                <w:color w:val="auto"/>
                <w:spacing w:val="5"/>
                <w:sz w:val="24"/>
                <w:szCs w:val="24"/>
                <w:highlight w:val="none"/>
                <w:u w:val="none"/>
              </w:rPr>
            </w:pPr>
            <w:r>
              <w:rPr>
                <w:rFonts w:hint="default" w:ascii="Times New Roman" w:hAnsi="Times New Roman" w:eastAsia="宋体" w:cs="Times New Roman"/>
                <w:color w:val="auto"/>
                <w:spacing w:val="5"/>
                <w:position w:val="-26"/>
                <w:sz w:val="24"/>
                <w:szCs w:val="24"/>
                <w:highlight w:val="none"/>
                <w:u w:val="none"/>
                <w:lang w:bidi="ar"/>
              </w:rPr>
              <w:object>
                <v:shape id="_x0000_i1027" o:spt="75" type="#_x0000_t75" style="height:31.95pt;width:132.75pt;" o:ole="t" filled="f" o:preferrelative="t" stroked="f" coordsize="21600,21600">
                  <v:path/>
                  <v:fill on="f" focussize="0,0"/>
                  <v:stroke on="f"/>
                  <v:imagedata r:id="rId30" o:title=""/>
                  <o:lock v:ext="edit" aspectratio="t"/>
                  <w10:wrap type="none"/>
                  <w10:anchorlock/>
                </v:shape>
                <o:OLEObject Type="Embed" ProgID="Equation.3" ShapeID="_x0000_i1027" DrawAspect="Content" ObjectID="_1468075727" r:id="rId29">
                  <o:LockedField>false</o:LockedField>
                </o:OLEObject>
              </w:object>
            </w:r>
          </w:p>
          <w:p>
            <w:pPr>
              <w:spacing w:line="360" w:lineRule="auto"/>
              <w:ind w:firstLine="480" w:firstLineChars="200"/>
              <w:rPr>
                <w:rFonts w:hint="default" w:ascii="Times New Roman" w:hAnsi="Times New Roman" w:eastAsia="宋体" w:cs="Times New Roman"/>
                <w:color w:val="auto"/>
                <w:sz w:val="24"/>
                <w:szCs w:val="24"/>
                <w:highlight w:val="none"/>
                <w:u w:val="none"/>
              </w:rPr>
            </w:pPr>
            <w:r>
              <w:rPr>
                <w:rFonts w:hint="default" w:ascii="Times New Roman" w:hAnsi="Times New Roman" w:eastAsia="宋体" w:cs="Times New Roman"/>
                <w:color w:val="auto"/>
                <w:sz w:val="24"/>
                <w:szCs w:val="24"/>
                <w:highlight w:val="none"/>
                <w:u w:val="none"/>
              </w:rPr>
              <w:t>式中：</w:t>
            </w:r>
          </w:p>
          <w:p>
            <w:pPr>
              <w:spacing w:line="360" w:lineRule="auto"/>
              <w:ind w:firstLine="480" w:firstLineChars="200"/>
              <w:rPr>
                <w:rFonts w:hint="default" w:ascii="Times New Roman" w:hAnsi="Times New Roman" w:eastAsia="宋体" w:cs="Times New Roman"/>
                <w:color w:val="auto"/>
                <w:sz w:val="24"/>
                <w:szCs w:val="24"/>
                <w:highlight w:val="none"/>
                <w:u w:val="none"/>
              </w:rPr>
            </w:pPr>
            <w:r>
              <w:rPr>
                <w:rFonts w:hint="default" w:ascii="Times New Roman" w:hAnsi="Times New Roman" w:eastAsia="宋体" w:cs="Times New Roman"/>
                <w:color w:val="auto"/>
                <w:sz w:val="24"/>
                <w:szCs w:val="24"/>
                <w:highlight w:val="none"/>
                <w:u w:val="none"/>
                <w:lang w:bidi="ar"/>
              </w:rPr>
              <w:t>L</w:t>
            </w:r>
            <w:r>
              <w:rPr>
                <w:rFonts w:hint="default" w:ascii="Times New Roman" w:hAnsi="Times New Roman" w:eastAsia="宋体" w:cs="Times New Roman"/>
                <w:color w:val="auto"/>
                <w:sz w:val="24"/>
                <w:szCs w:val="24"/>
                <w:highlight w:val="none"/>
                <w:u w:val="none"/>
                <w:vertAlign w:val="subscript"/>
                <w:lang w:bidi="ar"/>
              </w:rPr>
              <w:t>P</w:t>
            </w:r>
            <w:r>
              <w:rPr>
                <w:rFonts w:hint="default" w:ascii="Times New Roman" w:hAnsi="Times New Roman" w:eastAsia="宋体" w:cs="Times New Roman"/>
                <w:color w:val="auto"/>
                <w:sz w:val="24"/>
                <w:szCs w:val="24"/>
                <w:highlight w:val="none"/>
                <w:u w:val="none"/>
                <w:lang w:bidi="ar"/>
              </w:rPr>
              <w:tab/>
            </w:r>
            <w:r>
              <w:rPr>
                <w:rFonts w:hint="default" w:ascii="Times New Roman" w:hAnsi="Times New Roman" w:eastAsia="宋体" w:cs="Times New Roman"/>
                <w:color w:val="auto"/>
                <w:sz w:val="24"/>
                <w:szCs w:val="24"/>
                <w:highlight w:val="none"/>
                <w:u w:val="none"/>
                <w:lang w:bidi="ar"/>
              </w:rPr>
              <w:t>—距声源r米处的施工噪声预测值，dB（A）；</w:t>
            </w:r>
          </w:p>
          <w:p>
            <w:pPr>
              <w:spacing w:line="360" w:lineRule="auto"/>
              <w:ind w:firstLine="480" w:firstLineChars="200"/>
              <w:rPr>
                <w:rFonts w:hint="default" w:ascii="Times New Roman" w:hAnsi="Times New Roman" w:eastAsia="宋体" w:cs="Times New Roman"/>
                <w:color w:val="auto"/>
                <w:sz w:val="24"/>
                <w:szCs w:val="24"/>
                <w:highlight w:val="none"/>
                <w:u w:val="none"/>
              </w:rPr>
            </w:pPr>
            <w:r>
              <w:rPr>
                <w:rFonts w:hint="default" w:ascii="Times New Roman" w:hAnsi="Times New Roman" w:eastAsia="宋体" w:cs="Times New Roman"/>
                <w:color w:val="auto"/>
                <w:sz w:val="24"/>
                <w:szCs w:val="24"/>
                <w:highlight w:val="none"/>
                <w:u w:val="none"/>
                <w:lang w:bidi="ar"/>
              </w:rPr>
              <w:t>L</w:t>
            </w:r>
            <w:r>
              <w:rPr>
                <w:rFonts w:hint="default" w:ascii="Times New Roman" w:hAnsi="Times New Roman" w:eastAsia="宋体" w:cs="Times New Roman"/>
                <w:color w:val="auto"/>
                <w:sz w:val="24"/>
                <w:szCs w:val="24"/>
                <w:highlight w:val="none"/>
                <w:u w:val="none"/>
                <w:vertAlign w:val="subscript"/>
                <w:lang w:bidi="ar"/>
              </w:rPr>
              <w:t>P0</w:t>
            </w:r>
            <w:r>
              <w:rPr>
                <w:rFonts w:hint="default" w:ascii="Times New Roman" w:hAnsi="Times New Roman" w:eastAsia="宋体" w:cs="Times New Roman"/>
                <w:color w:val="auto"/>
                <w:sz w:val="24"/>
                <w:szCs w:val="24"/>
                <w:highlight w:val="none"/>
                <w:u w:val="none"/>
                <w:lang w:bidi="ar"/>
              </w:rPr>
              <w:t>—距声源</w:t>
            </w:r>
            <w:r>
              <w:rPr>
                <w:rFonts w:hint="eastAsia" w:cs="Times New Roman"/>
                <w:color w:val="auto"/>
                <w:sz w:val="24"/>
                <w:szCs w:val="24"/>
                <w:highlight w:val="none"/>
                <w:u w:val="none"/>
                <w:lang w:val="en-US" w:eastAsia="zh-CN" w:bidi="ar"/>
              </w:rPr>
              <w:t>r</w:t>
            </w:r>
            <w:r>
              <w:rPr>
                <w:rFonts w:hint="eastAsia" w:cs="Times New Roman"/>
                <w:color w:val="auto"/>
                <w:sz w:val="24"/>
                <w:szCs w:val="24"/>
                <w:highlight w:val="none"/>
                <w:u w:val="none"/>
                <w:vertAlign w:val="subscript"/>
                <w:lang w:val="en-US" w:eastAsia="zh-CN" w:bidi="ar"/>
              </w:rPr>
              <w:t>0</w:t>
            </w:r>
            <w:r>
              <w:rPr>
                <w:rFonts w:hint="default" w:ascii="Times New Roman" w:hAnsi="Times New Roman" w:eastAsia="宋体" w:cs="Times New Roman"/>
                <w:color w:val="auto"/>
                <w:sz w:val="24"/>
                <w:szCs w:val="24"/>
                <w:highlight w:val="none"/>
                <w:u w:val="none"/>
                <w:lang w:bidi="ar"/>
              </w:rPr>
              <w:t>米处的参考噪声级，dB（A）；</w:t>
            </w:r>
          </w:p>
          <w:p>
            <w:pPr>
              <w:spacing w:line="360" w:lineRule="auto"/>
              <w:ind w:firstLine="480" w:firstLineChars="200"/>
              <w:rPr>
                <w:rFonts w:hint="default" w:ascii="Times New Roman" w:hAnsi="Times New Roman" w:eastAsia="宋体" w:cs="Times New Roman"/>
                <w:color w:val="auto"/>
                <w:sz w:val="24"/>
                <w:szCs w:val="24"/>
                <w:highlight w:val="none"/>
                <w:u w:val="none"/>
                <w:lang w:bidi="ar"/>
              </w:rPr>
            </w:pPr>
            <w:r>
              <w:rPr>
                <w:rFonts w:hint="default" w:ascii="Times New Roman" w:hAnsi="Times New Roman" w:eastAsia="宋体" w:cs="Times New Roman"/>
                <w:color w:val="auto"/>
                <w:sz w:val="24"/>
                <w:szCs w:val="24"/>
                <w:highlight w:val="none"/>
                <w:u w:val="none"/>
                <w:lang w:bidi="ar"/>
              </w:rPr>
              <w:t>r—距声源距离，m；</w:t>
            </w:r>
          </w:p>
          <w:p>
            <w:pPr>
              <w:spacing w:line="360" w:lineRule="auto"/>
              <w:ind w:firstLine="480" w:firstLineChars="200"/>
              <w:rPr>
                <w:rFonts w:hint="default" w:ascii="Times New Roman" w:hAnsi="Times New Roman" w:eastAsia="宋体" w:cs="Times New Roman"/>
                <w:color w:val="auto"/>
                <w:sz w:val="24"/>
                <w:szCs w:val="24"/>
                <w:highlight w:val="none"/>
                <w:u w:val="none"/>
                <w:lang w:val="en-US" w:eastAsia="zh-CN" w:bidi="ar"/>
              </w:rPr>
            </w:pPr>
            <w:r>
              <w:rPr>
                <w:rFonts w:hint="default" w:ascii="Times New Roman" w:hAnsi="Times New Roman" w:eastAsia="宋体" w:cs="Times New Roman"/>
                <w:color w:val="auto"/>
                <w:sz w:val="24"/>
                <w:szCs w:val="24"/>
                <w:highlight w:val="none"/>
                <w:u w:val="none"/>
                <w:lang w:val="en-US" w:eastAsia="zh-CN" w:bidi="ar"/>
              </w:rPr>
              <w:t>r</w:t>
            </w:r>
            <w:r>
              <w:rPr>
                <w:rFonts w:hint="default" w:ascii="Times New Roman" w:hAnsi="Times New Roman" w:eastAsia="宋体" w:cs="Times New Roman"/>
                <w:color w:val="auto"/>
                <w:sz w:val="24"/>
                <w:szCs w:val="24"/>
                <w:highlight w:val="none"/>
                <w:u w:val="none"/>
                <w:vertAlign w:val="subscript"/>
                <w:lang w:val="en-US" w:eastAsia="zh-CN" w:bidi="ar"/>
              </w:rPr>
              <w:t>0</w:t>
            </w:r>
            <w:r>
              <w:rPr>
                <w:rFonts w:hint="default" w:ascii="Times New Roman" w:hAnsi="Times New Roman" w:eastAsia="宋体" w:cs="Times New Roman"/>
                <w:color w:val="auto"/>
                <w:sz w:val="24"/>
                <w:szCs w:val="24"/>
                <w:highlight w:val="none"/>
                <w:u w:val="none"/>
                <w:lang w:bidi="ar"/>
              </w:rPr>
              <w:t>—</w:t>
            </w:r>
            <w:r>
              <w:rPr>
                <w:rFonts w:hint="eastAsia" w:ascii="Times New Roman" w:hAnsi="Times New Roman" w:eastAsia="宋体" w:cs="Times New Roman"/>
                <w:color w:val="auto"/>
                <w:sz w:val="24"/>
                <w:szCs w:val="24"/>
                <w:highlight w:val="none"/>
                <w:u w:val="none"/>
                <w:lang w:val="en-US" w:eastAsia="zh-CN" w:bidi="ar"/>
              </w:rPr>
              <w:t>参考位置</w:t>
            </w:r>
            <w:r>
              <w:rPr>
                <w:rFonts w:hint="default" w:ascii="Times New Roman" w:hAnsi="Times New Roman" w:eastAsia="宋体" w:cs="Times New Roman"/>
                <w:color w:val="auto"/>
                <w:sz w:val="24"/>
                <w:szCs w:val="24"/>
                <w:highlight w:val="none"/>
                <w:u w:val="none"/>
                <w:lang w:bidi="ar"/>
              </w:rPr>
              <w:t>距声源距离</w:t>
            </w:r>
            <w:r>
              <w:rPr>
                <w:rFonts w:hint="eastAsia" w:ascii="Times New Roman" w:hAnsi="Times New Roman" w:eastAsia="宋体" w:cs="Times New Roman"/>
                <w:color w:val="auto"/>
                <w:sz w:val="24"/>
                <w:szCs w:val="24"/>
                <w:highlight w:val="none"/>
                <w:u w:val="none"/>
                <w:lang w:eastAsia="zh-CN" w:bidi="ar"/>
              </w:rPr>
              <w:t>，</w:t>
            </w:r>
            <w:r>
              <w:rPr>
                <w:rFonts w:hint="eastAsia" w:ascii="Times New Roman" w:hAnsi="Times New Roman" w:eastAsia="宋体" w:cs="Times New Roman"/>
                <w:color w:val="auto"/>
                <w:sz w:val="24"/>
                <w:szCs w:val="24"/>
                <w:highlight w:val="none"/>
                <w:u w:val="none"/>
                <w:lang w:val="en-US" w:eastAsia="zh-CN" w:bidi="ar"/>
              </w:rPr>
              <w:t>m，本项目取30；</w:t>
            </w:r>
          </w:p>
          <w:p>
            <w:pPr>
              <w:spacing w:line="360" w:lineRule="auto"/>
              <w:ind w:firstLine="480" w:firstLineChars="200"/>
              <w:rPr>
                <w:rFonts w:hint="default" w:ascii="Times New Roman" w:hAnsi="Times New Roman" w:eastAsia="宋体" w:cs="Times New Roman"/>
                <w:color w:val="auto"/>
                <w:sz w:val="24"/>
                <w:szCs w:val="24"/>
                <w:highlight w:val="none"/>
                <w:u w:val="none"/>
              </w:rPr>
            </w:pPr>
            <w:r>
              <w:rPr>
                <w:rFonts w:hint="default" w:ascii="Times New Roman" w:hAnsi="Times New Roman" w:eastAsia="宋体" w:cs="Times New Roman"/>
                <w:color w:val="auto"/>
                <w:sz w:val="24"/>
                <w:szCs w:val="24"/>
                <w:highlight w:val="none"/>
                <w:u w:val="none"/>
                <w:lang w:bidi="ar"/>
              </w:rPr>
              <w:object>
                <v:shape id="_x0000_i1028" o:spt="75" type="#_x0000_t75" style="height:12.75pt;width:18pt;" o:ole="t" filled="f" o:preferrelative="t" stroked="f" coordsize="21600,21600">
                  <v:path/>
                  <v:fill on="f" focussize="0,0"/>
                  <v:stroke on="f"/>
                  <v:imagedata r:id="rId32" o:title=""/>
                  <o:lock v:ext="edit" aspectratio="t"/>
                  <w10:wrap type="none"/>
                  <w10:anchorlock/>
                </v:shape>
                <o:OLEObject Type="Embed" ProgID="Equation.3" ShapeID="_x0000_i1028" DrawAspect="Content" ObjectID="_1468075728" r:id="rId31">
                  <o:LockedField>false</o:LockedField>
                </o:OLEObject>
              </w:object>
            </w:r>
            <w:r>
              <w:rPr>
                <w:rFonts w:hint="default" w:ascii="Times New Roman" w:hAnsi="Times New Roman" w:eastAsia="宋体" w:cs="Times New Roman"/>
                <w:color w:val="auto"/>
                <w:sz w:val="24"/>
                <w:szCs w:val="24"/>
                <w:highlight w:val="none"/>
                <w:u w:val="none"/>
                <w:lang w:bidi="ar"/>
              </w:rPr>
              <w:t>—障碍物、</w:t>
            </w:r>
            <w:r>
              <w:rPr>
                <w:rFonts w:hint="eastAsia" w:ascii="Times New Roman" w:hAnsi="Times New Roman" w:eastAsia="宋体" w:cs="Times New Roman"/>
                <w:color w:val="auto"/>
                <w:sz w:val="24"/>
                <w:szCs w:val="24"/>
                <w:highlight w:val="none"/>
                <w:u w:val="none"/>
                <w:lang w:val="en-US" w:eastAsia="zh-CN" w:bidi="ar"/>
              </w:rPr>
              <w:t>堤坝、</w:t>
            </w:r>
            <w:r>
              <w:rPr>
                <w:rFonts w:hint="default" w:ascii="Times New Roman" w:hAnsi="Times New Roman" w:eastAsia="宋体" w:cs="Times New Roman"/>
                <w:color w:val="auto"/>
                <w:sz w:val="24"/>
                <w:szCs w:val="24"/>
                <w:highlight w:val="none"/>
                <w:u w:val="none"/>
                <w:lang w:bidi="ar"/>
              </w:rPr>
              <w:t>植被、空气等产生的附加衰减量。</w:t>
            </w:r>
          </w:p>
          <w:p>
            <w:pPr>
              <w:spacing w:line="360" w:lineRule="auto"/>
              <w:ind w:firstLine="480" w:firstLineChars="200"/>
              <w:rPr>
                <w:rFonts w:hint="default" w:ascii="Times New Roman" w:hAnsi="Times New Roman" w:eastAsia="宋体" w:cs="Times New Roman"/>
                <w:color w:val="auto"/>
                <w:sz w:val="24"/>
                <w:szCs w:val="24"/>
                <w:highlight w:val="none"/>
                <w:u w:val="none"/>
              </w:rPr>
            </w:pPr>
            <w:r>
              <w:rPr>
                <w:rFonts w:hint="default" w:ascii="Times New Roman" w:hAnsi="Times New Roman" w:eastAsia="宋体" w:cs="Times New Roman"/>
                <w:color w:val="auto"/>
                <w:sz w:val="24"/>
                <w:szCs w:val="24"/>
                <w:highlight w:val="none"/>
                <w:u w:val="none"/>
              </w:rPr>
              <w:t>根据上述的预测方法和预测模式，对</w:t>
            </w:r>
            <w:r>
              <w:rPr>
                <w:rFonts w:hint="eastAsia" w:eastAsia="宋体" w:cs="Times New Roman"/>
                <w:color w:val="auto"/>
                <w:sz w:val="24"/>
                <w:szCs w:val="24"/>
                <w:highlight w:val="none"/>
                <w:u w:val="none"/>
                <w:lang w:val="en-US" w:eastAsia="zh-CN"/>
              </w:rPr>
              <w:t>火车</w:t>
            </w:r>
            <w:r>
              <w:rPr>
                <w:rFonts w:hint="default" w:ascii="Times New Roman" w:hAnsi="Times New Roman" w:eastAsia="宋体" w:cs="Times New Roman"/>
                <w:color w:val="auto"/>
                <w:sz w:val="24"/>
                <w:szCs w:val="24"/>
                <w:highlight w:val="none"/>
                <w:u w:val="none"/>
              </w:rPr>
              <w:t>噪声影响范围进行计算，不同距离下的噪声级见表4</w:t>
            </w:r>
            <w:r>
              <w:rPr>
                <w:rFonts w:hint="eastAsia" w:cs="Times New Roman"/>
                <w:color w:val="auto"/>
                <w:sz w:val="24"/>
                <w:szCs w:val="24"/>
                <w:highlight w:val="none"/>
                <w:u w:val="none"/>
                <w:lang w:val="en-US" w:eastAsia="zh-CN"/>
              </w:rPr>
              <w:t>-11</w:t>
            </w:r>
            <w:r>
              <w:rPr>
                <w:rFonts w:hint="default" w:ascii="Times New Roman" w:hAnsi="Times New Roman" w:eastAsia="宋体" w:cs="Times New Roman"/>
                <w:color w:val="auto"/>
                <w:sz w:val="24"/>
                <w:szCs w:val="24"/>
                <w:highlight w:val="none"/>
                <w:u w:val="none"/>
              </w:rPr>
              <w:t>。</w:t>
            </w:r>
          </w:p>
          <w:p>
            <w:pPr>
              <w:spacing w:line="360" w:lineRule="auto"/>
              <w:jc w:val="center"/>
              <w:rPr>
                <w:rFonts w:hint="default" w:ascii="Times New Roman" w:hAnsi="Times New Roman" w:eastAsia="宋体" w:cs="Times New Roman"/>
                <w:b/>
                <w:bCs/>
                <w:color w:val="auto"/>
                <w:sz w:val="21"/>
                <w:szCs w:val="21"/>
                <w:highlight w:val="none"/>
                <w:u w:val="none"/>
              </w:rPr>
            </w:pPr>
            <w:r>
              <w:rPr>
                <w:rFonts w:hint="default" w:ascii="Times New Roman" w:hAnsi="Times New Roman" w:eastAsia="宋体" w:cs="Times New Roman"/>
                <w:b/>
                <w:bCs/>
                <w:color w:val="auto"/>
                <w:sz w:val="21"/>
                <w:szCs w:val="21"/>
                <w:highlight w:val="none"/>
                <w:u w:val="none"/>
              </w:rPr>
              <w:br w:type="page"/>
            </w:r>
            <w:r>
              <w:rPr>
                <w:rFonts w:hint="default" w:ascii="Times New Roman" w:hAnsi="Times New Roman" w:eastAsia="宋体" w:cs="Times New Roman"/>
                <w:b/>
                <w:bCs/>
                <w:color w:val="auto"/>
                <w:sz w:val="21"/>
                <w:szCs w:val="21"/>
                <w:highlight w:val="none"/>
                <w:u w:val="none"/>
              </w:rPr>
              <w:t>表4</w:t>
            </w:r>
            <w:r>
              <w:rPr>
                <w:rFonts w:hint="eastAsia" w:cs="Times New Roman"/>
                <w:b/>
                <w:bCs/>
                <w:color w:val="auto"/>
                <w:sz w:val="21"/>
                <w:szCs w:val="21"/>
                <w:highlight w:val="none"/>
                <w:u w:val="none"/>
                <w:lang w:val="en-US" w:eastAsia="zh-CN"/>
              </w:rPr>
              <w:t>-11</w:t>
            </w:r>
            <w:r>
              <w:rPr>
                <w:rFonts w:hint="default" w:ascii="Times New Roman" w:hAnsi="Times New Roman" w:eastAsia="宋体" w:cs="Times New Roman"/>
                <w:b/>
                <w:bCs/>
                <w:color w:val="auto"/>
                <w:sz w:val="21"/>
                <w:szCs w:val="21"/>
                <w:highlight w:val="none"/>
                <w:u w:val="none"/>
              </w:rPr>
              <w:t xml:space="preserve">  </w:t>
            </w:r>
            <w:r>
              <w:rPr>
                <w:rFonts w:hint="eastAsia" w:eastAsia="宋体" w:cs="Times New Roman"/>
                <w:b/>
                <w:bCs/>
                <w:color w:val="auto"/>
                <w:sz w:val="21"/>
                <w:szCs w:val="21"/>
                <w:highlight w:val="none"/>
                <w:u w:val="none"/>
                <w:lang w:val="en-US" w:eastAsia="zh-CN"/>
              </w:rPr>
              <w:t>火车</w:t>
            </w:r>
            <w:r>
              <w:rPr>
                <w:rFonts w:hint="default" w:ascii="Times New Roman" w:hAnsi="Times New Roman" w:eastAsia="宋体" w:cs="Times New Roman"/>
                <w:b/>
                <w:bCs/>
                <w:color w:val="auto"/>
                <w:sz w:val="21"/>
                <w:szCs w:val="21"/>
                <w:highlight w:val="none"/>
                <w:u w:val="none"/>
              </w:rPr>
              <w:t>不同距离处的噪声级表          单位：dB（A）</w:t>
            </w:r>
          </w:p>
          <w:tbl>
            <w:tblPr>
              <w:tblStyle w:val="21"/>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684"/>
              <w:gridCol w:w="688"/>
              <w:gridCol w:w="688"/>
              <w:gridCol w:w="688"/>
              <w:gridCol w:w="688"/>
              <w:gridCol w:w="688"/>
              <w:gridCol w:w="822"/>
              <w:gridCol w:w="822"/>
              <w:gridCol w:w="685"/>
              <w:gridCol w:w="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86" w:type="pct"/>
                  <w:vMerge w:val="restart"/>
                  <w:tcBorders>
                    <w:top w:val="double" w:color="auto" w:sz="4" w:space="0"/>
                    <w:left w:val="nil"/>
                  </w:tcBorders>
                  <w:noWrap w:val="0"/>
                  <w:vAlign w:val="center"/>
                </w:tcPr>
                <w:p>
                  <w:pPr>
                    <w:jc w:val="center"/>
                    <w:rPr>
                      <w:rFonts w:hint="default" w:ascii="Times New Roman" w:hAnsi="Times New Roman" w:eastAsia="宋体" w:cs="Times New Roman"/>
                      <w:color w:val="auto"/>
                      <w:sz w:val="21"/>
                      <w:szCs w:val="21"/>
                      <w:highlight w:val="none"/>
                      <w:u w:val="none"/>
                    </w:rPr>
                  </w:pPr>
                  <w:r>
                    <w:rPr>
                      <w:rFonts w:hint="eastAsia" w:cs="Times New Roman"/>
                      <w:color w:val="auto"/>
                      <w:sz w:val="21"/>
                      <w:szCs w:val="21"/>
                      <w:highlight w:val="none"/>
                      <w:u w:val="none"/>
                      <w:lang w:val="en-US" w:eastAsia="zh-CN"/>
                    </w:rPr>
                    <w:t>设备</w:t>
                  </w:r>
                  <w:r>
                    <w:rPr>
                      <w:rFonts w:hint="default" w:ascii="Times New Roman" w:hAnsi="Times New Roman" w:eastAsia="宋体" w:cs="Times New Roman"/>
                      <w:color w:val="auto"/>
                      <w:sz w:val="21"/>
                      <w:szCs w:val="21"/>
                      <w:highlight w:val="none"/>
                      <w:u w:val="none"/>
                    </w:rPr>
                    <w:t>名称</w:t>
                  </w:r>
                </w:p>
              </w:tc>
              <w:tc>
                <w:tcPr>
                  <w:tcW w:w="4113" w:type="pct"/>
                  <w:gridSpan w:val="10"/>
                  <w:tcBorders>
                    <w:top w:val="double" w:color="auto" w:sz="4" w:space="0"/>
                    <w:right w:val="nil"/>
                  </w:tcBorders>
                  <w:noWrap w:val="0"/>
                  <w:vAlign w:val="center"/>
                </w:tcPr>
                <w:p>
                  <w:pPr>
                    <w:jc w:val="center"/>
                    <w:rPr>
                      <w:rFonts w:hint="default" w:ascii="Times New Roman" w:hAnsi="Times New Roman" w:eastAsia="宋体" w:cs="Times New Roman"/>
                      <w:color w:val="auto"/>
                      <w:sz w:val="21"/>
                      <w:szCs w:val="21"/>
                      <w:highlight w:val="none"/>
                      <w:u w:val="none"/>
                    </w:rPr>
                  </w:pPr>
                  <w:r>
                    <w:rPr>
                      <w:rFonts w:hint="default" w:ascii="Times New Roman" w:hAnsi="Times New Roman" w:eastAsia="宋体" w:cs="Times New Roman"/>
                      <w:color w:val="auto"/>
                      <w:sz w:val="21"/>
                      <w:szCs w:val="21"/>
                      <w:highlight w:val="none"/>
                      <w:u w:val="none"/>
                    </w:rPr>
                    <w:t>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86" w:type="pct"/>
                  <w:vMerge w:val="continue"/>
                  <w:tcBorders>
                    <w:left w:val="nil"/>
                  </w:tcBorders>
                  <w:noWrap w:val="0"/>
                  <w:vAlign w:val="center"/>
                </w:tcPr>
                <w:p>
                  <w:pPr>
                    <w:jc w:val="center"/>
                    <w:rPr>
                      <w:rFonts w:hint="default" w:ascii="Times New Roman" w:hAnsi="Times New Roman" w:eastAsia="宋体" w:cs="Times New Roman"/>
                      <w:color w:val="auto"/>
                      <w:sz w:val="21"/>
                      <w:szCs w:val="21"/>
                      <w:highlight w:val="none"/>
                      <w:u w:val="none"/>
                    </w:rPr>
                  </w:pPr>
                </w:p>
              </w:tc>
              <w:tc>
                <w:tcPr>
                  <w:tcW w:w="397" w:type="pct"/>
                  <w:noWrap w:val="0"/>
                  <w:vAlign w:val="center"/>
                </w:tcPr>
                <w:p>
                  <w:pPr>
                    <w:jc w:val="center"/>
                    <w:rPr>
                      <w:rFonts w:hint="default" w:ascii="Times New Roman" w:hAnsi="Times New Roman" w:eastAsia="宋体" w:cs="Times New Roman"/>
                      <w:color w:val="auto"/>
                      <w:sz w:val="21"/>
                      <w:szCs w:val="21"/>
                      <w:highlight w:val="none"/>
                      <w:u w:val="none"/>
                    </w:rPr>
                  </w:pPr>
                  <w:r>
                    <w:rPr>
                      <w:rFonts w:hint="default" w:ascii="Times New Roman" w:hAnsi="Times New Roman" w:eastAsia="宋体" w:cs="Times New Roman"/>
                      <w:color w:val="auto"/>
                      <w:sz w:val="21"/>
                      <w:szCs w:val="21"/>
                      <w:highlight w:val="none"/>
                      <w:u w:val="none"/>
                    </w:rPr>
                    <w:t>5m</w:t>
                  </w:r>
                </w:p>
              </w:tc>
              <w:tc>
                <w:tcPr>
                  <w:tcW w:w="357" w:type="pct"/>
                  <w:noWrap w:val="0"/>
                  <w:vAlign w:val="center"/>
                </w:tcPr>
                <w:p>
                  <w:pPr>
                    <w:jc w:val="center"/>
                    <w:rPr>
                      <w:rFonts w:hint="default" w:ascii="Times New Roman" w:hAnsi="Times New Roman" w:eastAsia="宋体" w:cs="Times New Roman"/>
                      <w:color w:val="auto"/>
                      <w:sz w:val="21"/>
                      <w:szCs w:val="21"/>
                      <w:highlight w:val="none"/>
                      <w:u w:val="none"/>
                    </w:rPr>
                  </w:pPr>
                  <w:r>
                    <w:rPr>
                      <w:rFonts w:hint="default" w:ascii="Times New Roman" w:hAnsi="Times New Roman" w:eastAsia="宋体" w:cs="Times New Roman"/>
                      <w:color w:val="auto"/>
                      <w:sz w:val="21"/>
                      <w:szCs w:val="21"/>
                      <w:highlight w:val="none"/>
                      <w:u w:val="none"/>
                    </w:rPr>
                    <w:t>10m</w:t>
                  </w:r>
                </w:p>
              </w:tc>
              <w:tc>
                <w:tcPr>
                  <w:tcW w:w="381" w:type="pct"/>
                  <w:noWrap w:val="0"/>
                  <w:vAlign w:val="center"/>
                </w:tcPr>
                <w:p>
                  <w:pPr>
                    <w:jc w:val="center"/>
                    <w:rPr>
                      <w:rFonts w:hint="default" w:ascii="Times New Roman" w:hAnsi="Times New Roman" w:eastAsia="宋体" w:cs="Times New Roman"/>
                      <w:color w:val="auto"/>
                      <w:sz w:val="21"/>
                      <w:szCs w:val="21"/>
                      <w:highlight w:val="none"/>
                      <w:u w:val="none"/>
                    </w:rPr>
                  </w:pPr>
                  <w:r>
                    <w:rPr>
                      <w:rFonts w:hint="default" w:ascii="Times New Roman" w:hAnsi="Times New Roman" w:eastAsia="宋体" w:cs="Times New Roman"/>
                      <w:color w:val="auto"/>
                      <w:sz w:val="21"/>
                      <w:szCs w:val="21"/>
                      <w:highlight w:val="none"/>
                      <w:u w:val="none"/>
                    </w:rPr>
                    <w:t>20m</w:t>
                  </w:r>
                </w:p>
              </w:tc>
              <w:tc>
                <w:tcPr>
                  <w:tcW w:w="377" w:type="pct"/>
                  <w:noWrap w:val="0"/>
                  <w:vAlign w:val="center"/>
                </w:tcPr>
                <w:p>
                  <w:pPr>
                    <w:jc w:val="center"/>
                    <w:rPr>
                      <w:rFonts w:hint="default" w:ascii="Times New Roman" w:hAnsi="Times New Roman" w:eastAsia="宋体" w:cs="Times New Roman"/>
                      <w:color w:val="auto"/>
                      <w:sz w:val="21"/>
                      <w:szCs w:val="21"/>
                      <w:highlight w:val="none"/>
                      <w:u w:val="none"/>
                    </w:rPr>
                  </w:pPr>
                  <w:r>
                    <w:rPr>
                      <w:rFonts w:hint="default" w:ascii="Times New Roman" w:hAnsi="Times New Roman" w:eastAsia="宋体" w:cs="Times New Roman"/>
                      <w:color w:val="auto"/>
                      <w:sz w:val="21"/>
                      <w:szCs w:val="21"/>
                      <w:highlight w:val="none"/>
                      <w:u w:val="none"/>
                    </w:rPr>
                    <w:t>40m</w:t>
                  </w:r>
                </w:p>
              </w:tc>
              <w:tc>
                <w:tcPr>
                  <w:tcW w:w="436" w:type="pct"/>
                  <w:noWrap w:val="0"/>
                  <w:vAlign w:val="center"/>
                </w:tcPr>
                <w:p>
                  <w:pPr>
                    <w:jc w:val="center"/>
                    <w:rPr>
                      <w:rFonts w:hint="default" w:ascii="Times New Roman" w:hAnsi="Times New Roman" w:eastAsia="宋体" w:cs="Times New Roman"/>
                      <w:color w:val="auto"/>
                      <w:sz w:val="21"/>
                      <w:szCs w:val="21"/>
                      <w:highlight w:val="none"/>
                      <w:u w:val="none"/>
                    </w:rPr>
                  </w:pPr>
                  <w:r>
                    <w:rPr>
                      <w:rFonts w:hint="default" w:ascii="Times New Roman" w:hAnsi="Times New Roman" w:eastAsia="宋体" w:cs="Times New Roman"/>
                      <w:color w:val="auto"/>
                      <w:sz w:val="21"/>
                      <w:szCs w:val="21"/>
                      <w:highlight w:val="none"/>
                      <w:u w:val="none"/>
                    </w:rPr>
                    <w:t>60m</w:t>
                  </w:r>
                </w:p>
              </w:tc>
              <w:tc>
                <w:tcPr>
                  <w:tcW w:w="357" w:type="pct"/>
                  <w:noWrap w:val="0"/>
                  <w:vAlign w:val="center"/>
                </w:tcPr>
                <w:p>
                  <w:pPr>
                    <w:jc w:val="center"/>
                    <w:rPr>
                      <w:rFonts w:hint="default" w:ascii="Times New Roman" w:hAnsi="Times New Roman" w:eastAsia="宋体" w:cs="Times New Roman"/>
                      <w:color w:val="auto"/>
                      <w:sz w:val="21"/>
                      <w:szCs w:val="21"/>
                      <w:highlight w:val="none"/>
                      <w:u w:val="none"/>
                    </w:rPr>
                  </w:pPr>
                  <w:r>
                    <w:rPr>
                      <w:rFonts w:hint="default" w:ascii="Times New Roman" w:hAnsi="Times New Roman" w:eastAsia="宋体" w:cs="Times New Roman"/>
                      <w:color w:val="auto"/>
                      <w:sz w:val="21"/>
                      <w:szCs w:val="21"/>
                      <w:highlight w:val="none"/>
                      <w:u w:val="none"/>
                    </w:rPr>
                    <w:t>80m</w:t>
                  </w:r>
                </w:p>
              </w:tc>
              <w:tc>
                <w:tcPr>
                  <w:tcW w:w="426" w:type="pct"/>
                  <w:noWrap w:val="0"/>
                  <w:vAlign w:val="center"/>
                </w:tcPr>
                <w:p>
                  <w:pPr>
                    <w:jc w:val="center"/>
                    <w:rPr>
                      <w:rFonts w:hint="default" w:ascii="Times New Roman" w:hAnsi="Times New Roman" w:eastAsia="宋体" w:cs="Times New Roman"/>
                      <w:color w:val="auto"/>
                      <w:sz w:val="21"/>
                      <w:szCs w:val="21"/>
                      <w:highlight w:val="none"/>
                      <w:u w:val="none"/>
                    </w:rPr>
                  </w:pPr>
                  <w:r>
                    <w:rPr>
                      <w:rFonts w:hint="default" w:ascii="Times New Roman" w:hAnsi="Times New Roman" w:eastAsia="宋体" w:cs="Times New Roman"/>
                      <w:color w:val="auto"/>
                      <w:sz w:val="21"/>
                      <w:szCs w:val="21"/>
                      <w:highlight w:val="none"/>
                      <w:u w:val="none"/>
                    </w:rPr>
                    <w:t>100m</w:t>
                  </w:r>
                </w:p>
              </w:tc>
              <w:tc>
                <w:tcPr>
                  <w:tcW w:w="423" w:type="pct"/>
                  <w:noWrap w:val="0"/>
                  <w:vAlign w:val="center"/>
                </w:tcPr>
                <w:p>
                  <w:pPr>
                    <w:jc w:val="center"/>
                    <w:rPr>
                      <w:rFonts w:hint="default" w:ascii="Times New Roman" w:hAnsi="Times New Roman" w:eastAsia="宋体" w:cs="Times New Roman"/>
                      <w:color w:val="auto"/>
                      <w:sz w:val="21"/>
                      <w:szCs w:val="21"/>
                      <w:highlight w:val="none"/>
                      <w:u w:val="none"/>
                    </w:rPr>
                  </w:pPr>
                  <w:r>
                    <w:rPr>
                      <w:rFonts w:hint="default" w:ascii="Times New Roman" w:hAnsi="Times New Roman" w:eastAsia="宋体" w:cs="Times New Roman"/>
                      <w:color w:val="auto"/>
                      <w:sz w:val="21"/>
                      <w:szCs w:val="21"/>
                      <w:highlight w:val="none"/>
                      <w:u w:val="none"/>
                    </w:rPr>
                    <w:t>150m</w:t>
                  </w:r>
                </w:p>
              </w:tc>
              <w:tc>
                <w:tcPr>
                  <w:tcW w:w="469" w:type="pct"/>
                  <w:noWrap w:val="0"/>
                  <w:vAlign w:val="center"/>
                </w:tcPr>
                <w:p>
                  <w:pPr>
                    <w:jc w:val="center"/>
                    <w:rPr>
                      <w:rFonts w:hint="default" w:ascii="Times New Roman" w:hAnsi="Times New Roman" w:eastAsia="宋体" w:cs="Times New Roman"/>
                      <w:color w:val="auto"/>
                      <w:sz w:val="21"/>
                      <w:szCs w:val="21"/>
                      <w:highlight w:val="none"/>
                      <w:u w:val="none"/>
                      <w:lang w:val="en-US" w:eastAsia="zh-CN"/>
                    </w:rPr>
                  </w:pPr>
                  <w:r>
                    <w:rPr>
                      <w:rFonts w:hint="eastAsia" w:cs="Times New Roman"/>
                      <w:color w:val="auto"/>
                      <w:sz w:val="21"/>
                      <w:szCs w:val="21"/>
                      <w:highlight w:val="none"/>
                      <w:u w:val="none"/>
                      <w:lang w:val="en-US" w:eastAsia="zh-CN"/>
                    </w:rPr>
                    <w:t>200</w:t>
                  </w:r>
                </w:p>
              </w:tc>
              <w:tc>
                <w:tcPr>
                  <w:tcW w:w="489" w:type="pct"/>
                  <w:tcBorders>
                    <w:right w:val="nil"/>
                  </w:tcBorders>
                  <w:noWrap w:val="0"/>
                  <w:vAlign w:val="center"/>
                </w:tcPr>
                <w:p>
                  <w:pPr>
                    <w:jc w:val="center"/>
                    <w:rPr>
                      <w:rFonts w:hint="default" w:ascii="Times New Roman" w:hAnsi="Times New Roman" w:eastAsia="宋体" w:cs="Times New Roman"/>
                      <w:color w:val="auto"/>
                      <w:sz w:val="21"/>
                      <w:szCs w:val="21"/>
                      <w:highlight w:val="none"/>
                      <w:u w:val="none"/>
                    </w:rPr>
                  </w:pPr>
                  <w:r>
                    <w:rPr>
                      <w:rFonts w:hint="eastAsia" w:cs="Times New Roman"/>
                      <w:color w:val="auto"/>
                      <w:sz w:val="21"/>
                      <w:szCs w:val="21"/>
                      <w:highlight w:val="none"/>
                      <w:u w:val="none"/>
                      <w:lang w:val="en-US" w:eastAsia="zh-CN"/>
                    </w:rPr>
                    <w:t>468</w:t>
                  </w:r>
                  <w:r>
                    <w:rPr>
                      <w:rFonts w:hint="default" w:ascii="Times New Roman" w:hAnsi="Times New Roman" w:eastAsia="宋体" w:cs="Times New Roman"/>
                      <w:color w:val="auto"/>
                      <w:sz w:val="21"/>
                      <w:szCs w:val="21"/>
                      <w:highlight w:val="none"/>
                      <w:u w:val="none"/>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886" w:type="pct"/>
                  <w:vMerge w:val="restart"/>
                  <w:tcBorders>
                    <w:left w:val="nil"/>
                  </w:tcBorders>
                  <w:noWrap w:val="0"/>
                  <w:vAlign w:val="center"/>
                </w:tcPr>
                <w:p>
                  <w:pPr>
                    <w:jc w:val="center"/>
                    <w:rPr>
                      <w:rFonts w:hint="default" w:ascii="Times New Roman" w:hAnsi="Times New Roman" w:eastAsia="宋体" w:cs="Times New Roman"/>
                      <w:color w:val="auto"/>
                      <w:sz w:val="21"/>
                      <w:szCs w:val="21"/>
                      <w:highlight w:val="none"/>
                      <w:u w:val="none"/>
                    </w:rPr>
                  </w:pPr>
                  <w:r>
                    <w:rPr>
                      <w:rFonts w:hint="eastAsia" w:cs="Times New Roman"/>
                      <w:color w:val="auto"/>
                      <w:sz w:val="21"/>
                      <w:szCs w:val="21"/>
                      <w:highlight w:val="none"/>
                      <w:u w:val="none"/>
                      <w:lang w:val="en-US" w:eastAsia="zh-CN"/>
                    </w:rPr>
                    <w:t>火车</w:t>
                  </w:r>
                </w:p>
              </w:tc>
              <w:tc>
                <w:tcPr>
                  <w:tcW w:w="397" w:type="pct"/>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u w:val="none"/>
                      <w:lang w:val="en-US" w:eastAsia="zh-CN"/>
                    </w:rPr>
                  </w:pPr>
                  <w:r>
                    <w:rPr>
                      <w:rFonts w:hint="eastAsia" w:cs="Times New Roman"/>
                      <w:color w:val="auto"/>
                      <w:sz w:val="21"/>
                      <w:szCs w:val="21"/>
                      <w:highlight w:val="none"/>
                      <w:u w:val="none"/>
                      <w:lang w:val="en-US" w:eastAsia="zh-CN"/>
                    </w:rPr>
                    <w:t>92.5</w:t>
                  </w:r>
                </w:p>
              </w:tc>
              <w:tc>
                <w:tcPr>
                  <w:tcW w:w="357" w:type="pct"/>
                  <w:noWrap w:val="0"/>
                  <w:vAlign w:val="center"/>
                </w:tcPr>
                <w:p>
                  <w:pPr>
                    <w:keepNext w:val="0"/>
                    <w:keepLines w:val="0"/>
                    <w:widowControl/>
                    <w:suppressLineNumbers w:val="0"/>
                    <w:jc w:val="both"/>
                    <w:textAlignment w:val="center"/>
                    <w:rPr>
                      <w:rFonts w:hint="default" w:ascii="Times New Roman" w:hAnsi="Times New Roman" w:eastAsia="等线" w:cs="Times New Roman"/>
                      <w:i w:val="0"/>
                      <w:iCs w:val="0"/>
                      <w:color w:val="auto"/>
                      <w:kern w:val="0"/>
                      <w:sz w:val="21"/>
                      <w:szCs w:val="21"/>
                      <w:highlight w:val="none"/>
                      <w:u w:val="none"/>
                      <w:lang w:val="en-US" w:eastAsia="zh-CN" w:bidi="ar"/>
                    </w:rPr>
                  </w:pPr>
                  <w:r>
                    <w:rPr>
                      <w:rFonts w:hint="eastAsia" w:eastAsia="等线" w:cs="Times New Roman"/>
                      <w:i w:val="0"/>
                      <w:iCs w:val="0"/>
                      <w:color w:val="auto"/>
                      <w:kern w:val="0"/>
                      <w:sz w:val="21"/>
                      <w:szCs w:val="21"/>
                      <w:highlight w:val="none"/>
                      <w:u w:val="none"/>
                      <w:lang w:val="en-US" w:eastAsia="zh-CN" w:bidi="ar"/>
                    </w:rPr>
                    <w:t>86.5</w:t>
                  </w:r>
                </w:p>
              </w:tc>
              <w:tc>
                <w:tcPr>
                  <w:tcW w:w="381" w:type="pct"/>
                  <w:noWrap w:val="0"/>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auto"/>
                      <w:kern w:val="0"/>
                      <w:sz w:val="21"/>
                      <w:szCs w:val="21"/>
                      <w:highlight w:val="none"/>
                      <w:u w:val="none"/>
                      <w:lang w:val="en-US" w:eastAsia="zh-CN" w:bidi="ar"/>
                    </w:rPr>
                  </w:pPr>
                  <w:r>
                    <w:rPr>
                      <w:rFonts w:hint="eastAsia" w:eastAsia="等线" w:cs="Times New Roman"/>
                      <w:i w:val="0"/>
                      <w:iCs w:val="0"/>
                      <w:color w:val="auto"/>
                      <w:kern w:val="0"/>
                      <w:sz w:val="21"/>
                      <w:szCs w:val="21"/>
                      <w:highlight w:val="none"/>
                      <w:u w:val="none"/>
                      <w:lang w:val="en-US" w:eastAsia="zh-CN" w:bidi="ar"/>
                    </w:rPr>
                    <w:t>80.5</w:t>
                  </w:r>
                </w:p>
              </w:tc>
              <w:tc>
                <w:tcPr>
                  <w:tcW w:w="377" w:type="pct"/>
                  <w:noWrap w:val="0"/>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auto"/>
                      <w:kern w:val="0"/>
                      <w:sz w:val="21"/>
                      <w:szCs w:val="21"/>
                      <w:highlight w:val="none"/>
                      <w:u w:val="none"/>
                      <w:lang w:val="en-US" w:eastAsia="zh-CN" w:bidi="ar"/>
                    </w:rPr>
                  </w:pPr>
                  <w:r>
                    <w:rPr>
                      <w:rFonts w:hint="eastAsia" w:eastAsia="等线" w:cs="Times New Roman"/>
                      <w:i w:val="0"/>
                      <w:iCs w:val="0"/>
                      <w:color w:val="auto"/>
                      <w:kern w:val="0"/>
                      <w:sz w:val="21"/>
                      <w:szCs w:val="21"/>
                      <w:highlight w:val="none"/>
                      <w:u w:val="none"/>
                      <w:lang w:val="en-US" w:eastAsia="zh-CN" w:bidi="ar"/>
                    </w:rPr>
                    <w:t>74.5</w:t>
                  </w:r>
                </w:p>
              </w:tc>
              <w:tc>
                <w:tcPr>
                  <w:tcW w:w="436" w:type="pct"/>
                  <w:noWrap w:val="0"/>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auto"/>
                      <w:kern w:val="0"/>
                      <w:sz w:val="21"/>
                      <w:szCs w:val="21"/>
                      <w:highlight w:val="none"/>
                      <w:u w:val="none"/>
                      <w:lang w:val="en-US" w:eastAsia="zh-CN" w:bidi="ar"/>
                    </w:rPr>
                  </w:pPr>
                  <w:r>
                    <w:rPr>
                      <w:rFonts w:hint="eastAsia" w:eastAsia="等线" w:cs="Times New Roman"/>
                      <w:i w:val="0"/>
                      <w:iCs w:val="0"/>
                      <w:color w:val="auto"/>
                      <w:kern w:val="0"/>
                      <w:sz w:val="21"/>
                      <w:szCs w:val="21"/>
                      <w:highlight w:val="none"/>
                      <w:u w:val="none"/>
                      <w:lang w:val="en-US" w:eastAsia="zh-CN" w:bidi="ar"/>
                    </w:rPr>
                    <w:t>70.9</w:t>
                  </w:r>
                </w:p>
              </w:tc>
              <w:tc>
                <w:tcPr>
                  <w:tcW w:w="357" w:type="pct"/>
                  <w:noWrap w:val="0"/>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auto"/>
                      <w:kern w:val="0"/>
                      <w:sz w:val="21"/>
                      <w:szCs w:val="21"/>
                      <w:highlight w:val="none"/>
                      <w:u w:val="none"/>
                      <w:lang w:val="en-US" w:eastAsia="zh-CN" w:bidi="ar"/>
                    </w:rPr>
                  </w:pPr>
                  <w:r>
                    <w:rPr>
                      <w:rFonts w:hint="eastAsia" w:eastAsia="等线" w:cs="Times New Roman"/>
                      <w:i w:val="0"/>
                      <w:iCs w:val="0"/>
                      <w:color w:val="auto"/>
                      <w:kern w:val="0"/>
                      <w:sz w:val="21"/>
                      <w:szCs w:val="21"/>
                      <w:highlight w:val="none"/>
                      <w:u w:val="none"/>
                      <w:lang w:val="en-US" w:eastAsia="zh-CN" w:bidi="ar"/>
                    </w:rPr>
                    <w:t>68.4</w:t>
                  </w:r>
                </w:p>
              </w:tc>
              <w:tc>
                <w:tcPr>
                  <w:tcW w:w="426" w:type="pct"/>
                  <w:noWrap w:val="0"/>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auto"/>
                      <w:kern w:val="0"/>
                      <w:sz w:val="21"/>
                      <w:szCs w:val="21"/>
                      <w:highlight w:val="none"/>
                      <w:u w:val="none"/>
                      <w:lang w:val="en-US" w:eastAsia="zh-CN" w:bidi="ar"/>
                    </w:rPr>
                  </w:pPr>
                  <w:r>
                    <w:rPr>
                      <w:rFonts w:hint="eastAsia" w:eastAsia="等线" w:cs="Times New Roman"/>
                      <w:i w:val="0"/>
                      <w:iCs w:val="0"/>
                      <w:color w:val="auto"/>
                      <w:kern w:val="0"/>
                      <w:sz w:val="21"/>
                      <w:szCs w:val="21"/>
                      <w:highlight w:val="none"/>
                      <w:u w:val="none"/>
                      <w:lang w:val="en-US" w:eastAsia="zh-CN" w:bidi="ar"/>
                    </w:rPr>
                    <w:t>66.5</w:t>
                  </w:r>
                </w:p>
              </w:tc>
              <w:tc>
                <w:tcPr>
                  <w:tcW w:w="423" w:type="pct"/>
                  <w:noWrap w:val="0"/>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auto"/>
                      <w:kern w:val="0"/>
                      <w:sz w:val="21"/>
                      <w:szCs w:val="21"/>
                      <w:highlight w:val="none"/>
                      <w:u w:val="none"/>
                      <w:lang w:val="en-US" w:eastAsia="zh-CN" w:bidi="ar"/>
                    </w:rPr>
                  </w:pPr>
                  <w:r>
                    <w:rPr>
                      <w:rFonts w:hint="eastAsia" w:eastAsia="等线" w:cs="Times New Roman"/>
                      <w:i w:val="0"/>
                      <w:iCs w:val="0"/>
                      <w:color w:val="auto"/>
                      <w:kern w:val="0"/>
                      <w:sz w:val="21"/>
                      <w:szCs w:val="21"/>
                      <w:highlight w:val="none"/>
                      <w:u w:val="none"/>
                      <w:lang w:val="en-US" w:eastAsia="zh-CN" w:bidi="ar"/>
                    </w:rPr>
                    <w:t>63.1</w:t>
                  </w:r>
                </w:p>
              </w:tc>
              <w:tc>
                <w:tcPr>
                  <w:tcW w:w="469" w:type="pct"/>
                  <w:noWrap w:val="0"/>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auto"/>
                      <w:kern w:val="0"/>
                      <w:sz w:val="21"/>
                      <w:szCs w:val="21"/>
                      <w:highlight w:val="none"/>
                      <w:u w:val="none"/>
                      <w:lang w:val="en-US" w:eastAsia="zh-CN" w:bidi="ar"/>
                    </w:rPr>
                  </w:pPr>
                  <w:r>
                    <w:rPr>
                      <w:rFonts w:hint="eastAsia" w:eastAsia="等线" w:cs="Times New Roman"/>
                      <w:i w:val="0"/>
                      <w:iCs w:val="0"/>
                      <w:color w:val="auto"/>
                      <w:kern w:val="0"/>
                      <w:sz w:val="21"/>
                      <w:szCs w:val="21"/>
                      <w:highlight w:val="none"/>
                      <w:u w:val="none"/>
                      <w:lang w:val="en-US" w:eastAsia="zh-CN" w:bidi="ar"/>
                    </w:rPr>
                    <w:t>60.5</w:t>
                  </w:r>
                </w:p>
              </w:tc>
              <w:tc>
                <w:tcPr>
                  <w:tcW w:w="489" w:type="pct"/>
                  <w:tcBorders>
                    <w:right w:val="nil"/>
                  </w:tcBorders>
                  <w:noWrap w:val="0"/>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auto"/>
                      <w:kern w:val="0"/>
                      <w:sz w:val="21"/>
                      <w:szCs w:val="21"/>
                      <w:highlight w:val="none"/>
                      <w:u w:val="none"/>
                      <w:lang w:val="en-US" w:eastAsia="zh-CN" w:bidi="ar"/>
                    </w:rPr>
                  </w:pPr>
                  <w:r>
                    <w:rPr>
                      <w:rFonts w:hint="eastAsia" w:eastAsia="等线" w:cs="Times New Roman"/>
                      <w:i w:val="0"/>
                      <w:iCs w:val="0"/>
                      <w:color w:val="auto"/>
                      <w:kern w:val="0"/>
                      <w:sz w:val="21"/>
                      <w:szCs w:val="21"/>
                      <w:highlight w:val="none"/>
                      <w:u w:val="none"/>
                      <w:lang w:val="en-US" w:eastAsia="zh-CN" w:bidi="ar"/>
                    </w:rPr>
                    <w:t>53.1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86" w:type="pct"/>
                  <w:vMerge w:val="continue"/>
                  <w:tcBorders>
                    <w:left w:val="nil"/>
                  </w:tcBorders>
                  <w:noWrap w:val="0"/>
                  <w:vAlign w:val="center"/>
                </w:tcPr>
                <w:p>
                  <w:pPr>
                    <w:jc w:val="both"/>
                    <w:rPr>
                      <w:rFonts w:hint="default" w:ascii="Times New Roman" w:hAnsi="Times New Roman" w:eastAsia="宋体" w:cs="Times New Roman"/>
                      <w:color w:val="auto"/>
                      <w:sz w:val="21"/>
                      <w:szCs w:val="21"/>
                      <w:highlight w:val="none"/>
                      <w:u w:val="none"/>
                    </w:rPr>
                  </w:pPr>
                </w:p>
              </w:tc>
              <w:tc>
                <w:tcPr>
                  <w:tcW w:w="4113" w:type="pct"/>
                  <w:gridSpan w:val="10"/>
                  <w:tcBorders>
                    <w:right w:val="nil"/>
                  </w:tcBorders>
                  <w:noWrap w:val="0"/>
                  <w:vAlign w:val="center"/>
                </w:tcPr>
                <w:p>
                  <w:pPr>
                    <w:jc w:val="center"/>
                    <w:rPr>
                      <w:rFonts w:hint="default" w:ascii="Times New Roman" w:hAnsi="Times New Roman" w:eastAsia="宋体" w:cs="Times New Roman"/>
                      <w:color w:val="auto"/>
                      <w:sz w:val="21"/>
                      <w:szCs w:val="21"/>
                      <w:highlight w:val="none"/>
                      <w:u w:val="none"/>
                    </w:rPr>
                  </w:pPr>
                  <w:r>
                    <w:rPr>
                      <w:rFonts w:hint="default" w:ascii="Times New Roman" w:hAnsi="Times New Roman" w:eastAsia="宋体" w:cs="Times New Roman"/>
                      <w:color w:val="auto"/>
                      <w:sz w:val="21"/>
                      <w:szCs w:val="21"/>
                      <w:highlight w:val="none"/>
                      <w:u w:val="none"/>
                    </w:rPr>
                    <w:t>衰减至</w:t>
                  </w:r>
                  <w:r>
                    <w:rPr>
                      <w:rFonts w:hint="eastAsia" w:cs="Times New Roman"/>
                      <w:color w:val="auto"/>
                      <w:sz w:val="21"/>
                      <w:szCs w:val="21"/>
                      <w:highlight w:val="none"/>
                      <w:u w:val="none"/>
                      <w:lang w:val="en-US" w:eastAsia="zh-CN"/>
                    </w:rPr>
                    <w:t>60</w:t>
                  </w:r>
                  <w:r>
                    <w:rPr>
                      <w:rFonts w:hint="default" w:ascii="Times New Roman" w:hAnsi="Times New Roman" w:eastAsia="宋体" w:cs="Times New Roman"/>
                      <w:color w:val="auto"/>
                      <w:sz w:val="21"/>
                      <w:szCs w:val="21"/>
                      <w:highlight w:val="none"/>
                      <w:u w:val="none"/>
                    </w:rPr>
                    <w:t>dB（A）的距离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86" w:type="pct"/>
                  <w:vMerge w:val="continue"/>
                  <w:tcBorders>
                    <w:left w:val="nil"/>
                    <w:bottom w:val="double" w:color="auto" w:sz="4" w:space="0"/>
                  </w:tcBorders>
                  <w:noWrap w:val="0"/>
                  <w:vAlign w:val="center"/>
                </w:tcPr>
                <w:p>
                  <w:pPr>
                    <w:jc w:val="center"/>
                    <w:rPr>
                      <w:rFonts w:hint="default" w:ascii="Times New Roman" w:hAnsi="Times New Roman" w:eastAsia="宋体" w:cs="Times New Roman"/>
                      <w:color w:val="auto"/>
                      <w:sz w:val="21"/>
                      <w:szCs w:val="21"/>
                      <w:highlight w:val="none"/>
                      <w:u w:val="none"/>
                    </w:rPr>
                  </w:pPr>
                </w:p>
              </w:tc>
              <w:tc>
                <w:tcPr>
                  <w:tcW w:w="4113" w:type="pct"/>
                  <w:gridSpan w:val="10"/>
                  <w:tcBorders>
                    <w:bottom w:val="double" w:color="auto" w:sz="4" w:space="0"/>
                    <w:right w:val="nil"/>
                  </w:tcBorders>
                  <w:noWrap w:val="0"/>
                  <w:vAlign w:val="center"/>
                </w:tcPr>
                <w:p>
                  <w:pPr>
                    <w:jc w:val="center"/>
                    <w:rPr>
                      <w:rFonts w:hint="eastAsia" w:ascii="Times New Roman" w:hAnsi="Times New Roman" w:eastAsia="宋体" w:cs="Times New Roman"/>
                      <w:color w:val="auto"/>
                      <w:sz w:val="21"/>
                      <w:szCs w:val="21"/>
                      <w:highlight w:val="none"/>
                      <w:u w:val="none"/>
                      <w:lang w:val="en-US" w:eastAsia="zh-CN"/>
                    </w:rPr>
                  </w:pPr>
                  <w:r>
                    <w:rPr>
                      <w:rFonts w:hint="eastAsia" w:cs="Times New Roman"/>
                      <w:color w:val="auto"/>
                      <w:sz w:val="21"/>
                      <w:szCs w:val="21"/>
                      <w:highlight w:val="none"/>
                      <w:u w:val="none"/>
                      <w:lang w:val="en-US" w:eastAsia="zh-CN"/>
                    </w:rPr>
                    <w:t>212</w:t>
                  </w:r>
                  <w:r>
                    <w:rPr>
                      <w:rFonts w:hint="default" w:ascii="Times New Roman" w:hAnsi="Times New Roman" w:eastAsia="宋体" w:cs="Times New Roman"/>
                      <w:color w:val="auto"/>
                      <w:sz w:val="21"/>
                      <w:szCs w:val="21"/>
                      <w:highlight w:val="none"/>
                      <w:u w:val="none"/>
                    </w:rPr>
                    <w:t>m</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宋体" w:cs="Times New Roman"/>
                <w:color w:val="auto"/>
                <w:sz w:val="24"/>
                <w:szCs w:val="24"/>
                <w:highlight w:val="none"/>
                <w:u w:val="none"/>
              </w:rPr>
            </w:pPr>
            <w:r>
              <w:rPr>
                <w:rFonts w:hint="eastAsia" w:cs="Times New Roman"/>
                <w:color w:val="auto"/>
                <w:sz w:val="24"/>
                <w:szCs w:val="24"/>
                <w:highlight w:val="none"/>
                <w:u w:val="none"/>
                <w:lang w:val="en-US" w:eastAsia="zh-CN"/>
              </w:rPr>
              <w:t>5</w:t>
            </w:r>
            <w:r>
              <w:rPr>
                <w:rFonts w:hint="eastAsia" w:ascii="Times New Roman" w:hAnsi="Times New Roman" w:eastAsia="宋体" w:cs="Times New Roman"/>
                <w:color w:val="auto"/>
                <w:sz w:val="24"/>
                <w:szCs w:val="24"/>
                <w:highlight w:val="none"/>
                <w:u w:val="none"/>
                <w:lang w:val="en-US" w:eastAsia="zh-CN"/>
              </w:rPr>
              <w:t>、</w:t>
            </w:r>
            <w:r>
              <w:rPr>
                <w:rFonts w:hint="eastAsia" w:cs="Times New Roman"/>
                <w:color w:val="auto"/>
                <w:sz w:val="24"/>
                <w:szCs w:val="24"/>
                <w:highlight w:val="none"/>
                <w:u w:val="none"/>
                <w:lang w:val="en-US" w:eastAsia="zh-CN"/>
              </w:rPr>
              <w:t>线声源</w:t>
            </w:r>
            <w:r>
              <w:rPr>
                <w:rFonts w:hint="default" w:ascii="Times New Roman" w:hAnsi="Times New Roman" w:eastAsia="宋体" w:cs="Times New Roman"/>
                <w:color w:val="auto"/>
                <w:sz w:val="24"/>
                <w:szCs w:val="24"/>
                <w:highlight w:val="none"/>
                <w:u w:val="none"/>
              </w:rPr>
              <w:t>噪声影响分析</w:t>
            </w:r>
          </w:p>
          <w:p>
            <w:pPr>
              <w:spacing w:line="360" w:lineRule="auto"/>
              <w:ind w:firstLine="480" w:firstLineChars="200"/>
              <w:rPr>
                <w:rFonts w:hint="default" w:ascii="Times New Roman" w:hAnsi="Times New Roman" w:eastAsia="宋体" w:cs="Times New Roman"/>
                <w:color w:val="auto"/>
                <w:sz w:val="24"/>
                <w:szCs w:val="20"/>
                <w:highlight w:val="none"/>
                <w:u w:val="none"/>
              </w:rPr>
            </w:pPr>
            <w:r>
              <w:rPr>
                <w:rFonts w:hint="eastAsia" w:ascii="Times New Roman" w:hAnsi="Times New Roman" w:eastAsia="宋体" w:cs="Times New Roman"/>
                <w:color w:val="auto"/>
                <w:sz w:val="24"/>
                <w:szCs w:val="20"/>
                <w:highlight w:val="none"/>
                <w:u w:val="none"/>
                <w:lang w:val="en-US" w:eastAsia="zh-CN"/>
              </w:rPr>
              <w:t>根据模拟</w:t>
            </w:r>
            <w:r>
              <w:rPr>
                <w:rFonts w:hint="eastAsia" w:cs="Times New Roman"/>
                <w:color w:val="auto"/>
                <w:sz w:val="24"/>
                <w:szCs w:val="20"/>
                <w:highlight w:val="none"/>
                <w:u w:val="none"/>
                <w:lang w:val="en-US" w:eastAsia="zh-CN"/>
              </w:rPr>
              <w:t>火车</w:t>
            </w:r>
            <w:r>
              <w:rPr>
                <w:rFonts w:hint="default" w:ascii="Times New Roman" w:hAnsi="Times New Roman" w:eastAsia="宋体" w:cs="Times New Roman"/>
                <w:color w:val="auto"/>
                <w:sz w:val="24"/>
                <w:szCs w:val="20"/>
                <w:highlight w:val="none"/>
                <w:u w:val="none"/>
              </w:rPr>
              <w:t>噪声预测值结果和</w:t>
            </w:r>
            <w:r>
              <w:rPr>
                <w:rFonts w:hint="default" w:ascii="Times New Roman" w:hAnsi="Times New Roman" w:eastAsia="宋体" w:cs="Times New Roman"/>
                <w:color w:val="auto"/>
                <w:sz w:val="24"/>
                <w:szCs w:val="24"/>
                <w:highlight w:val="none"/>
                <w:u w:val="none"/>
                <w:shd w:val="clear" w:color="auto" w:fill="auto"/>
                <w:lang w:val="en-US" w:eastAsia="zh-CN"/>
              </w:rPr>
              <w:t>《声环境质量标准》（GB3096-2008）中的</w:t>
            </w:r>
            <w:r>
              <w:rPr>
                <w:rFonts w:hint="eastAsia" w:cs="Times New Roman"/>
                <w:color w:val="auto"/>
                <w:sz w:val="24"/>
                <w:szCs w:val="24"/>
                <w:highlight w:val="none"/>
                <w:u w:val="none"/>
                <w:shd w:val="clear" w:color="auto" w:fill="auto"/>
                <w:lang w:val="en-US" w:eastAsia="zh-CN"/>
              </w:rPr>
              <w:t>2</w:t>
            </w:r>
            <w:r>
              <w:rPr>
                <w:rFonts w:hint="default" w:ascii="Times New Roman" w:hAnsi="Times New Roman" w:eastAsia="宋体" w:cs="Times New Roman"/>
                <w:color w:val="auto"/>
                <w:sz w:val="24"/>
                <w:szCs w:val="24"/>
                <w:highlight w:val="none"/>
                <w:u w:val="none"/>
                <w:shd w:val="clear" w:color="auto" w:fill="auto"/>
                <w:lang w:val="en-US" w:eastAsia="zh-CN"/>
              </w:rPr>
              <w:t>类标准</w:t>
            </w:r>
            <w:r>
              <w:rPr>
                <w:rFonts w:hint="eastAsia" w:cs="Times New Roman"/>
                <w:color w:val="auto"/>
                <w:sz w:val="24"/>
                <w:szCs w:val="24"/>
                <w:highlight w:val="none"/>
                <w:u w:val="none"/>
                <w:shd w:val="clear" w:color="auto" w:fill="auto"/>
                <w:lang w:val="en-US" w:eastAsia="zh-CN"/>
              </w:rPr>
              <w:t>，本项目仅昼间运行</w:t>
            </w:r>
            <w:r>
              <w:rPr>
                <w:rFonts w:hint="eastAsia" w:cs="Times New Roman"/>
                <w:color w:val="auto"/>
                <w:sz w:val="24"/>
                <w:szCs w:val="20"/>
                <w:highlight w:val="none"/>
                <w:u w:val="none"/>
                <w:lang w:eastAsia="zh-CN"/>
              </w:rPr>
              <w:t>。</w:t>
            </w:r>
            <w:r>
              <w:rPr>
                <w:rFonts w:hint="eastAsia" w:ascii="Times New Roman" w:hAnsi="Times New Roman" w:eastAsia="宋体" w:cs="Times New Roman"/>
                <w:color w:val="auto"/>
                <w:sz w:val="24"/>
                <w:szCs w:val="20"/>
                <w:highlight w:val="none"/>
                <w:u w:val="none"/>
                <w:lang w:val="en-US" w:eastAsia="zh-CN"/>
              </w:rPr>
              <w:t>昼间距</w:t>
            </w:r>
            <w:r>
              <w:rPr>
                <w:rFonts w:hint="eastAsia" w:cs="Times New Roman"/>
                <w:color w:val="auto"/>
                <w:sz w:val="24"/>
                <w:szCs w:val="20"/>
                <w:highlight w:val="none"/>
                <w:u w:val="none"/>
                <w:lang w:val="en-US" w:eastAsia="zh-CN"/>
              </w:rPr>
              <w:t>火车212</w:t>
            </w:r>
            <w:r>
              <w:rPr>
                <w:rFonts w:hint="eastAsia" w:ascii="Times New Roman" w:hAnsi="Times New Roman" w:eastAsia="宋体" w:cs="Times New Roman"/>
                <w:color w:val="auto"/>
                <w:sz w:val="24"/>
                <w:szCs w:val="20"/>
                <w:highlight w:val="none"/>
                <w:u w:val="none"/>
                <w:lang w:val="en-US" w:eastAsia="zh-CN"/>
              </w:rPr>
              <w:t>m</w:t>
            </w:r>
            <w:r>
              <w:rPr>
                <w:rFonts w:hint="eastAsia" w:cs="Times New Roman"/>
                <w:color w:val="auto"/>
                <w:sz w:val="24"/>
                <w:szCs w:val="20"/>
                <w:highlight w:val="none"/>
                <w:u w:val="none"/>
                <w:lang w:val="en-US" w:eastAsia="zh-CN"/>
              </w:rPr>
              <w:t>以外可</w:t>
            </w:r>
            <w:r>
              <w:rPr>
                <w:rFonts w:hint="eastAsia" w:ascii="Times New Roman" w:hAnsi="Times New Roman" w:eastAsia="宋体" w:cs="Times New Roman"/>
                <w:color w:val="auto"/>
                <w:sz w:val="24"/>
                <w:szCs w:val="20"/>
                <w:highlight w:val="none"/>
                <w:u w:val="none"/>
                <w:lang w:val="en-US" w:eastAsia="zh-CN"/>
              </w:rPr>
              <w:t>达到</w:t>
            </w:r>
            <w:r>
              <w:rPr>
                <w:rFonts w:hint="default" w:ascii="Times New Roman" w:hAnsi="Times New Roman" w:eastAsia="宋体" w:cs="Times New Roman"/>
                <w:color w:val="auto"/>
                <w:sz w:val="24"/>
                <w:szCs w:val="24"/>
                <w:highlight w:val="none"/>
                <w:u w:val="none"/>
                <w:shd w:val="clear" w:color="auto" w:fill="auto"/>
                <w:lang w:val="en-US" w:eastAsia="zh-CN"/>
              </w:rPr>
              <w:t>《声环境质量标准》（GB3096-2008）中的</w:t>
            </w:r>
            <w:r>
              <w:rPr>
                <w:rFonts w:hint="eastAsia" w:cs="Times New Roman"/>
                <w:color w:val="auto"/>
                <w:sz w:val="24"/>
                <w:szCs w:val="24"/>
                <w:highlight w:val="none"/>
                <w:u w:val="none"/>
                <w:shd w:val="clear" w:color="auto" w:fill="auto"/>
                <w:lang w:val="en-US" w:eastAsia="zh-CN"/>
              </w:rPr>
              <w:t>2</w:t>
            </w:r>
            <w:r>
              <w:rPr>
                <w:rFonts w:hint="default" w:ascii="Times New Roman" w:hAnsi="Times New Roman" w:eastAsia="宋体" w:cs="Times New Roman"/>
                <w:color w:val="auto"/>
                <w:sz w:val="24"/>
                <w:szCs w:val="24"/>
                <w:highlight w:val="none"/>
                <w:u w:val="none"/>
                <w:shd w:val="clear" w:color="auto" w:fill="auto"/>
                <w:lang w:val="en-US" w:eastAsia="zh-CN"/>
              </w:rPr>
              <w:t>类标准</w:t>
            </w:r>
            <w:r>
              <w:rPr>
                <w:rFonts w:hint="default" w:ascii="Times New Roman" w:hAnsi="Times New Roman" w:eastAsia="宋体" w:cs="Times New Roman"/>
                <w:color w:val="auto"/>
                <w:sz w:val="24"/>
                <w:szCs w:val="20"/>
                <w:highlight w:val="none"/>
                <w:u w:val="none"/>
              </w:rPr>
              <w:t>。</w:t>
            </w:r>
            <w:r>
              <w:rPr>
                <w:rFonts w:hint="eastAsia" w:cs="Times New Roman"/>
                <w:color w:val="auto"/>
                <w:sz w:val="24"/>
                <w:szCs w:val="20"/>
                <w:highlight w:val="none"/>
                <w:u w:val="none"/>
                <w:lang w:val="en-US" w:eastAsia="zh-CN"/>
              </w:rPr>
              <w:t>本项目敏感点距火车轨道最短直线距离为468m，满足昼间运行噪声标准。</w:t>
            </w:r>
          </w:p>
          <w:p>
            <w:pPr>
              <w:pStyle w:val="3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eastAsia="宋体" w:cs="Times New Roman"/>
                <w:kern w:val="2"/>
                <w:sz w:val="24"/>
                <w:szCs w:val="24"/>
                <w:highlight w:val="none"/>
                <w:lang w:val="en-US" w:eastAsia="zh-CN" w:bidi="ar-SA"/>
              </w:rPr>
              <w:t>6</w:t>
            </w:r>
            <w:r>
              <w:rPr>
                <w:rFonts w:hint="eastAsia" w:ascii="宋体" w:hAnsi="宋体" w:eastAsia="宋体" w:cs="宋体"/>
                <w:kern w:val="2"/>
                <w:sz w:val="24"/>
                <w:szCs w:val="24"/>
                <w:highlight w:val="none"/>
                <w:lang w:val="en-US" w:eastAsia="zh-CN" w:bidi="ar-SA"/>
              </w:rPr>
              <w:t>、</w:t>
            </w:r>
            <w:r>
              <w:rPr>
                <w:rFonts w:hint="eastAsia" w:ascii="宋体" w:hAnsi="宋体" w:eastAsia="宋体" w:cs="宋体"/>
                <w:sz w:val="24"/>
                <w:szCs w:val="24"/>
                <w:highlight w:val="none"/>
                <w:lang w:val="en-US" w:eastAsia="zh-CN"/>
              </w:rPr>
              <w:t>监测要求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根据《排污单位自行监测技术指南 总则》（HJ 819-2017），本项目污染源监测计划见表4-12。</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sz w:val="21"/>
                <w:szCs w:val="21"/>
                <w:highlight w:val="none"/>
                <w:lang w:val="en-US" w:eastAsia="zh-CN"/>
              </w:rPr>
            </w:pPr>
            <w:r>
              <w:rPr>
                <w:rFonts w:hint="eastAsia"/>
                <w:b/>
                <w:bCs/>
                <w:sz w:val="21"/>
                <w:szCs w:val="21"/>
                <w:highlight w:val="none"/>
              </w:rPr>
              <w:t>表</w:t>
            </w:r>
            <w:r>
              <w:rPr>
                <w:rFonts w:hint="eastAsia"/>
                <w:b/>
                <w:bCs/>
                <w:sz w:val="21"/>
                <w:szCs w:val="21"/>
                <w:highlight w:val="none"/>
                <w:lang w:val="en-US" w:eastAsia="zh-CN"/>
              </w:rPr>
              <w:t>4-12</w:t>
            </w:r>
            <w:r>
              <w:rPr>
                <w:rFonts w:hint="eastAsia"/>
                <w:b/>
                <w:bCs/>
                <w:sz w:val="21"/>
                <w:szCs w:val="21"/>
                <w:highlight w:val="none"/>
              </w:rPr>
              <w:t xml:space="preserve"> </w:t>
            </w:r>
            <w:r>
              <w:rPr>
                <w:rFonts w:hint="eastAsia"/>
                <w:b/>
                <w:bCs/>
                <w:sz w:val="21"/>
                <w:szCs w:val="21"/>
                <w:highlight w:val="none"/>
                <w:lang w:eastAsia="zh-CN"/>
              </w:rPr>
              <w:t>本</w:t>
            </w:r>
            <w:r>
              <w:rPr>
                <w:rFonts w:hint="eastAsia"/>
                <w:b/>
                <w:bCs/>
                <w:sz w:val="21"/>
                <w:szCs w:val="21"/>
                <w:highlight w:val="none"/>
                <w:lang w:val="en-US" w:eastAsia="zh-CN"/>
              </w:rPr>
              <w:t>项目噪声监测计划基本信息表</w:t>
            </w:r>
          </w:p>
          <w:tbl>
            <w:tblPr>
              <w:tblStyle w:val="22"/>
              <w:tblW w:w="8249"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362"/>
              <w:gridCol w:w="1361"/>
              <w:gridCol w:w="2387"/>
              <w:gridCol w:w="213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362" w:type="dxa"/>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b/>
                      <w:bCs/>
                      <w:sz w:val="21"/>
                      <w:szCs w:val="21"/>
                      <w:highlight w:val="none"/>
                      <w:lang w:val="en-US" w:eastAsia="zh-CN"/>
                    </w:rPr>
                  </w:pPr>
                  <w:r>
                    <w:rPr>
                      <w:rFonts w:hint="eastAsia"/>
                      <w:b/>
                      <w:bCs/>
                      <w:sz w:val="21"/>
                      <w:szCs w:val="21"/>
                      <w:highlight w:val="none"/>
                      <w:lang w:val="en-US" w:eastAsia="zh-CN"/>
                    </w:rPr>
                    <w:t>监测点位</w:t>
                  </w:r>
                </w:p>
              </w:tc>
              <w:tc>
                <w:tcPr>
                  <w:tcW w:w="1361" w:type="dxa"/>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b/>
                      <w:bCs/>
                      <w:sz w:val="21"/>
                      <w:szCs w:val="21"/>
                      <w:highlight w:val="none"/>
                      <w:lang w:val="en-US" w:eastAsia="zh-CN"/>
                    </w:rPr>
                  </w:pPr>
                  <w:r>
                    <w:rPr>
                      <w:rFonts w:hint="eastAsia"/>
                      <w:b/>
                      <w:bCs/>
                      <w:sz w:val="21"/>
                      <w:szCs w:val="21"/>
                      <w:highlight w:val="none"/>
                      <w:lang w:val="en-US" w:eastAsia="zh-CN"/>
                    </w:rPr>
                    <w:t>监测频次</w:t>
                  </w:r>
                </w:p>
              </w:tc>
              <w:tc>
                <w:tcPr>
                  <w:tcW w:w="2387" w:type="dxa"/>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b/>
                      <w:bCs/>
                      <w:sz w:val="21"/>
                      <w:szCs w:val="21"/>
                      <w:highlight w:val="none"/>
                      <w:lang w:val="en-US" w:eastAsia="zh-CN"/>
                    </w:rPr>
                  </w:pPr>
                  <w:r>
                    <w:rPr>
                      <w:rFonts w:hint="eastAsia"/>
                      <w:b/>
                      <w:bCs/>
                      <w:sz w:val="21"/>
                      <w:szCs w:val="21"/>
                      <w:highlight w:val="none"/>
                      <w:lang w:val="en-US" w:eastAsia="zh-CN"/>
                    </w:rPr>
                    <w:t>噪声限值</w:t>
                  </w:r>
                </w:p>
              </w:tc>
              <w:tc>
                <w:tcPr>
                  <w:tcW w:w="2139" w:type="dxa"/>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b/>
                      <w:bCs/>
                      <w:sz w:val="21"/>
                      <w:szCs w:val="21"/>
                      <w:highlight w:val="none"/>
                      <w:lang w:val="en-US" w:eastAsia="zh-CN"/>
                    </w:rPr>
                  </w:pPr>
                  <w:r>
                    <w:rPr>
                      <w:rFonts w:hint="eastAsia"/>
                      <w:b/>
                      <w:bCs/>
                      <w:sz w:val="21"/>
                      <w:szCs w:val="21"/>
                      <w:highlight w:val="none"/>
                      <w:lang w:val="en-US" w:eastAsia="zh-CN"/>
                    </w:rPr>
                    <w:t>执行标准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362" w:type="dxa"/>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sz w:val="21"/>
                      <w:szCs w:val="21"/>
                      <w:highlight w:val="none"/>
                      <w:lang w:val="en-US" w:eastAsia="zh-CN"/>
                    </w:rPr>
                  </w:pPr>
                  <w:r>
                    <w:rPr>
                      <w:rFonts w:hint="eastAsia"/>
                      <w:sz w:val="21"/>
                      <w:szCs w:val="21"/>
                      <w:highlight w:val="none"/>
                      <w:lang w:val="en-US" w:eastAsia="zh-CN"/>
                    </w:rPr>
                    <w:t>东、南、西、北厂界外1m</w:t>
                  </w:r>
                </w:p>
              </w:tc>
              <w:tc>
                <w:tcPr>
                  <w:tcW w:w="1361" w:type="dxa"/>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sz w:val="21"/>
                      <w:szCs w:val="21"/>
                      <w:highlight w:val="none"/>
                      <w:lang w:val="en-US" w:eastAsia="zh-CN"/>
                    </w:rPr>
                  </w:pPr>
                  <w:r>
                    <w:rPr>
                      <w:rFonts w:hint="eastAsia"/>
                      <w:sz w:val="21"/>
                      <w:szCs w:val="21"/>
                      <w:highlight w:val="none"/>
                      <w:lang w:val="en-US" w:eastAsia="zh-CN"/>
                    </w:rPr>
                    <w:t>1次/季度</w:t>
                  </w:r>
                </w:p>
              </w:tc>
              <w:tc>
                <w:tcPr>
                  <w:tcW w:w="2387" w:type="dxa"/>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sz w:val="21"/>
                      <w:szCs w:val="21"/>
                      <w:highlight w:val="none"/>
                      <w:lang w:val="en-US" w:eastAsia="zh-CN"/>
                    </w:rPr>
                  </w:pPr>
                  <w:r>
                    <w:rPr>
                      <w:rFonts w:hint="eastAsia"/>
                      <w:sz w:val="21"/>
                      <w:szCs w:val="21"/>
                      <w:highlight w:val="none"/>
                      <w:lang w:val="en-US" w:eastAsia="zh-CN"/>
                    </w:rPr>
                    <w:t>昼间65dB（A）</w:t>
                  </w:r>
                </w:p>
              </w:tc>
              <w:tc>
                <w:tcPr>
                  <w:tcW w:w="2139" w:type="dxa"/>
                  <w:tcBorders>
                    <w:tl2br w:val="nil"/>
                    <w:tr2bl w:val="nil"/>
                  </w:tcBorders>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sz w:val="21"/>
                      <w:szCs w:val="21"/>
                      <w:highlight w:val="none"/>
                      <w:lang w:val="en-US" w:eastAsia="zh-CN"/>
                    </w:rPr>
                  </w:pPr>
                  <w:r>
                    <w:rPr>
                      <w:color w:val="auto"/>
                      <w:sz w:val="21"/>
                      <w:szCs w:val="21"/>
                      <w:highlight w:val="none"/>
                    </w:rPr>
                    <w:t>《工业企业厂界环境噪声排放标准》（GB</w:t>
                  </w:r>
                  <w:r>
                    <w:rPr>
                      <w:rFonts w:hint="eastAsia"/>
                      <w:color w:val="auto"/>
                      <w:sz w:val="21"/>
                      <w:szCs w:val="21"/>
                      <w:highlight w:val="none"/>
                      <w:lang w:val="en-US" w:eastAsia="zh-CN"/>
                    </w:rPr>
                    <w:t xml:space="preserve"> </w:t>
                  </w:r>
                  <w:r>
                    <w:rPr>
                      <w:color w:val="auto"/>
                      <w:sz w:val="21"/>
                      <w:szCs w:val="21"/>
                      <w:highlight w:val="none"/>
                    </w:rPr>
                    <w:t>12348-2008）</w:t>
                  </w:r>
                  <w:r>
                    <w:rPr>
                      <w:rFonts w:hint="eastAsia"/>
                      <w:color w:val="auto"/>
                      <w:sz w:val="21"/>
                      <w:szCs w:val="21"/>
                      <w:highlight w:val="none"/>
                      <w:lang w:val="en-US" w:eastAsia="zh-CN"/>
                    </w:rPr>
                    <w:t>3</w:t>
                  </w:r>
                  <w:r>
                    <w:rPr>
                      <w:color w:val="auto"/>
                      <w:sz w:val="21"/>
                      <w:szCs w:val="21"/>
                      <w:highlight w:val="none"/>
                    </w:rPr>
                    <w:t>类噪声标准</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textAlignment w:val="auto"/>
              <w:rPr>
                <w:rFonts w:hint="eastAsia"/>
                <w:b/>
                <w:bCs/>
                <w:sz w:val="24"/>
                <w:szCs w:val="24"/>
                <w:highlight w:val="none"/>
                <w:lang w:val="en-US" w:eastAsia="zh-CN"/>
              </w:rPr>
            </w:pPr>
            <w:r>
              <w:rPr>
                <w:rFonts w:hint="eastAsia" w:ascii="Times New Roman" w:hAnsi="Times New Roman" w:eastAsia="宋体"/>
                <w:b/>
                <w:bCs/>
                <w:kern w:val="2"/>
                <w:sz w:val="24"/>
                <w:szCs w:val="24"/>
                <w:highlight w:val="none"/>
                <w:lang w:val="en-US" w:eastAsia="zh-CN" w:bidi="ar-SA"/>
              </w:rPr>
              <w:t>四、</w:t>
            </w:r>
            <w:r>
              <w:rPr>
                <w:rFonts w:hint="eastAsia"/>
                <w:b/>
                <w:bCs/>
                <w:sz w:val="24"/>
                <w:szCs w:val="24"/>
                <w:highlight w:val="none"/>
                <w:lang w:val="en-US" w:eastAsia="zh-CN"/>
              </w:rPr>
              <w:t>固体废物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厂内不设机修车间，车辆不在厂区内维修，到修理厂进行维修，无危险废物产生，本项目运营期产生的固体废物主要为生活垃圾和沉淀池煤泥。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lang w:val="en-US" w:eastAsia="zh-CN"/>
              </w:rPr>
            </w:pPr>
            <w:r>
              <w:rPr>
                <w:rFonts w:hint="eastAsia"/>
                <w:sz w:val="24"/>
                <w:szCs w:val="24"/>
                <w:highlight w:val="none"/>
                <w:lang w:val="en-US" w:eastAsia="zh-CN"/>
              </w:rPr>
              <w:t>（1）生活垃圾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sz w:val="24"/>
                <w:szCs w:val="24"/>
                <w:highlight w:val="none"/>
                <w:lang w:val="en-US" w:eastAsia="zh-CN"/>
              </w:rPr>
              <w:t>项目员工20人，全年正常工作330天，人均生活垃圾排放量按0.5kg/d</w:t>
            </w:r>
            <w:r>
              <w:rPr>
                <w:rFonts w:hint="eastAsia" w:ascii="宋体" w:hAnsi="宋体" w:eastAsia="宋体" w:cs="宋体"/>
                <w:sz w:val="24"/>
                <w:szCs w:val="24"/>
                <w:highlight w:val="none"/>
                <w:lang w:val="en-US" w:eastAsia="zh-CN"/>
              </w:rPr>
              <w:t>·</w:t>
            </w:r>
            <w:r>
              <w:rPr>
                <w:rFonts w:hint="eastAsia"/>
                <w:sz w:val="24"/>
                <w:szCs w:val="24"/>
                <w:highlight w:val="none"/>
                <w:lang w:val="en-US" w:eastAsia="zh-CN"/>
              </w:rPr>
              <w:t>人计算，本项目年产生活垃圾3.3t/a，垃圾箱分类收</w:t>
            </w:r>
            <w:r>
              <w:rPr>
                <w:rFonts w:hint="eastAsia"/>
                <w:color w:val="auto"/>
                <w:sz w:val="24"/>
                <w:szCs w:val="24"/>
                <w:highlight w:val="none"/>
                <w:lang w:val="en-US" w:eastAsia="zh-CN"/>
              </w:rPr>
              <w:t>集，由环卫部门统一清运处理。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（2）煤泥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项目路面定期用洒水车喷洒，采用人工进行清扫，同时沉淀池底部会沉积煤泥，上述过程中干煤泥产生量按照粉尘总产生量的百分之一计，即0.9995t/a，煤泥含水量约70%，煤泥产生量约为3.33t/a，清理后作为产品与煤炭一同外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val="en-US" w:eastAsia="zh-CN"/>
              </w:rPr>
              <w:t>本项目固废产生及处理详见表4-13。</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表4-13 固体废物产生量及处理措施一览表</w:t>
            </w:r>
          </w:p>
          <w:tbl>
            <w:tblPr>
              <w:tblStyle w:val="21"/>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553"/>
              <w:gridCol w:w="686"/>
              <w:gridCol w:w="571"/>
              <w:gridCol w:w="957"/>
              <w:gridCol w:w="591"/>
              <w:gridCol w:w="553"/>
              <w:gridCol w:w="1570"/>
              <w:gridCol w:w="588"/>
              <w:gridCol w:w="820"/>
              <w:gridCol w:w="958"/>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7" w:type="pct"/>
                  <w:noWrap w:val="0"/>
                  <w:vAlign w:val="center"/>
                </w:tcPr>
                <w:p>
                  <w:pPr>
                    <w:pStyle w:val="39"/>
                    <w:jc w:val="center"/>
                    <w:rPr>
                      <w:rFonts w:hint="eastAsia" w:eastAsia="宋体" w:cs="宋体"/>
                      <w:b/>
                      <w:bCs/>
                      <w:color w:val="auto"/>
                      <w:sz w:val="21"/>
                      <w:szCs w:val="21"/>
                      <w:highlight w:val="none"/>
                    </w:rPr>
                  </w:pPr>
                  <w:r>
                    <w:rPr>
                      <w:rFonts w:hint="eastAsia" w:eastAsia="宋体" w:cs="宋体"/>
                      <w:b/>
                      <w:bCs/>
                      <w:color w:val="auto"/>
                      <w:sz w:val="21"/>
                      <w:szCs w:val="21"/>
                      <w:highlight w:val="none"/>
                    </w:rPr>
                    <w:t>序号</w:t>
                  </w:r>
                </w:p>
              </w:tc>
              <w:tc>
                <w:tcPr>
                  <w:tcW w:w="396" w:type="pct"/>
                  <w:noWrap w:val="0"/>
                  <w:vAlign w:val="center"/>
                </w:tcPr>
                <w:p>
                  <w:pPr>
                    <w:pStyle w:val="39"/>
                    <w:jc w:val="center"/>
                    <w:rPr>
                      <w:rFonts w:hint="eastAsia" w:eastAsia="宋体" w:cs="宋体"/>
                      <w:b/>
                      <w:bCs/>
                      <w:color w:val="auto"/>
                      <w:sz w:val="21"/>
                      <w:szCs w:val="21"/>
                      <w:highlight w:val="none"/>
                    </w:rPr>
                  </w:pPr>
                  <w:r>
                    <w:rPr>
                      <w:rFonts w:hint="eastAsia" w:eastAsia="宋体" w:cs="宋体"/>
                      <w:b/>
                      <w:bCs/>
                      <w:color w:val="auto"/>
                      <w:sz w:val="21"/>
                      <w:szCs w:val="21"/>
                      <w:highlight w:val="none"/>
                    </w:rPr>
                    <w:t>类别</w:t>
                  </w:r>
                </w:p>
              </w:tc>
              <w:tc>
                <w:tcPr>
                  <w:tcW w:w="476" w:type="pct"/>
                  <w:noWrap w:val="0"/>
                  <w:vAlign w:val="center"/>
                </w:tcPr>
                <w:p>
                  <w:pPr>
                    <w:pStyle w:val="39"/>
                    <w:jc w:val="center"/>
                    <w:rPr>
                      <w:rFonts w:hint="eastAsia" w:eastAsia="宋体" w:cs="宋体"/>
                      <w:b/>
                      <w:bCs/>
                      <w:color w:val="auto"/>
                      <w:sz w:val="21"/>
                      <w:szCs w:val="21"/>
                      <w:highlight w:val="none"/>
                    </w:rPr>
                  </w:pPr>
                  <w:r>
                    <w:rPr>
                      <w:rFonts w:hint="eastAsia" w:eastAsia="宋体" w:cs="宋体"/>
                      <w:b/>
                      <w:bCs/>
                      <w:color w:val="auto"/>
                      <w:sz w:val="21"/>
                      <w:szCs w:val="21"/>
                      <w:highlight w:val="none"/>
                    </w:rPr>
                    <w:t>名称</w:t>
                  </w:r>
                </w:p>
              </w:tc>
              <w:tc>
                <w:tcPr>
                  <w:tcW w:w="407" w:type="pct"/>
                  <w:noWrap w:val="0"/>
                  <w:vAlign w:val="center"/>
                </w:tcPr>
                <w:p>
                  <w:pPr>
                    <w:pStyle w:val="39"/>
                    <w:jc w:val="center"/>
                    <w:rPr>
                      <w:rFonts w:hint="eastAsia" w:eastAsia="宋体" w:cs="宋体"/>
                      <w:b/>
                      <w:bCs/>
                      <w:color w:val="auto"/>
                      <w:sz w:val="21"/>
                      <w:szCs w:val="21"/>
                      <w:highlight w:val="none"/>
                    </w:rPr>
                  </w:pPr>
                  <w:r>
                    <w:rPr>
                      <w:rFonts w:hint="eastAsia" w:eastAsia="宋体" w:cs="宋体"/>
                      <w:b/>
                      <w:bCs/>
                      <w:color w:val="auto"/>
                      <w:sz w:val="21"/>
                      <w:szCs w:val="21"/>
                      <w:highlight w:val="none"/>
                      <w:lang w:eastAsia="zh-CN"/>
                    </w:rPr>
                    <w:t>物理</w:t>
                  </w:r>
                  <w:r>
                    <w:rPr>
                      <w:rFonts w:hint="eastAsia" w:eastAsia="宋体" w:cs="宋体"/>
                      <w:b/>
                      <w:bCs/>
                      <w:color w:val="auto"/>
                      <w:sz w:val="21"/>
                      <w:szCs w:val="21"/>
                      <w:highlight w:val="none"/>
                    </w:rPr>
                    <w:t>性状</w:t>
                  </w:r>
                </w:p>
              </w:tc>
              <w:tc>
                <w:tcPr>
                  <w:tcW w:w="475" w:type="pct"/>
                  <w:noWrap w:val="0"/>
                  <w:vAlign w:val="center"/>
                </w:tcPr>
                <w:p>
                  <w:pPr>
                    <w:pStyle w:val="39"/>
                    <w:jc w:val="center"/>
                    <w:rPr>
                      <w:rFonts w:hint="eastAsia" w:eastAsia="宋体" w:cs="宋体"/>
                      <w:b/>
                      <w:bCs/>
                      <w:color w:val="auto"/>
                      <w:sz w:val="21"/>
                      <w:szCs w:val="21"/>
                      <w:highlight w:val="none"/>
                    </w:rPr>
                  </w:pPr>
                  <w:r>
                    <w:rPr>
                      <w:rFonts w:hint="eastAsia" w:eastAsia="宋体" w:cs="宋体"/>
                      <w:b/>
                      <w:bCs/>
                      <w:color w:val="auto"/>
                      <w:sz w:val="21"/>
                      <w:szCs w:val="21"/>
                      <w:highlight w:val="none"/>
                    </w:rPr>
                    <w:t>产生量（t/a）</w:t>
                  </w:r>
                </w:p>
              </w:tc>
              <w:tc>
                <w:tcPr>
                  <w:tcW w:w="419" w:type="pct"/>
                  <w:noWrap w:val="0"/>
                  <w:vAlign w:val="center"/>
                </w:tcPr>
                <w:p>
                  <w:pPr>
                    <w:pStyle w:val="39"/>
                    <w:jc w:val="center"/>
                    <w:rPr>
                      <w:rFonts w:hint="eastAsia" w:eastAsia="宋体" w:cs="宋体"/>
                      <w:b/>
                      <w:bCs/>
                      <w:color w:val="auto"/>
                      <w:sz w:val="21"/>
                      <w:szCs w:val="21"/>
                      <w:highlight w:val="none"/>
                      <w:lang w:eastAsia="zh-CN"/>
                    </w:rPr>
                  </w:pPr>
                  <w:r>
                    <w:rPr>
                      <w:rFonts w:hint="eastAsia" w:eastAsia="宋体" w:cs="宋体"/>
                      <w:b/>
                      <w:bCs/>
                      <w:color w:val="auto"/>
                      <w:sz w:val="21"/>
                      <w:szCs w:val="21"/>
                      <w:highlight w:val="none"/>
                      <w:lang w:eastAsia="zh-CN"/>
                    </w:rPr>
                    <w:t>有毒有害物质名称</w:t>
                  </w:r>
                </w:p>
              </w:tc>
              <w:tc>
                <w:tcPr>
                  <w:tcW w:w="396" w:type="pct"/>
                  <w:noWrap w:val="0"/>
                  <w:vAlign w:val="center"/>
                </w:tcPr>
                <w:p>
                  <w:pPr>
                    <w:pStyle w:val="39"/>
                    <w:jc w:val="center"/>
                    <w:rPr>
                      <w:rFonts w:hint="eastAsia" w:eastAsia="宋体" w:cs="宋体"/>
                      <w:b/>
                      <w:bCs/>
                      <w:color w:val="auto"/>
                      <w:sz w:val="21"/>
                      <w:szCs w:val="21"/>
                      <w:highlight w:val="none"/>
                      <w:lang w:eastAsia="zh-CN"/>
                    </w:rPr>
                  </w:pPr>
                  <w:r>
                    <w:rPr>
                      <w:rFonts w:hint="eastAsia" w:eastAsia="宋体" w:cs="宋体"/>
                      <w:b/>
                      <w:bCs/>
                      <w:color w:val="auto"/>
                      <w:sz w:val="21"/>
                      <w:szCs w:val="21"/>
                      <w:highlight w:val="none"/>
                      <w:lang w:eastAsia="zh-CN"/>
                    </w:rPr>
                    <w:t>危险特性</w:t>
                  </w:r>
                </w:p>
              </w:tc>
              <w:tc>
                <w:tcPr>
                  <w:tcW w:w="738" w:type="pct"/>
                  <w:noWrap w:val="0"/>
                  <w:vAlign w:val="center"/>
                </w:tcPr>
                <w:p>
                  <w:pPr>
                    <w:pStyle w:val="39"/>
                    <w:jc w:val="center"/>
                    <w:rPr>
                      <w:rFonts w:hint="eastAsia" w:eastAsia="宋体" w:cs="宋体"/>
                      <w:b/>
                      <w:bCs/>
                      <w:color w:val="auto"/>
                      <w:sz w:val="21"/>
                      <w:szCs w:val="21"/>
                      <w:highlight w:val="none"/>
                      <w:lang w:eastAsia="zh-CN"/>
                    </w:rPr>
                  </w:pPr>
                  <w:r>
                    <w:rPr>
                      <w:rFonts w:hint="eastAsia" w:eastAsia="宋体" w:cs="宋体"/>
                      <w:b/>
                      <w:bCs/>
                      <w:color w:val="auto"/>
                      <w:sz w:val="21"/>
                      <w:szCs w:val="21"/>
                      <w:highlight w:val="none"/>
                      <w:lang w:eastAsia="zh-CN"/>
                    </w:rPr>
                    <w:t>固体废物代码</w:t>
                  </w:r>
                </w:p>
              </w:tc>
              <w:tc>
                <w:tcPr>
                  <w:tcW w:w="417" w:type="pct"/>
                  <w:noWrap w:val="0"/>
                  <w:vAlign w:val="center"/>
                </w:tcPr>
                <w:p>
                  <w:pPr>
                    <w:pStyle w:val="39"/>
                    <w:jc w:val="center"/>
                    <w:rPr>
                      <w:rFonts w:hint="eastAsia" w:eastAsia="宋体" w:cs="宋体"/>
                      <w:b/>
                      <w:bCs/>
                      <w:color w:val="auto"/>
                      <w:sz w:val="21"/>
                      <w:szCs w:val="21"/>
                      <w:highlight w:val="none"/>
                      <w:lang w:eastAsia="zh-CN"/>
                    </w:rPr>
                  </w:pPr>
                  <w:r>
                    <w:rPr>
                      <w:rFonts w:hint="eastAsia" w:eastAsia="宋体" w:cs="宋体"/>
                      <w:b/>
                      <w:bCs/>
                      <w:color w:val="auto"/>
                      <w:sz w:val="21"/>
                      <w:szCs w:val="21"/>
                      <w:highlight w:val="none"/>
                      <w:lang w:eastAsia="zh-CN"/>
                    </w:rPr>
                    <w:t>贮存</w:t>
                  </w:r>
                </w:p>
                <w:p>
                  <w:pPr>
                    <w:pStyle w:val="39"/>
                    <w:jc w:val="center"/>
                    <w:rPr>
                      <w:rFonts w:hint="eastAsia" w:eastAsia="宋体" w:cs="宋体"/>
                      <w:b/>
                      <w:bCs/>
                      <w:color w:val="auto"/>
                      <w:sz w:val="21"/>
                      <w:szCs w:val="21"/>
                      <w:highlight w:val="none"/>
                      <w:lang w:eastAsia="zh-CN"/>
                    </w:rPr>
                  </w:pPr>
                  <w:r>
                    <w:rPr>
                      <w:rFonts w:hint="eastAsia" w:eastAsia="宋体" w:cs="宋体"/>
                      <w:b/>
                      <w:bCs/>
                      <w:color w:val="auto"/>
                      <w:sz w:val="21"/>
                      <w:szCs w:val="21"/>
                      <w:highlight w:val="none"/>
                      <w:lang w:eastAsia="zh-CN"/>
                    </w:rPr>
                    <w:t>方式</w:t>
                  </w:r>
                </w:p>
              </w:tc>
              <w:tc>
                <w:tcPr>
                  <w:tcW w:w="557" w:type="pct"/>
                  <w:noWrap w:val="0"/>
                  <w:vAlign w:val="center"/>
                </w:tcPr>
                <w:p>
                  <w:pPr>
                    <w:pStyle w:val="39"/>
                    <w:jc w:val="center"/>
                    <w:rPr>
                      <w:rFonts w:hint="eastAsia" w:eastAsia="宋体" w:cs="宋体"/>
                      <w:b/>
                      <w:bCs/>
                      <w:color w:val="auto"/>
                      <w:sz w:val="21"/>
                      <w:szCs w:val="21"/>
                      <w:highlight w:val="none"/>
                    </w:rPr>
                  </w:pPr>
                  <w:r>
                    <w:rPr>
                      <w:rFonts w:hint="eastAsia" w:ascii="Times New Roman" w:hAnsi="Times New Roman" w:eastAsia="宋体" w:cs="宋体"/>
                      <w:b/>
                      <w:bCs/>
                      <w:color w:val="auto"/>
                      <w:sz w:val="21"/>
                      <w:szCs w:val="21"/>
                      <w:highlight w:val="none"/>
                      <w:lang w:eastAsia="zh-CN"/>
                    </w:rPr>
                    <w:t>处置方法及去向</w:t>
                  </w:r>
                </w:p>
              </w:tc>
              <w:tc>
                <w:tcPr>
                  <w:tcW w:w="526" w:type="pct"/>
                  <w:noWrap w:val="0"/>
                  <w:vAlign w:val="center"/>
                </w:tcPr>
                <w:p>
                  <w:pPr>
                    <w:pStyle w:val="39"/>
                    <w:jc w:val="center"/>
                    <w:rPr>
                      <w:rFonts w:hint="eastAsia" w:ascii="Times New Roman" w:hAnsi="Times New Roman" w:eastAsia="宋体" w:cs="宋体"/>
                      <w:b/>
                      <w:bCs/>
                      <w:color w:val="auto"/>
                      <w:sz w:val="21"/>
                      <w:szCs w:val="21"/>
                      <w:highlight w:val="none"/>
                      <w:lang w:eastAsia="zh-CN"/>
                    </w:rPr>
                  </w:pPr>
                  <w:r>
                    <w:rPr>
                      <w:rFonts w:hint="eastAsia" w:eastAsia="宋体" w:cs="宋体"/>
                      <w:b/>
                      <w:bCs/>
                      <w:color w:val="auto"/>
                      <w:sz w:val="21"/>
                      <w:szCs w:val="21"/>
                      <w:highlight w:val="none"/>
                      <w:lang w:eastAsia="zh-CN"/>
                    </w:rPr>
                    <w:t>利用或处置量</w:t>
                  </w:r>
                  <w:r>
                    <w:rPr>
                      <w:rFonts w:hint="eastAsia" w:eastAsia="宋体" w:cs="宋体"/>
                      <w:b/>
                      <w:bCs/>
                      <w:color w:val="auto"/>
                      <w:sz w:val="21"/>
                      <w:szCs w:val="21"/>
                      <w:highlight w:val="none"/>
                    </w:rPr>
                    <w:t>（t/a）</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187" w:type="pct"/>
                  <w:noWrap w:val="0"/>
                  <w:vAlign w:val="center"/>
                </w:tcPr>
                <w:p>
                  <w:pPr>
                    <w:pStyle w:val="39"/>
                    <w:jc w:val="center"/>
                    <w:rPr>
                      <w:rFonts w:hint="default" w:eastAsia="宋体" w:cs="宋体"/>
                      <w:color w:val="auto"/>
                      <w:kern w:val="2"/>
                      <w:sz w:val="21"/>
                      <w:szCs w:val="21"/>
                      <w:highlight w:val="none"/>
                      <w:lang w:val="en-US" w:eastAsia="zh-CN" w:bidi="ar-SA"/>
                    </w:rPr>
                  </w:pPr>
                  <w:r>
                    <w:rPr>
                      <w:rFonts w:hint="eastAsia" w:eastAsia="宋体" w:cs="宋体"/>
                      <w:color w:val="auto"/>
                      <w:kern w:val="2"/>
                      <w:sz w:val="21"/>
                      <w:szCs w:val="21"/>
                      <w:highlight w:val="none"/>
                      <w:lang w:val="en-US" w:eastAsia="zh-CN" w:bidi="ar-SA"/>
                    </w:rPr>
                    <w:t>1</w:t>
                  </w:r>
                </w:p>
              </w:tc>
              <w:tc>
                <w:tcPr>
                  <w:tcW w:w="396" w:type="pct"/>
                  <w:noWrap w:val="0"/>
                  <w:vAlign w:val="center"/>
                </w:tcPr>
                <w:p>
                  <w:pPr>
                    <w:pStyle w:val="39"/>
                    <w:jc w:val="center"/>
                    <w:rPr>
                      <w:rFonts w:hint="default" w:eastAsia="宋体" w:cs="宋体"/>
                      <w:color w:val="auto"/>
                      <w:sz w:val="21"/>
                      <w:szCs w:val="21"/>
                      <w:highlight w:val="none"/>
                      <w:lang w:val="en-US" w:eastAsia="zh-CN"/>
                    </w:rPr>
                  </w:pPr>
                  <w:r>
                    <w:rPr>
                      <w:rFonts w:hint="eastAsia" w:eastAsia="宋体" w:cs="宋体"/>
                      <w:color w:val="auto"/>
                      <w:sz w:val="21"/>
                      <w:szCs w:val="21"/>
                      <w:highlight w:val="none"/>
                      <w:lang w:val="en-US" w:eastAsia="zh-CN"/>
                    </w:rPr>
                    <w:t>生活垃圾</w:t>
                  </w:r>
                </w:p>
              </w:tc>
              <w:tc>
                <w:tcPr>
                  <w:tcW w:w="476" w:type="pct"/>
                  <w:noWrap w:val="0"/>
                  <w:vAlign w:val="center"/>
                </w:tcPr>
                <w:p>
                  <w:pPr>
                    <w:pStyle w:val="39"/>
                    <w:jc w:val="center"/>
                    <w:rPr>
                      <w:rFonts w:hint="default" w:eastAsia="宋体" w:cs="宋体"/>
                      <w:color w:val="auto"/>
                      <w:sz w:val="21"/>
                      <w:szCs w:val="21"/>
                      <w:highlight w:val="none"/>
                      <w:lang w:val="en-US" w:eastAsia="zh-CN"/>
                    </w:rPr>
                  </w:pPr>
                  <w:r>
                    <w:rPr>
                      <w:rFonts w:hint="eastAsia" w:eastAsia="宋体" w:cs="宋体"/>
                      <w:color w:val="auto"/>
                      <w:sz w:val="21"/>
                      <w:szCs w:val="21"/>
                      <w:highlight w:val="none"/>
                      <w:lang w:val="en-US" w:eastAsia="zh-CN"/>
                    </w:rPr>
                    <w:t>生活垃圾</w:t>
                  </w:r>
                </w:p>
              </w:tc>
              <w:tc>
                <w:tcPr>
                  <w:tcW w:w="407" w:type="pct"/>
                  <w:noWrap w:val="0"/>
                  <w:vAlign w:val="center"/>
                </w:tcPr>
                <w:p>
                  <w:pPr>
                    <w:pStyle w:val="39"/>
                    <w:jc w:val="center"/>
                    <w:rPr>
                      <w:rFonts w:hint="default" w:eastAsia="宋体" w:cs="宋体"/>
                      <w:color w:val="auto"/>
                      <w:sz w:val="21"/>
                      <w:szCs w:val="21"/>
                      <w:highlight w:val="none"/>
                      <w:lang w:val="en-US" w:eastAsia="zh-CN"/>
                    </w:rPr>
                  </w:pPr>
                  <w:r>
                    <w:rPr>
                      <w:rFonts w:hint="eastAsia" w:eastAsia="宋体" w:cs="宋体"/>
                      <w:color w:val="auto"/>
                      <w:sz w:val="21"/>
                      <w:szCs w:val="21"/>
                      <w:highlight w:val="none"/>
                      <w:lang w:val="en-US" w:eastAsia="zh-CN"/>
                    </w:rPr>
                    <w:t>固体</w:t>
                  </w:r>
                </w:p>
              </w:tc>
              <w:tc>
                <w:tcPr>
                  <w:tcW w:w="475" w:type="pct"/>
                  <w:noWrap w:val="0"/>
                  <w:vAlign w:val="center"/>
                </w:tcPr>
                <w:p>
                  <w:pPr>
                    <w:pStyle w:val="39"/>
                    <w:jc w:val="center"/>
                    <w:rPr>
                      <w:rFonts w:hint="default" w:eastAsia="宋体" w:cs="宋体"/>
                      <w:color w:val="auto"/>
                      <w:sz w:val="21"/>
                      <w:szCs w:val="21"/>
                      <w:highlight w:val="none"/>
                      <w:lang w:val="en-US" w:eastAsia="zh-CN"/>
                    </w:rPr>
                  </w:pPr>
                  <w:r>
                    <w:rPr>
                      <w:rFonts w:hint="eastAsia" w:eastAsia="宋体" w:cs="宋体"/>
                      <w:color w:val="auto"/>
                      <w:sz w:val="21"/>
                      <w:szCs w:val="21"/>
                      <w:highlight w:val="none"/>
                      <w:lang w:val="en-US" w:eastAsia="zh-CN"/>
                    </w:rPr>
                    <w:t>3.3</w:t>
                  </w:r>
                </w:p>
              </w:tc>
              <w:tc>
                <w:tcPr>
                  <w:tcW w:w="419" w:type="pct"/>
                  <w:noWrap w:val="0"/>
                  <w:vAlign w:val="center"/>
                </w:tcPr>
                <w:p>
                  <w:pPr>
                    <w:jc w:val="center"/>
                    <w:rPr>
                      <w:rFonts w:hint="default" w:eastAsia="宋体"/>
                      <w:color w:val="auto"/>
                      <w:sz w:val="21"/>
                      <w:szCs w:val="21"/>
                      <w:highlight w:val="none"/>
                      <w:lang w:val="en-US" w:eastAsia="zh-CN"/>
                    </w:rPr>
                  </w:pPr>
                  <w:r>
                    <w:rPr>
                      <w:rFonts w:hint="eastAsia" w:eastAsia="宋体"/>
                      <w:color w:val="auto"/>
                      <w:sz w:val="21"/>
                      <w:szCs w:val="21"/>
                      <w:highlight w:val="none"/>
                      <w:lang w:val="en-US" w:eastAsia="zh-CN"/>
                    </w:rPr>
                    <w:t>/</w:t>
                  </w:r>
                </w:p>
              </w:tc>
              <w:tc>
                <w:tcPr>
                  <w:tcW w:w="396" w:type="pct"/>
                  <w:noWrap w:val="0"/>
                  <w:vAlign w:val="center"/>
                </w:tcPr>
                <w:p>
                  <w:pPr>
                    <w:jc w:val="center"/>
                    <w:rPr>
                      <w:rFonts w:hint="default" w:eastAsia="宋体"/>
                      <w:color w:val="auto"/>
                      <w:sz w:val="21"/>
                      <w:szCs w:val="21"/>
                      <w:highlight w:val="none"/>
                      <w:lang w:val="en-US" w:eastAsia="zh-CN"/>
                    </w:rPr>
                  </w:pPr>
                  <w:r>
                    <w:rPr>
                      <w:rFonts w:hint="eastAsia" w:eastAsia="宋体"/>
                      <w:color w:val="auto"/>
                      <w:sz w:val="21"/>
                      <w:szCs w:val="21"/>
                      <w:highlight w:val="none"/>
                      <w:lang w:val="en-US" w:eastAsia="zh-CN"/>
                    </w:rPr>
                    <w:t>/</w:t>
                  </w:r>
                </w:p>
              </w:tc>
              <w:tc>
                <w:tcPr>
                  <w:tcW w:w="738" w:type="pct"/>
                  <w:noWrap w:val="0"/>
                  <w:vAlign w:val="center"/>
                </w:tcPr>
                <w:p>
                  <w:pPr>
                    <w:jc w:val="center"/>
                    <w:rPr>
                      <w:rFonts w:hint="default" w:eastAsia="宋体" w:cs="宋体"/>
                      <w:color w:val="auto"/>
                      <w:sz w:val="21"/>
                      <w:szCs w:val="21"/>
                      <w:highlight w:val="none"/>
                      <w:lang w:val="en-US" w:eastAsia="zh-CN"/>
                    </w:rPr>
                  </w:pPr>
                  <w:r>
                    <w:rPr>
                      <w:rFonts w:hint="eastAsia" w:eastAsia="宋体" w:cs="宋体"/>
                      <w:color w:val="auto"/>
                      <w:sz w:val="21"/>
                      <w:szCs w:val="21"/>
                      <w:highlight w:val="none"/>
                      <w:lang w:val="en-US" w:eastAsia="zh-CN"/>
                    </w:rPr>
                    <w:t>/</w:t>
                  </w:r>
                </w:p>
              </w:tc>
              <w:tc>
                <w:tcPr>
                  <w:tcW w:w="417" w:type="pct"/>
                  <w:noWrap w:val="0"/>
                  <w:vAlign w:val="center"/>
                </w:tcPr>
                <w:p>
                  <w:pPr>
                    <w:jc w:val="center"/>
                    <w:rPr>
                      <w:rFonts w:hint="default" w:eastAsia="宋体" w:cs="宋体"/>
                      <w:color w:val="auto"/>
                      <w:sz w:val="21"/>
                      <w:szCs w:val="21"/>
                      <w:highlight w:val="none"/>
                      <w:lang w:val="en-US" w:eastAsia="zh-CN"/>
                    </w:rPr>
                  </w:pPr>
                  <w:r>
                    <w:rPr>
                      <w:rFonts w:hint="eastAsia" w:eastAsia="宋体" w:cs="宋体"/>
                      <w:color w:val="auto"/>
                      <w:sz w:val="21"/>
                      <w:szCs w:val="21"/>
                      <w:highlight w:val="none"/>
                      <w:lang w:val="en-US" w:eastAsia="zh-CN"/>
                    </w:rPr>
                    <w:t>垃圾箱</w:t>
                  </w:r>
                </w:p>
              </w:tc>
              <w:tc>
                <w:tcPr>
                  <w:tcW w:w="557" w:type="pct"/>
                  <w:noWrap w:val="0"/>
                  <w:vAlign w:val="center"/>
                </w:tcPr>
                <w:p>
                  <w:pPr>
                    <w:pStyle w:val="39"/>
                    <w:jc w:val="center"/>
                    <w:rPr>
                      <w:rFonts w:hint="default" w:eastAsia="宋体" w:cs="宋体"/>
                      <w:color w:val="auto"/>
                      <w:sz w:val="21"/>
                      <w:szCs w:val="21"/>
                      <w:highlight w:val="none"/>
                      <w:lang w:val="en-US" w:eastAsia="zh-CN"/>
                    </w:rPr>
                  </w:pPr>
                  <w:r>
                    <w:rPr>
                      <w:rFonts w:hint="eastAsia" w:eastAsia="宋体" w:cs="宋体"/>
                      <w:color w:val="auto"/>
                      <w:sz w:val="21"/>
                      <w:szCs w:val="21"/>
                      <w:highlight w:val="none"/>
                      <w:lang w:val="en-US" w:eastAsia="zh-CN"/>
                    </w:rPr>
                    <w:t>环卫定期清理</w:t>
                  </w:r>
                </w:p>
              </w:tc>
              <w:tc>
                <w:tcPr>
                  <w:tcW w:w="526" w:type="pct"/>
                  <w:noWrap w:val="0"/>
                  <w:vAlign w:val="center"/>
                </w:tcPr>
                <w:p>
                  <w:pPr>
                    <w:pStyle w:val="39"/>
                    <w:jc w:val="center"/>
                    <w:rPr>
                      <w:rFonts w:hint="default" w:eastAsia="宋体" w:cs="宋体"/>
                      <w:color w:val="auto"/>
                      <w:sz w:val="21"/>
                      <w:szCs w:val="21"/>
                      <w:highlight w:val="none"/>
                      <w:lang w:val="en-US" w:eastAsia="zh-CN"/>
                    </w:rPr>
                  </w:pPr>
                  <w:r>
                    <w:rPr>
                      <w:rFonts w:hint="eastAsia" w:eastAsia="宋体" w:cs="宋体"/>
                      <w:color w:val="auto"/>
                      <w:sz w:val="21"/>
                      <w:szCs w:val="21"/>
                      <w:highlight w:val="none"/>
                      <w:lang w:val="en-US" w:eastAsia="zh-CN"/>
                    </w:rPr>
                    <w:t>3.3</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187" w:type="pct"/>
                  <w:shd w:val="clear" w:color="auto" w:fill="auto"/>
                  <w:noWrap w:val="0"/>
                  <w:vAlign w:val="center"/>
                </w:tcPr>
                <w:p>
                  <w:pPr>
                    <w:pStyle w:val="39"/>
                    <w:jc w:val="center"/>
                    <w:rPr>
                      <w:rFonts w:hint="eastAsia" w:ascii="Times New Roman" w:hAnsi="Times New Roman" w:eastAsia="宋体" w:cs="宋体"/>
                      <w:color w:val="auto"/>
                      <w:kern w:val="2"/>
                      <w:sz w:val="21"/>
                      <w:szCs w:val="21"/>
                      <w:highlight w:val="none"/>
                      <w:lang w:val="en-US" w:eastAsia="zh-CN" w:bidi="ar-SA"/>
                    </w:rPr>
                  </w:pPr>
                  <w:r>
                    <w:rPr>
                      <w:rFonts w:hint="eastAsia" w:eastAsia="宋体" w:cs="宋体"/>
                      <w:color w:val="auto"/>
                      <w:kern w:val="2"/>
                      <w:sz w:val="21"/>
                      <w:szCs w:val="21"/>
                      <w:highlight w:val="none"/>
                      <w:lang w:val="en-US" w:eastAsia="zh-CN" w:bidi="ar-SA"/>
                    </w:rPr>
                    <w:t>2</w:t>
                  </w:r>
                </w:p>
              </w:tc>
              <w:tc>
                <w:tcPr>
                  <w:tcW w:w="396" w:type="pct"/>
                  <w:shd w:val="clear" w:color="auto" w:fill="auto"/>
                  <w:noWrap w:val="0"/>
                  <w:vAlign w:val="center"/>
                </w:tcPr>
                <w:p>
                  <w:pPr>
                    <w:pStyle w:val="39"/>
                    <w:jc w:val="center"/>
                    <w:rPr>
                      <w:rFonts w:hint="eastAsia" w:ascii="Times New Roman" w:hAnsi="Times New Roman" w:eastAsia="宋体" w:cs="宋体"/>
                      <w:color w:val="auto"/>
                      <w:kern w:val="2"/>
                      <w:sz w:val="21"/>
                      <w:szCs w:val="21"/>
                      <w:highlight w:val="none"/>
                      <w:lang w:val="en-US" w:eastAsia="zh-CN" w:bidi="ar-SA"/>
                    </w:rPr>
                  </w:pPr>
                  <w:r>
                    <w:rPr>
                      <w:rFonts w:hint="eastAsia" w:eastAsia="宋体" w:cs="宋体"/>
                      <w:color w:val="auto"/>
                      <w:sz w:val="21"/>
                      <w:szCs w:val="21"/>
                      <w:highlight w:val="none"/>
                      <w:lang w:eastAsia="zh-CN"/>
                    </w:rPr>
                    <w:t>一般固废</w:t>
                  </w:r>
                </w:p>
              </w:tc>
              <w:tc>
                <w:tcPr>
                  <w:tcW w:w="476" w:type="pct"/>
                  <w:shd w:val="clear" w:color="auto" w:fill="auto"/>
                  <w:noWrap w:val="0"/>
                  <w:vAlign w:val="center"/>
                </w:tcPr>
                <w:p>
                  <w:pPr>
                    <w:pStyle w:val="39"/>
                    <w:jc w:val="center"/>
                    <w:rPr>
                      <w:rFonts w:hint="eastAsia" w:ascii="Times New Roman" w:hAnsi="Times New Roman" w:eastAsia="宋体" w:cs="宋体"/>
                      <w:color w:val="auto"/>
                      <w:kern w:val="2"/>
                      <w:sz w:val="21"/>
                      <w:szCs w:val="21"/>
                      <w:highlight w:val="none"/>
                      <w:lang w:val="en-US" w:eastAsia="zh-CN" w:bidi="ar-SA"/>
                    </w:rPr>
                  </w:pPr>
                  <w:r>
                    <w:rPr>
                      <w:rFonts w:hint="eastAsia" w:eastAsia="宋体" w:cs="宋体"/>
                      <w:color w:val="auto"/>
                      <w:sz w:val="21"/>
                      <w:szCs w:val="21"/>
                      <w:highlight w:val="none"/>
                      <w:lang w:eastAsia="zh-CN"/>
                    </w:rPr>
                    <w:t>煤泥</w:t>
                  </w:r>
                </w:p>
              </w:tc>
              <w:tc>
                <w:tcPr>
                  <w:tcW w:w="407" w:type="pct"/>
                  <w:shd w:val="clear" w:color="auto" w:fill="auto"/>
                  <w:noWrap w:val="0"/>
                  <w:vAlign w:val="center"/>
                </w:tcPr>
                <w:p>
                  <w:pPr>
                    <w:pStyle w:val="39"/>
                    <w:jc w:val="center"/>
                    <w:rPr>
                      <w:rFonts w:hint="eastAsia" w:ascii="Times New Roman" w:hAnsi="Times New Roman" w:eastAsia="宋体" w:cs="宋体"/>
                      <w:color w:val="auto"/>
                      <w:kern w:val="2"/>
                      <w:sz w:val="21"/>
                      <w:szCs w:val="21"/>
                      <w:highlight w:val="none"/>
                      <w:lang w:val="en-US" w:eastAsia="zh-CN" w:bidi="ar-SA"/>
                    </w:rPr>
                  </w:pPr>
                  <w:r>
                    <w:rPr>
                      <w:rFonts w:hint="eastAsia" w:eastAsia="宋体" w:cs="宋体"/>
                      <w:color w:val="auto"/>
                      <w:sz w:val="21"/>
                      <w:szCs w:val="21"/>
                      <w:highlight w:val="none"/>
                      <w:lang w:eastAsia="zh-CN"/>
                    </w:rPr>
                    <w:t>固体</w:t>
                  </w:r>
                </w:p>
              </w:tc>
              <w:tc>
                <w:tcPr>
                  <w:tcW w:w="475" w:type="pct"/>
                  <w:shd w:val="clear" w:color="auto" w:fill="auto"/>
                  <w:noWrap w:val="0"/>
                  <w:vAlign w:val="center"/>
                </w:tcPr>
                <w:p>
                  <w:pPr>
                    <w:pStyle w:val="39"/>
                    <w:jc w:val="center"/>
                    <w:rPr>
                      <w:rFonts w:hint="default" w:ascii="Times New Roman" w:hAnsi="Times New Roman" w:eastAsia="宋体" w:cs="宋体"/>
                      <w:color w:val="auto"/>
                      <w:kern w:val="2"/>
                      <w:sz w:val="21"/>
                      <w:szCs w:val="21"/>
                      <w:highlight w:val="none"/>
                      <w:lang w:val="en-US" w:eastAsia="zh-CN" w:bidi="ar-SA"/>
                    </w:rPr>
                  </w:pPr>
                  <w:r>
                    <w:rPr>
                      <w:rFonts w:hint="eastAsia" w:eastAsia="宋体" w:cs="宋体"/>
                      <w:color w:val="auto"/>
                      <w:sz w:val="21"/>
                      <w:szCs w:val="21"/>
                      <w:highlight w:val="none"/>
                      <w:lang w:val="en-US" w:eastAsia="zh-CN"/>
                    </w:rPr>
                    <w:t>3.33</w:t>
                  </w:r>
                </w:p>
              </w:tc>
              <w:tc>
                <w:tcPr>
                  <w:tcW w:w="419" w:type="pct"/>
                  <w:shd w:val="clear" w:color="auto" w:fill="auto"/>
                  <w:noWrap w:val="0"/>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w:t>
                  </w:r>
                </w:p>
              </w:tc>
              <w:tc>
                <w:tcPr>
                  <w:tcW w:w="396" w:type="pct"/>
                  <w:shd w:val="clear" w:color="auto" w:fill="auto"/>
                  <w:noWrap w:val="0"/>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w:t>
                  </w:r>
                </w:p>
              </w:tc>
              <w:tc>
                <w:tcPr>
                  <w:tcW w:w="738" w:type="pct"/>
                  <w:shd w:val="clear" w:color="auto" w:fill="auto"/>
                  <w:noWrap w:val="0"/>
                  <w:vAlign w:val="center"/>
                </w:tcPr>
                <w:p>
                  <w:pPr>
                    <w:jc w:val="center"/>
                    <w:rPr>
                      <w:rFonts w:hint="eastAsia" w:ascii="Times New Roman" w:hAnsi="Times New Roman" w:eastAsia="宋体" w:cs="宋体"/>
                      <w:color w:val="auto"/>
                      <w:kern w:val="2"/>
                      <w:sz w:val="21"/>
                      <w:szCs w:val="21"/>
                      <w:highlight w:val="none"/>
                      <w:lang w:val="en-US" w:eastAsia="zh-CN" w:bidi="ar-SA"/>
                    </w:rPr>
                  </w:pPr>
                  <w:r>
                    <w:rPr>
                      <w:rFonts w:hint="eastAsia" w:eastAsia="宋体" w:cs="宋体"/>
                      <w:color w:val="auto"/>
                      <w:sz w:val="21"/>
                      <w:szCs w:val="21"/>
                      <w:highlight w:val="none"/>
                      <w:lang w:val="en-US" w:eastAsia="zh-CN"/>
                    </w:rPr>
                    <w:t>900-</w:t>
                  </w:r>
                  <w:r>
                    <w:rPr>
                      <w:rFonts w:hint="eastAsia" w:cs="宋体"/>
                      <w:color w:val="auto"/>
                      <w:sz w:val="21"/>
                      <w:szCs w:val="21"/>
                      <w:highlight w:val="none"/>
                      <w:lang w:val="en-US" w:eastAsia="zh-CN"/>
                    </w:rPr>
                    <w:t>099-S07</w:t>
                  </w:r>
                </w:p>
              </w:tc>
              <w:tc>
                <w:tcPr>
                  <w:tcW w:w="417" w:type="pct"/>
                  <w:shd w:val="clear" w:color="auto" w:fill="auto"/>
                  <w:noWrap w:val="0"/>
                  <w:vAlign w:val="center"/>
                </w:tcPr>
                <w:p>
                  <w:pPr>
                    <w:jc w:val="center"/>
                    <w:rPr>
                      <w:rFonts w:hint="default" w:ascii="Times New Roman" w:hAnsi="Times New Roman"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不储存</w:t>
                  </w:r>
                </w:p>
              </w:tc>
              <w:tc>
                <w:tcPr>
                  <w:tcW w:w="557" w:type="pct"/>
                  <w:shd w:val="clear" w:color="auto" w:fill="auto"/>
                  <w:noWrap w:val="0"/>
                  <w:vAlign w:val="center"/>
                </w:tcPr>
                <w:p>
                  <w:pPr>
                    <w:pStyle w:val="39"/>
                    <w:jc w:val="center"/>
                    <w:rPr>
                      <w:rFonts w:hint="eastAsia" w:ascii="Times New Roman" w:hAnsi="Times New Roman" w:eastAsia="宋体" w:cs="宋体"/>
                      <w:color w:val="auto"/>
                      <w:kern w:val="2"/>
                      <w:sz w:val="21"/>
                      <w:szCs w:val="21"/>
                      <w:highlight w:val="none"/>
                      <w:lang w:val="en-US" w:eastAsia="zh-CN" w:bidi="ar-SA"/>
                    </w:rPr>
                  </w:pPr>
                  <w:r>
                    <w:rPr>
                      <w:rFonts w:hint="eastAsia" w:eastAsia="宋体" w:cs="宋体"/>
                      <w:color w:val="auto"/>
                      <w:sz w:val="21"/>
                      <w:szCs w:val="21"/>
                      <w:highlight w:val="none"/>
                      <w:lang w:eastAsia="zh-CN"/>
                    </w:rPr>
                    <w:t>定期</w:t>
                  </w:r>
                  <w:r>
                    <w:rPr>
                      <w:rFonts w:hint="eastAsia" w:eastAsia="宋体" w:cs="宋体"/>
                      <w:color w:val="auto"/>
                      <w:sz w:val="21"/>
                      <w:szCs w:val="21"/>
                      <w:highlight w:val="none"/>
                      <w:lang w:val="en-US" w:eastAsia="zh-CN"/>
                    </w:rPr>
                    <w:t>外售</w:t>
                  </w:r>
                </w:p>
              </w:tc>
              <w:tc>
                <w:tcPr>
                  <w:tcW w:w="526" w:type="pct"/>
                  <w:shd w:val="clear" w:color="auto" w:fill="auto"/>
                  <w:noWrap w:val="0"/>
                  <w:vAlign w:val="center"/>
                </w:tcPr>
                <w:p>
                  <w:pPr>
                    <w:pStyle w:val="39"/>
                    <w:jc w:val="center"/>
                    <w:rPr>
                      <w:rFonts w:hint="default" w:ascii="Times New Roman" w:hAnsi="Times New Roman" w:eastAsia="宋体" w:cs="宋体"/>
                      <w:color w:val="auto"/>
                      <w:kern w:val="2"/>
                      <w:sz w:val="21"/>
                      <w:szCs w:val="21"/>
                      <w:highlight w:val="none"/>
                      <w:lang w:val="en-US" w:eastAsia="zh-CN" w:bidi="ar-SA"/>
                    </w:rPr>
                  </w:pPr>
                  <w:r>
                    <w:rPr>
                      <w:rFonts w:hint="eastAsia" w:eastAsia="宋体" w:cs="宋体"/>
                      <w:color w:val="auto"/>
                      <w:sz w:val="21"/>
                      <w:szCs w:val="21"/>
                      <w:highlight w:val="none"/>
                      <w:lang w:val="en-US" w:eastAsia="zh-CN"/>
                    </w:rPr>
                    <w:t>3.33</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20" w:firstLineChars="200"/>
              <w:textAlignment w:val="auto"/>
              <w:rPr>
                <w:rFonts w:hint="eastAsia"/>
                <w:color w:val="auto"/>
                <w:kern w:val="2"/>
                <w:sz w:val="16"/>
                <w:szCs w:val="16"/>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kern w:val="2"/>
                <w:sz w:val="24"/>
                <w:szCs w:val="24"/>
                <w:highlight w:val="none"/>
                <w:lang w:val="en-US" w:eastAsia="zh-CN" w:bidi="ar-SA"/>
              </w:rPr>
              <w:t>综上所述</w:t>
            </w:r>
            <w:r>
              <w:rPr>
                <w:rFonts w:hint="eastAsia" w:ascii="Times New Roman" w:hAnsi="Times New Roman" w:eastAsia="宋体"/>
                <w:color w:val="auto"/>
                <w:kern w:val="2"/>
                <w:sz w:val="24"/>
                <w:szCs w:val="24"/>
                <w:highlight w:val="none"/>
                <w:lang w:val="en-US" w:eastAsia="zh-CN" w:bidi="ar-SA"/>
              </w:rPr>
              <w:t>，</w:t>
            </w:r>
            <w:r>
              <w:rPr>
                <w:rFonts w:hint="eastAsia"/>
                <w:color w:val="auto"/>
                <w:kern w:val="2"/>
                <w:sz w:val="24"/>
                <w:szCs w:val="24"/>
                <w:highlight w:val="none"/>
                <w:lang w:val="en-US" w:eastAsia="zh-CN" w:bidi="ar-SA"/>
              </w:rPr>
              <w:t>本项目运营期产生的固体废物均得到妥善处置</w:t>
            </w:r>
            <w:r>
              <w:rPr>
                <w:rFonts w:hint="eastAsia" w:ascii="Times New Roman" w:hAnsi="Times New Roman" w:eastAsia="宋体"/>
                <w:color w:val="auto"/>
                <w:kern w:val="2"/>
                <w:sz w:val="24"/>
                <w:szCs w:val="24"/>
                <w:highlight w:val="none"/>
                <w:lang w:val="en-US" w:eastAsia="zh-CN" w:bidi="ar-SA"/>
              </w:rPr>
              <w:t>，</w:t>
            </w:r>
            <w:r>
              <w:rPr>
                <w:rFonts w:hint="eastAsia"/>
                <w:color w:val="auto"/>
                <w:kern w:val="2"/>
                <w:sz w:val="24"/>
                <w:szCs w:val="24"/>
                <w:highlight w:val="none"/>
                <w:lang w:val="en-US" w:eastAsia="zh-CN" w:bidi="ar-SA"/>
              </w:rPr>
              <w:t>不会对周围环境产生明显影响</w:t>
            </w:r>
            <w:r>
              <w:rPr>
                <w:rFonts w:hint="eastAsia" w:ascii="Times New Roman" w:hAnsi="Times New Roman" w:eastAsia="宋体"/>
                <w:color w:val="auto"/>
                <w:kern w:val="2"/>
                <w:sz w:val="24"/>
                <w:szCs w:val="24"/>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五、地下水和土壤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根据《环境影响评价技术导则 地下水环境》（HJ610-2016）（以下简称导则）要求采取分区防渗等合理、有效的预防措施。参考导则表7对化粪池、沉淀池等地下水池采取重点防渗措施，防渗技术要求为“等效黏土防渗层Mb≥6.0m，K≤10</w:t>
            </w:r>
            <w:r>
              <w:rPr>
                <w:rFonts w:hint="eastAsia"/>
                <w:color w:val="auto"/>
                <w:kern w:val="2"/>
                <w:sz w:val="24"/>
                <w:szCs w:val="24"/>
                <w:highlight w:val="none"/>
                <w:vertAlign w:val="superscript"/>
                <w:lang w:val="en-US" w:eastAsia="zh-CN" w:bidi="ar-SA"/>
              </w:rPr>
              <w:t>-7</w:t>
            </w:r>
            <w:r>
              <w:rPr>
                <w:rFonts w:hint="eastAsia"/>
                <w:color w:val="auto"/>
                <w:kern w:val="2"/>
                <w:sz w:val="24"/>
                <w:szCs w:val="24"/>
                <w:highlight w:val="none"/>
                <w:lang w:val="en-US" w:eastAsia="zh-CN" w:bidi="ar-SA"/>
              </w:rPr>
              <w:t>cm/s”；将储煤仓库地面、出厂道路等所在区域采取一般防渗措施，防渗技术要求为等效黏土防渗层Mb≥1.5m，K≤10</w:t>
            </w:r>
            <w:r>
              <w:rPr>
                <w:rFonts w:hint="eastAsia"/>
                <w:color w:val="auto"/>
                <w:kern w:val="2"/>
                <w:sz w:val="24"/>
                <w:szCs w:val="24"/>
                <w:highlight w:val="none"/>
                <w:vertAlign w:val="superscript"/>
                <w:lang w:val="en-US" w:eastAsia="zh-CN" w:bidi="ar-SA"/>
              </w:rPr>
              <w:t>-7</w:t>
            </w:r>
            <w:r>
              <w:rPr>
                <w:rFonts w:hint="eastAsia"/>
                <w:color w:val="auto"/>
                <w:kern w:val="2"/>
                <w:sz w:val="24"/>
                <w:szCs w:val="24"/>
                <w:highlight w:val="none"/>
                <w:lang w:val="en-US" w:eastAsia="zh-CN" w:bidi="ar-SA"/>
              </w:rPr>
              <w:t>cm/s，办公楼采取简单防渗措施，防渗要求为一般地面硬化。</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在采取以上措施后，可有效防止污染物进入地下水体和土壤，从而减轻乃至杜绝对地下水和土壤环境的影响。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六、环境风险</w:t>
            </w:r>
          </w:p>
          <w:p>
            <w:pPr>
              <w:spacing w:line="360" w:lineRule="auto"/>
              <w:ind w:firstLine="480" w:firstLineChars="200"/>
              <w:rPr>
                <w:rFonts w:hint="default" w:eastAsia="宋体"/>
                <w:color w:val="auto"/>
                <w:sz w:val="24"/>
                <w:highlight w:val="none"/>
                <w:lang w:val="en-US" w:eastAsia="zh-CN"/>
              </w:rPr>
            </w:pPr>
            <w:r>
              <w:rPr>
                <w:rFonts w:hint="eastAsia"/>
                <w:color w:val="auto"/>
                <w:sz w:val="24"/>
                <w:highlight w:val="none"/>
                <w:lang w:val="en-US" w:eastAsia="zh-CN"/>
              </w:rPr>
              <w:t>1、风险源识别及影响</w:t>
            </w:r>
          </w:p>
          <w:p>
            <w:pPr>
              <w:spacing w:line="360" w:lineRule="auto"/>
              <w:ind w:firstLine="480" w:firstLineChars="200"/>
              <w:rPr>
                <w:color w:val="auto"/>
                <w:sz w:val="24"/>
                <w:highlight w:val="none"/>
              </w:rPr>
            </w:pPr>
            <w:r>
              <w:rPr>
                <w:color w:val="auto"/>
                <w:sz w:val="24"/>
                <w:highlight w:val="none"/>
              </w:rPr>
              <w:t>根据建设项目环境风险评价技术导则（HJ169-2018），本次环评对潜在的危险源和可能造成的污染事故及环境影响进行分析，并提出防止事故措施，以达到降低风险，减少危害的目的。</w:t>
            </w:r>
          </w:p>
          <w:p>
            <w:pPr>
              <w:spacing w:line="360" w:lineRule="auto"/>
              <w:ind w:firstLine="480" w:firstLineChars="200"/>
              <w:rPr>
                <w:rFonts w:hAnsi="宋体"/>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Ansi="宋体"/>
                <w:color w:val="auto"/>
                <w:sz w:val="24"/>
                <w:highlight w:val="none"/>
              </w:rPr>
              <w:t>环境风险识别</w:t>
            </w:r>
          </w:p>
          <w:p>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highlight w:val="none"/>
              </w:rPr>
              <w:t>根据《建设项目环境风险评价技术导则》(</w:t>
            </w:r>
            <w:r>
              <w:rPr>
                <w:rFonts w:hint="default" w:ascii="Times New Roman" w:hAnsi="Times New Roman" w:cs="Times New Roman"/>
                <w:color w:val="auto"/>
                <w:sz w:val="24"/>
                <w:highlight w:val="none"/>
                <w:lang w:eastAsia="zh-CN"/>
              </w:rPr>
              <w:t>HJ169-2018</w:t>
            </w:r>
            <w:r>
              <w:rPr>
                <w:rFonts w:hint="default" w:ascii="Times New Roman" w:hAnsi="Times New Roman" w:cs="Times New Roman"/>
                <w:color w:val="auto"/>
                <w:sz w:val="24"/>
                <w:highlight w:val="none"/>
              </w:rPr>
              <w:t>)识别可知，</w:t>
            </w:r>
            <w:r>
              <w:rPr>
                <w:rFonts w:hint="default" w:ascii="Times New Roman" w:hAnsi="Times New Roman" w:eastAsia="宋体" w:cs="Times New Roman"/>
                <w:color w:val="auto"/>
                <w:sz w:val="24"/>
                <w:szCs w:val="24"/>
                <w:highlight w:val="none"/>
                <w:lang w:val="en-US" w:eastAsia="zh-CN"/>
              </w:rPr>
              <w:t>本项目涉及的风险物质主要为汞</w:t>
            </w:r>
            <w:r>
              <w:rPr>
                <w:rFonts w:hint="default" w:ascii="Times New Roman" w:hAnsi="Times New Roman" w:cs="Times New Roman"/>
                <w:color w:val="auto"/>
                <w:sz w:val="24"/>
                <w:szCs w:val="24"/>
                <w:highlight w:val="none"/>
                <w:lang w:val="en-US" w:eastAsia="zh-CN"/>
              </w:rPr>
              <w:t>，属于145汞</w:t>
            </w:r>
            <w:r>
              <w:rPr>
                <w:rFonts w:hint="eastAsia" w:ascii="Times New Roman" w:hAnsi="Times New Roman" w:cs="Times New Roman"/>
                <w:color w:val="auto"/>
                <w:sz w:val="24"/>
                <w:szCs w:val="24"/>
                <w:highlight w:val="none"/>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bidi="ar"/>
              </w:rPr>
            </w:pPr>
            <w:r>
              <w:rPr>
                <w:rFonts w:hint="default" w:ascii="Times New Roman" w:hAnsi="Times New Roman" w:eastAsia="宋体" w:cs="Times New Roman"/>
                <w:b w:val="0"/>
                <w:bCs w:val="0"/>
                <w:color w:val="auto"/>
                <w:kern w:val="0"/>
                <w:sz w:val="24"/>
                <w:highlight w:val="none"/>
                <w:lang w:val="en-US" w:eastAsia="zh-CN" w:bidi="ar"/>
              </w:rPr>
              <w:t>（2）</w:t>
            </w:r>
            <w:r>
              <w:rPr>
                <w:rFonts w:hint="default" w:ascii="Times New Roman" w:hAnsi="Times New Roman" w:eastAsia="宋体" w:cs="Times New Roman"/>
                <w:b w:val="0"/>
                <w:bCs w:val="0"/>
                <w:color w:val="auto"/>
                <w:kern w:val="0"/>
                <w:sz w:val="24"/>
                <w:highlight w:val="none"/>
                <w:lang w:bidi="ar"/>
              </w:rPr>
              <w:t>危险物质数量与临界量比值</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依据《建设项目环境风险评价技术导则》（HJ/T169-2018）附录C：</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当只涉及一种危险物质时，计算该物质的总量与其临界量比值，即为</w:t>
            </w:r>
            <w:r>
              <w:rPr>
                <w:rFonts w:hint="default" w:ascii="Times New Roman" w:hAnsi="Times New Roman" w:eastAsia="宋体" w:cs="Times New Roman"/>
                <w:color w:val="auto"/>
                <w:sz w:val="24"/>
                <w:highlight w:val="none"/>
              </w:rPr>
              <w:t>Q</w:t>
            </w:r>
            <w:r>
              <w:rPr>
                <w:rFonts w:hint="default" w:ascii="Times New Roman" w:hAnsi="Times New Roman" w:eastAsia="宋体" w:cs="Times New Roman"/>
                <w:color w:val="auto"/>
                <w:sz w:val="24"/>
                <w:highlight w:val="none"/>
                <w:lang w:val="zh-CN"/>
              </w:rPr>
              <w:t>；</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当存在多种危险物质时，则按式（C.1）计算物质总量与其临界量比值（Q）：</w:t>
            </w:r>
          </w:p>
          <w:p>
            <w:pPr>
              <w:keepNext w:val="0"/>
              <w:keepLines w:val="0"/>
              <w:pageBreakBefore w:val="0"/>
              <w:widowControl w:val="0"/>
              <w:tabs>
                <w:tab w:val="left" w:pos="3240"/>
              </w:tabs>
              <w:kinsoku/>
              <w:wordWrap/>
              <w:overflowPunct/>
              <w:topLinePunct w:val="0"/>
              <w:autoSpaceDE/>
              <w:autoSpaceDN/>
              <w:bidi w:val="0"/>
              <w:adjustRightInd w:val="0"/>
              <w:snapToGrid w:val="0"/>
              <w:spacing w:line="360" w:lineRule="auto"/>
              <w:ind w:firstLine="480" w:firstLineChars="200"/>
              <w:jc w:val="center"/>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object>
                <v:shape id="_x0000_i1029" o:spt="75" type="#_x0000_t75" style="height:34pt;width:101pt;" o:ole="t" filled="f" o:preferrelative="t" stroked="f" coordsize="21600,21600">
                  <v:path/>
                  <v:fill on="f" focussize="0,0"/>
                  <v:stroke on="f"/>
                  <v:imagedata r:id="rId34" o:title=""/>
                  <o:lock v:ext="edit" aspectratio="t"/>
                  <w10:wrap type="none"/>
                  <w10:anchorlock/>
                </v:shape>
                <o:OLEObject Type="Embed" ProgID="Equation.KSEE3" ShapeID="_x0000_i1029" DrawAspect="Content" ObjectID="_1468075729" r:id="rId33">
                  <o:LockedField>false</o:LockedField>
                </o:OLEObject>
              </w:objec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式中：q</w:t>
            </w:r>
            <w:r>
              <w:rPr>
                <w:rFonts w:hint="default" w:ascii="Times New Roman" w:hAnsi="Times New Roman" w:eastAsia="宋体" w:cs="Times New Roman"/>
                <w:color w:val="auto"/>
                <w:sz w:val="24"/>
                <w:highlight w:val="none"/>
                <w:vertAlign w:val="subscript"/>
                <w:lang w:val="zh-CN"/>
              </w:rPr>
              <w:t>1</w:t>
            </w:r>
            <w:r>
              <w:rPr>
                <w:rFonts w:hint="default" w:ascii="Times New Roman" w:hAnsi="Times New Roman" w:eastAsia="宋体" w:cs="Times New Roman"/>
                <w:color w:val="auto"/>
                <w:sz w:val="24"/>
                <w:highlight w:val="none"/>
                <w:lang w:val="zh-CN"/>
              </w:rPr>
              <w:t>，q</w:t>
            </w:r>
            <w:r>
              <w:rPr>
                <w:rFonts w:hint="default" w:ascii="Times New Roman" w:hAnsi="Times New Roman" w:eastAsia="宋体" w:cs="Times New Roman"/>
                <w:color w:val="auto"/>
                <w:sz w:val="24"/>
                <w:highlight w:val="none"/>
                <w:vertAlign w:val="subscript"/>
                <w:lang w:val="zh-CN"/>
              </w:rPr>
              <w:t>2</w:t>
            </w:r>
            <w:r>
              <w:rPr>
                <w:rFonts w:hint="default" w:ascii="Times New Roman" w:hAnsi="Times New Roman" w:eastAsia="宋体" w:cs="Times New Roman"/>
                <w:color w:val="auto"/>
                <w:sz w:val="24"/>
                <w:highlight w:val="none"/>
                <w:lang w:val="zh-CN"/>
              </w:rPr>
              <w:t>，</w:t>
            </w:r>
            <w:r>
              <w:rPr>
                <w:rFonts w:hint="default" w:ascii="Times New Roman" w:hAnsi="Times New Roman" w:cs="Times New Roman"/>
                <w:color w:val="auto"/>
                <w:sz w:val="24"/>
                <w:highlight w:val="none"/>
                <w:lang w:val="zh-CN"/>
              </w:rPr>
              <w:t>……</w:t>
            </w:r>
            <w:r>
              <w:rPr>
                <w:rFonts w:hint="default" w:ascii="Times New Roman" w:hAnsi="Times New Roman" w:eastAsia="宋体" w:cs="Times New Roman"/>
                <w:color w:val="auto"/>
                <w:sz w:val="24"/>
                <w:highlight w:val="none"/>
                <w:lang w:val="zh-CN"/>
              </w:rPr>
              <w:t>，q</w:t>
            </w:r>
            <w:r>
              <w:rPr>
                <w:rFonts w:hint="default" w:ascii="Times New Roman" w:hAnsi="Times New Roman" w:eastAsia="宋体" w:cs="Times New Roman"/>
                <w:color w:val="auto"/>
                <w:sz w:val="24"/>
                <w:highlight w:val="none"/>
                <w:vertAlign w:val="subscript"/>
                <w:lang w:val="zh-CN"/>
              </w:rPr>
              <w:t>n</w:t>
            </w:r>
            <w:r>
              <w:rPr>
                <w:rFonts w:hint="default" w:ascii="Times New Roman" w:hAnsi="Times New Roman" w:eastAsia="宋体" w:cs="Times New Roman"/>
                <w:color w:val="auto"/>
                <w:sz w:val="24"/>
                <w:highlight w:val="none"/>
                <w:lang w:val="zh-CN"/>
              </w:rPr>
              <w:t>每种危险物质实际存在量，t；</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Q</w:t>
            </w:r>
            <w:r>
              <w:rPr>
                <w:rFonts w:hint="default" w:ascii="Times New Roman" w:hAnsi="Times New Roman" w:eastAsia="宋体" w:cs="Times New Roman"/>
                <w:color w:val="auto"/>
                <w:sz w:val="24"/>
                <w:highlight w:val="none"/>
                <w:vertAlign w:val="subscript"/>
              </w:rPr>
              <w:t>1</w:t>
            </w:r>
            <w:r>
              <w:rPr>
                <w:rFonts w:hint="default" w:ascii="Times New Roman" w:hAnsi="Times New Roman" w:eastAsia="宋体" w:cs="Times New Roman"/>
                <w:color w:val="auto"/>
                <w:sz w:val="24"/>
                <w:highlight w:val="none"/>
                <w:lang w:val="zh-CN"/>
              </w:rPr>
              <w:t>，Q</w:t>
            </w:r>
            <w:r>
              <w:rPr>
                <w:rFonts w:hint="default" w:ascii="Times New Roman" w:hAnsi="Times New Roman" w:eastAsia="宋体" w:cs="Times New Roman"/>
                <w:color w:val="auto"/>
                <w:sz w:val="24"/>
                <w:highlight w:val="none"/>
                <w:vertAlign w:val="subscript"/>
                <w:lang w:val="zh-CN"/>
              </w:rPr>
              <w:t>2</w:t>
            </w:r>
            <w:r>
              <w:rPr>
                <w:rFonts w:hint="default" w:ascii="Times New Roman" w:hAnsi="Times New Roman" w:eastAsia="宋体" w:cs="Times New Roman"/>
                <w:color w:val="auto"/>
                <w:sz w:val="24"/>
                <w:highlight w:val="none"/>
                <w:lang w:val="zh-CN"/>
              </w:rPr>
              <w:t>，......，</w:t>
            </w:r>
            <w:r>
              <w:rPr>
                <w:rFonts w:hint="default" w:ascii="Times New Roman" w:hAnsi="Times New Roman" w:eastAsia="宋体" w:cs="Times New Roman"/>
                <w:color w:val="auto"/>
                <w:sz w:val="24"/>
                <w:highlight w:val="none"/>
              </w:rPr>
              <w:t>Q</w:t>
            </w:r>
            <w:r>
              <w:rPr>
                <w:rFonts w:hint="default" w:ascii="Times New Roman" w:hAnsi="Times New Roman" w:eastAsia="宋体" w:cs="Times New Roman"/>
                <w:color w:val="auto"/>
                <w:sz w:val="24"/>
                <w:highlight w:val="none"/>
                <w:vertAlign w:val="subscript"/>
                <w:lang w:val="zh-CN"/>
              </w:rPr>
              <w:t>n</w:t>
            </w:r>
            <w:r>
              <w:rPr>
                <w:rFonts w:hint="default" w:ascii="Times New Roman" w:hAnsi="Times New Roman" w:eastAsia="宋体" w:cs="Times New Roman"/>
                <w:color w:val="auto"/>
                <w:sz w:val="24"/>
                <w:highlight w:val="none"/>
                <w:lang w:val="zh-CN"/>
              </w:rPr>
              <w:t>与各危险物质相对应的生产场所或贮存区的临界量，t。</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当</w:t>
            </w:r>
            <w:r>
              <w:rPr>
                <w:rFonts w:hint="default" w:ascii="Times New Roman" w:hAnsi="Times New Roman" w:eastAsia="宋体" w:cs="Times New Roman"/>
                <w:color w:val="auto"/>
                <w:sz w:val="24"/>
                <w:highlight w:val="none"/>
              </w:rPr>
              <w:t>Q</w:t>
            </w:r>
            <w:r>
              <w:rPr>
                <w:rFonts w:hint="default" w:ascii="Times New Roman" w:hAnsi="Times New Roman" w:eastAsia="宋体" w:cs="Times New Roman"/>
                <w:color w:val="auto"/>
                <w:sz w:val="24"/>
                <w:highlight w:val="none"/>
                <w:lang w:val="zh-CN"/>
              </w:rPr>
              <w:t>&lt;1时，该项目环境风险潜势为I。</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当</w:t>
            </w:r>
            <w:r>
              <w:rPr>
                <w:rFonts w:hint="default" w:ascii="Times New Roman" w:hAnsi="Times New Roman" w:eastAsia="宋体" w:cs="Times New Roman"/>
                <w:color w:val="auto"/>
                <w:sz w:val="24"/>
                <w:highlight w:val="none"/>
              </w:rPr>
              <w:t>Q</w:t>
            </w:r>
            <w:r>
              <w:rPr>
                <w:rFonts w:hint="default" w:ascii="Times New Roman" w:hAnsi="Times New Roman" w:eastAsia="宋体" w:cs="Times New Roman"/>
                <w:color w:val="auto"/>
                <w:sz w:val="24"/>
                <w:highlight w:val="none"/>
                <w:lang w:val="zh-CN"/>
              </w:rPr>
              <w:t>≥1时，将Q值划分为：</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（1）1≤Q&lt;10；</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（2）10≤Q&lt;100；</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（3）Q≥100。</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rPr>
              <w:t>本项目</w:t>
            </w:r>
            <w:r>
              <w:rPr>
                <w:rFonts w:hint="default" w:ascii="Times New Roman" w:hAnsi="Times New Roman" w:cs="Times New Roman"/>
                <w:color w:val="auto"/>
                <w:sz w:val="24"/>
                <w:highlight w:val="none"/>
                <w:lang w:val="zh-CN"/>
              </w:rPr>
              <w:t>涉及</w:t>
            </w:r>
            <w:r>
              <w:rPr>
                <w:rFonts w:hint="default" w:ascii="Times New Roman" w:hAnsi="Times New Roman" w:eastAsia="宋体" w:cs="Times New Roman"/>
                <w:color w:val="auto"/>
                <w:sz w:val="24"/>
                <w:highlight w:val="none"/>
                <w:lang w:val="zh-CN"/>
              </w:rPr>
              <w:t>的危险物质是</w:t>
            </w:r>
            <w:r>
              <w:rPr>
                <w:rFonts w:hint="default" w:ascii="Times New Roman" w:hAnsi="Times New Roman" w:eastAsia="宋体" w:cs="Times New Roman"/>
                <w:color w:val="auto"/>
                <w:sz w:val="24"/>
                <w:highlight w:val="none"/>
                <w:lang w:val="en-US" w:eastAsia="zh-CN"/>
              </w:rPr>
              <w:t>煤炭中的汞</w:t>
            </w:r>
            <w:r>
              <w:rPr>
                <w:rFonts w:hint="default" w:ascii="Times New Roman" w:hAnsi="Times New Roman" w:eastAsia="宋体" w:cs="Times New Roman"/>
                <w:color w:val="auto"/>
                <w:sz w:val="24"/>
                <w:highlight w:val="none"/>
                <w:lang w:val="zh-CN"/>
              </w:rPr>
              <w:t>，</w:t>
            </w:r>
            <w:r>
              <w:rPr>
                <w:rFonts w:hint="default" w:ascii="Times New Roman" w:hAnsi="Times New Roman" w:eastAsia="宋体" w:cs="Times New Roman"/>
                <w:color w:val="auto"/>
                <w:sz w:val="24"/>
                <w:highlight w:val="none"/>
                <w:lang w:val="en-US" w:eastAsia="zh-CN"/>
              </w:rPr>
              <w:t>煤炭储存总量为10万t，根据《商品煤质量管理暂行办法》第二章第六条，商品煤中的汞（Hg</w:t>
            </w:r>
            <w:r>
              <w:rPr>
                <w:rFonts w:hint="default" w:ascii="Times New Roman" w:hAnsi="Times New Roman" w:eastAsia="宋体" w:cs="Times New Roman"/>
                <w:color w:val="auto"/>
                <w:sz w:val="24"/>
                <w:highlight w:val="none"/>
                <w:vertAlign w:val="subscript"/>
                <w:lang w:val="en-US" w:eastAsia="zh-CN"/>
              </w:rPr>
              <w:t>d</w:t>
            </w:r>
            <w:r>
              <w:rPr>
                <w:rFonts w:hint="default" w:ascii="Times New Roman" w:hAnsi="Times New Roman" w:eastAsia="宋体" w:cs="Times New Roman"/>
                <w:color w:val="auto"/>
                <w:sz w:val="24"/>
                <w:highlight w:val="none"/>
                <w:lang w:val="en-US" w:eastAsia="zh-CN"/>
              </w:rPr>
              <w:t>）≤0.6μg/g，则汞的总含量为0.06t，项目涉及的环境风险物质情况详见表4-14。</w:t>
            </w:r>
          </w:p>
          <w:p>
            <w:pPr>
              <w:autoSpaceDE w:val="0"/>
              <w:autoSpaceDN w:val="0"/>
              <w:adjustRightInd w:val="0"/>
              <w:snapToGrid w:val="0"/>
              <w:ind w:firstLine="2363" w:firstLineChars="1121"/>
              <w:jc w:val="left"/>
              <w:rPr>
                <w:rFonts w:hint="default" w:ascii="Times New Roman" w:hAnsi="Times New Roman" w:cs="Times New Roman"/>
                <w:b/>
                <w:bCs/>
                <w:color w:val="auto"/>
                <w:kern w:val="0"/>
                <w:sz w:val="21"/>
                <w:szCs w:val="21"/>
                <w:highlight w:val="none"/>
              </w:rPr>
            </w:pPr>
            <w:r>
              <w:rPr>
                <w:rFonts w:hint="default" w:ascii="Times New Roman" w:hAnsi="Times New Roman" w:eastAsia="宋体" w:cs="Times New Roman"/>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 xml:space="preserve">4-14 </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bCs/>
                <w:color w:val="auto"/>
                <w:sz w:val="21"/>
                <w:szCs w:val="21"/>
                <w:highlight w:val="none"/>
                <w:lang w:eastAsia="zh-CN"/>
              </w:rPr>
              <w:t>本项目</w:t>
            </w:r>
            <w:r>
              <w:rPr>
                <w:rFonts w:hint="default" w:ascii="Times New Roman" w:hAnsi="Times New Roman" w:cs="Times New Roman"/>
                <w:b/>
                <w:bCs/>
                <w:color w:val="auto"/>
                <w:kern w:val="0"/>
                <w:sz w:val="21"/>
                <w:szCs w:val="21"/>
                <w:highlight w:val="none"/>
              </w:rPr>
              <w:t>环境风险物质情况一览表</w:t>
            </w:r>
          </w:p>
          <w:tbl>
            <w:tblPr>
              <w:tblStyle w:val="21"/>
              <w:tblW w:w="4998"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751"/>
              <w:gridCol w:w="1693"/>
              <w:gridCol w:w="1303"/>
              <w:gridCol w:w="1522"/>
              <w:gridCol w:w="1055"/>
              <w:gridCol w:w="1947"/>
            </w:tblGrid>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455" w:type="pct"/>
                  <w:noWrap w:val="0"/>
                  <w:vAlign w:val="center"/>
                </w:tcPr>
                <w:p>
                  <w:pPr>
                    <w:jc w:val="center"/>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序号</w:t>
                  </w:r>
                </w:p>
              </w:tc>
              <w:tc>
                <w:tcPr>
                  <w:tcW w:w="1024" w:type="pct"/>
                  <w:noWrap w:val="0"/>
                  <w:vAlign w:val="center"/>
                </w:tcPr>
                <w:p>
                  <w:pPr>
                    <w:jc w:val="center"/>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物质名称</w:t>
                  </w:r>
                </w:p>
              </w:tc>
              <w:tc>
                <w:tcPr>
                  <w:tcW w:w="783" w:type="pct"/>
                  <w:noWrap w:val="0"/>
                  <w:vAlign w:val="center"/>
                </w:tcPr>
                <w:p>
                  <w:pPr>
                    <w:jc w:val="center"/>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CAS号</w:t>
                  </w:r>
                </w:p>
              </w:tc>
              <w:tc>
                <w:tcPr>
                  <w:tcW w:w="920" w:type="pct"/>
                  <w:noWrap w:val="0"/>
                  <w:vAlign w:val="center"/>
                </w:tcPr>
                <w:p>
                  <w:pPr>
                    <w:jc w:val="center"/>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最大存在量</w:t>
                  </w:r>
                </w:p>
              </w:tc>
              <w:tc>
                <w:tcPr>
                  <w:tcW w:w="638" w:type="pct"/>
                  <w:noWrap w:val="0"/>
                  <w:vAlign w:val="center"/>
                </w:tcPr>
                <w:p>
                  <w:pPr>
                    <w:jc w:val="center"/>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临界量</w:t>
                  </w:r>
                </w:p>
              </w:tc>
              <w:tc>
                <w:tcPr>
                  <w:tcW w:w="1177" w:type="pct"/>
                  <w:noWrap w:val="0"/>
                  <w:vAlign w:val="center"/>
                </w:tcPr>
                <w:p>
                  <w:pPr>
                    <w:jc w:val="center"/>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备注</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44" w:hRule="atLeast"/>
                <w:jc w:val="center"/>
              </w:trPr>
              <w:tc>
                <w:tcPr>
                  <w:tcW w:w="455" w:type="pct"/>
                  <w:noWrap w:val="0"/>
                  <w:vAlign w:val="center"/>
                </w:tcPr>
                <w:p>
                  <w:pPr>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1</w:t>
                  </w:r>
                </w:p>
              </w:tc>
              <w:tc>
                <w:tcPr>
                  <w:tcW w:w="1024" w:type="pct"/>
                  <w:noWrap w:val="0"/>
                  <w:vAlign w:val="center"/>
                </w:tcPr>
                <w:p>
                  <w:pPr>
                    <w:jc w:val="center"/>
                    <w:rPr>
                      <w:rFonts w:hint="default" w:ascii="Times New Roman" w:hAnsi="Times New Roman" w:eastAsia="宋体" w:cs="Times New Roman"/>
                      <w:color w:val="auto"/>
                      <w:kern w:val="0"/>
                      <w:sz w:val="21"/>
                      <w:szCs w:val="21"/>
                      <w:highlight w:val="none"/>
                      <w:lang w:eastAsia="zh-CN"/>
                    </w:rPr>
                  </w:pPr>
                  <w:r>
                    <w:rPr>
                      <w:rFonts w:hint="default" w:ascii="Times New Roman" w:hAnsi="Times New Roman" w:cs="Times New Roman"/>
                      <w:color w:val="auto"/>
                      <w:kern w:val="0"/>
                      <w:sz w:val="21"/>
                      <w:szCs w:val="21"/>
                      <w:highlight w:val="none"/>
                      <w:lang w:val="en-US" w:eastAsia="zh-CN"/>
                    </w:rPr>
                    <w:t>汞</w:t>
                  </w:r>
                </w:p>
              </w:tc>
              <w:tc>
                <w:tcPr>
                  <w:tcW w:w="783" w:type="pct"/>
                  <w:noWrap w:val="0"/>
                  <w:vAlign w:val="center"/>
                </w:tcPr>
                <w:p>
                  <w:pPr>
                    <w:jc w:val="center"/>
                    <w:rPr>
                      <w:rFonts w:hint="default" w:ascii="Times New Roman" w:hAnsi="Times New Roman" w:cs="Times New Roman"/>
                      <w:color w:val="auto"/>
                      <w:kern w:val="0"/>
                      <w:sz w:val="21"/>
                      <w:szCs w:val="21"/>
                      <w:highlight w:val="none"/>
                      <w:lang w:val="en-US"/>
                    </w:rPr>
                  </w:pPr>
                  <w:r>
                    <w:rPr>
                      <w:rFonts w:hint="default" w:ascii="Times New Roman" w:hAnsi="Times New Roman" w:cs="Times New Roman"/>
                      <w:color w:val="auto"/>
                      <w:kern w:val="0"/>
                      <w:sz w:val="21"/>
                      <w:szCs w:val="21"/>
                      <w:highlight w:val="none"/>
                      <w:lang w:val="en-US" w:eastAsia="zh-CN"/>
                    </w:rPr>
                    <w:t>7439-97-6</w:t>
                  </w:r>
                </w:p>
              </w:tc>
              <w:tc>
                <w:tcPr>
                  <w:tcW w:w="920" w:type="pct"/>
                  <w:noWrap w:val="0"/>
                  <w:vAlign w:val="center"/>
                </w:tcPr>
                <w:p>
                  <w:pPr>
                    <w:jc w:val="center"/>
                    <w:rPr>
                      <w:rFonts w:hint="default" w:ascii="Times New Roman" w:hAnsi="Times New Roman"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w:t>
                  </w:r>
                  <w:r>
                    <w:rPr>
                      <w:rFonts w:hint="default" w:ascii="Times New Roman" w:hAnsi="Times New Roman" w:cs="Times New Roman"/>
                      <w:color w:val="auto"/>
                      <w:kern w:val="0"/>
                      <w:sz w:val="21"/>
                      <w:szCs w:val="21"/>
                      <w:highlight w:val="none"/>
                      <w:lang w:val="en-US" w:eastAsia="zh-CN"/>
                    </w:rPr>
                    <w:t>t</w:t>
                  </w:r>
                </w:p>
              </w:tc>
              <w:tc>
                <w:tcPr>
                  <w:tcW w:w="638" w:type="pct"/>
                  <w:noWrap w:val="0"/>
                  <w:vAlign w:val="center"/>
                </w:tcPr>
                <w:p>
                  <w:pPr>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rPr>
                    <w:t>0.5t</w:t>
                  </w:r>
                </w:p>
              </w:tc>
              <w:tc>
                <w:tcPr>
                  <w:tcW w:w="1177" w:type="pct"/>
                  <w:noWrap w:val="0"/>
                  <w:vAlign w:val="center"/>
                </w:tcPr>
                <w:p>
                  <w:pPr>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w:t>
                  </w:r>
                </w:p>
              </w:tc>
            </w:tr>
          </w:tbl>
          <w:p>
            <w:pPr>
              <w:pStyle w:val="2"/>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default"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由上表计算Q=</w:t>
            </w:r>
            <w:r>
              <w:rPr>
                <w:rFonts w:hint="default" w:ascii="Times New Roman" w:hAnsi="Times New Roman" w:eastAsia="宋体" w:cs="Times New Roman"/>
                <w:b/>
                <w:bCs w:val="0"/>
                <w:color w:val="auto"/>
                <w:sz w:val="24"/>
                <w:szCs w:val="24"/>
                <w:highlight w:val="none"/>
              </w:rPr>
              <w:t>q</w:t>
            </w:r>
            <w:r>
              <w:rPr>
                <w:rFonts w:hint="default" w:ascii="Times New Roman" w:hAnsi="Times New Roman" w:eastAsia="宋体" w:cs="Times New Roman"/>
                <w:b/>
                <w:bCs w:val="0"/>
                <w:color w:val="auto"/>
                <w:sz w:val="24"/>
                <w:szCs w:val="24"/>
                <w:highlight w:val="none"/>
                <w:vertAlign w:val="subscript"/>
              </w:rPr>
              <w:t>n</w:t>
            </w:r>
            <w:r>
              <w:rPr>
                <w:rFonts w:hint="default" w:ascii="Times New Roman" w:hAnsi="Times New Roman" w:eastAsia="宋体" w:cs="Times New Roman"/>
                <w:b/>
                <w:bCs w:val="0"/>
                <w:color w:val="auto"/>
                <w:sz w:val="24"/>
                <w:szCs w:val="24"/>
                <w:highlight w:val="none"/>
              </w:rPr>
              <w:t>/Q</w:t>
            </w:r>
            <w:r>
              <w:rPr>
                <w:rFonts w:hint="default" w:ascii="Times New Roman" w:hAnsi="Times New Roman" w:eastAsia="宋体" w:cs="Times New Roman"/>
                <w:b/>
                <w:bCs w:val="0"/>
                <w:color w:val="auto"/>
                <w:sz w:val="24"/>
                <w:szCs w:val="24"/>
                <w:highlight w:val="none"/>
                <w:vertAlign w:val="subscript"/>
              </w:rPr>
              <w:t>n</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0.12</w:t>
            </w:r>
            <w:r>
              <w:rPr>
                <w:rFonts w:hint="default" w:ascii="Times New Roman" w:hAnsi="Times New Roman" w:eastAsia="宋体" w:cs="Times New Roman"/>
                <w:color w:val="auto"/>
                <w:sz w:val="24"/>
                <w:szCs w:val="24"/>
                <w:highlight w:val="none"/>
              </w:rPr>
              <w:t>&lt;1，则该项目环境风险潜势为Ⅰ，因此，本项目风险评价等级为简单分析</w:t>
            </w:r>
            <w:r>
              <w:rPr>
                <w:rFonts w:eastAsia="Times New Roman"/>
                <w:color w:val="auto"/>
                <w:sz w:val="24"/>
                <w:szCs w:val="24"/>
                <w:highlight w:val="none"/>
              </w:rPr>
              <w:t>，无需设置评价范围。</w:t>
            </w:r>
          </w:p>
          <w:p>
            <w:pPr>
              <w:spacing w:before="120" w:beforeLines="50" w:line="360" w:lineRule="auto"/>
              <w:ind w:firstLine="480" w:firstLineChars="200"/>
              <w:rPr>
                <w:rFonts w:hint="eastAsia" w:hAnsi="宋体"/>
                <w:color w:val="auto"/>
                <w:sz w:val="24"/>
                <w:highlight w:val="none"/>
                <w:lang w:eastAsia="zh-CN"/>
              </w:rPr>
            </w:pPr>
            <w:r>
              <w:rPr>
                <w:rFonts w:hint="eastAsia" w:hAnsi="宋体"/>
                <w:color w:val="auto"/>
                <w:sz w:val="24"/>
                <w:highlight w:val="none"/>
                <w:lang w:eastAsia="zh-CN"/>
              </w:rPr>
              <w:t>（</w:t>
            </w:r>
            <w:r>
              <w:rPr>
                <w:rFonts w:hint="eastAsia" w:hAnsi="宋体"/>
                <w:color w:val="auto"/>
                <w:sz w:val="24"/>
                <w:highlight w:val="none"/>
                <w:lang w:val="en-US" w:eastAsia="zh-CN"/>
              </w:rPr>
              <w:t>3</w:t>
            </w:r>
            <w:r>
              <w:rPr>
                <w:rFonts w:hint="eastAsia" w:hAnsi="宋体"/>
                <w:color w:val="auto"/>
                <w:sz w:val="24"/>
                <w:highlight w:val="none"/>
                <w:lang w:eastAsia="zh-CN"/>
              </w:rPr>
              <w:t>）</w:t>
            </w:r>
            <w:r>
              <w:rPr>
                <w:rFonts w:hint="eastAsia" w:hAnsi="宋体"/>
                <w:color w:val="auto"/>
                <w:sz w:val="24"/>
                <w:highlight w:val="none"/>
                <w:lang w:val="en-US" w:eastAsia="zh-CN"/>
              </w:rPr>
              <w:t>风险源分布情况及可能影响途径，</w:t>
            </w:r>
          </w:p>
          <w:p>
            <w:pPr>
              <w:ind w:firstLine="480" w:firstLineChars="200"/>
              <w:jc w:val="both"/>
              <w:rPr>
                <w:rFonts w:hint="eastAsia" w:hAnsi="宋体"/>
                <w:color w:val="auto"/>
                <w:sz w:val="24"/>
                <w:highlight w:val="none"/>
                <w:lang w:val="en-US" w:eastAsia="zh-CN"/>
              </w:rPr>
            </w:pPr>
            <w:r>
              <w:rPr>
                <w:rFonts w:hint="eastAsia" w:hAnsi="宋体"/>
                <w:color w:val="auto"/>
                <w:sz w:val="24"/>
                <w:highlight w:val="none"/>
              </w:rPr>
              <w:t>本项目</w:t>
            </w:r>
            <w:r>
              <w:rPr>
                <w:rFonts w:hint="eastAsia" w:hAnsi="宋体"/>
                <w:color w:val="auto"/>
                <w:sz w:val="24"/>
                <w:highlight w:val="none"/>
                <w:lang w:val="en-US" w:eastAsia="zh-CN"/>
              </w:rPr>
              <w:t>风险源主要分布于储煤库</w:t>
            </w:r>
            <w:r>
              <w:rPr>
                <w:rFonts w:hint="eastAsia" w:hAnsi="宋体"/>
                <w:color w:val="auto"/>
                <w:sz w:val="24"/>
                <w:highlight w:val="none"/>
              </w:rPr>
              <w:t>，</w:t>
            </w:r>
            <w:r>
              <w:rPr>
                <w:rFonts w:hint="eastAsia" w:hAnsi="宋体"/>
                <w:color w:val="auto"/>
                <w:sz w:val="24"/>
                <w:highlight w:val="none"/>
                <w:lang w:val="en-US" w:eastAsia="zh-CN"/>
              </w:rPr>
              <w:t>可能发生的环境风险事件及影响途径见表4-15。</w:t>
            </w:r>
          </w:p>
          <w:p>
            <w:pPr>
              <w:jc w:val="center"/>
              <w:rPr>
                <w:rFonts w:hint="eastAsia"/>
                <w:b/>
                <w:color w:val="auto"/>
                <w:sz w:val="21"/>
                <w:szCs w:val="21"/>
                <w:highlight w:val="none"/>
              </w:rPr>
            </w:pPr>
            <w:r>
              <w:rPr>
                <w:rFonts w:hint="eastAsia"/>
                <w:b/>
                <w:color w:val="auto"/>
                <w:sz w:val="21"/>
                <w:szCs w:val="21"/>
                <w:highlight w:val="none"/>
              </w:rPr>
              <w:t>表4-</w:t>
            </w:r>
            <w:r>
              <w:rPr>
                <w:rFonts w:hint="eastAsia"/>
                <w:b/>
                <w:color w:val="auto"/>
                <w:sz w:val="21"/>
                <w:szCs w:val="21"/>
                <w:highlight w:val="none"/>
                <w:lang w:val="en-US" w:eastAsia="zh-CN"/>
              </w:rPr>
              <w:t>15</w:t>
            </w:r>
            <w:r>
              <w:rPr>
                <w:rFonts w:hint="eastAsia"/>
                <w:b/>
                <w:color w:val="auto"/>
                <w:sz w:val="21"/>
                <w:szCs w:val="21"/>
                <w:highlight w:val="none"/>
              </w:rPr>
              <w:t xml:space="preserve">  </w:t>
            </w:r>
            <w:r>
              <w:rPr>
                <w:rFonts w:hint="eastAsia"/>
                <w:b/>
                <w:color w:val="auto"/>
                <w:sz w:val="21"/>
                <w:szCs w:val="21"/>
                <w:highlight w:val="none"/>
                <w:lang w:val="en-US" w:eastAsia="zh-CN"/>
              </w:rPr>
              <w:t>可能发生的环境风险事件及影响途径</w:t>
            </w:r>
          </w:p>
          <w:tbl>
            <w:tblPr>
              <w:tblStyle w:val="50"/>
              <w:tblW w:w="4996" w:type="pct"/>
              <w:jc w:val="center"/>
              <w:tblBorders>
                <w:top w:val="double" w:color="000000" w:sz="4" w:space="0"/>
                <w:left w:val="none" w:color="auto" w:sz="0" w:space="0"/>
                <w:bottom w:val="double" w:color="000000" w:sz="4" w:space="0"/>
                <w:right w:val="none" w:color="auto" w:sz="0" w:space="0"/>
                <w:insideH w:val="single" w:color="000000" w:sz="2" w:space="0"/>
                <w:insideV w:val="single" w:color="000000" w:sz="2" w:space="0"/>
              </w:tblBorders>
              <w:tblLayout w:type="autofit"/>
              <w:tblCellMar>
                <w:top w:w="0" w:type="dxa"/>
                <w:left w:w="0" w:type="dxa"/>
                <w:bottom w:w="0" w:type="dxa"/>
                <w:right w:w="0" w:type="dxa"/>
              </w:tblCellMar>
            </w:tblPr>
            <w:tblGrid>
              <w:gridCol w:w="775"/>
              <w:gridCol w:w="741"/>
              <w:gridCol w:w="3177"/>
              <w:gridCol w:w="3574"/>
            </w:tblGrid>
            <w:tr>
              <w:tblPrEx>
                <w:tblBorders>
                  <w:top w:val="double" w:color="000000" w:sz="4" w:space="0"/>
                  <w:left w:val="none" w:color="auto" w:sz="0" w:space="0"/>
                  <w:bottom w:val="doub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469" w:type="pct"/>
                  <w:noWrap w:val="0"/>
                  <w:vAlign w:val="center"/>
                </w:tcPr>
                <w:p>
                  <w:pPr>
                    <w:autoSpaceDE/>
                    <w:autoSpaceDN/>
                    <w:jc w:val="center"/>
                    <w:rPr>
                      <w:rFonts w:hint="eastAsia"/>
                      <w:b/>
                      <w:bCs w:val="0"/>
                      <w:color w:val="auto"/>
                      <w:sz w:val="21"/>
                      <w:szCs w:val="21"/>
                      <w:highlight w:val="none"/>
                    </w:rPr>
                  </w:pPr>
                  <w:r>
                    <w:rPr>
                      <w:rFonts w:hint="eastAsia"/>
                      <w:b/>
                      <w:bCs w:val="0"/>
                      <w:color w:val="auto"/>
                      <w:sz w:val="21"/>
                      <w:szCs w:val="21"/>
                      <w:highlight w:val="none"/>
                    </w:rPr>
                    <w:t>危险</w:t>
                  </w:r>
                </w:p>
                <w:p>
                  <w:pPr>
                    <w:autoSpaceDE/>
                    <w:autoSpaceDN/>
                    <w:jc w:val="center"/>
                    <w:rPr>
                      <w:rFonts w:hint="eastAsia"/>
                      <w:b/>
                      <w:bCs w:val="0"/>
                      <w:color w:val="auto"/>
                      <w:sz w:val="21"/>
                      <w:szCs w:val="21"/>
                      <w:highlight w:val="none"/>
                    </w:rPr>
                  </w:pPr>
                  <w:r>
                    <w:rPr>
                      <w:rFonts w:hint="eastAsia"/>
                      <w:b/>
                      <w:bCs w:val="0"/>
                      <w:color w:val="auto"/>
                      <w:sz w:val="21"/>
                      <w:szCs w:val="21"/>
                      <w:highlight w:val="none"/>
                    </w:rPr>
                    <w:t>目标</w:t>
                  </w:r>
                </w:p>
              </w:tc>
              <w:tc>
                <w:tcPr>
                  <w:tcW w:w="448" w:type="pct"/>
                  <w:noWrap w:val="0"/>
                  <w:vAlign w:val="center"/>
                </w:tcPr>
                <w:p>
                  <w:pPr>
                    <w:autoSpaceDE/>
                    <w:autoSpaceDN/>
                    <w:jc w:val="center"/>
                    <w:rPr>
                      <w:rFonts w:hint="eastAsia"/>
                      <w:b/>
                      <w:bCs w:val="0"/>
                      <w:color w:val="auto"/>
                      <w:sz w:val="21"/>
                      <w:szCs w:val="21"/>
                      <w:highlight w:val="none"/>
                    </w:rPr>
                  </w:pPr>
                  <w:r>
                    <w:rPr>
                      <w:rFonts w:hint="eastAsia"/>
                      <w:b/>
                      <w:bCs w:val="0"/>
                      <w:color w:val="auto"/>
                      <w:sz w:val="21"/>
                      <w:szCs w:val="21"/>
                      <w:highlight w:val="none"/>
                    </w:rPr>
                    <w:t>事故</w:t>
                  </w:r>
                </w:p>
                <w:p>
                  <w:pPr>
                    <w:autoSpaceDE/>
                    <w:autoSpaceDN/>
                    <w:jc w:val="center"/>
                    <w:rPr>
                      <w:rFonts w:hint="eastAsia"/>
                      <w:b/>
                      <w:bCs w:val="0"/>
                      <w:color w:val="auto"/>
                      <w:sz w:val="21"/>
                      <w:szCs w:val="21"/>
                      <w:highlight w:val="none"/>
                    </w:rPr>
                  </w:pPr>
                  <w:r>
                    <w:rPr>
                      <w:rFonts w:hint="eastAsia"/>
                      <w:b/>
                      <w:bCs w:val="0"/>
                      <w:color w:val="auto"/>
                      <w:sz w:val="21"/>
                      <w:szCs w:val="21"/>
                      <w:highlight w:val="none"/>
                    </w:rPr>
                    <w:t>类型</w:t>
                  </w:r>
                </w:p>
              </w:tc>
              <w:tc>
                <w:tcPr>
                  <w:tcW w:w="1921" w:type="pct"/>
                  <w:noWrap w:val="0"/>
                  <w:vAlign w:val="center"/>
                </w:tcPr>
                <w:p>
                  <w:pPr>
                    <w:autoSpaceDE/>
                    <w:autoSpaceDN/>
                    <w:jc w:val="center"/>
                    <w:rPr>
                      <w:rFonts w:hint="eastAsia"/>
                      <w:b/>
                      <w:bCs w:val="0"/>
                      <w:color w:val="auto"/>
                      <w:sz w:val="21"/>
                      <w:szCs w:val="21"/>
                      <w:highlight w:val="none"/>
                    </w:rPr>
                  </w:pPr>
                  <w:r>
                    <w:rPr>
                      <w:rFonts w:hint="eastAsia"/>
                      <w:b/>
                      <w:bCs w:val="0"/>
                      <w:color w:val="auto"/>
                      <w:sz w:val="21"/>
                      <w:szCs w:val="21"/>
                      <w:highlight w:val="none"/>
                    </w:rPr>
                    <w:t>事故引发可能原因及后果</w:t>
                  </w:r>
                </w:p>
              </w:tc>
              <w:tc>
                <w:tcPr>
                  <w:tcW w:w="2161" w:type="pct"/>
                  <w:noWrap w:val="0"/>
                  <w:vAlign w:val="center"/>
                </w:tcPr>
                <w:p>
                  <w:pPr>
                    <w:autoSpaceDE/>
                    <w:autoSpaceDN/>
                    <w:jc w:val="center"/>
                    <w:rPr>
                      <w:rFonts w:hint="eastAsia"/>
                      <w:b/>
                      <w:bCs w:val="0"/>
                      <w:color w:val="auto"/>
                      <w:sz w:val="21"/>
                      <w:szCs w:val="21"/>
                      <w:highlight w:val="none"/>
                    </w:rPr>
                  </w:pPr>
                  <w:r>
                    <w:rPr>
                      <w:rFonts w:hint="eastAsia"/>
                      <w:b/>
                      <w:bCs w:val="0"/>
                      <w:color w:val="auto"/>
                      <w:sz w:val="21"/>
                      <w:szCs w:val="21"/>
                      <w:highlight w:val="none"/>
                    </w:rPr>
                    <w:t>措施</w:t>
                  </w:r>
                </w:p>
              </w:tc>
            </w:tr>
            <w:tr>
              <w:tblPrEx>
                <w:tblBorders>
                  <w:top w:val="double" w:color="000000" w:sz="4" w:space="0"/>
                  <w:left w:val="none" w:color="auto" w:sz="0" w:space="0"/>
                  <w:bottom w:val="doub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1237" w:hRule="atLeast"/>
                <w:jc w:val="center"/>
              </w:trPr>
              <w:tc>
                <w:tcPr>
                  <w:tcW w:w="469" w:type="pct"/>
                  <w:vMerge w:val="restart"/>
                  <w:noWrap w:val="0"/>
                  <w:vAlign w:val="center"/>
                </w:tcPr>
                <w:p>
                  <w:pPr>
                    <w:autoSpaceDE/>
                    <w:autoSpaceDN/>
                    <w:jc w:val="center"/>
                    <w:rPr>
                      <w:rFonts w:hint="default"/>
                      <w:bCs/>
                      <w:color w:val="auto"/>
                      <w:sz w:val="21"/>
                      <w:szCs w:val="21"/>
                      <w:highlight w:val="none"/>
                      <w:lang w:eastAsia="zh-CN"/>
                    </w:rPr>
                  </w:pPr>
                  <w:r>
                    <w:rPr>
                      <w:rFonts w:hint="eastAsia"/>
                      <w:bCs/>
                      <w:color w:val="auto"/>
                      <w:sz w:val="21"/>
                      <w:szCs w:val="21"/>
                      <w:highlight w:val="none"/>
                      <w:lang w:val="en-US" w:eastAsia="zh-CN"/>
                    </w:rPr>
                    <w:t>储煤库1、2、3</w:t>
                  </w:r>
                </w:p>
              </w:tc>
              <w:tc>
                <w:tcPr>
                  <w:tcW w:w="448" w:type="pct"/>
                  <w:noWrap w:val="0"/>
                  <w:vAlign w:val="center"/>
                </w:tcPr>
                <w:p>
                  <w:pPr>
                    <w:autoSpaceDE/>
                    <w:autoSpaceDN/>
                    <w:jc w:val="center"/>
                    <w:rPr>
                      <w:rFonts w:hint="default"/>
                      <w:bCs/>
                      <w:color w:val="auto"/>
                      <w:sz w:val="21"/>
                      <w:szCs w:val="21"/>
                      <w:highlight w:val="none"/>
                      <w:lang w:val="en-US"/>
                    </w:rPr>
                  </w:pPr>
                  <w:r>
                    <w:rPr>
                      <w:rFonts w:hint="eastAsia"/>
                      <w:bCs/>
                      <w:color w:val="auto"/>
                      <w:sz w:val="21"/>
                      <w:szCs w:val="21"/>
                      <w:highlight w:val="none"/>
                      <w:lang w:val="en-US" w:eastAsia="zh-CN"/>
                    </w:rPr>
                    <w:t>煤炭自燃</w:t>
                  </w:r>
                </w:p>
              </w:tc>
              <w:tc>
                <w:tcPr>
                  <w:tcW w:w="1921" w:type="pct"/>
                  <w:noWrap w:val="0"/>
                  <w:vAlign w:val="center"/>
                </w:tcPr>
                <w:p>
                  <w:pPr>
                    <w:autoSpaceDE/>
                    <w:autoSpaceDN/>
                    <w:jc w:val="center"/>
                    <w:rPr>
                      <w:rFonts w:hint="eastAsia" w:eastAsia="宋体"/>
                      <w:bCs/>
                      <w:color w:val="auto"/>
                      <w:sz w:val="21"/>
                      <w:szCs w:val="21"/>
                      <w:highlight w:val="none"/>
                      <w:lang w:val="en-US" w:eastAsia="zh-CN"/>
                    </w:rPr>
                  </w:pPr>
                  <w:r>
                    <w:rPr>
                      <w:rFonts w:hint="eastAsia" w:hAnsi="宋体"/>
                      <w:bCs/>
                      <w:iCs/>
                      <w:color w:val="auto"/>
                      <w:sz w:val="21"/>
                      <w:szCs w:val="21"/>
                      <w:highlight w:val="none"/>
                      <w:lang w:val="en-US" w:eastAsia="zh-CN"/>
                    </w:rPr>
                    <w:t>煤炭自燃</w:t>
                  </w:r>
                  <w:r>
                    <w:rPr>
                      <w:rFonts w:hint="eastAsia" w:hAnsi="宋体"/>
                      <w:bCs/>
                      <w:iCs/>
                      <w:color w:val="auto"/>
                      <w:sz w:val="21"/>
                      <w:szCs w:val="21"/>
                      <w:highlight w:val="none"/>
                    </w:rPr>
                    <w:t>可能引发火灾事故，</w:t>
                  </w:r>
                  <w:r>
                    <w:rPr>
                      <w:rFonts w:hint="eastAsia" w:hAnsi="宋体"/>
                      <w:color w:val="auto"/>
                      <w:sz w:val="21"/>
                      <w:szCs w:val="21"/>
                      <w:highlight w:val="none"/>
                      <w:lang w:val="en-US" w:eastAsia="zh-CN"/>
                    </w:rPr>
                    <w:t>燃烧废气会产生二氧化硫、氮氧化物、颗粒物、汞及其化合物，</w:t>
                  </w:r>
                  <w:r>
                    <w:rPr>
                      <w:rFonts w:hint="eastAsia" w:hAnsi="宋体"/>
                      <w:color w:val="auto"/>
                      <w:sz w:val="21"/>
                      <w:szCs w:val="21"/>
                      <w:highlight w:val="none"/>
                    </w:rPr>
                    <w:t>对周围大气环境产生一定的污染</w:t>
                  </w:r>
                  <w:r>
                    <w:rPr>
                      <w:rFonts w:hint="eastAsia" w:hAnsi="宋体"/>
                      <w:color w:val="auto"/>
                      <w:sz w:val="21"/>
                      <w:szCs w:val="21"/>
                      <w:highlight w:val="none"/>
                      <w:lang w:eastAsia="zh-CN"/>
                    </w:rPr>
                    <w:t>，</w:t>
                  </w:r>
                  <w:r>
                    <w:rPr>
                      <w:rFonts w:hint="eastAsia" w:hAnsi="宋体"/>
                      <w:color w:val="auto"/>
                      <w:sz w:val="21"/>
                      <w:szCs w:val="21"/>
                      <w:highlight w:val="none"/>
                      <w:lang w:val="en-US" w:eastAsia="zh-CN"/>
                    </w:rPr>
                    <w:t>同时</w:t>
                  </w:r>
                  <w:r>
                    <w:rPr>
                      <w:rFonts w:hint="eastAsia" w:hAnsi="宋体"/>
                      <w:bCs/>
                      <w:iCs/>
                      <w:color w:val="auto"/>
                      <w:sz w:val="21"/>
                      <w:szCs w:val="21"/>
                      <w:highlight w:val="none"/>
                    </w:rPr>
                    <w:t>产生的CO</w:t>
                  </w:r>
                  <w:r>
                    <w:rPr>
                      <w:rFonts w:hint="eastAsia" w:hAnsi="宋体"/>
                      <w:color w:val="auto"/>
                      <w:sz w:val="21"/>
                      <w:szCs w:val="21"/>
                      <w:highlight w:val="none"/>
                    </w:rPr>
                    <w:t>等</w:t>
                  </w:r>
                  <w:r>
                    <w:rPr>
                      <w:rFonts w:hint="eastAsia" w:hAnsi="宋体"/>
                      <w:bCs/>
                      <w:iCs/>
                      <w:color w:val="auto"/>
                      <w:sz w:val="21"/>
                      <w:szCs w:val="21"/>
                      <w:highlight w:val="none"/>
                    </w:rPr>
                    <w:t>气体</w:t>
                  </w:r>
                  <w:r>
                    <w:rPr>
                      <w:rFonts w:hint="eastAsia" w:hAnsi="宋体"/>
                      <w:color w:val="auto"/>
                      <w:sz w:val="21"/>
                      <w:szCs w:val="21"/>
                      <w:highlight w:val="none"/>
                    </w:rPr>
                    <w:t>影响周围人群身体健康</w:t>
                  </w:r>
                  <w:r>
                    <w:rPr>
                      <w:rFonts w:hint="eastAsia" w:hAnsi="宋体"/>
                      <w:color w:val="auto"/>
                      <w:sz w:val="21"/>
                      <w:szCs w:val="21"/>
                      <w:highlight w:val="none"/>
                      <w:lang w:eastAsia="zh-CN"/>
                    </w:rPr>
                    <w:t>。</w:t>
                  </w:r>
                </w:p>
              </w:tc>
              <w:tc>
                <w:tcPr>
                  <w:tcW w:w="2161" w:type="pct"/>
                  <w:noWrap w:val="0"/>
                  <w:vAlign w:val="center"/>
                </w:tcPr>
                <w:p>
                  <w:pPr>
                    <w:autoSpaceDE/>
                    <w:autoSpaceDN/>
                    <w:jc w:val="center"/>
                    <w:rPr>
                      <w:rFonts w:hint="eastAsia" w:eastAsia="宋体"/>
                      <w:bCs/>
                      <w:color w:val="auto"/>
                      <w:sz w:val="21"/>
                      <w:szCs w:val="21"/>
                      <w:highlight w:val="none"/>
                      <w:lang w:eastAsia="zh-CN"/>
                    </w:rPr>
                  </w:pPr>
                  <w:r>
                    <w:rPr>
                      <w:rFonts w:hint="eastAsia"/>
                      <w:color w:val="auto"/>
                      <w:sz w:val="21"/>
                      <w:szCs w:val="21"/>
                      <w:highlight w:val="none"/>
                      <w:lang w:val="en-US" w:eastAsia="zh-CN"/>
                    </w:rPr>
                    <w:t>加强危废贮存点管理，设置严禁烟火标志，配备必备的消防应急工具和卫生防护急救设备，加强防火安全教育，避免造成环境及人员影响。</w:t>
                  </w:r>
                </w:p>
              </w:tc>
            </w:tr>
            <w:tr>
              <w:tblPrEx>
                <w:tblBorders>
                  <w:top w:val="double" w:color="000000" w:sz="4" w:space="0"/>
                  <w:left w:val="none" w:color="auto" w:sz="0" w:space="0"/>
                  <w:bottom w:val="doub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1237" w:hRule="atLeast"/>
                <w:jc w:val="center"/>
              </w:trPr>
              <w:tc>
                <w:tcPr>
                  <w:tcW w:w="469" w:type="pct"/>
                  <w:vMerge w:val="continue"/>
                  <w:noWrap w:val="0"/>
                  <w:vAlign w:val="center"/>
                </w:tcPr>
                <w:p>
                  <w:pPr>
                    <w:autoSpaceDE/>
                    <w:autoSpaceDN/>
                    <w:jc w:val="center"/>
                    <w:rPr>
                      <w:rFonts w:hint="eastAsia"/>
                      <w:bCs/>
                      <w:color w:val="auto"/>
                      <w:sz w:val="21"/>
                      <w:szCs w:val="21"/>
                      <w:highlight w:val="none"/>
                      <w:lang w:eastAsia="zh-CN"/>
                    </w:rPr>
                  </w:pPr>
                </w:p>
              </w:tc>
              <w:tc>
                <w:tcPr>
                  <w:tcW w:w="448" w:type="pct"/>
                  <w:noWrap w:val="0"/>
                  <w:vAlign w:val="center"/>
                </w:tcPr>
                <w:p>
                  <w:pPr>
                    <w:autoSpaceDE/>
                    <w:autoSpaceDN/>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风险物质下渗</w:t>
                  </w:r>
                </w:p>
              </w:tc>
              <w:tc>
                <w:tcPr>
                  <w:tcW w:w="1921" w:type="pct"/>
                  <w:noWrap w:val="0"/>
                  <w:vAlign w:val="center"/>
                </w:tcPr>
                <w:p>
                  <w:pPr>
                    <w:autoSpaceDE/>
                    <w:autoSpaceDN/>
                    <w:jc w:val="center"/>
                    <w:rPr>
                      <w:rFonts w:hint="default"/>
                      <w:bCs/>
                      <w:color w:val="auto"/>
                      <w:sz w:val="21"/>
                      <w:szCs w:val="21"/>
                      <w:highlight w:val="none"/>
                      <w:lang w:val="en-US" w:eastAsia="zh-CN"/>
                    </w:rPr>
                  </w:pPr>
                  <w:r>
                    <w:rPr>
                      <w:rFonts w:hint="eastAsia"/>
                      <w:bCs/>
                      <w:color w:val="auto"/>
                      <w:sz w:val="21"/>
                      <w:szCs w:val="21"/>
                      <w:highlight w:val="none"/>
                      <w:lang w:val="en-US" w:eastAsia="zh-CN"/>
                    </w:rPr>
                    <w:t>煤炭转运过程中直接散落地面，由于煤炭成分中包含汞，会对土壤造成污染影响。</w:t>
                  </w:r>
                </w:p>
              </w:tc>
              <w:tc>
                <w:tcPr>
                  <w:tcW w:w="2161" w:type="pct"/>
                  <w:noWrap w:val="0"/>
                  <w:vAlign w:val="center"/>
                </w:tcPr>
                <w:p>
                  <w:pPr>
                    <w:autoSpaceDE/>
                    <w:autoSpaceDN/>
                    <w:jc w:val="center"/>
                    <w:rPr>
                      <w:rFonts w:hint="default"/>
                      <w:color w:val="auto"/>
                      <w:sz w:val="21"/>
                      <w:szCs w:val="21"/>
                      <w:highlight w:val="none"/>
                      <w:lang w:val="en-US" w:eastAsia="zh-CN"/>
                    </w:rPr>
                  </w:pPr>
                  <w:r>
                    <w:rPr>
                      <w:rFonts w:hint="eastAsia"/>
                      <w:color w:val="auto"/>
                      <w:sz w:val="21"/>
                      <w:szCs w:val="21"/>
                      <w:highlight w:val="none"/>
                      <w:lang w:val="en-US" w:eastAsia="zh-CN"/>
                    </w:rPr>
                    <w:t>加强防渗，对运输路面及储存区域进行硬化；加强运输管理，减少运输期间煤炭的洒落程度。</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20" w:firstLineChars="200"/>
              <w:textAlignment w:val="auto"/>
              <w:rPr>
                <w:rFonts w:hint="default"/>
                <w:color w:val="auto"/>
                <w:sz w:val="11"/>
                <w:szCs w:val="1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val="en-US" w:eastAsia="zh-CN"/>
              </w:rPr>
              <w:t>综上所述，采取以上措施后风险可控，对环境影响较小。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val="en-US" w:eastAsia="zh-CN"/>
              </w:rPr>
              <w:t>2、储存期控制措施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sz w:val="24"/>
                <w:szCs w:val="24"/>
                <w:highlight w:val="none"/>
                <w:lang w:val="en-US" w:eastAsia="zh-CN"/>
              </w:rPr>
              <w:t>本项目环境风险主要为煤</w:t>
            </w:r>
            <w:r>
              <w:rPr>
                <w:rFonts w:hint="eastAsia"/>
                <w:color w:val="auto"/>
                <w:kern w:val="2"/>
                <w:sz w:val="24"/>
                <w:szCs w:val="24"/>
                <w:highlight w:val="none"/>
                <w:lang w:val="en-US" w:eastAsia="zh-CN" w:bidi="ar-SA"/>
              </w:rPr>
              <w:t>炭储存过程中发生自燃，进而造成大气污染。煤炭储存期间控制措施如下：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（1）阻止空气进入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储存过程用装载机将煤层层压实，尤其是要将堆边大块部分压实，这样可以减少煤堆的空隙度，赶走煤堆空隙中的一部分空气，减少煤与氧气的接触。装车时要有秩序地进行，逐层整形压实。</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（2）防止危险温度产生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① 封闭储煤仓库，防止煤堆暴晒。</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② 储煤仓库设置移动雾炮喷淋设施，定期向煤堆喷水降温。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③ 煤堆的方向以南北方向取长，以减少阳光的直接照射。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④ 煤堆的场地为水泥地面，尽量在较低的温度下贮存煤炭，避开中午烈日下进行堆煤，以减少热量的携带。</w:t>
            </w:r>
          </w:p>
          <w:p>
            <w:pPr>
              <w:pStyle w:val="2"/>
              <w:rPr>
                <w:rFonts w:hint="eastAsia"/>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（3）管理措施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① 现场管理人员和操作人员应熟悉现场基本情况。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② 定期进行测温，发现异常，及时降温处理。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③ 对每一批新进煤炭做好时间、煤种、场地的登记。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④ 安全巡视人员应对煤堆日常巡视，以便早期发现异常情况。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⑤ 配备干粉灭火器，CO</w:t>
            </w:r>
            <w:r>
              <w:rPr>
                <w:rFonts w:hint="eastAsia"/>
                <w:color w:val="auto"/>
                <w:kern w:val="2"/>
                <w:sz w:val="24"/>
                <w:szCs w:val="24"/>
                <w:highlight w:val="none"/>
                <w:vertAlign w:val="subscript"/>
                <w:lang w:val="en-US" w:eastAsia="zh-CN" w:bidi="ar-SA"/>
              </w:rPr>
              <w:t>2</w:t>
            </w:r>
            <w:r>
              <w:rPr>
                <w:rFonts w:hint="eastAsia"/>
                <w:color w:val="auto"/>
                <w:kern w:val="2"/>
                <w:sz w:val="24"/>
                <w:szCs w:val="24"/>
                <w:highlight w:val="none"/>
                <w:lang w:val="en-US" w:eastAsia="zh-CN" w:bidi="ar-SA"/>
              </w:rPr>
              <w:t>灭火器等应急设备。</w:t>
            </w:r>
          </w:p>
          <w:p>
            <w:pPr>
              <w:pStyle w:val="2"/>
              <w:spacing w:line="360" w:lineRule="auto"/>
              <w:ind w:firstLine="480" w:firstLineChars="200"/>
              <w:rPr>
                <w:rFonts w:hint="default"/>
                <w:color w:val="auto"/>
                <w:kern w:val="2"/>
                <w:sz w:val="24"/>
                <w:szCs w:val="24"/>
                <w:highlight w:val="none"/>
                <w:lang w:val="en-US" w:eastAsia="zh-CN" w:bidi="ar-SA"/>
              </w:rPr>
            </w:pPr>
            <w:r>
              <w:rPr>
                <w:rFonts w:hint="eastAsia"/>
                <w:color w:val="auto"/>
                <w:kern w:val="2"/>
                <w:sz w:val="24"/>
                <w:szCs w:val="24"/>
                <w:highlight w:val="none"/>
                <w:lang w:val="en-US" w:eastAsia="zh-CN" w:bidi="ar-SA"/>
              </w:rPr>
              <w:t>3、煤炭自燃对周边环境的影响</w:t>
            </w:r>
          </w:p>
          <w:p>
            <w:pPr>
              <w:pStyle w:val="2"/>
              <w:spacing w:line="360" w:lineRule="auto"/>
              <w:ind w:firstLine="480" w:firstLineChars="200"/>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厂区周围除城南小区外均为工业用地，除城南小区外无其他大气保护目标，因此仅针对城南小区及附近工作人员进行分析。</w:t>
            </w:r>
          </w:p>
          <w:p>
            <w:pPr>
              <w:pStyle w:val="2"/>
              <w:numPr>
                <w:ilvl w:val="-1"/>
                <w:numId w:val="0"/>
              </w:numPr>
              <w:spacing w:line="360" w:lineRule="auto"/>
              <w:ind w:firstLine="480" w:firstLineChars="200"/>
              <w:rPr>
                <w:rFonts w:hint="default"/>
                <w:color w:val="auto"/>
                <w:kern w:val="2"/>
                <w:sz w:val="24"/>
                <w:szCs w:val="24"/>
                <w:highlight w:val="none"/>
                <w:lang w:val="en-US" w:eastAsia="zh-CN" w:bidi="ar-SA"/>
              </w:rPr>
            </w:pPr>
            <w:r>
              <w:rPr>
                <w:rFonts w:hint="eastAsia"/>
                <w:color w:val="auto"/>
                <w:kern w:val="2"/>
                <w:sz w:val="24"/>
                <w:szCs w:val="24"/>
                <w:highlight w:val="none"/>
                <w:lang w:val="en-US" w:eastAsia="zh-CN" w:bidi="ar-SA"/>
              </w:rPr>
              <w:t>煤炭均储存在封闭厂房中，当因温度过高或其他原因不慎发生自燃时，煤堆燃烧会释放一氧化碳、二氧化硫、汞及其化合物以及颗粒物等污染物，封闭厂房可对燃烧产生的烟气起到一定围挡阻隔作用。</w:t>
            </w:r>
          </w:p>
          <w:p>
            <w:pPr>
              <w:pStyle w:val="2"/>
              <w:numPr>
                <w:ilvl w:val="-1"/>
                <w:numId w:val="0"/>
              </w:numPr>
              <w:spacing w:line="360" w:lineRule="auto"/>
              <w:ind w:firstLine="480" w:firstLineChars="200"/>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烟气外逸时，会对厂区局部及周边大气环境造成短时影响。距离项目最近的大气环境保护目标为城南小区，预计排放的污染物有一氧化碳、二氧化硫、汞及其化合物以及颗粒物。</w:t>
            </w:r>
            <w:r>
              <w:rPr>
                <w:color w:val="000000" w:themeColor="text1"/>
                <w:sz w:val="24"/>
                <w:szCs w:val="24"/>
                <w:highlight w:val="none"/>
                <w14:textFill>
                  <w14:solidFill>
                    <w14:schemeClr w14:val="tx1"/>
                  </w14:solidFill>
                </w14:textFill>
              </w:rPr>
              <w:t>参照《建设项目环境风险评价技术导则》(HJ169-2018)中附录F.3火灾事故不完全燃烧二氧化硫、一氧化碳产生量公式，计算本项目存储物料可燃物质火灾情形下二氧化硫和一氧化碳产生及排放量。</w:t>
            </w:r>
          </w:p>
          <w:p>
            <w:pPr>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二氧化硫产生量如下：</w:t>
            </w:r>
          </w:p>
          <w:p>
            <w:pPr>
              <w:spacing w:line="360" w:lineRule="auto"/>
              <w:ind w:firstLine="48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G</w:t>
            </w:r>
            <w:r>
              <w:rPr>
                <w:color w:val="000000" w:themeColor="text1"/>
                <w:highlight w:val="none"/>
                <w:vertAlign w:val="subscript"/>
                <w14:textFill>
                  <w14:solidFill>
                    <w14:schemeClr w14:val="tx1"/>
                  </w14:solidFill>
                </w14:textFill>
              </w:rPr>
              <w:t>二氧化硫</w:t>
            </w:r>
            <w:r>
              <w:rPr>
                <w:color w:val="000000" w:themeColor="text1"/>
                <w:highlight w:val="none"/>
                <w14:textFill>
                  <w14:solidFill>
                    <w14:schemeClr w14:val="tx1"/>
                  </w14:solidFill>
                </w14:textFill>
              </w:rPr>
              <w:t>=2BS</w:t>
            </w:r>
          </w:p>
          <w:p>
            <w:pPr>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式中：G二氧化硫—二氧化硫产生量，kg/h；</w:t>
            </w:r>
          </w:p>
          <w:p>
            <w:pPr>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B—物质燃烧量，kg/h</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以本项目煤炭储存情况计算，预计煤炭燃烧24000kg/h</w:t>
            </w:r>
            <w:r>
              <w:rPr>
                <w:color w:val="000000" w:themeColor="text1"/>
                <w:highlight w:val="none"/>
                <w14:textFill>
                  <w14:solidFill>
                    <w14:schemeClr w14:val="tx1"/>
                  </w14:solidFill>
                </w14:textFill>
              </w:rPr>
              <w:t>；</w:t>
            </w:r>
          </w:p>
          <w:p>
            <w:pPr>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S—物质中硫的含量，%，</w:t>
            </w:r>
            <w:r>
              <w:rPr>
                <w:rFonts w:hint="eastAsia"/>
                <w:color w:val="000000" w:themeColor="text1"/>
                <w:highlight w:val="none"/>
                <w:lang w:val="en-US" w:eastAsia="zh-CN"/>
                <w14:textFill>
                  <w14:solidFill>
                    <w14:schemeClr w14:val="tx1"/>
                  </w14:solidFill>
                </w14:textFill>
              </w:rPr>
              <w:t>由于煤质检测报告中本项目采用的煤炭</w:t>
            </w:r>
            <w:r>
              <w:rPr>
                <w:color w:val="000000" w:themeColor="text1"/>
                <w:highlight w:val="none"/>
                <w14:textFill>
                  <w14:solidFill>
                    <w14:schemeClr w14:val="tx1"/>
                  </w14:solidFill>
                </w14:textFill>
              </w:rPr>
              <w:t>含硫量</w:t>
            </w:r>
            <w:r>
              <w:rPr>
                <w:rFonts w:hint="eastAsia"/>
                <w:color w:val="000000" w:themeColor="text1"/>
                <w:highlight w:val="none"/>
                <w:lang w:val="en-US" w:eastAsia="zh-CN"/>
                <w14:textFill>
                  <w14:solidFill>
                    <w14:schemeClr w14:val="tx1"/>
                  </w14:solidFill>
                </w14:textFill>
              </w:rPr>
              <w:t>为0%，根据《煤中全硫的测定方法》(GB/T214-2007)和《煤炭分析实验方法一般规定》（GB/T483-2007）取未检出时含量的最大值</w:t>
            </w:r>
            <w:r>
              <w:rPr>
                <w:rFonts w:hint="eastAsia"/>
                <w:color w:val="auto"/>
                <w:highlight w:val="none"/>
                <w:lang w:val="en-US" w:eastAsia="zh-CN"/>
              </w:rPr>
              <w:t>0.02</w:t>
            </w:r>
            <w:r>
              <w:rPr>
                <w:rFonts w:hint="eastAsia"/>
                <w:color w:val="000000" w:themeColor="text1"/>
                <w:highlight w:val="none"/>
                <w:lang w:val="en-US" w:eastAsia="zh-CN"/>
                <w14:textFill>
                  <w14:solidFill>
                    <w14:schemeClr w14:val="tx1"/>
                  </w14:solidFill>
                </w14:textFill>
              </w:rPr>
              <w:t>%</w:t>
            </w:r>
            <w:r>
              <w:rPr>
                <w:color w:val="000000" w:themeColor="text1"/>
                <w:highlight w:val="none"/>
                <w14:textFill>
                  <w14:solidFill>
                    <w14:schemeClr w14:val="tx1"/>
                  </w14:solidFill>
                </w14:textFill>
              </w:rPr>
              <w:t>；</w:t>
            </w:r>
          </w:p>
          <w:p>
            <w:pPr>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根据上述公式计算，发生火灾事故不完全燃烧二氧化硫排放量为</w:t>
            </w:r>
            <w:r>
              <w:rPr>
                <w:rFonts w:hint="eastAsia"/>
                <w:color w:val="000000" w:themeColor="text1"/>
                <w:highlight w:val="none"/>
                <w:lang w:val="en-US" w:eastAsia="zh-CN"/>
                <w14:textFill>
                  <w14:solidFill>
                    <w14:schemeClr w14:val="tx1"/>
                  </w14:solidFill>
                </w14:textFill>
              </w:rPr>
              <w:t>9.6</w:t>
            </w:r>
            <w:r>
              <w:rPr>
                <w:color w:val="000000" w:themeColor="text1"/>
                <w:highlight w:val="none"/>
                <w14:textFill>
                  <w14:solidFill>
                    <w14:schemeClr w14:val="tx1"/>
                  </w14:solidFill>
                </w14:textFill>
              </w:rPr>
              <w:t>kg/h。</w:t>
            </w:r>
          </w:p>
          <w:p>
            <w:pPr>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一氧化碳排放量如下：</w:t>
            </w:r>
          </w:p>
          <w:p>
            <w:pPr>
              <w:spacing w:line="360" w:lineRule="auto"/>
              <w:ind w:firstLine="3120" w:firstLineChars="13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G</w:t>
            </w:r>
            <w:r>
              <w:rPr>
                <w:color w:val="000000" w:themeColor="text1"/>
                <w:highlight w:val="none"/>
                <w:vertAlign w:val="subscript"/>
                <w14:textFill>
                  <w14:solidFill>
                    <w14:schemeClr w14:val="tx1"/>
                  </w14:solidFill>
                </w14:textFill>
              </w:rPr>
              <w:t>一氧化碳</w:t>
            </w:r>
            <w:r>
              <w:rPr>
                <w:color w:val="000000" w:themeColor="text1"/>
                <w:highlight w:val="none"/>
                <w14:textFill>
                  <w14:solidFill>
                    <w14:schemeClr w14:val="tx1"/>
                  </w14:solidFill>
                </w14:textFill>
              </w:rPr>
              <w:t>=2330qCQ</w:t>
            </w:r>
          </w:p>
          <w:p>
            <w:pPr>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式中：G一氧化碳—一氧化碳产生量，kg/s；</w:t>
            </w:r>
          </w:p>
          <w:p>
            <w:pPr>
              <w:spacing w:line="360" w:lineRule="auto"/>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C—物质中C含量，因本项目</w:t>
            </w:r>
            <w:r>
              <w:rPr>
                <w:rFonts w:hint="eastAsia"/>
                <w:color w:val="000000" w:themeColor="text1"/>
                <w:highlight w:val="none"/>
                <w:lang w:val="en-US" w:eastAsia="zh-CN"/>
                <w14:textFill>
                  <w14:solidFill>
                    <w14:schemeClr w14:val="tx1"/>
                  </w14:solidFill>
                </w14:textFill>
              </w:rPr>
              <w:t>煤存在面粒两种形态，故取二者最高值进行计算45.52%</w:t>
            </w:r>
            <w:r>
              <w:rPr>
                <w:color w:val="000000" w:themeColor="text1"/>
                <w:highlight w:val="none"/>
                <w14:textFill>
                  <w14:solidFill>
                    <w14:schemeClr w14:val="tx1"/>
                  </w14:solidFill>
                </w14:textFill>
              </w:rPr>
              <w:t>；</w:t>
            </w:r>
          </w:p>
          <w:p>
            <w:pPr>
              <w:spacing w:line="360" w:lineRule="auto"/>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q—不完全燃烧值，取3.0%；</w:t>
            </w:r>
          </w:p>
          <w:p>
            <w:pPr>
              <w:spacing w:line="360" w:lineRule="auto"/>
              <w:ind w:firstLine="1200" w:firstLineChars="500"/>
              <w:jc w:val="both"/>
              <w:rPr>
                <w:rFonts w:hint="default"/>
                <w:color w:val="000000" w:themeColor="text1"/>
                <w:highlight w:val="none"/>
                <w:lang w:val="en-US"/>
                <w14:textFill>
                  <w14:solidFill>
                    <w14:schemeClr w14:val="tx1"/>
                  </w14:solidFill>
                </w14:textFill>
              </w:rPr>
            </w:pPr>
            <w:r>
              <w:rPr>
                <w:color w:val="000000" w:themeColor="text1"/>
                <w:highlight w:val="none"/>
                <w14:textFill>
                  <w14:solidFill>
                    <w14:schemeClr w14:val="tx1"/>
                  </w14:solidFill>
                </w14:textFill>
              </w:rPr>
              <w:t>Q—参与燃烧物质量，</w:t>
            </w:r>
            <w:r>
              <w:rPr>
                <w:rFonts w:hint="eastAsia"/>
                <w:color w:val="000000" w:themeColor="text1"/>
                <w:highlight w:val="none"/>
                <w:lang w:val="en-US" w:eastAsia="zh-CN"/>
                <w14:textFill>
                  <w14:solidFill>
                    <w14:schemeClr w14:val="tx1"/>
                  </w14:solidFill>
                </w14:textFill>
              </w:rPr>
              <w:t>以本项目煤炭储存情况计算，预计煤炭燃烧24000kg/h，火灾持续时间为20min，故参与燃烧物质量以8000kg计。</w:t>
            </w:r>
          </w:p>
          <w:p>
            <w:pPr>
              <w:spacing w:line="360" w:lineRule="auto"/>
              <w:ind w:firstLine="480"/>
              <w:jc w:val="both"/>
              <w:rPr>
                <w:rFonts w:hint="default"/>
                <w:color w:val="000000" w:themeColor="text1"/>
                <w:highlight w:val="none"/>
                <w:lang w:val="en-US"/>
                <w14:textFill>
                  <w14:solidFill>
                    <w14:schemeClr w14:val="tx1"/>
                  </w14:solidFill>
                </w14:textFill>
              </w:rPr>
            </w:pPr>
            <w:r>
              <w:rPr>
                <w:color w:val="000000" w:themeColor="text1"/>
                <w:highlight w:val="none"/>
                <w14:textFill>
                  <w14:solidFill>
                    <w14:schemeClr w14:val="tx1"/>
                  </w14:solidFill>
                </w14:textFill>
              </w:rPr>
              <w:t>根据上</w:t>
            </w:r>
            <w:r>
              <w:rPr>
                <w:color w:val="auto"/>
                <w:highlight w:val="none"/>
              </w:rPr>
              <w:t>述公式计算，发生火灾事故不完全燃烧一氧化碳</w:t>
            </w:r>
            <w:r>
              <w:rPr>
                <w:rFonts w:hint="eastAsia"/>
                <w:color w:val="auto"/>
                <w:highlight w:val="none"/>
                <w:lang w:eastAsia="zh-CN"/>
              </w:rPr>
              <w:t>、</w:t>
            </w:r>
            <w:r>
              <w:rPr>
                <w:rFonts w:hint="eastAsia"/>
                <w:color w:val="auto"/>
                <w:highlight w:val="none"/>
                <w:lang w:val="en-US" w:eastAsia="zh-CN"/>
              </w:rPr>
              <w:t>二氧化硫</w:t>
            </w:r>
            <w:r>
              <w:rPr>
                <w:color w:val="auto"/>
                <w:highlight w:val="none"/>
              </w:rPr>
              <w:t>排放量为</w:t>
            </w:r>
            <w:r>
              <w:rPr>
                <w:rFonts w:hint="eastAsia"/>
                <w:color w:val="auto"/>
                <w:highlight w:val="none"/>
                <w:lang w:val="en-US" w:eastAsia="zh-CN"/>
              </w:rPr>
              <w:t>6.6</w:t>
            </w:r>
            <w:r>
              <w:rPr>
                <w:color w:val="auto"/>
                <w:highlight w:val="none"/>
              </w:rPr>
              <w:t>kg/s</w:t>
            </w:r>
            <w:r>
              <w:rPr>
                <w:rFonts w:hint="eastAsia"/>
                <w:color w:val="auto"/>
                <w:highlight w:val="none"/>
                <w:lang w:eastAsia="zh-CN"/>
              </w:rPr>
              <w:t>、</w:t>
            </w:r>
            <w:r>
              <w:rPr>
                <w:rFonts w:hint="eastAsia"/>
                <w:color w:val="auto"/>
                <w:highlight w:val="none"/>
                <w:lang w:val="en-US" w:eastAsia="zh-CN"/>
              </w:rPr>
              <w:t>9.6kg/h</w:t>
            </w: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预测浓度</w:t>
            </w:r>
            <w:r>
              <w:rPr>
                <w:color w:val="000000" w:themeColor="text1"/>
                <w:highlight w:val="none"/>
                <w14:textFill>
                  <w14:solidFill>
                    <w14:schemeClr w14:val="tx1"/>
                  </w14:solidFill>
                </w14:textFill>
              </w:rPr>
              <w:t>为</w:t>
            </w:r>
            <w:r>
              <w:rPr>
                <w:rFonts w:hint="eastAsia"/>
                <w:color w:val="000000" w:themeColor="text1"/>
                <w:highlight w:val="none"/>
                <w:lang w:val="en-US" w:eastAsia="zh-CN"/>
                <w14:textFill>
                  <w14:solidFill>
                    <w14:schemeClr w14:val="tx1"/>
                  </w14:solidFill>
                </w14:textFill>
              </w:rPr>
              <w:t>26.37</w:t>
            </w:r>
            <w:r>
              <w:rPr>
                <w:color w:val="000000" w:themeColor="text1"/>
                <w:highlight w:val="none"/>
                <w14:textFill>
                  <w14:solidFill>
                    <w14:schemeClr w14:val="tx1"/>
                  </w14:solidFill>
                </w14:textFill>
              </w:rPr>
              <w:t>mg/m</w:t>
            </w:r>
            <w:r>
              <w:rPr>
                <w:color w:val="000000" w:themeColor="text1"/>
                <w:highlight w:val="none"/>
                <w:vertAlign w:val="superscript"/>
                <w14:textFill>
                  <w14:solidFill>
                    <w14:schemeClr w14:val="tx1"/>
                  </w14:solidFill>
                </w14:textFill>
              </w:rPr>
              <w:t>3</w:t>
            </w:r>
            <w:r>
              <w:rPr>
                <w:rFonts w:hint="eastAsia"/>
                <w:color w:val="000000" w:themeColor="text1"/>
                <w:szCs w:val="24"/>
                <w:highlight w:val="none"/>
                <w:lang w:val="en-US" w:eastAsia="zh-CN"/>
                <w14:textFill>
                  <w14:solidFill>
                    <w14:schemeClr w14:val="tx1"/>
                  </w14:solidFill>
                </w14:textFill>
              </w:rPr>
              <w:t>、0.029</w:t>
            </w:r>
            <w:r>
              <w:rPr>
                <w:color w:val="000000" w:themeColor="text1"/>
                <w:highlight w:val="none"/>
                <w14:textFill>
                  <w14:solidFill>
                    <w14:schemeClr w14:val="tx1"/>
                  </w14:solidFill>
                </w14:textFill>
              </w:rPr>
              <w:t>mg/m</w:t>
            </w:r>
            <w:r>
              <w:rPr>
                <w:color w:val="000000" w:themeColor="text1"/>
                <w:highlight w:val="none"/>
                <w:vertAlign w:val="superscript"/>
                <w14:textFill>
                  <w14:solidFill>
                    <w14:schemeClr w14:val="tx1"/>
                  </w14:solidFill>
                </w14:textFill>
              </w:rPr>
              <w:t>3</w:t>
            </w:r>
            <w:r>
              <w:rPr>
                <w:rFonts w:hint="eastAsia"/>
                <w:color w:val="000000" w:themeColor="text1"/>
                <w:szCs w:val="24"/>
                <w:highlight w:val="none"/>
                <w:lang w:val="en-US" w:eastAsia="zh-CN"/>
                <w14:textFill>
                  <w14:solidFill>
                    <w14:schemeClr w14:val="tx1"/>
                  </w14:solidFill>
                </w14:textFill>
              </w:rPr>
              <w:t>，均未达到二级毒性终点浓度。</w:t>
            </w:r>
            <w:r>
              <w:rPr>
                <w:color w:val="000000" w:themeColor="text1"/>
                <w:szCs w:val="24"/>
                <w:highlight w:val="none"/>
                <w14:textFill>
                  <w14:solidFill>
                    <w14:schemeClr w14:val="tx1"/>
                  </w14:solidFill>
                </w14:textFill>
              </w:rPr>
              <w:t>因此，风险事故发生</w:t>
            </w:r>
            <w:r>
              <w:rPr>
                <w:rFonts w:hint="eastAsia"/>
                <w:color w:val="000000" w:themeColor="text1"/>
                <w:szCs w:val="24"/>
                <w:highlight w:val="none"/>
                <w:lang w:val="en-US" w:eastAsia="zh-CN"/>
                <w14:textFill>
                  <w14:solidFill>
                    <w14:schemeClr w14:val="tx1"/>
                  </w14:solidFill>
                </w14:textFill>
              </w:rPr>
              <w:t>时对周边环境及居民健康影响较小。</w:t>
            </w:r>
          </w:p>
          <w:p>
            <w:pPr>
              <w:pStyle w:val="2"/>
              <w:numPr>
                <w:ilvl w:val="-1"/>
                <w:numId w:val="0"/>
              </w:numPr>
              <w:spacing w:line="360" w:lineRule="auto"/>
              <w:ind w:firstLine="480" w:firstLineChars="200"/>
              <w:rPr>
                <w:rFonts w:hint="default"/>
                <w:color w:val="auto"/>
                <w:kern w:val="2"/>
                <w:sz w:val="24"/>
                <w:szCs w:val="24"/>
                <w:highlight w:val="none"/>
                <w:lang w:val="en-US" w:eastAsia="zh-CN" w:bidi="ar-SA"/>
              </w:rPr>
            </w:pPr>
            <w:r>
              <w:rPr>
                <w:rFonts w:hint="eastAsia"/>
                <w:color w:val="auto"/>
                <w:kern w:val="2"/>
                <w:sz w:val="24"/>
                <w:szCs w:val="24"/>
                <w:highlight w:val="none"/>
                <w:lang w:val="en-US" w:eastAsia="zh-CN" w:bidi="ar-SA"/>
              </w:rPr>
              <w:t>针对以上污染物，采取以下措施：①下风向布设移动雾炮机喷洒水幕，捕捉外逸烟尘，减少下风向污染物浓度。②关闭储煤库大门，利用封闭厂房的围挡作用限值烟气外逸。③待煤堆完全冷却后挖除自燃区残煤，转运至单独区域堆存，避免复燃。残煤优先利用，不随意丢弃。④清理沉降在厂区地面的烟尘积灰，收集后并入煤堆防止二次扬尘；冲洗废水收集至沉淀池中，不直接外排。</w:t>
            </w:r>
          </w:p>
          <w:p>
            <w:pPr>
              <w:pStyle w:val="2"/>
              <w:numPr>
                <w:ilvl w:val="0"/>
                <w:numId w:val="0"/>
              </w:numPr>
              <w:spacing w:line="360" w:lineRule="auto"/>
              <w:ind w:firstLine="480" w:firstLineChars="200"/>
              <w:rPr>
                <w:rFonts w:hint="default"/>
                <w:color w:val="auto"/>
                <w:kern w:val="2"/>
                <w:sz w:val="24"/>
                <w:szCs w:val="24"/>
                <w:highlight w:val="none"/>
                <w:lang w:val="en-US" w:eastAsia="zh-CN" w:bidi="ar-SA"/>
              </w:rPr>
            </w:pPr>
            <w:r>
              <w:rPr>
                <w:rFonts w:hint="eastAsia"/>
                <w:color w:val="auto"/>
                <w:kern w:val="2"/>
                <w:sz w:val="24"/>
                <w:szCs w:val="24"/>
                <w:highlight w:val="none"/>
                <w:lang w:val="en-US" w:eastAsia="zh-CN" w:bidi="ar-SA"/>
              </w:rPr>
              <w:t>项目设置日常测温巡检、消防应急物资，能够快速处置自燃事故，可有效降低事故烟气扩散带来的环境影响，不会造成大范围的环境危害。</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4、应急预案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kern w:val="2"/>
                <w:sz w:val="24"/>
                <w:szCs w:val="24"/>
                <w:highlight w:val="none"/>
                <w:lang w:val="en-US" w:eastAsia="zh-CN" w:bidi="ar-SA"/>
              </w:rPr>
            </w:pPr>
            <w:r>
              <w:rPr>
                <w:rFonts w:hint="eastAsia"/>
                <w:color w:val="auto"/>
                <w:kern w:val="2"/>
                <w:sz w:val="24"/>
                <w:szCs w:val="24"/>
                <w:highlight w:val="none"/>
                <w:lang w:val="en-US" w:eastAsia="zh-CN" w:bidi="ar-SA"/>
              </w:rPr>
              <w:t>对照《辽宁省突发环境事件应急预案备案行业名录（试行）》，本项目无需进行突发环境事件应急预案编制和备案工作。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color w:val="auto"/>
                <w:sz w:val="24"/>
                <w:szCs w:val="24"/>
                <w:highlight w:val="none"/>
                <w:lang w:val="en-US" w:eastAsia="zh-CN"/>
              </w:rPr>
              <w:t>综上，项目运营期间做好以上防治措施，可有效降低煤炭自燃风险，由煤炭自燃引起的火灾发生可能性低，在可接受范围内，对周围生态环境影响较小</w:t>
            </w:r>
            <w:r>
              <w:rPr>
                <w:rFonts w:hint="eastAsia" w:ascii="Times New Roman" w:hAnsi="Times New Roman" w:eastAsia="宋体" w:cs="Times New Roman"/>
                <w:color w:val="auto"/>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七、</w:t>
            </w:r>
            <w:r>
              <w:rPr>
                <w:rFonts w:hint="eastAsia" w:ascii="Times New Roman" w:hAnsi="Times New Roman" w:eastAsia="宋体" w:cs="Times New Roman"/>
                <w:b/>
                <w:bCs/>
                <w:color w:val="auto"/>
                <w:sz w:val="24"/>
                <w:szCs w:val="24"/>
                <w:highlight w:val="none"/>
                <w:lang w:val="en-US" w:eastAsia="zh-CN"/>
              </w:rPr>
              <w:t>环保投资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总</w:t>
            </w:r>
            <w:r>
              <w:rPr>
                <w:rFonts w:hint="eastAsia" w:ascii="Times New Roman" w:hAnsi="Times New Roman" w:eastAsia="宋体" w:cs="Times New Roman"/>
                <w:color w:val="auto"/>
                <w:sz w:val="24"/>
                <w:szCs w:val="24"/>
                <w:highlight w:val="none"/>
                <w:lang w:val="en-US" w:eastAsia="zh-CN"/>
              </w:rPr>
              <w:t>投资</w:t>
            </w:r>
            <w:r>
              <w:rPr>
                <w:rFonts w:hint="eastAsia" w:cs="Times New Roman"/>
                <w:color w:val="auto"/>
                <w:sz w:val="24"/>
                <w:szCs w:val="24"/>
                <w:highlight w:val="none"/>
                <w:lang w:val="en-US" w:eastAsia="zh-CN"/>
              </w:rPr>
              <w:t>290.5</w:t>
            </w:r>
            <w:r>
              <w:rPr>
                <w:rFonts w:hint="eastAsia" w:ascii="Times New Roman" w:hAnsi="Times New Roman" w:eastAsia="宋体" w:cs="Times New Roman"/>
                <w:color w:val="auto"/>
                <w:sz w:val="24"/>
                <w:szCs w:val="24"/>
                <w:highlight w:val="none"/>
                <w:lang w:val="en-US" w:eastAsia="zh-CN"/>
              </w:rPr>
              <w:t>万元，其中环保投资</w:t>
            </w:r>
            <w:r>
              <w:rPr>
                <w:rFonts w:hint="eastAsia" w:cs="Times New Roman"/>
                <w:color w:val="auto"/>
                <w:sz w:val="24"/>
                <w:szCs w:val="24"/>
                <w:highlight w:val="none"/>
                <w:lang w:val="en-US" w:eastAsia="zh-CN"/>
              </w:rPr>
              <w:t>75.1</w:t>
            </w:r>
            <w:r>
              <w:rPr>
                <w:rFonts w:hint="eastAsia" w:ascii="Times New Roman" w:hAnsi="Times New Roman" w:eastAsia="宋体" w:cs="Times New Roman"/>
                <w:color w:val="auto"/>
                <w:sz w:val="24"/>
                <w:szCs w:val="24"/>
                <w:highlight w:val="none"/>
                <w:lang w:val="en-US" w:eastAsia="zh-CN"/>
              </w:rPr>
              <w:t>万元，环保投资占总投资的比例为</w:t>
            </w:r>
            <w:r>
              <w:rPr>
                <w:rFonts w:hint="eastAsia" w:cs="Times New Roman"/>
                <w:color w:val="auto"/>
                <w:sz w:val="24"/>
                <w:szCs w:val="24"/>
                <w:highlight w:val="none"/>
                <w:lang w:val="en-US" w:eastAsia="zh-CN"/>
              </w:rPr>
              <w:t>25.8</w:t>
            </w:r>
            <w:r>
              <w:rPr>
                <w:rFonts w:hint="eastAsia" w:ascii="Times New Roman" w:hAnsi="Times New Roman" w:eastAsia="宋体" w:cs="Times New Roman"/>
                <w:color w:val="auto"/>
                <w:sz w:val="24"/>
                <w:szCs w:val="24"/>
                <w:highlight w:val="none"/>
                <w:lang w:val="en-US" w:eastAsia="zh-CN"/>
              </w:rPr>
              <w:t>%。主要用于废气治理、废水治理、隔声降噪、固体废物等方面。本项目环保措施及投资估算见表</w:t>
            </w:r>
            <w:r>
              <w:rPr>
                <w:rFonts w:hint="eastAsia" w:cs="Times New Roman"/>
                <w:color w:val="auto"/>
                <w:sz w:val="24"/>
                <w:szCs w:val="24"/>
                <w:highlight w:val="none"/>
                <w:lang w:val="en-US" w:eastAsia="zh-CN"/>
              </w:rPr>
              <w:t>4-15</w:t>
            </w:r>
            <w:r>
              <w:rPr>
                <w:rFonts w:hint="eastAsia" w:ascii="Times New Roman" w:hAnsi="Times New Roman" w:eastAsia="宋体" w:cs="Times New Roman"/>
                <w:color w:val="auto"/>
                <w:sz w:val="24"/>
                <w:szCs w:val="24"/>
                <w:highlight w:val="none"/>
                <w:lang w:val="en-US" w:eastAsia="zh-CN"/>
              </w:rPr>
              <w:t>。</w:t>
            </w:r>
          </w:p>
          <w:p>
            <w:pPr>
              <w:pStyle w:val="2"/>
              <w:rPr>
                <w:rFonts w:hint="eastAsia" w:ascii="Times New Roman" w:hAnsi="Times New Roman" w:eastAsia="宋体" w:cs="Times New Roman"/>
                <w:color w:val="auto"/>
                <w:sz w:val="24"/>
                <w:szCs w:val="24"/>
                <w:highlight w:val="none"/>
                <w:lang w:val="en-US" w:eastAsia="zh-CN"/>
              </w:rPr>
            </w:pPr>
          </w:p>
          <w:p>
            <w:pPr>
              <w:rPr>
                <w:rFonts w:hint="eastAsia" w:ascii="Times New Roman" w:hAnsi="Times New Roman" w:eastAsia="宋体" w:cs="Times New Roman"/>
                <w:color w:val="auto"/>
                <w:sz w:val="24"/>
                <w:szCs w:val="24"/>
                <w:highlight w:val="none"/>
                <w:lang w:val="en-US" w:eastAsia="zh-CN"/>
              </w:rPr>
            </w:pPr>
          </w:p>
          <w:p>
            <w:pPr>
              <w:pStyle w:val="2"/>
              <w:rPr>
                <w:rFonts w:hint="eastAsia"/>
                <w:sz w:val="15"/>
                <w:szCs w:val="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表4-</w:t>
            </w:r>
            <w:r>
              <w:rPr>
                <w:rFonts w:hint="eastAsia" w:cs="Times New Roman"/>
                <w:b/>
                <w:bCs/>
                <w:color w:val="auto"/>
                <w:sz w:val="21"/>
                <w:szCs w:val="21"/>
                <w:highlight w:val="none"/>
                <w:lang w:val="en-US" w:eastAsia="zh-CN"/>
              </w:rPr>
              <w:t>15</w:t>
            </w:r>
            <w:r>
              <w:rPr>
                <w:rFonts w:hint="eastAsia" w:ascii="Times New Roman" w:hAnsi="Times New Roman" w:eastAsia="宋体" w:cs="Times New Roman"/>
                <w:b/>
                <w:bCs/>
                <w:color w:val="auto"/>
                <w:sz w:val="21"/>
                <w:szCs w:val="21"/>
                <w:highlight w:val="none"/>
                <w:lang w:val="en-US" w:eastAsia="zh-CN"/>
              </w:rPr>
              <w:t xml:space="preserve"> </w:t>
            </w:r>
            <w:r>
              <w:rPr>
                <w:rFonts w:hint="eastAsia" w:cs="Times New Roman"/>
                <w:b/>
                <w:bCs/>
                <w:color w:val="auto"/>
                <w:sz w:val="21"/>
                <w:szCs w:val="21"/>
                <w:highlight w:val="none"/>
                <w:lang w:val="en-US" w:eastAsia="zh-CN"/>
              </w:rPr>
              <w:t>本项目</w:t>
            </w:r>
            <w:r>
              <w:rPr>
                <w:rFonts w:hint="eastAsia" w:ascii="Times New Roman" w:hAnsi="Times New Roman" w:eastAsia="宋体" w:cs="Times New Roman"/>
                <w:b/>
                <w:bCs/>
                <w:color w:val="auto"/>
                <w:sz w:val="21"/>
                <w:szCs w:val="21"/>
                <w:highlight w:val="none"/>
                <w:lang w:val="en-US" w:eastAsia="zh-CN"/>
              </w:rPr>
              <w:t>环保投资明细表</w:t>
            </w:r>
          </w:p>
          <w:tbl>
            <w:tblPr>
              <w:tblStyle w:val="21"/>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6" w:space="0"/>
              </w:tblBorders>
              <w:tblLayout w:type="autofit"/>
              <w:tblCellMar>
                <w:top w:w="0" w:type="dxa"/>
                <w:left w:w="108" w:type="dxa"/>
                <w:bottom w:w="0" w:type="dxa"/>
                <w:right w:w="108" w:type="dxa"/>
              </w:tblCellMar>
            </w:tblPr>
            <w:tblGrid>
              <w:gridCol w:w="710"/>
              <w:gridCol w:w="1418"/>
              <w:gridCol w:w="4434"/>
              <w:gridCol w:w="1709"/>
            </w:tblGrid>
            <w:tr>
              <w:tblPrEx>
                <w:tblBorders>
                  <w:top w:val="double" w:color="auto" w:sz="4" w:space="0"/>
                  <w:left w:val="none" w:color="auto" w:sz="0" w:space="0"/>
                  <w:bottom w:val="double" w:color="auto" w:sz="4" w:space="0"/>
                  <w:right w:val="none" w:color="auto" w:sz="0" w:space="0"/>
                  <w:insideH w:val="single" w:color="auto" w:sz="4" w:space="0"/>
                  <w:insideV w:val="single" w:color="auto" w:sz="6" w:space="0"/>
                </w:tblBorders>
                <w:tblCellMar>
                  <w:top w:w="0" w:type="dxa"/>
                  <w:left w:w="108" w:type="dxa"/>
                  <w:bottom w:w="0" w:type="dxa"/>
                  <w:right w:w="108" w:type="dxa"/>
                </w:tblCellMar>
              </w:tblPrEx>
              <w:trPr>
                <w:cantSplit/>
                <w:trHeight w:val="232" w:hRule="atLeast"/>
                <w:jc w:val="center"/>
              </w:trPr>
              <w:tc>
                <w:tcPr>
                  <w:tcW w:w="429" w:type="pct"/>
                  <w:tcBorders>
                    <w:tl2br w:val="nil"/>
                    <w:tr2bl w:val="nil"/>
                  </w:tcBorders>
                  <w:noWrap w:val="0"/>
                  <w:vAlign w:val="center"/>
                </w:tcPr>
                <w:p>
                  <w:pPr>
                    <w:jc w:val="center"/>
                    <w:rPr>
                      <w:b/>
                      <w:color w:val="auto"/>
                      <w:sz w:val="21"/>
                      <w:szCs w:val="21"/>
                      <w:highlight w:val="none"/>
                    </w:rPr>
                  </w:pPr>
                  <w:r>
                    <w:rPr>
                      <w:b/>
                      <w:color w:val="auto"/>
                      <w:sz w:val="21"/>
                      <w:szCs w:val="21"/>
                      <w:highlight w:val="none"/>
                    </w:rPr>
                    <w:t>序号</w:t>
                  </w:r>
                </w:p>
              </w:tc>
              <w:tc>
                <w:tcPr>
                  <w:tcW w:w="857" w:type="pct"/>
                  <w:tcBorders>
                    <w:tl2br w:val="nil"/>
                    <w:tr2bl w:val="nil"/>
                  </w:tcBorders>
                  <w:noWrap w:val="0"/>
                  <w:vAlign w:val="center"/>
                </w:tcPr>
                <w:p>
                  <w:pPr>
                    <w:jc w:val="center"/>
                    <w:rPr>
                      <w:rFonts w:hint="eastAsia" w:eastAsia="宋体"/>
                      <w:b/>
                      <w:color w:val="auto"/>
                      <w:sz w:val="21"/>
                      <w:szCs w:val="21"/>
                      <w:highlight w:val="none"/>
                      <w:lang w:eastAsia="zh-CN"/>
                    </w:rPr>
                  </w:pPr>
                  <w:r>
                    <w:rPr>
                      <w:rFonts w:hint="eastAsia"/>
                      <w:b/>
                      <w:color w:val="auto"/>
                      <w:sz w:val="21"/>
                      <w:szCs w:val="21"/>
                      <w:highlight w:val="none"/>
                      <w:lang w:eastAsia="zh-CN"/>
                    </w:rPr>
                    <w:t>污染种类</w:t>
                  </w:r>
                </w:p>
              </w:tc>
              <w:tc>
                <w:tcPr>
                  <w:tcW w:w="2680" w:type="pct"/>
                  <w:tcBorders>
                    <w:tl2br w:val="nil"/>
                    <w:tr2bl w:val="nil"/>
                  </w:tcBorders>
                  <w:noWrap w:val="0"/>
                  <w:vAlign w:val="center"/>
                </w:tcPr>
                <w:p>
                  <w:pPr>
                    <w:jc w:val="center"/>
                    <w:rPr>
                      <w:rFonts w:hint="eastAsia" w:eastAsia="宋体"/>
                      <w:b/>
                      <w:color w:val="auto"/>
                      <w:sz w:val="21"/>
                      <w:szCs w:val="21"/>
                      <w:highlight w:val="none"/>
                      <w:lang w:eastAsia="zh-CN"/>
                    </w:rPr>
                  </w:pPr>
                  <w:r>
                    <w:rPr>
                      <w:rFonts w:hint="eastAsia"/>
                      <w:b/>
                      <w:color w:val="auto"/>
                      <w:sz w:val="21"/>
                      <w:szCs w:val="21"/>
                      <w:highlight w:val="none"/>
                      <w:lang w:eastAsia="zh-CN"/>
                    </w:rPr>
                    <w:t>防治设施</w:t>
                  </w:r>
                </w:p>
              </w:tc>
              <w:tc>
                <w:tcPr>
                  <w:tcW w:w="1033" w:type="pct"/>
                  <w:tcBorders>
                    <w:tl2br w:val="nil"/>
                    <w:tr2bl w:val="nil"/>
                  </w:tcBorders>
                  <w:noWrap w:val="0"/>
                  <w:vAlign w:val="center"/>
                </w:tcPr>
                <w:p>
                  <w:pPr>
                    <w:jc w:val="center"/>
                    <w:rPr>
                      <w:b/>
                      <w:color w:val="auto"/>
                      <w:sz w:val="21"/>
                      <w:szCs w:val="21"/>
                      <w:highlight w:val="none"/>
                    </w:rPr>
                  </w:pPr>
                  <w:r>
                    <w:rPr>
                      <w:b/>
                      <w:color w:val="auto"/>
                      <w:sz w:val="21"/>
                      <w:szCs w:val="21"/>
                      <w:highlight w:val="none"/>
                    </w:rPr>
                    <w:t>投资（万元）</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6" w:space="0"/>
                </w:tblBorders>
                <w:tblCellMar>
                  <w:top w:w="0" w:type="dxa"/>
                  <w:left w:w="108" w:type="dxa"/>
                  <w:bottom w:w="0" w:type="dxa"/>
                  <w:right w:w="108" w:type="dxa"/>
                </w:tblCellMar>
              </w:tblPrEx>
              <w:trPr>
                <w:cantSplit/>
                <w:trHeight w:val="462" w:hRule="atLeast"/>
                <w:jc w:val="center"/>
              </w:trPr>
              <w:tc>
                <w:tcPr>
                  <w:tcW w:w="429" w:type="pct"/>
                  <w:vMerge w:val="restart"/>
                  <w:tcBorders>
                    <w:tl2br w:val="nil"/>
                    <w:tr2bl w:val="nil"/>
                  </w:tcBorders>
                  <w:noWrap w:val="0"/>
                  <w:vAlign w:val="center"/>
                </w:tcPr>
                <w:p>
                  <w:pPr>
                    <w:jc w:val="center"/>
                    <w:rPr>
                      <w:color w:val="auto"/>
                      <w:sz w:val="21"/>
                      <w:szCs w:val="21"/>
                      <w:highlight w:val="none"/>
                    </w:rPr>
                  </w:pPr>
                  <w:r>
                    <w:rPr>
                      <w:color w:val="auto"/>
                      <w:sz w:val="21"/>
                      <w:szCs w:val="21"/>
                      <w:highlight w:val="none"/>
                    </w:rPr>
                    <w:t>1</w:t>
                  </w:r>
                </w:p>
              </w:tc>
              <w:tc>
                <w:tcPr>
                  <w:tcW w:w="857" w:type="pct"/>
                  <w:vMerge w:val="restart"/>
                  <w:tcBorders>
                    <w:tl2br w:val="nil"/>
                    <w:tr2bl w:val="nil"/>
                  </w:tcBorders>
                  <w:noWrap w:val="0"/>
                  <w:vAlign w:val="center"/>
                </w:tcPr>
                <w:p>
                  <w:pPr>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废气</w:t>
                  </w:r>
                </w:p>
              </w:tc>
              <w:tc>
                <w:tcPr>
                  <w:tcW w:w="2680" w:type="pct"/>
                  <w:tcBorders>
                    <w:tl2br w:val="nil"/>
                    <w:tr2bl w:val="nil"/>
                  </w:tcBorders>
                  <w:noWrap w:val="0"/>
                  <w:vAlign w:val="center"/>
                </w:tcPr>
                <w:p>
                  <w:pPr>
                    <w:jc w:val="center"/>
                    <w:rPr>
                      <w:rFonts w:hint="default"/>
                      <w:color w:val="auto"/>
                      <w:kern w:val="2"/>
                      <w:sz w:val="21"/>
                      <w:szCs w:val="21"/>
                      <w:highlight w:val="none"/>
                      <w:lang w:val="en-US" w:eastAsia="zh-CN" w:bidi="ar-SA"/>
                    </w:rPr>
                  </w:pPr>
                  <w:r>
                    <w:rPr>
                      <w:rFonts w:hint="eastAsia"/>
                      <w:color w:val="auto"/>
                      <w:sz w:val="21"/>
                      <w:szCs w:val="21"/>
                      <w:highlight w:val="none"/>
                      <w:lang w:eastAsia="zh-CN"/>
                    </w:rPr>
                    <w:t>封闭储煤仓库</w:t>
                  </w:r>
                </w:p>
              </w:tc>
              <w:tc>
                <w:tcPr>
                  <w:tcW w:w="1033" w:type="pct"/>
                  <w:tcBorders>
                    <w:tl2br w:val="nil"/>
                    <w:tr2bl w:val="nil"/>
                  </w:tcBorders>
                  <w:noWrap w:val="0"/>
                  <w:vAlign w:val="center"/>
                </w:tcPr>
                <w:p>
                  <w:pPr>
                    <w:jc w:val="center"/>
                    <w:rPr>
                      <w:rFonts w:hint="default" w:eastAsia="宋体"/>
                      <w:color w:val="auto"/>
                      <w:sz w:val="21"/>
                      <w:szCs w:val="21"/>
                      <w:highlight w:val="none"/>
                      <w:lang w:val="en-US" w:eastAsia="zh-CN"/>
                    </w:rPr>
                  </w:pPr>
                  <w:r>
                    <w:rPr>
                      <w:rFonts w:hint="eastAsia"/>
                      <w:bCs w:val="0"/>
                      <w:color w:val="auto"/>
                      <w:kern w:val="2"/>
                      <w:sz w:val="21"/>
                      <w:szCs w:val="21"/>
                      <w:highlight w:val="none"/>
                      <w:lang w:val="en-US" w:eastAsia="zh-CN"/>
                    </w:rPr>
                    <w:t>已计入总投资</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6" w:space="0"/>
                </w:tblBorders>
                <w:tblCellMar>
                  <w:top w:w="0" w:type="dxa"/>
                  <w:left w:w="108" w:type="dxa"/>
                  <w:bottom w:w="0" w:type="dxa"/>
                  <w:right w:w="108" w:type="dxa"/>
                </w:tblCellMar>
              </w:tblPrEx>
              <w:trPr>
                <w:cantSplit/>
                <w:trHeight w:val="462" w:hRule="atLeast"/>
                <w:jc w:val="center"/>
              </w:trPr>
              <w:tc>
                <w:tcPr>
                  <w:tcW w:w="429" w:type="pct"/>
                  <w:vMerge w:val="continue"/>
                  <w:tcBorders>
                    <w:tl2br w:val="nil"/>
                    <w:tr2bl w:val="nil"/>
                  </w:tcBorders>
                  <w:noWrap w:val="0"/>
                  <w:vAlign w:val="center"/>
                </w:tcPr>
                <w:p>
                  <w:pPr>
                    <w:jc w:val="center"/>
                    <w:rPr>
                      <w:color w:val="auto"/>
                      <w:sz w:val="21"/>
                      <w:szCs w:val="21"/>
                      <w:highlight w:val="none"/>
                    </w:rPr>
                  </w:pPr>
                </w:p>
              </w:tc>
              <w:tc>
                <w:tcPr>
                  <w:tcW w:w="857" w:type="pct"/>
                  <w:vMerge w:val="continue"/>
                  <w:tcBorders>
                    <w:tl2br w:val="nil"/>
                    <w:tr2bl w:val="nil"/>
                  </w:tcBorders>
                  <w:noWrap w:val="0"/>
                  <w:vAlign w:val="center"/>
                </w:tcPr>
                <w:p>
                  <w:pPr>
                    <w:jc w:val="center"/>
                    <w:rPr>
                      <w:color w:val="auto"/>
                      <w:sz w:val="21"/>
                      <w:szCs w:val="21"/>
                      <w:highlight w:val="none"/>
                    </w:rPr>
                  </w:pPr>
                </w:p>
              </w:tc>
              <w:tc>
                <w:tcPr>
                  <w:tcW w:w="2680" w:type="pct"/>
                  <w:tcBorders>
                    <w:tl2br w:val="nil"/>
                    <w:tr2bl w:val="nil"/>
                  </w:tcBorders>
                  <w:noWrap w:val="0"/>
                  <w:vAlign w:val="center"/>
                </w:tcPr>
                <w:p>
                  <w:pPr>
                    <w:jc w:val="center"/>
                    <w:rPr>
                      <w:rFonts w:hint="eastAsia"/>
                      <w:color w:val="auto"/>
                      <w:sz w:val="21"/>
                      <w:szCs w:val="21"/>
                      <w:highlight w:val="none"/>
                      <w:lang w:eastAsia="zh-CN"/>
                    </w:rPr>
                  </w:pPr>
                  <w:r>
                    <w:rPr>
                      <w:rFonts w:hint="eastAsia"/>
                      <w:color w:val="auto"/>
                      <w:sz w:val="21"/>
                      <w:szCs w:val="21"/>
                      <w:highlight w:val="none"/>
                      <w:lang w:eastAsia="zh-CN"/>
                    </w:rPr>
                    <w:t>移动雾炮机</w:t>
                  </w:r>
                </w:p>
              </w:tc>
              <w:tc>
                <w:tcPr>
                  <w:tcW w:w="1033" w:type="pct"/>
                  <w:tcBorders>
                    <w:tl2br w:val="nil"/>
                    <w:tr2bl w:val="nil"/>
                  </w:tcBorders>
                  <w:noWrap w:val="0"/>
                  <w:vAlign w:val="center"/>
                </w:tcPr>
                <w:p>
                  <w:pPr>
                    <w:jc w:val="center"/>
                    <w:rPr>
                      <w:rFonts w:hint="default"/>
                      <w:bCs w:val="0"/>
                      <w:color w:val="auto"/>
                      <w:kern w:val="2"/>
                      <w:sz w:val="21"/>
                      <w:szCs w:val="21"/>
                      <w:highlight w:val="none"/>
                      <w:lang w:val="en-US" w:eastAsia="zh-CN"/>
                    </w:rPr>
                  </w:pPr>
                  <w:r>
                    <w:rPr>
                      <w:rFonts w:hint="eastAsia"/>
                      <w:bCs w:val="0"/>
                      <w:color w:val="auto"/>
                      <w:kern w:val="2"/>
                      <w:sz w:val="21"/>
                      <w:szCs w:val="21"/>
                      <w:highlight w:val="none"/>
                      <w:lang w:val="en-US" w:eastAsia="zh-CN"/>
                    </w:rPr>
                    <w:t>32</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6" w:space="0"/>
                </w:tblBorders>
                <w:tblCellMar>
                  <w:top w:w="0" w:type="dxa"/>
                  <w:left w:w="108" w:type="dxa"/>
                  <w:bottom w:w="0" w:type="dxa"/>
                  <w:right w:w="108" w:type="dxa"/>
                </w:tblCellMar>
              </w:tblPrEx>
              <w:trPr>
                <w:cantSplit/>
                <w:trHeight w:val="462" w:hRule="atLeast"/>
                <w:jc w:val="center"/>
              </w:trPr>
              <w:tc>
                <w:tcPr>
                  <w:tcW w:w="429" w:type="pct"/>
                  <w:vMerge w:val="continue"/>
                  <w:tcBorders>
                    <w:tl2br w:val="nil"/>
                    <w:tr2bl w:val="nil"/>
                  </w:tcBorders>
                  <w:noWrap w:val="0"/>
                  <w:vAlign w:val="center"/>
                </w:tcPr>
                <w:p>
                  <w:pPr>
                    <w:jc w:val="center"/>
                    <w:rPr>
                      <w:color w:val="auto"/>
                      <w:sz w:val="21"/>
                      <w:szCs w:val="21"/>
                      <w:highlight w:val="none"/>
                    </w:rPr>
                  </w:pPr>
                </w:p>
              </w:tc>
              <w:tc>
                <w:tcPr>
                  <w:tcW w:w="857" w:type="pct"/>
                  <w:vMerge w:val="continue"/>
                  <w:tcBorders>
                    <w:tl2br w:val="nil"/>
                    <w:tr2bl w:val="nil"/>
                  </w:tcBorders>
                  <w:noWrap w:val="0"/>
                  <w:vAlign w:val="center"/>
                </w:tcPr>
                <w:p>
                  <w:pPr>
                    <w:jc w:val="center"/>
                    <w:rPr>
                      <w:color w:val="auto"/>
                      <w:sz w:val="21"/>
                      <w:szCs w:val="21"/>
                      <w:highlight w:val="none"/>
                    </w:rPr>
                  </w:pPr>
                </w:p>
              </w:tc>
              <w:tc>
                <w:tcPr>
                  <w:tcW w:w="2680" w:type="pct"/>
                  <w:tcBorders>
                    <w:tl2br w:val="nil"/>
                    <w:tr2bl w:val="nil"/>
                  </w:tcBorders>
                  <w:noWrap w:val="0"/>
                  <w:vAlign w:val="center"/>
                </w:tcPr>
                <w:p>
                  <w:pPr>
                    <w:jc w:val="center"/>
                    <w:rPr>
                      <w:rFonts w:hint="default"/>
                      <w:color w:val="auto"/>
                      <w:sz w:val="21"/>
                      <w:szCs w:val="21"/>
                      <w:highlight w:val="none"/>
                      <w:lang w:val="en-US" w:eastAsia="zh-CN"/>
                    </w:rPr>
                  </w:pPr>
                  <w:r>
                    <w:rPr>
                      <w:rFonts w:hint="eastAsia"/>
                      <w:color w:val="auto"/>
                      <w:sz w:val="21"/>
                      <w:szCs w:val="21"/>
                      <w:highlight w:val="none"/>
                      <w:lang w:eastAsia="zh-CN"/>
                    </w:rPr>
                    <w:t>洒水车</w:t>
                  </w:r>
                </w:p>
              </w:tc>
              <w:tc>
                <w:tcPr>
                  <w:tcW w:w="1033" w:type="pct"/>
                  <w:tcBorders>
                    <w:tl2br w:val="nil"/>
                    <w:tr2bl w:val="nil"/>
                  </w:tcBorders>
                  <w:noWrap w:val="0"/>
                  <w:vAlign w:val="center"/>
                </w:tcPr>
                <w:p>
                  <w:pPr>
                    <w:jc w:val="center"/>
                    <w:rPr>
                      <w:rFonts w:hint="default"/>
                      <w:bCs w:val="0"/>
                      <w:color w:val="auto"/>
                      <w:kern w:val="2"/>
                      <w:sz w:val="21"/>
                      <w:szCs w:val="21"/>
                      <w:highlight w:val="none"/>
                      <w:lang w:val="en-US" w:eastAsia="zh-CN"/>
                    </w:rPr>
                  </w:pPr>
                  <w:r>
                    <w:rPr>
                      <w:rFonts w:hint="eastAsia"/>
                      <w:bCs w:val="0"/>
                      <w:color w:val="auto"/>
                      <w:kern w:val="2"/>
                      <w:sz w:val="21"/>
                      <w:szCs w:val="21"/>
                      <w:highlight w:val="none"/>
                      <w:lang w:val="en-US" w:eastAsia="zh-CN"/>
                    </w:rPr>
                    <w:t>15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6" w:space="0"/>
                </w:tblBorders>
                <w:tblCellMar>
                  <w:top w:w="0" w:type="dxa"/>
                  <w:left w:w="108" w:type="dxa"/>
                  <w:bottom w:w="0" w:type="dxa"/>
                  <w:right w:w="108" w:type="dxa"/>
                </w:tblCellMar>
              </w:tblPrEx>
              <w:trPr>
                <w:cantSplit/>
                <w:trHeight w:val="462" w:hRule="atLeast"/>
                <w:jc w:val="center"/>
              </w:trPr>
              <w:tc>
                <w:tcPr>
                  <w:tcW w:w="429" w:type="pct"/>
                  <w:vMerge w:val="continue"/>
                  <w:tcBorders>
                    <w:tl2br w:val="nil"/>
                    <w:tr2bl w:val="nil"/>
                  </w:tcBorders>
                  <w:noWrap w:val="0"/>
                  <w:vAlign w:val="center"/>
                </w:tcPr>
                <w:p>
                  <w:pPr>
                    <w:jc w:val="center"/>
                    <w:rPr>
                      <w:color w:val="auto"/>
                      <w:sz w:val="21"/>
                      <w:szCs w:val="21"/>
                      <w:highlight w:val="none"/>
                    </w:rPr>
                  </w:pPr>
                </w:p>
              </w:tc>
              <w:tc>
                <w:tcPr>
                  <w:tcW w:w="857" w:type="pct"/>
                  <w:vMerge w:val="continue"/>
                  <w:tcBorders>
                    <w:tl2br w:val="nil"/>
                    <w:tr2bl w:val="nil"/>
                  </w:tcBorders>
                  <w:noWrap w:val="0"/>
                  <w:vAlign w:val="center"/>
                </w:tcPr>
                <w:p>
                  <w:pPr>
                    <w:jc w:val="center"/>
                    <w:rPr>
                      <w:color w:val="auto"/>
                      <w:sz w:val="21"/>
                      <w:szCs w:val="21"/>
                      <w:highlight w:val="none"/>
                    </w:rPr>
                  </w:pPr>
                </w:p>
              </w:tc>
              <w:tc>
                <w:tcPr>
                  <w:tcW w:w="2680" w:type="pct"/>
                  <w:tcBorders>
                    <w:tl2br w:val="nil"/>
                    <w:tr2bl w:val="nil"/>
                  </w:tcBorders>
                  <w:noWrap w:val="0"/>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煤堆含水量监测设备</w:t>
                  </w:r>
                </w:p>
              </w:tc>
              <w:tc>
                <w:tcPr>
                  <w:tcW w:w="1033" w:type="pct"/>
                  <w:tcBorders>
                    <w:tl2br w:val="nil"/>
                    <w:tr2bl w:val="nil"/>
                  </w:tcBorders>
                  <w:noWrap w:val="0"/>
                  <w:vAlign w:val="center"/>
                </w:tcPr>
                <w:p>
                  <w:pPr>
                    <w:jc w:val="center"/>
                    <w:rPr>
                      <w:rFonts w:hint="default"/>
                      <w:bCs w:val="0"/>
                      <w:color w:val="auto"/>
                      <w:kern w:val="2"/>
                      <w:sz w:val="21"/>
                      <w:szCs w:val="21"/>
                      <w:highlight w:val="none"/>
                      <w:lang w:val="en-US" w:eastAsia="zh-CN"/>
                    </w:rPr>
                  </w:pPr>
                  <w:r>
                    <w:rPr>
                      <w:rFonts w:hint="eastAsia"/>
                      <w:bCs w:val="0"/>
                      <w:color w:val="auto"/>
                      <w:kern w:val="2"/>
                      <w:sz w:val="21"/>
                      <w:szCs w:val="21"/>
                      <w:highlight w:val="none"/>
                      <w:lang w:val="en-US" w:eastAsia="zh-CN"/>
                    </w:rPr>
                    <w:t>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6" w:space="0"/>
                </w:tblBorders>
                <w:tblCellMar>
                  <w:top w:w="0" w:type="dxa"/>
                  <w:left w:w="108" w:type="dxa"/>
                  <w:bottom w:w="0" w:type="dxa"/>
                  <w:right w:w="108" w:type="dxa"/>
                </w:tblCellMar>
              </w:tblPrEx>
              <w:trPr>
                <w:cantSplit/>
                <w:trHeight w:val="462" w:hRule="atLeast"/>
                <w:jc w:val="center"/>
              </w:trPr>
              <w:tc>
                <w:tcPr>
                  <w:tcW w:w="429" w:type="pct"/>
                  <w:vMerge w:val="restart"/>
                  <w:tcBorders>
                    <w:tl2br w:val="nil"/>
                    <w:tr2bl w:val="nil"/>
                  </w:tcBorders>
                  <w:noWrap w:val="0"/>
                  <w:vAlign w:val="center"/>
                </w:tcPr>
                <w:p>
                  <w:pPr>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2</w:t>
                  </w:r>
                </w:p>
              </w:tc>
              <w:tc>
                <w:tcPr>
                  <w:tcW w:w="857" w:type="pct"/>
                  <w:vMerge w:val="restart"/>
                  <w:tcBorders>
                    <w:tl2br w:val="nil"/>
                    <w:tr2bl w:val="nil"/>
                  </w:tcBorders>
                  <w:noWrap w:val="0"/>
                  <w:vAlign w:val="center"/>
                </w:tcPr>
                <w:p>
                  <w:pPr>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废水</w:t>
                  </w:r>
                </w:p>
              </w:tc>
              <w:tc>
                <w:tcPr>
                  <w:tcW w:w="2680" w:type="pct"/>
                  <w:tcBorders>
                    <w:tl2br w:val="nil"/>
                    <w:tr2bl w:val="nil"/>
                  </w:tcBorders>
                  <w:noWrap w:val="0"/>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生产废水处理系统</w:t>
                  </w:r>
                </w:p>
                <w:p>
                  <w:pPr>
                    <w:jc w:val="center"/>
                    <w:rPr>
                      <w:rFonts w:hint="default"/>
                      <w:color w:val="auto"/>
                      <w:sz w:val="21"/>
                      <w:szCs w:val="21"/>
                      <w:highlight w:val="none"/>
                      <w:lang w:val="en-US" w:eastAsia="zh-CN"/>
                    </w:rPr>
                  </w:pPr>
                  <w:r>
                    <w:rPr>
                      <w:rFonts w:hint="eastAsia"/>
                      <w:color w:val="auto"/>
                      <w:sz w:val="21"/>
                      <w:szCs w:val="21"/>
                      <w:highlight w:val="none"/>
                      <w:lang w:val="en-US" w:eastAsia="zh-CN"/>
                    </w:rPr>
                    <w:t>（包括二级沉淀池、回用水池、泵和管路等）</w:t>
                  </w:r>
                </w:p>
              </w:tc>
              <w:tc>
                <w:tcPr>
                  <w:tcW w:w="1033" w:type="pct"/>
                  <w:tcBorders>
                    <w:tl2br w:val="nil"/>
                    <w:tr2bl w:val="nil"/>
                  </w:tcBorders>
                  <w:noWrap w:val="0"/>
                  <w:vAlign w:val="center"/>
                </w:tcPr>
                <w:p>
                  <w:pPr>
                    <w:jc w:val="center"/>
                    <w:rPr>
                      <w:rFonts w:hint="default"/>
                      <w:bCs w:val="0"/>
                      <w:color w:val="auto"/>
                      <w:kern w:val="2"/>
                      <w:sz w:val="21"/>
                      <w:szCs w:val="21"/>
                      <w:highlight w:val="none"/>
                      <w:lang w:val="en-US" w:eastAsia="zh-CN"/>
                    </w:rPr>
                  </w:pPr>
                  <w:r>
                    <w:rPr>
                      <w:rFonts w:hint="eastAsia"/>
                      <w:bCs w:val="0"/>
                      <w:color w:val="auto"/>
                      <w:kern w:val="2"/>
                      <w:sz w:val="21"/>
                      <w:szCs w:val="21"/>
                      <w:highlight w:val="none"/>
                      <w:lang w:val="en-US" w:eastAsia="zh-CN"/>
                    </w:rPr>
                    <w:t>15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6" w:space="0"/>
                </w:tblBorders>
                <w:tblCellMar>
                  <w:top w:w="0" w:type="dxa"/>
                  <w:left w:w="108" w:type="dxa"/>
                  <w:bottom w:w="0" w:type="dxa"/>
                  <w:right w:w="108" w:type="dxa"/>
                </w:tblCellMar>
              </w:tblPrEx>
              <w:trPr>
                <w:cantSplit/>
                <w:trHeight w:val="462" w:hRule="atLeast"/>
                <w:jc w:val="center"/>
              </w:trPr>
              <w:tc>
                <w:tcPr>
                  <w:tcW w:w="429" w:type="pct"/>
                  <w:vMerge w:val="continue"/>
                  <w:tcBorders>
                    <w:tl2br w:val="nil"/>
                    <w:tr2bl w:val="nil"/>
                  </w:tcBorders>
                  <w:noWrap w:val="0"/>
                  <w:vAlign w:val="center"/>
                </w:tcPr>
                <w:p>
                  <w:pPr>
                    <w:jc w:val="center"/>
                    <w:rPr>
                      <w:rFonts w:hint="eastAsia"/>
                      <w:color w:val="auto"/>
                      <w:sz w:val="21"/>
                      <w:szCs w:val="21"/>
                      <w:highlight w:val="none"/>
                      <w:lang w:val="en-US" w:eastAsia="zh-CN"/>
                    </w:rPr>
                  </w:pPr>
                </w:p>
              </w:tc>
              <w:tc>
                <w:tcPr>
                  <w:tcW w:w="857" w:type="pct"/>
                  <w:vMerge w:val="continue"/>
                  <w:tcBorders>
                    <w:tl2br w:val="nil"/>
                    <w:tr2bl w:val="nil"/>
                  </w:tcBorders>
                  <w:noWrap w:val="0"/>
                  <w:vAlign w:val="center"/>
                </w:tcPr>
                <w:p>
                  <w:pPr>
                    <w:jc w:val="center"/>
                    <w:rPr>
                      <w:rFonts w:hint="eastAsia"/>
                      <w:color w:val="auto"/>
                      <w:sz w:val="21"/>
                      <w:szCs w:val="21"/>
                      <w:highlight w:val="none"/>
                      <w:lang w:val="en-US" w:eastAsia="zh-CN"/>
                    </w:rPr>
                  </w:pPr>
                </w:p>
              </w:tc>
              <w:tc>
                <w:tcPr>
                  <w:tcW w:w="2680" w:type="pct"/>
                  <w:tcBorders>
                    <w:tl2br w:val="nil"/>
                    <w:tr2bl w:val="nil"/>
                  </w:tcBorders>
                  <w:noWrap w:val="0"/>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洗车平台及洗车设备</w:t>
                  </w:r>
                </w:p>
              </w:tc>
              <w:tc>
                <w:tcPr>
                  <w:tcW w:w="1033" w:type="pct"/>
                  <w:tcBorders>
                    <w:tl2br w:val="nil"/>
                    <w:tr2bl w:val="nil"/>
                  </w:tcBorders>
                  <w:noWrap w:val="0"/>
                  <w:vAlign w:val="center"/>
                </w:tcPr>
                <w:p>
                  <w:pPr>
                    <w:jc w:val="center"/>
                    <w:rPr>
                      <w:rFonts w:hint="default"/>
                      <w:bCs w:val="0"/>
                      <w:color w:val="auto"/>
                      <w:kern w:val="2"/>
                      <w:sz w:val="21"/>
                      <w:szCs w:val="21"/>
                      <w:highlight w:val="none"/>
                      <w:lang w:val="en-US" w:eastAsia="zh-CN"/>
                    </w:rPr>
                  </w:pPr>
                  <w:r>
                    <w:rPr>
                      <w:rFonts w:hint="eastAsia"/>
                      <w:bCs w:val="0"/>
                      <w:color w:val="auto"/>
                      <w:kern w:val="2"/>
                      <w:sz w:val="21"/>
                      <w:szCs w:val="21"/>
                      <w:highlight w:val="none"/>
                      <w:lang w:val="en-US" w:eastAsia="zh-CN"/>
                    </w:rPr>
                    <w:t>4</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6" w:space="0"/>
                </w:tblBorders>
                <w:tblCellMar>
                  <w:top w:w="0" w:type="dxa"/>
                  <w:left w:w="108" w:type="dxa"/>
                  <w:bottom w:w="0" w:type="dxa"/>
                  <w:right w:w="108" w:type="dxa"/>
                </w:tblCellMar>
              </w:tblPrEx>
              <w:trPr>
                <w:cantSplit/>
                <w:trHeight w:val="634" w:hRule="atLeast"/>
                <w:jc w:val="center"/>
              </w:trPr>
              <w:tc>
                <w:tcPr>
                  <w:tcW w:w="429" w:type="pct"/>
                  <w:tcBorders>
                    <w:tl2br w:val="nil"/>
                    <w:tr2bl w:val="nil"/>
                  </w:tcBorders>
                  <w:noWrap w:val="0"/>
                  <w:vAlign w:val="center"/>
                </w:tcPr>
                <w:p>
                  <w:pPr>
                    <w:jc w:val="center"/>
                    <w:rPr>
                      <w:color w:val="auto"/>
                      <w:sz w:val="21"/>
                      <w:szCs w:val="21"/>
                      <w:highlight w:val="none"/>
                    </w:rPr>
                  </w:pPr>
                  <w:r>
                    <w:rPr>
                      <w:color w:val="auto"/>
                      <w:sz w:val="21"/>
                      <w:szCs w:val="21"/>
                      <w:highlight w:val="none"/>
                    </w:rPr>
                    <w:t>3</w:t>
                  </w:r>
                </w:p>
              </w:tc>
              <w:tc>
                <w:tcPr>
                  <w:tcW w:w="857" w:type="pct"/>
                  <w:tcBorders>
                    <w:tl2br w:val="nil"/>
                    <w:tr2bl w:val="nil"/>
                  </w:tcBorders>
                  <w:noWrap w:val="0"/>
                  <w:vAlign w:val="center"/>
                </w:tcPr>
                <w:p>
                  <w:pPr>
                    <w:jc w:val="center"/>
                    <w:rPr>
                      <w:color w:val="auto"/>
                      <w:sz w:val="21"/>
                      <w:szCs w:val="21"/>
                      <w:highlight w:val="none"/>
                    </w:rPr>
                  </w:pPr>
                  <w:r>
                    <w:rPr>
                      <w:color w:val="auto"/>
                      <w:sz w:val="21"/>
                      <w:szCs w:val="21"/>
                      <w:highlight w:val="none"/>
                    </w:rPr>
                    <w:t>噪声</w:t>
                  </w:r>
                </w:p>
              </w:tc>
              <w:tc>
                <w:tcPr>
                  <w:tcW w:w="2680" w:type="pct"/>
                  <w:tcBorders>
                    <w:tl2br w:val="nil"/>
                    <w:tr2bl w:val="nil"/>
                  </w:tcBorders>
                  <w:noWrap w:val="0"/>
                  <w:vAlign w:val="center"/>
                </w:tcPr>
                <w:p>
                  <w:pPr>
                    <w:pStyle w:val="9"/>
                    <w:rPr>
                      <w:rFonts w:hint="default" w:eastAsia="宋体"/>
                      <w:bCs w:val="0"/>
                      <w:color w:val="auto"/>
                      <w:kern w:val="2"/>
                      <w:sz w:val="21"/>
                      <w:szCs w:val="21"/>
                      <w:highlight w:val="none"/>
                      <w:lang w:val="en-US" w:eastAsia="zh-CN"/>
                    </w:rPr>
                  </w:pPr>
                  <w:r>
                    <w:rPr>
                      <w:rFonts w:hint="eastAsia"/>
                      <w:color w:val="auto"/>
                      <w:sz w:val="21"/>
                      <w:szCs w:val="21"/>
                      <w:highlight w:val="none"/>
                      <w:lang w:eastAsia="zh-CN"/>
                    </w:rPr>
                    <w:t>封闭储煤仓库</w:t>
                  </w:r>
                </w:p>
              </w:tc>
              <w:tc>
                <w:tcPr>
                  <w:tcW w:w="1033" w:type="pct"/>
                  <w:tcBorders>
                    <w:tl2br w:val="nil"/>
                    <w:tr2bl w:val="nil"/>
                  </w:tcBorders>
                  <w:noWrap w:val="0"/>
                  <w:vAlign w:val="center"/>
                </w:tcPr>
                <w:p>
                  <w:pPr>
                    <w:pStyle w:val="9"/>
                    <w:rPr>
                      <w:rFonts w:hint="default" w:eastAsia="宋体"/>
                      <w:bCs w:val="0"/>
                      <w:color w:val="auto"/>
                      <w:kern w:val="2"/>
                      <w:sz w:val="21"/>
                      <w:szCs w:val="21"/>
                      <w:highlight w:val="none"/>
                      <w:lang w:val="en-US" w:eastAsia="zh-CN"/>
                    </w:rPr>
                  </w:pPr>
                  <w:r>
                    <w:rPr>
                      <w:rFonts w:hint="eastAsia"/>
                      <w:bCs w:val="0"/>
                      <w:color w:val="auto"/>
                      <w:kern w:val="2"/>
                      <w:sz w:val="21"/>
                      <w:szCs w:val="21"/>
                      <w:highlight w:val="none"/>
                      <w:lang w:val="en-US" w:eastAsia="zh-CN"/>
                    </w:rPr>
                    <w:t>已计入总投资</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6" w:space="0"/>
                </w:tblBorders>
                <w:tblCellMar>
                  <w:top w:w="0" w:type="dxa"/>
                  <w:left w:w="108" w:type="dxa"/>
                  <w:bottom w:w="0" w:type="dxa"/>
                  <w:right w:w="108" w:type="dxa"/>
                </w:tblCellMar>
              </w:tblPrEx>
              <w:trPr>
                <w:cantSplit/>
                <w:trHeight w:val="385" w:hRule="atLeast"/>
                <w:jc w:val="center"/>
              </w:trPr>
              <w:tc>
                <w:tcPr>
                  <w:tcW w:w="429" w:type="pct"/>
                  <w:tcBorders>
                    <w:tl2br w:val="nil"/>
                    <w:tr2bl w:val="nil"/>
                  </w:tcBorders>
                  <w:noWrap w:val="0"/>
                  <w:vAlign w:val="center"/>
                </w:tcPr>
                <w:p>
                  <w:pPr>
                    <w:jc w:val="center"/>
                    <w:rPr>
                      <w:color w:val="auto"/>
                      <w:sz w:val="21"/>
                      <w:szCs w:val="21"/>
                      <w:highlight w:val="none"/>
                    </w:rPr>
                  </w:pPr>
                  <w:r>
                    <w:rPr>
                      <w:color w:val="auto"/>
                      <w:sz w:val="21"/>
                      <w:szCs w:val="21"/>
                      <w:highlight w:val="none"/>
                    </w:rPr>
                    <w:t>4</w:t>
                  </w:r>
                </w:p>
              </w:tc>
              <w:tc>
                <w:tcPr>
                  <w:tcW w:w="857" w:type="pct"/>
                  <w:tcBorders>
                    <w:tl2br w:val="nil"/>
                    <w:tr2bl w:val="nil"/>
                  </w:tcBorders>
                  <w:noWrap w:val="0"/>
                  <w:vAlign w:val="center"/>
                </w:tcPr>
                <w:p>
                  <w:pPr>
                    <w:jc w:val="center"/>
                    <w:rPr>
                      <w:color w:val="auto"/>
                      <w:sz w:val="21"/>
                      <w:szCs w:val="21"/>
                      <w:highlight w:val="none"/>
                    </w:rPr>
                  </w:pPr>
                  <w:r>
                    <w:rPr>
                      <w:color w:val="auto"/>
                      <w:sz w:val="21"/>
                      <w:szCs w:val="21"/>
                      <w:highlight w:val="none"/>
                    </w:rPr>
                    <w:t>固体废物</w:t>
                  </w:r>
                </w:p>
              </w:tc>
              <w:tc>
                <w:tcPr>
                  <w:tcW w:w="2680" w:type="pct"/>
                  <w:tcBorders>
                    <w:tl2br w:val="nil"/>
                    <w:tr2bl w:val="nil"/>
                  </w:tcBorders>
                  <w:noWrap w:val="0"/>
                  <w:vAlign w:val="center"/>
                </w:tcPr>
                <w:p>
                  <w:pPr>
                    <w:jc w:val="center"/>
                    <w:rPr>
                      <w:rFonts w:hint="eastAsia" w:eastAsia="宋体"/>
                      <w:bCs/>
                      <w:color w:val="auto"/>
                      <w:sz w:val="21"/>
                      <w:szCs w:val="21"/>
                      <w:highlight w:val="none"/>
                      <w:lang w:eastAsia="zh-CN"/>
                    </w:rPr>
                  </w:pPr>
                  <w:r>
                    <w:rPr>
                      <w:rFonts w:hint="eastAsia"/>
                      <w:bCs/>
                      <w:color w:val="auto"/>
                      <w:sz w:val="21"/>
                      <w:szCs w:val="21"/>
                      <w:highlight w:val="none"/>
                      <w:lang w:eastAsia="zh-CN"/>
                    </w:rPr>
                    <w:t>垃圾箱</w:t>
                  </w:r>
                </w:p>
              </w:tc>
              <w:tc>
                <w:tcPr>
                  <w:tcW w:w="1033" w:type="pct"/>
                  <w:tcBorders>
                    <w:tl2br w:val="nil"/>
                    <w:tr2bl w:val="nil"/>
                  </w:tcBorders>
                  <w:noWrap w:val="0"/>
                  <w:vAlign w:val="center"/>
                </w:tcPr>
                <w:p>
                  <w:pPr>
                    <w:pStyle w:val="9"/>
                    <w:rPr>
                      <w:rFonts w:hint="default" w:eastAsia="宋体"/>
                      <w:bCs w:val="0"/>
                      <w:color w:val="auto"/>
                      <w:kern w:val="2"/>
                      <w:sz w:val="21"/>
                      <w:szCs w:val="21"/>
                      <w:highlight w:val="none"/>
                      <w:lang w:val="en-US" w:eastAsia="zh-CN"/>
                    </w:rPr>
                  </w:pPr>
                  <w:r>
                    <w:rPr>
                      <w:rFonts w:hint="eastAsia" w:ascii="Times New Roman" w:hAnsi="Times New Roman" w:eastAsia="宋体" w:cs="Times New Roman"/>
                      <w:bCs w:val="0"/>
                      <w:color w:val="auto"/>
                      <w:kern w:val="2"/>
                      <w:sz w:val="21"/>
                      <w:szCs w:val="21"/>
                      <w:highlight w:val="none"/>
                      <w:lang w:val="en-US" w:eastAsia="zh-CN"/>
                    </w:rPr>
                    <w:t>0.1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6" w:space="0"/>
                </w:tblBorders>
                <w:tblCellMar>
                  <w:top w:w="0" w:type="dxa"/>
                  <w:left w:w="108" w:type="dxa"/>
                  <w:bottom w:w="0" w:type="dxa"/>
                  <w:right w:w="108" w:type="dxa"/>
                </w:tblCellMar>
              </w:tblPrEx>
              <w:trPr>
                <w:cantSplit/>
                <w:trHeight w:val="634" w:hRule="atLeast"/>
                <w:jc w:val="center"/>
              </w:trPr>
              <w:tc>
                <w:tcPr>
                  <w:tcW w:w="429" w:type="pct"/>
                  <w:tcBorders>
                    <w:tl2br w:val="nil"/>
                    <w:tr2bl w:val="nil"/>
                  </w:tcBorders>
                  <w:noWrap w:val="0"/>
                  <w:vAlign w:val="center"/>
                </w:tcPr>
                <w:p>
                  <w:pPr>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5</w:t>
                  </w:r>
                </w:p>
              </w:tc>
              <w:tc>
                <w:tcPr>
                  <w:tcW w:w="857" w:type="pct"/>
                  <w:tcBorders>
                    <w:tl2br w:val="nil"/>
                    <w:tr2bl w:val="nil"/>
                  </w:tcBorders>
                  <w:noWrap w:val="0"/>
                  <w:vAlign w:val="center"/>
                </w:tcPr>
                <w:p>
                  <w:pPr>
                    <w:adjustRightInd w:val="0"/>
                    <w:snapToGrid w:val="0"/>
                    <w:spacing w:line="240" w:lineRule="auto"/>
                    <w:jc w:val="center"/>
                    <w:textAlignment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地下水</w:t>
                  </w:r>
                </w:p>
                <w:p>
                  <w:pPr>
                    <w:adjustRightInd w:val="0"/>
                    <w:snapToGrid w:val="0"/>
                    <w:spacing w:line="240" w:lineRule="auto"/>
                    <w:jc w:val="center"/>
                    <w:textAlignment w:val="center"/>
                    <w:rPr>
                      <w:color w:val="auto"/>
                      <w:sz w:val="21"/>
                      <w:szCs w:val="21"/>
                      <w:highlight w:val="none"/>
                    </w:rPr>
                  </w:pPr>
                  <w:r>
                    <w:rPr>
                      <w:rFonts w:hint="eastAsia" w:cs="Times New Roman"/>
                      <w:color w:val="auto"/>
                      <w:sz w:val="21"/>
                      <w:szCs w:val="21"/>
                      <w:highlight w:val="none"/>
                      <w:lang w:eastAsia="zh-CN"/>
                    </w:rPr>
                    <w:t>和土壤</w:t>
                  </w:r>
                </w:p>
              </w:tc>
              <w:tc>
                <w:tcPr>
                  <w:tcW w:w="2680" w:type="pct"/>
                  <w:tcBorders>
                    <w:tl2br w:val="nil"/>
                    <w:tr2bl w:val="nil"/>
                  </w:tcBorders>
                  <w:noWrap w:val="0"/>
                  <w:vAlign w:val="center"/>
                </w:tcPr>
                <w:p>
                  <w:pPr>
                    <w:adjustRightInd w:val="0"/>
                    <w:snapToGrid w:val="0"/>
                    <w:spacing w:line="240" w:lineRule="auto"/>
                    <w:jc w:val="center"/>
                    <w:textAlignment w:val="center"/>
                    <w:rPr>
                      <w:rFonts w:hint="default"/>
                      <w:bCs/>
                      <w:color w:val="auto"/>
                      <w:sz w:val="21"/>
                      <w:szCs w:val="21"/>
                      <w:highlight w:val="none"/>
                      <w:lang w:val="en-US" w:eastAsia="zh-CN"/>
                    </w:rPr>
                  </w:pPr>
                  <w:r>
                    <w:rPr>
                      <w:rFonts w:hint="default" w:cs="Times New Roman"/>
                      <w:color w:val="auto"/>
                      <w:sz w:val="21"/>
                      <w:szCs w:val="21"/>
                      <w:highlight w:val="none"/>
                      <w:lang w:val="en-US" w:eastAsia="zh-CN"/>
                    </w:rPr>
                    <w:t>地下水池</w:t>
                  </w:r>
                  <w:r>
                    <w:rPr>
                      <w:rFonts w:hint="default" w:ascii="Times New Roman" w:hAnsi="Times New Roman" w:cs="Times New Roman"/>
                      <w:color w:val="auto"/>
                      <w:sz w:val="21"/>
                      <w:szCs w:val="21"/>
                      <w:highlight w:val="none"/>
                      <w:lang w:val="en-US" w:eastAsia="zh-CN"/>
                    </w:rPr>
                    <w:t>防渗</w:t>
                  </w:r>
                </w:p>
              </w:tc>
              <w:tc>
                <w:tcPr>
                  <w:tcW w:w="1033" w:type="pct"/>
                  <w:tcBorders>
                    <w:tl2br w:val="nil"/>
                    <w:tr2bl w:val="nil"/>
                  </w:tcBorders>
                  <w:noWrap w:val="0"/>
                  <w:vAlign w:val="center"/>
                </w:tcPr>
                <w:p>
                  <w:pPr>
                    <w:pStyle w:val="9"/>
                    <w:spacing w:line="240" w:lineRule="auto"/>
                    <w:rPr>
                      <w:rFonts w:hint="default" w:ascii="Times New Roman" w:hAnsi="Times New Roman" w:eastAsia="宋体" w:cs="Times New Roman"/>
                      <w:bCs w:val="0"/>
                      <w:color w:val="auto"/>
                      <w:kern w:val="2"/>
                      <w:sz w:val="21"/>
                      <w:szCs w:val="21"/>
                      <w:highlight w:val="none"/>
                      <w:lang w:val="en-US" w:eastAsia="zh-CN"/>
                    </w:rPr>
                  </w:pPr>
                  <w:r>
                    <w:rPr>
                      <w:rFonts w:hint="eastAsia" w:cs="Times New Roman"/>
                      <w:bCs w:val="0"/>
                      <w:color w:val="auto"/>
                      <w:kern w:val="2"/>
                      <w:sz w:val="21"/>
                      <w:szCs w:val="21"/>
                      <w:highlight w:val="none"/>
                      <w:lang w:val="en-US" w:eastAsia="zh-CN"/>
                    </w:rPr>
                    <w:t>4</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6" w:space="0"/>
                </w:tblBorders>
                <w:tblCellMar>
                  <w:top w:w="0" w:type="dxa"/>
                  <w:left w:w="108" w:type="dxa"/>
                  <w:bottom w:w="0" w:type="dxa"/>
                  <w:right w:w="108" w:type="dxa"/>
                </w:tblCellMar>
              </w:tblPrEx>
              <w:trPr>
                <w:cantSplit/>
                <w:trHeight w:val="256" w:hRule="atLeast"/>
                <w:jc w:val="center"/>
              </w:trPr>
              <w:tc>
                <w:tcPr>
                  <w:tcW w:w="3966" w:type="pct"/>
                  <w:gridSpan w:val="3"/>
                  <w:tcBorders>
                    <w:tl2br w:val="nil"/>
                    <w:tr2bl w:val="nil"/>
                  </w:tcBorders>
                  <w:noWrap w:val="0"/>
                  <w:vAlign w:val="center"/>
                </w:tcPr>
                <w:p>
                  <w:pPr>
                    <w:pStyle w:val="9"/>
                    <w:rPr>
                      <w:color w:val="auto"/>
                      <w:sz w:val="21"/>
                      <w:szCs w:val="21"/>
                      <w:highlight w:val="none"/>
                    </w:rPr>
                  </w:pPr>
                  <w:r>
                    <w:rPr>
                      <w:color w:val="auto"/>
                      <w:sz w:val="21"/>
                      <w:szCs w:val="21"/>
                      <w:highlight w:val="none"/>
                    </w:rPr>
                    <w:t>合计</w:t>
                  </w:r>
                </w:p>
              </w:tc>
              <w:tc>
                <w:tcPr>
                  <w:tcW w:w="1033" w:type="pct"/>
                  <w:tcBorders>
                    <w:tl2br w:val="nil"/>
                    <w:tr2bl w:val="nil"/>
                  </w:tcBorders>
                  <w:noWrap w:val="0"/>
                  <w:vAlign w:val="center"/>
                </w:tcPr>
                <w:p>
                  <w:pPr>
                    <w:pStyle w:val="9"/>
                    <w:rPr>
                      <w:rFonts w:hint="default" w:eastAsia="宋体"/>
                      <w:bCs w:val="0"/>
                      <w:color w:val="auto"/>
                      <w:kern w:val="2"/>
                      <w:sz w:val="21"/>
                      <w:szCs w:val="21"/>
                      <w:highlight w:val="none"/>
                      <w:lang w:val="en-US" w:eastAsia="zh-CN"/>
                    </w:rPr>
                  </w:pPr>
                  <w:r>
                    <w:rPr>
                      <w:rFonts w:hint="eastAsia"/>
                      <w:bCs w:val="0"/>
                      <w:color w:val="auto"/>
                      <w:kern w:val="2"/>
                      <w:sz w:val="21"/>
                      <w:szCs w:val="21"/>
                      <w:highlight w:val="none"/>
                      <w:lang w:val="en-US" w:eastAsia="zh-CN"/>
                    </w:rPr>
                    <w:t>75.1</w:t>
                  </w:r>
                </w:p>
              </w:tc>
            </w:tr>
          </w:tbl>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0" w:leftChars="0" w:firstLine="480" w:firstLineChars="200"/>
              <w:textAlignment w:val="auto"/>
              <w:rPr>
                <w:rFonts w:hint="eastAsia"/>
                <w:color w:val="auto"/>
                <w:highlight w:val="none"/>
                <w:lang w:eastAsia="zh-CN"/>
              </w:rPr>
            </w:pPr>
            <w:r>
              <w:rPr>
                <w:rFonts w:hint="eastAsia" w:ascii="Times New Roman" w:hAnsi="Times New Roman" w:eastAsia="宋体" w:cs="Times New Roman"/>
                <w:color w:val="auto"/>
                <w:kern w:val="2"/>
                <w:sz w:val="24"/>
                <w:szCs w:val="24"/>
                <w:highlight w:val="none"/>
                <w:lang w:val="en-US" w:eastAsia="zh-CN" w:bidi="ar-SA"/>
              </w:rPr>
              <w:t>八、</w:t>
            </w:r>
            <w:r>
              <w:rPr>
                <w:rFonts w:hint="eastAsia"/>
                <w:color w:val="auto"/>
                <w:highlight w:val="none"/>
                <w:lang w:eastAsia="zh-CN"/>
              </w:rPr>
              <w:t>环保设施“三同时”验收</w:t>
            </w:r>
          </w:p>
          <w:p>
            <w:pPr>
              <w:numPr>
                <w:ilvl w:val="0"/>
                <w:numId w:val="0"/>
              </w:numPr>
              <w:spacing w:line="360" w:lineRule="auto"/>
              <w:ind w:leftChars="200"/>
              <w:rPr>
                <w:rFonts w:hint="eastAsia"/>
                <w:sz w:val="24"/>
                <w:szCs w:val="24"/>
                <w:highlight w:val="none"/>
                <w:lang w:val="en-US" w:eastAsia="zh-CN"/>
              </w:rPr>
            </w:pPr>
            <w:r>
              <w:rPr>
                <w:rFonts w:hint="eastAsia"/>
                <w:sz w:val="24"/>
                <w:szCs w:val="24"/>
                <w:highlight w:val="none"/>
                <w:lang w:eastAsia="zh-CN"/>
              </w:rPr>
              <w:t>本项目“三同时”项目验收内容详见表</w:t>
            </w:r>
            <w:r>
              <w:rPr>
                <w:rFonts w:hint="eastAsia"/>
                <w:sz w:val="24"/>
                <w:szCs w:val="24"/>
                <w:highlight w:val="none"/>
                <w:lang w:val="en-US" w:eastAsia="zh-CN"/>
              </w:rPr>
              <w:t>4-16。</w:t>
            </w: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表4-</w:t>
            </w:r>
            <w:r>
              <w:rPr>
                <w:rFonts w:hint="eastAsia" w:cs="Times New Roman"/>
                <w:b/>
                <w:bCs/>
                <w:sz w:val="21"/>
                <w:szCs w:val="21"/>
                <w:highlight w:val="none"/>
                <w:lang w:val="en-US" w:eastAsia="zh-CN"/>
              </w:rPr>
              <w:t>16</w:t>
            </w:r>
            <w:r>
              <w:rPr>
                <w:rFonts w:hint="eastAsia" w:ascii="Times New Roman" w:hAnsi="Times New Roman" w:eastAsia="宋体" w:cs="Times New Roman"/>
                <w:b/>
                <w:bCs/>
                <w:sz w:val="21"/>
                <w:szCs w:val="21"/>
                <w:highlight w:val="none"/>
                <w:lang w:val="en-US" w:eastAsia="zh-CN"/>
              </w:rPr>
              <w:t xml:space="preserve"> </w:t>
            </w:r>
            <w:r>
              <w:rPr>
                <w:rFonts w:hint="eastAsia" w:cs="Times New Roman"/>
                <w:b/>
                <w:bCs/>
                <w:sz w:val="21"/>
                <w:szCs w:val="21"/>
                <w:highlight w:val="none"/>
                <w:lang w:val="en-US" w:eastAsia="zh-CN"/>
              </w:rPr>
              <w:t>本项目“三同时”验收一览</w:t>
            </w:r>
            <w:r>
              <w:rPr>
                <w:rFonts w:hint="eastAsia" w:ascii="Times New Roman" w:hAnsi="Times New Roman" w:eastAsia="宋体" w:cs="Times New Roman"/>
                <w:b/>
                <w:bCs/>
                <w:sz w:val="21"/>
                <w:szCs w:val="21"/>
                <w:highlight w:val="none"/>
                <w:lang w:val="en-US" w:eastAsia="zh-CN"/>
              </w:rPr>
              <w:t>表</w:t>
            </w:r>
          </w:p>
          <w:tbl>
            <w:tblPr>
              <w:tblStyle w:val="22"/>
              <w:tblW w:w="4995"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34"/>
              <w:gridCol w:w="755"/>
              <w:gridCol w:w="1067"/>
              <w:gridCol w:w="1549"/>
              <w:gridCol w:w="1020"/>
              <w:gridCol w:w="1803"/>
              <w:gridCol w:w="1038"/>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bCs/>
                      <w:sz w:val="21"/>
                      <w:szCs w:val="21"/>
                      <w:highlight w:val="none"/>
                      <w:vertAlign w:val="baseline"/>
                      <w:lang w:val="en-US" w:eastAsia="zh-CN"/>
                    </w:rPr>
                  </w:pPr>
                  <w:r>
                    <w:rPr>
                      <w:rFonts w:hint="eastAsia" w:cs="Times New Roman"/>
                      <w:b/>
                      <w:bCs/>
                      <w:sz w:val="21"/>
                      <w:szCs w:val="21"/>
                      <w:highlight w:val="none"/>
                      <w:vertAlign w:val="baseline"/>
                      <w:lang w:val="en-US" w:eastAsia="zh-CN"/>
                    </w:rPr>
                    <w:t>类型</w:t>
                  </w:r>
                </w:p>
              </w:tc>
              <w:tc>
                <w:tcPr>
                  <w:tcW w:w="4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bCs/>
                      <w:sz w:val="21"/>
                      <w:szCs w:val="21"/>
                      <w:highlight w:val="none"/>
                      <w:vertAlign w:val="baseline"/>
                      <w:lang w:val="en-US" w:eastAsia="zh-CN"/>
                    </w:rPr>
                  </w:pPr>
                  <w:r>
                    <w:rPr>
                      <w:rFonts w:hint="eastAsia" w:cs="Times New Roman"/>
                      <w:b/>
                      <w:bCs/>
                      <w:sz w:val="21"/>
                      <w:szCs w:val="21"/>
                      <w:highlight w:val="none"/>
                      <w:vertAlign w:val="baseline"/>
                      <w:lang w:val="en-US" w:eastAsia="zh-CN"/>
                    </w:rPr>
                    <w:t>污染源</w:t>
                  </w:r>
                </w:p>
              </w:tc>
              <w:tc>
                <w:tcPr>
                  <w:tcW w:w="65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bCs/>
                      <w:sz w:val="21"/>
                      <w:szCs w:val="21"/>
                      <w:highlight w:val="none"/>
                      <w:vertAlign w:val="baseline"/>
                      <w:lang w:val="en-US" w:eastAsia="zh-CN"/>
                    </w:rPr>
                  </w:pPr>
                  <w:r>
                    <w:rPr>
                      <w:rFonts w:hint="eastAsia" w:cs="Times New Roman"/>
                      <w:b/>
                      <w:bCs/>
                      <w:sz w:val="21"/>
                      <w:szCs w:val="21"/>
                      <w:highlight w:val="none"/>
                      <w:vertAlign w:val="baseline"/>
                      <w:lang w:val="en-US" w:eastAsia="zh-CN"/>
                    </w:rPr>
                    <w:t>污染因子</w:t>
                  </w:r>
                </w:p>
              </w:tc>
              <w:tc>
                <w:tcPr>
                  <w:tcW w:w="8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bCs/>
                      <w:sz w:val="21"/>
                      <w:szCs w:val="21"/>
                      <w:highlight w:val="none"/>
                      <w:vertAlign w:val="baseline"/>
                      <w:lang w:val="en-US" w:eastAsia="zh-CN"/>
                    </w:rPr>
                  </w:pPr>
                  <w:r>
                    <w:rPr>
                      <w:rFonts w:hint="eastAsia" w:cs="Times New Roman"/>
                      <w:b/>
                      <w:bCs/>
                      <w:sz w:val="21"/>
                      <w:szCs w:val="21"/>
                      <w:highlight w:val="none"/>
                      <w:vertAlign w:val="baseline"/>
                      <w:lang w:val="en-US" w:eastAsia="zh-CN"/>
                    </w:rPr>
                    <w:t>防治措施</w:t>
                  </w:r>
                </w:p>
              </w:tc>
              <w:tc>
                <w:tcPr>
                  <w:tcW w:w="6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bCs/>
                      <w:sz w:val="21"/>
                      <w:szCs w:val="21"/>
                      <w:highlight w:val="none"/>
                      <w:vertAlign w:val="baseline"/>
                      <w:lang w:val="en-US" w:eastAsia="zh-CN"/>
                    </w:rPr>
                  </w:pPr>
                  <w:r>
                    <w:rPr>
                      <w:rFonts w:hint="eastAsia" w:cs="Times New Roman"/>
                      <w:b/>
                      <w:bCs/>
                      <w:sz w:val="21"/>
                      <w:szCs w:val="21"/>
                      <w:highlight w:val="none"/>
                      <w:vertAlign w:val="baseline"/>
                      <w:lang w:val="en-US" w:eastAsia="zh-CN"/>
                    </w:rPr>
                    <w:t>验收内容</w:t>
                  </w:r>
                </w:p>
              </w:tc>
              <w:tc>
                <w:tcPr>
                  <w:tcW w:w="9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bCs/>
                      <w:sz w:val="21"/>
                      <w:szCs w:val="21"/>
                      <w:highlight w:val="none"/>
                      <w:vertAlign w:val="baseline"/>
                      <w:lang w:val="en-US" w:eastAsia="zh-CN"/>
                    </w:rPr>
                  </w:pPr>
                  <w:r>
                    <w:rPr>
                      <w:rFonts w:hint="eastAsia" w:cs="Times New Roman"/>
                      <w:b/>
                      <w:bCs/>
                      <w:sz w:val="21"/>
                      <w:szCs w:val="21"/>
                      <w:highlight w:val="none"/>
                      <w:vertAlign w:val="baseline"/>
                      <w:lang w:val="en-US" w:eastAsia="zh-CN"/>
                    </w:rPr>
                    <w:t>预计效果</w:t>
                  </w:r>
                </w:p>
              </w:tc>
              <w:tc>
                <w:tcPr>
                  <w:tcW w:w="66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bCs/>
                      <w:sz w:val="21"/>
                      <w:szCs w:val="21"/>
                      <w:highlight w:val="none"/>
                      <w:vertAlign w:val="baseline"/>
                      <w:lang w:val="en-US" w:eastAsia="zh-CN"/>
                    </w:rPr>
                  </w:pPr>
                  <w:r>
                    <w:rPr>
                      <w:rFonts w:hint="eastAsia" w:cs="Times New Roman"/>
                      <w:b/>
                      <w:bCs/>
                      <w:sz w:val="21"/>
                      <w:szCs w:val="21"/>
                      <w:highlight w:val="none"/>
                      <w:vertAlign w:val="baseline"/>
                      <w:lang w:val="en-US" w:eastAsia="zh-CN"/>
                    </w:rPr>
                    <w:t>建设进度</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4"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废气治理</w:t>
                  </w:r>
                </w:p>
              </w:tc>
              <w:tc>
                <w:tcPr>
                  <w:tcW w:w="4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运输</w:t>
                  </w:r>
                </w:p>
              </w:tc>
              <w:tc>
                <w:tcPr>
                  <w:tcW w:w="65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TSP</w:t>
                  </w:r>
                </w:p>
              </w:tc>
              <w:tc>
                <w:tcPr>
                  <w:tcW w:w="8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限超限速、道路洒水、及时清扫</w:t>
                  </w:r>
                </w:p>
              </w:tc>
              <w:tc>
                <w:tcPr>
                  <w:tcW w:w="681"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污染防治设施调试、运行情况，排放达标情况</w:t>
                  </w:r>
                </w:p>
              </w:tc>
              <w:tc>
                <w:tcPr>
                  <w:tcW w:w="95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厂界无组织颗粒物满足GB20426-2006中表5限值要求</w:t>
                  </w:r>
                </w:p>
              </w:tc>
              <w:tc>
                <w:tcPr>
                  <w:tcW w:w="666"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与项目</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建设同步</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p>
              </w:tc>
              <w:tc>
                <w:tcPr>
                  <w:tcW w:w="4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装卸、堆存</w:t>
                  </w:r>
                </w:p>
              </w:tc>
              <w:tc>
                <w:tcPr>
                  <w:tcW w:w="65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TSP</w:t>
                  </w:r>
                </w:p>
              </w:tc>
              <w:tc>
                <w:tcPr>
                  <w:tcW w:w="8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封闭式储煤仓库，自卸车装卸均在仓库内，使用移动雾炮机和洒水抑尘设施。火车卸料扬尘用雾炮机</w:t>
                  </w:r>
                  <w:r>
                    <w:rPr>
                      <w:rFonts w:hint="eastAsia" w:cs="Times New Roman"/>
                      <w:color w:val="auto"/>
                      <w:sz w:val="21"/>
                      <w:szCs w:val="21"/>
                      <w:highlight w:val="none"/>
                      <w:lang w:val="en-US" w:eastAsia="zh-CN"/>
                    </w:rPr>
                    <w:t>、</w:t>
                  </w:r>
                  <w:r>
                    <w:rPr>
                      <w:rFonts w:hint="eastAsia"/>
                      <w:color w:val="auto"/>
                      <w:sz w:val="21"/>
                      <w:szCs w:val="21"/>
                      <w:highlight w:val="none"/>
                      <w:lang w:val="en-US" w:eastAsia="zh-CN"/>
                    </w:rPr>
                    <w:t>半封闭卸料口和密闭传送带</w:t>
                  </w:r>
                  <w:r>
                    <w:rPr>
                      <w:rFonts w:hint="eastAsia" w:cs="Times New Roman"/>
                      <w:b w:val="0"/>
                      <w:bCs w:val="0"/>
                      <w:sz w:val="21"/>
                      <w:szCs w:val="21"/>
                      <w:highlight w:val="none"/>
                      <w:vertAlign w:val="baseline"/>
                      <w:lang w:val="en-US" w:eastAsia="zh-CN"/>
                    </w:rPr>
                    <w:t>控制。</w:t>
                  </w:r>
                </w:p>
              </w:tc>
              <w:tc>
                <w:tcPr>
                  <w:tcW w:w="68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p>
              </w:tc>
              <w:tc>
                <w:tcPr>
                  <w:tcW w:w="95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p>
              </w:tc>
              <w:tc>
                <w:tcPr>
                  <w:tcW w:w="666"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664"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废水治理</w:t>
                  </w:r>
                </w:p>
              </w:tc>
              <w:tc>
                <w:tcPr>
                  <w:tcW w:w="4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生活废水</w:t>
                  </w:r>
                </w:p>
              </w:tc>
              <w:tc>
                <w:tcPr>
                  <w:tcW w:w="65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SS、COD</w:t>
                  </w:r>
                  <w:r>
                    <w:rPr>
                      <w:rFonts w:hint="eastAsia" w:cs="Times New Roman"/>
                      <w:b w:val="0"/>
                      <w:bCs w:val="0"/>
                      <w:color w:val="auto"/>
                      <w:sz w:val="21"/>
                      <w:szCs w:val="21"/>
                      <w:highlight w:val="none"/>
                      <w:vertAlign w:val="subscript"/>
                      <w:lang w:val="en-US" w:eastAsia="zh-CN"/>
                    </w:rPr>
                    <w:t>cr</w:t>
                  </w:r>
                  <w:r>
                    <w:rPr>
                      <w:rFonts w:hint="eastAsia" w:cs="Times New Roman"/>
                      <w:b w:val="0"/>
                      <w:bCs w:val="0"/>
                      <w:color w:val="auto"/>
                      <w:sz w:val="21"/>
                      <w:szCs w:val="21"/>
                      <w:highlight w:val="none"/>
                      <w:vertAlign w:val="baseline"/>
                      <w:lang w:val="en-US" w:eastAsia="zh-CN"/>
                    </w:rPr>
                    <w:t>、BOD</w:t>
                  </w:r>
                  <w:r>
                    <w:rPr>
                      <w:rFonts w:hint="eastAsia" w:cs="Times New Roman"/>
                      <w:b w:val="0"/>
                      <w:bCs w:val="0"/>
                      <w:color w:val="auto"/>
                      <w:sz w:val="21"/>
                      <w:szCs w:val="21"/>
                      <w:highlight w:val="none"/>
                      <w:vertAlign w:val="subscript"/>
                      <w:lang w:val="en-US" w:eastAsia="zh-CN"/>
                    </w:rPr>
                    <w:t>5</w:t>
                  </w:r>
                  <w:r>
                    <w:rPr>
                      <w:rFonts w:hint="eastAsia" w:cs="Times New Roman"/>
                      <w:b w:val="0"/>
                      <w:bCs w:val="0"/>
                      <w:color w:val="auto"/>
                      <w:sz w:val="21"/>
                      <w:szCs w:val="21"/>
                      <w:highlight w:val="none"/>
                      <w:vertAlign w:val="baseline"/>
                      <w:lang w:val="en-US" w:eastAsia="zh-CN"/>
                    </w:rPr>
                    <w:t>、NH</w:t>
                  </w:r>
                  <w:r>
                    <w:rPr>
                      <w:rFonts w:hint="eastAsia" w:cs="Times New Roman"/>
                      <w:b w:val="0"/>
                      <w:bCs w:val="0"/>
                      <w:color w:val="auto"/>
                      <w:sz w:val="21"/>
                      <w:szCs w:val="21"/>
                      <w:highlight w:val="none"/>
                      <w:vertAlign w:val="subscript"/>
                      <w:lang w:val="en-US" w:eastAsia="zh-CN"/>
                    </w:rPr>
                    <w:t>3</w:t>
                  </w:r>
                  <w:r>
                    <w:rPr>
                      <w:rFonts w:hint="eastAsia" w:cs="Times New Roman"/>
                      <w:b w:val="0"/>
                      <w:bCs w:val="0"/>
                      <w:color w:val="auto"/>
                      <w:sz w:val="21"/>
                      <w:szCs w:val="21"/>
                      <w:highlight w:val="none"/>
                      <w:vertAlign w:val="baseline"/>
                      <w:lang w:val="en-US" w:eastAsia="zh-CN"/>
                    </w:rPr>
                    <w:t>-N、TP</w:t>
                  </w:r>
                </w:p>
              </w:tc>
              <w:tc>
                <w:tcPr>
                  <w:tcW w:w="8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排入防渗化粪池、定期外委清掏</w:t>
                  </w:r>
                </w:p>
              </w:tc>
              <w:tc>
                <w:tcPr>
                  <w:tcW w:w="681" w:type="pct"/>
                  <w:vMerge w:val="restart"/>
                  <w:tcBorders>
                    <w:tl2br w:val="nil"/>
                    <w:tr2bl w:val="nil"/>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kern w:val="2"/>
                      <w:sz w:val="21"/>
                      <w:szCs w:val="21"/>
                      <w:highlight w:val="none"/>
                      <w:vertAlign w:val="baseline"/>
                      <w:lang w:val="en-US" w:eastAsia="zh-CN" w:bidi="ar-SA"/>
                    </w:rPr>
                  </w:pPr>
                  <w:r>
                    <w:rPr>
                      <w:rFonts w:hint="eastAsia" w:cs="Times New Roman"/>
                      <w:b w:val="0"/>
                      <w:bCs w:val="0"/>
                      <w:sz w:val="21"/>
                      <w:szCs w:val="21"/>
                      <w:highlight w:val="none"/>
                      <w:vertAlign w:val="baseline"/>
                      <w:lang w:val="en-US" w:eastAsia="zh-CN"/>
                    </w:rPr>
                    <w:t>污染防治设施调试、运行情况</w:t>
                  </w:r>
                </w:p>
              </w:tc>
              <w:tc>
                <w:tcPr>
                  <w:tcW w:w="9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w:t>
                  </w:r>
                </w:p>
              </w:tc>
              <w:tc>
                <w:tcPr>
                  <w:tcW w:w="666"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66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s="Times New Roman"/>
                      <w:b w:val="0"/>
                      <w:bCs w:val="0"/>
                      <w:sz w:val="21"/>
                      <w:szCs w:val="21"/>
                      <w:highlight w:val="none"/>
                      <w:vertAlign w:val="baseline"/>
                      <w:lang w:val="en-US" w:eastAsia="zh-CN"/>
                    </w:rPr>
                  </w:pPr>
                </w:p>
              </w:tc>
              <w:tc>
                <w:tcPr>
                  <w:tcW w:w="4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生产废水</w:t>
                  </w:r>
                </w:p>
              </w:tc>
              <w:tc>
                <w:tcPr>
                  <w:tcW w:w="65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SS</w:t>
                  </w:r>
                </w:p>
              </w:tc>
              <w:tc>
                <w:tcPr>
                  <w:tcW w:w="8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沉淀池处理后回用于储煤库内煤堆降尘</w:t>
                  </w:r>
                </w:p>
              </w:tc>
              <w:tc>
                <w:tcPr>
                  <w:tcW w:w="681" w:type="pct"/>
                  <w:vMerge w:val="continue"/>
                  <w:tcBorders>
                    <w:tl2br w:val="nil"/>
                    <w:tr2bl w:val="nil"/>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s="Times New Roman"/>
                      <w:b w:val="0"/>
                      <w:bCs w:val="0"/>
                      <w:sz w:val="21"/>
                      <w:szCs w:val="21"/>
                      <w:highlight w:val="none"/>
                      <w:vertAlign w:val="baseline"/>
                      <w:lang w:val="en-US" w:eastAsia="zh-CN"/>
                    </w:rPr>
                  </w:pPr>
                </w:p>
              </w:tc>
              <w:tc>
                <w:tcPr>
                  <w:tcW w:w="9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生产废水处理后全部回用</w:t>
                  </w:r>
                </w:p>
              </w:tc>
              <w:tc>
                <w:tcPr>
                  <w:tcW w:w="666"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噪声治理</w:t>
                  </w:r>
                </w:p>
              </w:tc>
              <w:tc>
                <w:tcPr>
                  <w:tcW w:w="4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生产设备</w:t>
                  </w:r>
                </w:p>
              </w:tc>
              <w:tc>
                <w:tcPr>
                  <w:tcW w:w="65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噪声</w:t>
                  </w:r>
                </w:p>
              </w:tc>
              <w:tc>
                <w:tcPr>
                  <w:tcW w:w="8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低噪设备、加强维护、厂房隔声</w:t>
                  </w:r>
                </w:p>
              </w:tc>
              <w:tc>
                <w:tcPr>
                  <w:tcW w:w="6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污染防治设施调试、运行情况，排放达标情况</w:t>
                  </w:r>
                </w:p>
              </w:tc>
              <w:tc>
                <w:tcPr>
                  <w:tcW w:w="9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厂界噪声满足GB12348-2008中的三类标准限值要求</w:t>
                  </w:r>
                </w:p>
              </w:tc>
              <w:tc>
                <w:tcPr>
                  <w:tcW w:w="666"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4"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固废治理</w:t>
                  </w:r>
                </w:p>
              </w:tc>
              <w:tc>
                <w:tcPr>
                  <w:tcW w:w="4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生活</w:t>
                  </w:r>
                </w:p>
              </w:tc>
              <w:tc>
                <w:tcPr>
                  <w:tcW w:w="65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生活垃圾</w:t>
                  </w:r>
                </w:p>
              </w:tc>
              <w:tc>
                <w:tcPr>
                  <w:tcW w:w="8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暂存于垃圾箱后交由环卫部门处理</w:t>
                  </w:r>
                </w:p>
              </w:tc>
              <w:tc>
                <w:tcPr>
                  <w:tcW w:w="6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配备</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垃圾箱</w:t>
                  </w:r>
                </w:p>
              </w:tc>
              <w:tc>
                <w:tcPr>
                  <w:tcW w:w="95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妥善处理</w:t>
                  </w:r>
                </w:p>
              </w:tc>
              <w:tc>
                <w:tcPr>
                  <w:tcW w:w="666"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s="Times New Roman"/>
                      <w:b w:val="0"/>
                      <w:bCs w:val="0"/>
                      <w:sz w:val="21"/>
                      <w:szCs w:val="21"/>
                      <w:highlight w:val="none"/>
                      <w:vertAlign w:val="baseline"/>
                      <w:lang w:val="en-US" w:eastAsia="zh-CN"/>
                    </w:rPr>
                  </w:pPr>
                </w:p>
              </w:tc>
              <w:tc>
                <w:tcPr>
                  <w:tcW w:w="4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生产</w:t>
                  </w:r>
                </w:p>
              </w:tc>
              <w:tc>
                <w:tcPr>
                  <w:tcW w:w="65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煤泥</w:t>
                  </w:r>
                </w:p>
              </w:tc>
              <w:tc>
                <w:tcPr>
                  <w:tcW w:w="8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s="Times New Roman"/>
                      <w:b w:val="0"/>
                      <w:bCs w:val="0"/>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定期清掏作为产品与煤炭一同外售</w:t>
                  </w:r>
                </w:p>
              </w:tc>
              <w:tc>
                <w:tcPr>
                  <w:tcW w:w="6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w:t>
                  </w:r>
                </w:p>
              </w:tc>
              <w:tc>
                <w:tcPr>
                  <w:tcW w:w="95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s="Times New Roman"/>
                      <w:b w:val="0"/>
                      <w:bCs w:val="0"/>
                      <w:sz w:val="21"/>
                      <w:szCs w:val="21"/>
                      <w:highlight w:val="none"/>
                      <w:vertAlign w:val="baseline"/>
                      <w:lang w:val="en-US" w:eastAsia="zh-CN"/>
                    </w:rPr>
                  </w:pPr>
                </w:p>
              </w:tc>
              <w:tc>
                <w:tcPr>
                  <w:tcW w:w="666"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817" w:type="pct"/>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地下水和土壤环境风险防范</w:t>
                  </w:r>
                </w:p>
              </w:tc>
              <w:tc>
                <w:tcPr>
                  <w:tcW w:w="8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对化粪池等地下水池采取重点防渗措施，防渗技术要求为“等效黏土防渗层Mb≥6.0m，K≤10</w:t>
                  </w:r>
                  <w:r>
                    <w:rPr>
                      <w:rFonts w:hint="eastAsia" w:cs="Times New Roman"/>
                      <w:b w:val="0"/>
                      <w:bCs w:val="0"/>
                      <w:sz w:val="21"/>
                      <w:szCs w:val="21"/>
                      <w:highlight w:val="none"/>
                      <w:vertAlign w:val="superscript"/>
                      <w:lang w:val="en-US" w:eastAsia="zh-CN"/>
                    </w:rPr>
                    <w:t>-7</w:t>
                  </w:r>
                  <w:r>
                    <w:rPr>
                      <w:rFonts w:hint="eastAsia" w:cs="Times New Roman"/>
                      <w:b w:val="0"/>
                      <w:bCs w:val="0"/>
                      <w:sz w:val="21"/>
                      <w:szCs w:val="21"/>
                      <w:highlight w:val="none"/>
                      <w:vertAlign w:val="baseline"/>
                      <w:lang w:val="en-US" w:eastAsia="zh-CN"/>
                    </w:rPr>
                    <w:t>cm/s”；将储煤仓库地面、出厂道路等所在区域采取一般防渗措施，防渗技术要求为等效黏土防渗层Mb≥1.5m，K≤10</w:t>
                  </w:r>
                  <w:r>
                    <w:rPr>
                      <w:rFonts w:hint="eastAsia" w:cs="Times New Roman"/>
                      <w:b w:val="0"/>
                      <w:bCs w:val="0"/>
                      <w:sz w:val="21"/>
                      <w:szCs w:val="21"/>
                      <w:highlight w:val="none"/>
                      <w:vertAlign w:val="superscript"/>
                      <w:lang w:val="en-US" w:eastAsia="zh-CN"/>
                    </w:rPr>
                    <w:t>-7</w:t>
                  </w:r>
                  <w:r>
                    <w:rPr>
                      <w:rFonts w:hint="eastAsia" w:cs="Times New Roman"/>
                      <w:b w:val="0"/>
                      <w:bCs w:val="0"/>
                      <w:sz w:val="21"/>
                      <w:szCs w:val="21"/>
                      <w:highlight w:val="none"/>
                      <w:vertAlign w:val="baseline"/>
                      <w:lang w:val="en-US" w:eastAsia="zh-CN"/>
                    </w:rPr>
                    <w:t>cm/s，办公楼采取简单防渗措施，防渗要求为一般地面硬化。</w:t>
                  </w:r>
                </w:p>
              </w:tc>
              <w:tc>
                <w:tcPr>
                  <w:tcW w:w="6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分区防渗</w:t>
                  </w:r>
                </w:p>
              </w:tc>
              <w:tc>
                <w:tcPr>
                  <w:tcW w:w="9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正常运行无渗漏、无污染</w:t>
                  </w:r>
                </w:p>
              </w:tc>
              <w:tc>
                <w:tcPr>
                  <w:tcW w:w="666"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val="0"/>
                      <w:bCs w:val="0"/>
                      <w:sz w:val="21"/>
                      <w:szCs w:val="21"/>
                      <w:highlight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b/>
                <w:bCs/>
                <w:sz w:val="22"/>
                <w:szCs w:val="22"/>
                <w:highlight w:val="none"/>
                <w:lang w:val="en-US" w:eastAsia="zh-CN"/>
              </w:rPr>
            </w:pPr>
          </w:p>
          <w:p>
            <w:pPr>
              <w:numPr>
                <w:ilvl w:val="0"/>
                <w:numId w:val="0"/>
              </w:numPr>
              <w:rPr>
                <w:rFonts w:hint="default"/>
                <w:highlight w:val="none"/>
                <w:lang w:val="en-US" w:eastAsia="zh-CN"/>
              </w:rPr>
            </w:pPr>
          </w:p>
        </w:tc>
      </w:tr>
    </w:tbl>
    <w:p>
      <w:pPr>
        <w:pStyle w:val="18"/>
        <w:jc w:val="center"/>
        <w:outlineLvl w:val="0"/>
        <w:rPr>
          <w:rFonts w:hint="eastAsia" w:ascii="黑体" w:hAnsi="黑体" w:eastAsia="黑体"/>
          <w:snapToGrid w:val="0"/>
          <w:sz w:val="30"/>
          <w:szCs w:val="30"/>
          <w:highlight w:val="none"/>
        </w:rPr>
        <w:sectPr>
          <w:pgSz w:w="11906" w:h="16838"/>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jc w:val="center"/>
        <w:outlineLvl w:val="0"/>
        <w:rPr>
          <w:rFonts w:ascii="黑体" w:hAnsi="黑体" w:eastAsia="黑体"/>
          <w:snapToGrid w:val="0"/>
          <w:sz w:val="30"/>
          <w:szCs w:val="30"/>
          <w:highlight w:val="none"/>
        </w:rPr>
      </w:pPr>
      <w:r>
        <w:rPr>
          <w:rFonts w:hint="eastAsia" w:ascii="黑体" w:hAnsi="黑体" w:eastAsia="黑体"/>
          <w:snapToGrid w:val="0"/>
          <w:sz w:val="30"/>
          <w:szCs w:val="30"/>
          <w:highlight w:val="none"/>
        </w:rPr>
        <w:t>五、</w:t>
      </w:r>
      <w:bookmarkStart w:id="4" w:name="_Hlk54167917"/>
      <w:r>
        <w:rPr>
          <w:rFonts w:hint="eastAsia" w:ascii="黑体" w:hAnsi="黑体" w:eastAsia="黑体"/>
          <w:snapToGrid w:val="0"/>
          <w:sz w:val="30"/>
          <w:szCs w:val="30"/>
          <w:highlight w:val="none"/>
        </w:rPr>
        <w:t>环境保护措施监督检查清单</w:t>
      </w:r>
      <w:bookmarkEnd w:id="4"/>
    </w:p>
    <w:tbl>
      <w:tblPr>
        <w:tblStyle w:val="2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10"/>
        <w:gridCol w:w="1716"/>
        <w:gridCol w:w="1452"/>
        <w:gridCol w:w="2290"/>
        <w:gridCol w:w="173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610" w:type="dxa"/>
            <w:tcBorders>
              <w:tl2br w:val="single" w:color="auto" w:sz="4" w:space="0"/>
            </w:tcBorders>
            <w:noWrap w:val="0"/>
            <w:vAlign w:val="center"/>
          </w:tcPr>
          <w:p>
            <w:pPr>
              <w:adjustRightInd w:val="0"/>
              <w:snapToGrid w:val="0"/>
              <w:ind w:firstLine="840"/>
              <w:rPr>
                <w:rFonts w:hint="eastAsia" w:ascii="宋体" w:hAnsi="宋体" w:cs="宋体"/>
                <w:szCs w:val="21"/>
                <w:highlight w:val="none"/>
              </w:rPr>
            </w:pPr>
            <w:r>
              <w:rPr>
                <w:rFonts w:hint="eastAsia" w:ascii="宋体" w:hAnsi="宋体" w:cs="宋体"/>
                <w:szCs w:val="21"/>
                <w:highlight w:val="none"/>
              </w:rPr>
              <w:t>内容</w:t>
            </w:r>
          </w:p>
          <w:p>
            <w:pPr>
              <w:adjustRightInd w:val="0"/>
              <w:snapToGrid w:val="0"/>
              <w:rPr>
                <w:rFonts w:hint="eastAsia" w:ascii="宋体" w:hAnsi="宋体" w:cs="宋体"/>
                <w:szCs w:val="21"/>
                <w:highlight w:val="none"/>
              </w:rPr>
            </w:pPr>
            <w:r>
              <w:rPr>
                <w:rFonts w:hint="eastAsia" w:ascii="宋体" w:hAnsi="宋体" w:cs="宋体"/>
                <w:szCs w:val="21"/>
                <w:highlight w:val="none"/>
              </w:rPr>
              <w:t>要素</w:t>
            </w:r>
          </w:p>
        </w:tc>
        <w:tc>
          <w:tcPr>
            <w:tcW w:w="1716" w:type="dxa"/>
            <w:noWrap w:val="0"/>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rPr>
              <w:t>排放口(编号、</w:t>
            </w:r>
          </w:p>
          <w:p>
            <w:pPr>
              <w:adjustRightInd w:val="0"/>
              <w:snapToGrid w:val="0"/>
              <w:jc w:val="center"/>
              <w:rPr>
                <w:rFonts w:hint="eastAsia" w:ascii="宋体" w:hAnsi="宋体" w:cs="宋体"/>
                <w:szCs w:val="21"/>
                <w:highlight w:val="none"/>
              </w:rPr>
            </w:pPr>
            <w:r>
              <w:rPr>
                <w:rFonts w:hint="eastAsia" w:ascii="宋体" w:hAnsi="宋体" w:cs="宋体"/>
                <w:szCs w:val="21"/>
                <w:highlight w:val="none"/>
              </w:rPr>
              <w:t>名称)/污染源</w:t>
            </w:r>
          </w:p>
        </w:tc>
        <w:tc>
          <w:tcPr>
            <w:tcW w:w="1452" w:type="dxa"/>
            <w:noWrap w:val="0"/>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rPr>
              <w:t>污染物</w:t>
            </w:r>
          </w:p>
          <w:p>
            <w:pPr>
              <w:adjustRightInd w:val="0"/>
              <w:snapToGrid w:val="0"/>
              <w:jc w:val="center"/>
              <w:rPr>
                <w:rFonts w:hint="eastAsia" w:ascii="宋体" w:hAnsi="宋体" w:cs="宋体"/>
                <w:szCs w:val="21"/>
                <w:highlight w:val="none"/>
              </w:rPr>
            </w:pPr>
            <w:r>
              <w:rPr>
                <w:rFonts w:hint="eastAsia" w:ascii="宋体" w:hAnsi="宋体" w:cs="宋体"/>
                <w:szCs w:val="21"/>
                <w:highlight w:val="none"/>
              </w:rPr>
              <w:t>项目</w:t>
            </w:r>
          </w:p>
        </w:tc>
        <w:tc>
          <w:tcPr>
            <w:tcW w:w="2290" w:type="dxa"/>
            <w:noWrap w:val="0"/>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lang w:val="en-US" w:eastAsia="zh-CN"/>
              </w:rPr>
              <w:t>生态</w:t>
            </w:r>
            <w:r>
              <w:rPr>
                <w:rFonts w:hint="eastAsia" w:ascii="宋体" w:hAnsi="宋体" w:cs="宋体"/>
                <w:szCs w:val="21"/>
                <w:highlight w:val="none"/>
              </w:rPr>
              <w:t>环境保护</w:t>
            </w:r>
          </w:p>
          <w:p>
            <w:pPr>
              <w:adjustRightInd w:val="0"/>
              <w:snapToGrid w:val="0"/>
              <w:jc w:val="center"/>
              <w:rPr>
                <w:rFonts w:hint="eastAsia" w:ascii="宋体" w:hAnsi="宋体" w:cs="宋体"/>
                <w:szCs w:val="21"/>
                <w:highlight w:val="none"/>
              </w:rPr>
            </w:pPr>
            <w:r>
              <w:rPr>
                <w:rFonts w:hint="eastAsia" w:ascii="宋体" w:hAnsi="宋体" w:cs="宋体"/>
                <w:szCs w:val="21"/>
                <w:highlight w:val="none"/>
              </w:rPr>
              <w:t>措施</w:t>
            </w:r>
          </w:p>
        </w:tc>
        <w:tc>
          <w:tcPr>
            <w:tcW w:w="1732" w:type="dxa"/>
            <w:noWrap w:val="0"/>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rPr>
              <w:t>执行标准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15" w:hRule="atLeast"/>
          <w:jc w:val="center"/>
        </w:trPr>
        <w:tc>
          <w:tcPr>
            <w:tcW w:w="1610" w:type="dxa"/>
            <w:noWrap w:val="0"/>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rPr>
              <w:t>大气环境</w:t>
            </w:r>
          </w:p>
        </w:tc>
        <w:tc>
          <w:tcPr>
            <w:tcW w:w="1716" w:type="dxa"/>
            <w:noWrap w:val="0"/>
            <w:vAlign w:val="center"/>
          </w:tcPr>
          <w:p>
            <w:pPr>
              <w:adjustRightInd w:val="0"/>
              <w:snapToGrid w:val="0"/>
              <w:spacing w:line="240" w:lineRule="auto"/>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厂界处/运输、装卸、堆存</w:t>
            </w:r>
          </w:p>
        </w:tc>
        <w:tc>
          <w:tcPr>
            <w:tcW w:w="1452" w:type="dxa"/>
            <w:noWrap w:val="0"/>
            <w:vAlign w:val="center"/>
          </w:tcPr>
          <w:p>
            <w:pPr>
              <w:adjustRightInd w:val="0"/>
              <w:snapToGrid w:val="0"/>
              <w:spacing w:line="360" w:lineRule="auto"/>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颗粒物</w:t>
            </w:r>
          </w:p>
        </w:tc>
        <w:tc>
          <w:tcPr>
            <w:tcW w:w="2290" w:type="dxa"/>
            <w:noWrap w:val="0"/>
            <w:vAlign w:val="center"/>
          </w:tcPr>
          <w:p>
            <w:pPr>
              <w:adjustRightInd w:val="0"/>
              <w:snapToGrid w:val="0"/>
              <w:spacing w:line="240" w:lineRule="auto"/>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封闭式储煤仓库、自卸车装卸均在仓库内，使用移动雾炮喷淋；</w:t>
            </w:r>
            <w:r>
              <w:rPr>
                <w:rFonts w:hint="eastAsia"/>
                <w:highlight w:val="none"/>
              </w:rPr>
              <w:t>火车卸料</w:t>
            </w:r>
            <w:r>
              <w:rPr>
                <w:rFonts w:hint="eastAsia"/>
                <w:highlight w:val="none"/>
                <w:lang w:val="en-US" w:eastAsia="zh-CN"/>
              </w:rPr>
              <w:t>扬尘</w:t>
            </w:r>
            <w:r>
              <w:rPr>
                <w:rFonts w:hint="eastAsia"/>
                <w:highlight w:val="none"/>
              </w:rPr>
              <w:t>采用雾炮机</w:t>
            </w:r>
            <w:r>
              <w:rPr>
                <w:rFonts w:hint="eastAsia" w:cs="Times New Roman"/>
                <w:color w:val="auto"/>
                <w:sz w:val="24"/>
                <w:szCs w:val="24"/>
                <w:highlight w:val="none"/>
                <w:lang w:val="en-US" w:eastAsia="zh-CN"/>
              </w:rPr>
              <w:t>、</w:t>
            </w:r>
            <w:r>
              <w:rPr>
                <w:rFonts w:hint="eastAsia"/>
                <w:color w:val="auto"/>
                <w:sz w:val="24"/>
                <w:szCs w:val="24"/>
                <w:highlight w:val="none"/>
                <w:lang w:val="en-US" w:eastAsia="zh-CN"/>
              </w:rPr>
              <w:t>半封闭卸料口和密闭传送带</w:t>
            </w:r>
            <w:r>
              <w:rPr>
                <w:rFonts w:hint="eastAsia"/>
                <w:highlight w:val="none"/>
              </w:rPr>
              <w:t>控制</w:t>
            </w:r>
            <w:r>
              <w:rPr>
                <w:rFonts w:hint="eastAsia"/>
                <w:highlight w:val="none"/>
                <w:lang w:eastAsia="zh-CN"/>
              </w:rPr>
              <w:t>；</w:t>
            </w:r>
            <w:r>
              <w:rPr>
                <w:rFonts w:hint="eastAsia" w:cs="Times New Roman"/>
                <w:sz w:val="24"/>
                <w:szCs w:val="24"/>
                <w:highlight w:val="none"/>
                <w:lang w:val="en-US" w:eastAsia="zh-CN"/>
              </w:rPr>
              <w:t>路面采用洒水车洒水抑尘，散落煤灰及时清扫；限超限速。</w:t>
            </w:r>
          </w:p>
        </w:tc>
        <w:tc>
          <w:tcPr>
            <w:tcW w:w="1732" w:type="dxa"/>
            <w:noWrap w:val="0"/>
            <w:vAlign w:val="center"/>
          </w:tcPr>
          <w:p>
            <w:pPr>
              <w:adjustRightInd w:val="0"/>
              <w:snapToGrid w:val="0"/>
              <w:spacing w:line="240" w:lineRule="auto"/>
              <w:jc w:val="center"/>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color w:val="auto"/>
                <w:sz w:val="24"/>
                <w:szCs w:val="24"/>
                <w:highlight w:val="none"/>
                <w:lang w:val="en-US" w:eastAsia="zh-CN"/>
              </w:rPr>
              <w:t>《煤炭工业污染物排放标准》</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GB20426-2006</w:t>
            </w:r>
            <w:r>
              <w:rPr>
                <w:rFonts w:hint="eastAsia" w:cs="Times New Roman"/>
                <w:color w:val="auto"/>
                <w:sz w:val="24"/>
                <w:szCs w:val="24"/>
                <w:highlight w:val="none"/>
                <w:lang w:val="en-US" w:eastAsia="zh-CN"/>
              </w:rPr>
              <w:t>）中</w:t>
            </w:r>
            <w:r>
              <w:rPr>
                <w:rFonts w:hint="default" w:ascii="Times New Roman" w:hAnsi="Times New Roman" w:eastAsia="宋体" w:cs="Times New Roman"/>
                <w:color w:val="auto"/>
                <w:sz w:val="24"/>
                <w:szCs w:val="24"/>
                <w:highlight w:val="none"/>
                <w:lang w:val="en-US" w:eastAsia="zh-CN"/>
              </w:rPr>
              <w:t>表5</w:t>
            </w:r>
            <w:r>
              <w:rPr>
                <w:rFonts w:hint="eastAsia" w:cs="Times New Roman"/>
                <w:color w:val="auto"/>
                <w:sz w:val="24"/>
                <w:szCs w:val="24"/>
                <w:highlight w:val="none"/>
                <w:lang w:val="en-US" w:eastAsia="zh-CN"/>
              </w:rPr>
              <w:t>无组织排放限值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610" w:type="dxa"/>
            <w:vMerge w:val="restart"/>
            <w:noWrap w:val="0"/>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rPr>
              <w:t>地表水环境</w:t>
            </w:r>
          </w:p>
        </w:tc>
        <w:tc>
          <w:tcPr>
            <w:tcW w:w="1716" w:type="dxa"/>
            <w:noWrap w:val="0"/>
            <w:vAlign w:val="center"/>
          </w:tcPr>
          <w:p>
            <w:pPr>
              <w:adjustRightInd w:val="0"/>
              <w:snapToGrid w:val="0"/>
              <w:spacing w:line="240" w:lineRule="auto"/>
              <w:jc w:val="center"/>
              <w:rPr>
                <w:rFonts w:hint="default" w:ascii="Times New Roman" w:hAnsi="Times New Roman" w:eastAsia="宋体" w:cs="Times New Roman"/>
                <w:sz w:val="24"/>
                <w:szCs w:val="24"/>
                <w:highlight w:val="none"/>
                <w:lang w:eastAsia="zh-CN"/>
              </w:rPr>
            </w:pPr>
            <w:r>
              <w:rPr>
                <w:rFonts w:hint="eastAsia" w:ascii="Times New Roman" w:hAnsi="Times New Roman" w:cs="Times New Roman"/>
                <w:sz w:val="24"/>
                <w:szCs w:val="24"/>
                <w:highlight w:val="none"/>
                <w:lang w:eastAsia="zh-CN"/>
              </w:rPr>
              <w:t>生活</w:t>
            </w:r>
            <w:r>
              <w:rPr>
                <w:rFonts w:hint="eastAsia" w:cs="Times New Roman"/>
                <w:sz w:val="24"/>
                <w:szCs w:val="24"/>
                <w:highlight w:val="none"/>
                <w:lang w:eastAsia="zh-CN"/>
              </w:rPr>
              <w:t>废水</w:t>
            </w:r>
          </w:p>
        </w:tc>
        <w:tc>
          <w:tcPr>
            <w:tcW w:w="1452" w:type="dxa"/>
            <w:noWrap w:val="0"/>
            <w:vAlign w:val="center"/>
          </w:tcPr>
          <w:p>
            <w:pPr>
              <w:adjustRightInd w:val="0"/>
              <w:snapToGrid w:val="0"/>
              <w:spacing w:line="24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CODcr、</w:t>
            </w:r>
            <w:r>
              <w:rPr>
                <w:rFonts w:hint="eastAsia" w:cs="Times New Roman"/>
                <w:sz w:val="24"/>
                <w:szCs w:val="24"/>
                <w:highlight w:val="none"/>
                <w:lang w:val="en-US" w:eastAsia="zh-CN"/>
              </w:rPr>
              <w:t>BOD</w:t>
            </w:r>
            <w:r>
              <w:rPr>
                <w:rFonts w:hint="eastAsia" w:cs="Times New Roman"/>
                <w:sz w:val="24"/>
                <w:szCs w:val="24"/>
                <w:highlight w:val="none"/>
                <w:vertAlign w:val="subscript"/>
                <w:lang w:val="en-US" w:eastAsia="zh-CN"/>
              </w:rPr>
              <w:t>5</w:t>
            </w:r>
            <w:r>
              <w:rPr>
                <w:rFonts w:hint="eastAsia" w:cs="Times New Roman"/>
                <w:sz w:val="24"/>
                <w:szCs w:val="24"/>
                <w:highlight w:val="none"/>
                <w:lang w:val="en-US" w:eastAsia="zh-CN"/>
              </w:rPr>
              <w:t>、SS、NH</w:t>
            </w:r>
            <w:r>
              <w:rPr>
                <w:rFonts w:hint="eastAsia" w:cs="Times New Roman"/>
                <w:sz w:val="24"/>
                <w:szCs w:val="24"/>
                <w:highlight w:val="none"/>
                <w:vertAlign w:val="subscript"/>
                <w:lang w:val="en-US" w:eastAsia="zh-CN"/>
              </w:rPr>
              <w:t>3</w:t>
            </w:r>
            <w:r>
              <w:rPr>
                <w:rFonts w:hint="eastAsia" w:cs="Times New Roman"/>
                <w:sz w:val="24"/>
                <w:szCs w:val="24"/>
                <w:highlight w:val="none"/>
                <w:lang w:val="en-US" w:eastAsia="zh-CN"/>
              </w:rPr>
              <w:t>-N、TP</w:t>
            </w:r>
          </w:p>
        </w:tc>
        <w:tc>
          <w:tcPr>
            <w:tcW w:w="2290" w:type="dxa"/>
            <w:noWrap w:val="0"/>
            <w:vAlign w:val="center"/>
          </w:tcPr>
          <w:p>
            <w:pPr>
              <w:adjustRightInd w:val="0"/>
              <w:snapToGrid w:val="0"/>
              <w:spacing w:line="240" w:lineRule="auto"/>
              <w:jc w:val="center"/>
              <w:rPr>
                <w:rFonts w:hint="eastAsia" w:cs="Times New Roman"/>
                <w:sz w:val="24"/>
                <w:szCs w:val="24"/>
                <w:highlight w:val="none"/>
                <w:lang w:val="en-US" w:eastAsia="zh-CN"/>
              </w:rPr>
            </w:pPr>
            <w:r>
              <w:rPr>
                <w:rFonts w:hint="eastAsia" w:cs="Times New Roman"/>
                <w:sz w:val="24"/>
                <w:szCs w:val="24"/>
                <w:highlight w:val="none"/>
                <w:lang w:val="en-US" w:eastAsia="zh-CN"/>
              </w:rPr>
              <w:t>排入防渗化</w:t>
            </w:r>
          </w:p>
          <w:p>
            <w:pPr>
              <w:adjustRightInd w:val="0"/>
              <w:snapToGrid w:val="0"/>
              <w:spacing w:line="240" w:lineRule="auto"/>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粪池，定期清掏，用于堆肥。</w:t>
            </w:r>
          </w:p>
        </w:tc>
        <w:tc>
          <w:tcPr>
            <w:tcW w:w="1732" w:type="dxa"/>
            <w:vMerge w:val="restart"/>
            <w:noWrap w:val="0"/>
            <w:vAlign w:val="center"/>
          </w:tcPr>
          <w:p>
            <w:pPr>
              <w:adjustRightInd w:val="0"/>
              <w:snapToGrid w:val="0"/>
              <w:spacing w:line="360" w:lineRule="auto"/>
              <w:jc w:val="center"/>
              <w:rPr>
                <w:rFonts w:hint="eastAsia" w:cs="Times New Roman"/>
                <w:sz w:val="10"/>
                <w:szCs w:val="10"/>
                <w:highlight w:val="none"/>
                <w:lang w:val="en-US" w:eastAsia="zh-CN"/>
              </w:rPr>
            </w:pPr>
          </w:p>
          <w:p>
            <w:pPr>
              <w:adjustRightInd w:val="0"/>
              <w:snapToGrid w:val="0"/>
              <w:spacing w:line="360" w:lineRule="auto"/>
              <w:jc w:val="center"/>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rPr>
              <w:t>污水不外排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610" w:type="dxa"/>
            <w:vMerge w:val="continue"/>
            <w:noWrap w:val="0"/>
            <w:vAlign w:val="center"/>
          </w:tcPr>
          <w:p>
            <w:pPr>
              <w:adjustRightInd w:val="0"/>
              <w:snapToGrid w:val="0"/>
              <w:jc w:val="center"/>
              <w:rPr>
                <w:rFonts w:hint="eastAsia" w:ascii="宋体" w:hAnsi="宋体" w:cs="宋体"/>
                <w:szCs w:val="21"/>
                <w:highlight w:val="none"/>
              </w:rPr>
            </w:pPr>
          </w:p>
        </w:tc>
        <w:tc>
          <w:tcPr>
            <w:tcW w:w="1716" w:type="dxa"/>
            <w:noWrap w:val="0"/>
            <w:vAlign w:val="center"/>
          </w:tcPr>
          <w:p>
            <w:pPr>
              <w:adjustRightInd w:val="0"/>
              <w:snapToGrid w:val="0"/>
              <w:spacing w:line="240" w:lineRule="auto"/>
              <w:jc w:val="center"/>
              <w:rPr>
                <w:rFonts w:hint="default" w:ascii="Times New Roman" w:hAnsi="Times New Roman" w:cs="Times New Roman"/>
                <w:sz w:val="24"/>
                <w:szCs w:val="24"/>
                <w:highlight w:val="none"/>
                <w:lang w:val="en-US" w:eastAsia="zh-CN"/>
              </w:rPr>
            </w:pPr>
            <w:r>
              <w:rPr>
                <w:rFonts w:hint="eastAsia" w:cs="Times New Roman"/>
                <w:sz w:val="24"/>
                <w:szCs w:val="24"/>
                <w:highlight w:val="none"/>
                <w:lang w:val="en-US" w:eastAsia="zh-CN"/>
              </w:rPr>
              <w:t>生产废水</w:t>
            </w:r>
          </w:p>
        </w:tc>
        <w:tc>
          <w:tcPr>
            <w:tcW w:w="1452" w:type="dxa"/>
            <w:noWrap w:val="0"/>
            <w:vAlign w:val="center"/>
          </w:tcPr>
          <w:p>
            <w:pPr>
              <w:adjustRightInd w:val="0"/>
              <w:snapToGrid w:val="0"/>
              <w:spacing w:line="240" w:lineRule="auto"/>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SS</w:t>
            </w:r>
          </w:p>
        </w:tc>
        <w:tc>
          <w:tcPr>
            <w:tcW w:w="2290" w:type="dxa"/>
            <w:noWrap w:val="0"/>
            <w:vAlign w:val="center"/>
          </w:tcPr>
          <w:p>
            <w:pPr>
              <w:adjustRightInd w:val="0"/>
              <w:snapToGrid w:val="0"/>
              <w:spacing w:line="240" w:lineRule="auto"/>
              <w:jc w:val="center"/>
              <w:rPr>
                <w:rFonts w:hint="eastAsia" w:eastAsia="宋体" w:cs="Times New Roman"/>
                <w:sz w:val="24"/>
                <w:szCs w:val="24"/>
                <w:highlight w:val="none"/>
                <w:lang w:val="en-US" w:eastAsia="zh-CN"/>
              </w:rPr>
            </w:pPr>
            <w:r>
              <w:rPr>
                <w:rFonts w:hint="eastAsia"/>
                <w:highlight w:val="none"/>
              </w:rPr>
              <w:t>沉淀池处理后回用于</w:t>
            </w:r>
            <w:r>
              <w:rPr>
                <w:rFonts w:hint="eastAsia" w:cs="Times New Roman"/>
                <w:b w:val="0"/>
                <w:bCs w:val="0"/>
                <w:color w:val="auto"/>
                <w:sz w:val="24"/>
                <w:szCs w:val="24"/>
                <w:highlight w:val="none"/>
                <w:vertAlign w:val="baseline"/>
                <w:lang w:val="en-US" w:eastAsia="zh-CN"/>
              </w:rPr>
              <w:t>储煤库内的煤堆</w:t>
            </w:r>
            <w:r>
              <w:rPr>
                <w:rFonts w:hint="eastAsia"/>
                <w:highlight w:val="none"/>
              </w:rPr>
              <w:t>降尘</w:t>
            </w:r>
            <w:r>
              <w:rPr>
                <w:rFonts w:hint="eastAsia"/>
                <w:highlight w:val="none"/>
                <w:lang w:eastAsia="zh-CN"/>
              </w:rPr>
              <w:t>。</w:t>
            </w:r>
          </w:p>
        </w:tc>
        <w:tc>
          <w:tcPr>
            <w:tcW w:w="1732" w:type="dxa"/>
            <w:vMerge w:val="continue"/>
            <w:noWrap w:val="0"/>
            <w:vAlign w:val="center"/>
          </w:tcPr>
          <w:p>
            <w:pPr>
              <w:adjustRightInd w:val="0"/>
              <w:snapToGrid w:val="0"/>
              <w:spacing w:line="360" w:lineRule="auto"/>
              <w:jc w:val="center"/>
              <w:rPr>
                <w:rFonts w:hint="eastAsia" w:cs="Times New Roman"/>
                <w:sz w:val="24"/>
                <w:szCs w:val="24"/>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610" w:type="dxa"/>
            <w:noWrap w:val="0"/>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rPr>
              <w:t>声环境</w:t>
            </w:r>
          </w:p>
        </w:tc>
        <w:tc>
          <w:tcPr>
            <w:tcW w:w="1716" w:type="dxa"/>
            <w:noWrap w:val="0"/>
            <w:vAlign w:val="center"/>
          </w:tcPr>
          <w:p>
            <w:pPr>
              <w:adjustRightInd w:val="0"/>
              <w:snapToGrid w:val="0"/>
              <w:spacing w:line="360" w:lineRule="auto"/>
              <w:jc w:val="center"/>
              <w:rPr>
                <w:rFonts w:hint="eastAsia" w:ascii="Times New Roman" w:hAnsi="Times New Roman" w:cs="Times New Roman"/>
                <w:sz w:val="16"/>
                <w:szCs w:val="16"/>
                <w:highlight w:val="none"/>
                <w:lang w:eastAsia="zh-CN"/>
              </w:rPr>
            </w:pPr>
          </w:p>
          <w:p>
            <w:pPr>
              <w:adjustRightInd w:val="0"/>
              <w:snapToGrid w:val="0"/>
              <w:spacing w:line="360" w:lineRule="auto"/>
              <w:jc w:val="center"/>
              <w:rPr>
                <w:rFonts w:hint="default" w:ascii="Times New Roman" w:hAnsi="Times New Roman" w:eastAsia="宋体" w:cs="Times New Roman"/>
                <w:sz w:val="24"/>
                <w:szCs w:val="24"/>
                <w:highlight w:val="none"/>
                <w:lang w:eastAsia="zh-CN"/>
              </w:rPr>
            </w:pPr>
            <w:r>
              <w:rPr>
                <w:rFonts w:hint="eastAsia" w:ascii="Times New Roman" w:hAnsi="Times New Roman" w:cs="Times New Roman"/>
                <w:sz w:val="24"/>
                <w:szCs w:val="24"/>
                <w:highlight w:val="none"/>
                <w:lang w:eastAsia="zh-CN"/>
              </w:rPr>
              <w:t>生产设备</w:t>
            </w:r>
          </w:p>
        </w:tc>
        <w:tc>
          <w:tcPr>
            <w:tcW w:w="1452" w:type="dxa"/>
            <w:noWrap w:val="0"/>
            <w:vAlign w:val="center"/>
          </w:tcPr>
          <w:p>
            <w:pPr>
              <w:adjustRightInd w:val="0"/>
              <w:snapToGrid w:val="0"/>
              <w:spacing w:line="360" w:lineRule="auto"/>
              <w:jc w:val="center"/>
              <w:rPr>
                <w:rFonts w:hint="default" w:ascii="Times New Roman" w:hAnsi="Times New Roman" w:eastAsia="宋体" w:cs="Times New Roman"/>
                <w:sz w:val="16"/>
                <w:szCs w:val="16"/>
                <w:highlight w:val="none"/>
                <w:lang w:eastAsia="zh-CN"/>
              </w:rPr>
            </w:pPr>
          </w:p>
          <w:p>
            <w:pPr>
              <w:adjustRightInd w:val="0"/>
              <w:snapToGrid w:val="0"/>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eastAsia="zh-CN"/>
              </w:rPr>
              <w:t>噪声</w:t>
            </w:r>
          </w:p>
        </w:tc>
        <w:tc>
          <w:tcPr>
            <w:tcW w:w="2290" w:type="dxa"/>
            <w:noWrap w:val="0"/>
            <w:vAlign w:val="center"/>
          </w:tcPr>
          <w:p>
            <w:pPr>
              <w:adjustRightInd w:val="0"/>
              <w:snapToGrid w:val="0"/>
              <w:spacing w:line="240" w:lineRule="auto"/>
              <w:jc w:val="center"/>
              <w:rPr>
                <w:rFonts w:hint="default" w:ascii="Times New Roman" w:hAnsi="Times New Roman" w:eastAsia="宋体" w:cs="Times New Roman"/>
                <w:sz w:val="8"/>
                <w:szCs w:val="8"/>
                <w:highlight w:val="none"/>
                <w:lang w:eastAsia="zh-CN"/>
              </w:rPr>
            </w:pPr>
          </w:p>
          <w:p>
            <w:pPr>
              <w:adjustRightInd w:val="0"/>
              <w:snapToGrid w:val="0"/>
              <w:spacing w:line="240" w:lineRule="auto"/>
              <w:jc w:val="center"/>
              <w:rPr>
                <w:rFonts w:hint="default" w:ascii="Times New Roman" w:hAnsi="Times New Roman" w:eastAsia="宋体" w:cs="Times New Roman"/>
                <w:sz w:val="24"/>
                <w:szCs w:val="24"/>
                <w:highlight w:val="none"/>
                <w:lang w:eastAsia="zh-CN"/>
              </w:rPr>
            </w:pPr>
            <w:r>
              <w:rPr>
                <w:rFonts w:hint="eastAsia" w:cs="Times New Roman"/>
                <w:sz w:val="24"/>
                <w:szCs w:val="24"/>
                <w:highlight w:val="none"/>
                <w:lang w:val="en-US" w:eastAsia="zh-CN"/>
              </w:rPr>
              <w:t>低噪设备、加强维护、厂房</w:t>
            </w:r>
            <w:r>
              <w:rPr>
                <w:rFonts w:hint="default" w:ascii="Times New Roman" w:hAnsi="Times New Roman" w:eastAsia="宋体" w:cs="Times New Roman"/>
                <w:sz w:val="24"/>
                <w:szCs w:val="24"/>
                <w:highlight w:val="none"/>
                <w:lang w:eastAsia="zh-CN"/>
              </w:rPr>
              <w:t>隔声</w:t>
            </w:r>
          </w:p>
        </w:tc>
        <w:tc>
          <w:tcPr>
            <w:tcW w:w="1732" w:type="dxa"/>
            <w:noWrap w:val="0"/>
            <w:vAlign w:val="center"/>
          </w:tcPr>
          <w:p>
            <w:pPr>
              <w:adjustRightInd w:val="0"/>
              <w:snapToGrid w:val="0"/>
              <w:spacing w:line="240" w:lineRule="auto"/>
              <w:jc w:val="center"/>
              <w:rPr>
                <w:rFonts w:hint="default" w:ascii="Times New Roman" w:hAnsi="Times New Roman" w:eastAsia="宋体" w:cs="Times New Roman"/>
                <w:sz w:val="24"/>
                <w:szCs w:val="24"/>
                <w:highlight w:val="none"/>
                <w:lang w:val="en-US"/>
              </w:rPr>
            </w:pPr>
            <w:r>
              <w:rPr>
                <w:rFonts w:hint="default" w:ascii="Times New Roman" w:hAnsi="Times New Roman" w:cs="Times New Roman"/>
                <w:sz w:val="24"/>
                <w:szCs w:val="24"/>
                <w:highlight w:val="none"/>
                <w:lang w:val="en-US" w:eastAsia="zh-CN"/>
              </w:rPr>
              <w:t>《工业企业厂界环境噪声排放标准》（GB</w:t>
            </w:r>
            <w:r>
              <w:rPr>
                <w:rFonts w:hint="eastAsia"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12348-2008）</w:t>
            </w:r>
            <w:r>
              <w:rPr>
                <w:rFonts w:hint="eastAsia" w:cs="Times New Roman"/>
                <w:sz w:val="24"/>
                <w:szCs w:val="24"/>
                <w:highlight w:val="none"/>
                <w:lang w:val="en-US" w:eastAsia="zh-CN"/>
              </w:rPr>
              <w:t>3</w:t>
            </w:r>
            <w:r>
              <w:rPr>
                <w:rFonts w:hint="default" w:ascii="Times New Roman" w:hAnsi="Times New Roman" w:cs="Times New Roman"/>
                <w:sz w:val="24"/>
                <w:szCs w:val="24"/>
                <w:highlight w:val="none"/>
                <w:lang w:val="en-US" w:eastAsia="zh-CN"/>
              </w:rPr>
              <w:t>类标准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1610" w:type="dxa"/>
            <w:noWrap w:val="0"/>
            <w:vAlign w:val="center"/>
          </w:tcPr>
          <w:p>
            <w:pPr>
              <w:adjustRightInd w:val="0"/>
              <w:snapToGrid w:val="0"/>
              <w:spacing w:line="240" w:lineRule="auto"/>
              <w:jc w:val="center"/>
              <w:rPr>
                <w:rFonts w:hint="eastAsia" w:ascii="宋体" w:hAnsi="宋体" w:cs="宋体"/>
                <w:szCs w:val="21"/>
                <w:highlight w:val="none"/>
              </w:rPr>
            </w:pPr>
            <w:r>
              <w:rPr>
                <w:rFonts w:hint="eastAsia" w:ascii="宋体" w:hAnsi="宋体" w:cs="宋体"/>
                <w:szCs w:val="21"/>
                <w:highlight w:val="none"/>
              </w:rPr>
              <w:t>电磁辐射</w:t>
            </w:r>
          </w:p>
        </w:tc>
        <w:tc>
          <w:tcPr>
            <w:tcW w:w="7190" w:type="dxa"/>
            <w:gridSpan w:val="4"/>
            <w:noWrap w:val="0"/>
            <w:vAlign w:val="center"/>
          </w:tcPr>
          <w:p>
            <w:pPr>
              <w:adjustRightInd w:val="0"/>
              <w:snapToGrid w:val="0"/>
              <w:spacing w:line="240" w:lineRule="auto"/>
              <w:jc w:val="center"/>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610" w:type="dxa"/>
            <w:noWrap w:val="0"/>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rPr>
              <w:t>固体废物</w:t>
            </w:r>
          </w:p>
        </w:tc>
        <w:tc>
          <w:tcPr>
            <w:tcW w:w="7190" w:type="dxa"/>
            <w:gridSpan w:val="4"/>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highlight w:val="none"/>
              </w:rPr>
            </w:pPr>
            <w:r>
              <w:rPr>
                <w:rFonts w:hint="eastAsia"/>
                <w:color w:val="auto"/>
                <w:sz w:val="24"/>
                <w:szCs w:val="24"/>
                <w:highlight w:val="none"/>
                <w:lang w:val="en-US" w:eastAsia="zh-CN"/>
              </w:rPr>
              <w:t>化粪池定期委托清理，员工生活垃圾经垃圾箱收集后，定期由环卫部门统一清运，煤泥定期清理作为产品与煤炭一同外售。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610" w:type="dxa"/>
            <w:noWrap w:val="0"/>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rPr>
              <w:t>土壤及地下水污染防治措施</w:t>
            </w:r>
          </w:p>
        </w:tc>
        <w:tc>
          <w:tcPr>
            <w:tcW w:w="7190" w:type="dxa"/>
            <w:gridSpan w:val="4"/>
            <w:noWrap w:val="0"/>
            <w:vAlign w:val="center"/>
          </w:tcPr>
          <w:p>
            <w:pPr>
              <w:adjustRightInd w:val="0"/>
              <w:snapToGrid w:val="0"/>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eastAsia"/>
                <w:color w:val="auto"/>
                <w:sz w:val="24"/>
                <w:szCs w:val="24"/>
                <w:highlight w:val="none"/>
                <w:lang w:val="en-US" w:eastAsia="zh-CN"/>
              </w:rPr>
              <w:t>对化粪池、沉淀池等地下水池采取重点防渗措施，防渗技术要求为“等效黏土防渗层Mb≥6.0m，K≤10</w:t>
            </w:r>
            <w:r>
              <w:rPr>
                <w:rFonts w:hint="eastAsia"/>
                <w:color w:val="auto"/>
                <w:sz w:val="24"/>
                <w:szCs w:val="24"/>
                <w:highlight w:val="none"/>
                <w:vertAlign w:val="superscript"/>
                <w:lang w:val="en-US" w:eastAsia="zh-CN"/>
              </w:rPr>
              <w:t>-7</w:t>
            </w:r>
            <w:r>
              <w:rPr>
                <w:rFonts w:hint="eastAsia"/>
                <w:color w:val="auto"/>
                <w:sz w:val="24"/>
                <w:szCs w:val="24"/>
                <w:highlight w:val="none"/>
                <w:lang w:val="en-US" w:eastAsia="zh-CN"/>
              </w:rPr>
              <w:t>cm/s”；将储煤仓库内和出厂道路等所在区域采取一般防渗措施，防渗技术要求为等效黏土防渗层Mb≥1.5m,K≤10</w:t>
            </w:r>
            <w:r>
              <w:rPr>
                <w:rFonts w:hint="eastAsia"/>
                <w:color w:val="auto"/>
                <w:sz w:val="24"/>
                <w:szCs w:val="24"/>
                <w:highlight w:val="none"/>
                <w:vertAlign w:val="superscript"/>
                <w:lang w:val="en-US" w:eastAsia="zh-CN"/>
              </w:rPr>
              <w:t>-7</w:t>
            </w:r>
            <w:r>
              <w:rPr>
                <w:rFonts w:hint="eastAsia"/>
                <w:color w:val="auto"/>
                <w:sz w:val="24"/>
                <w:szCs w:val="24"/>
                <w:highlight w:val="none"/>
                <w:lang w:val="en-US" w:eastAsia="zh-CN"/>
              </w:rPr>
              <w:t>cm/s；办公楼简单防渗，防渗要求为一般地面硬化。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73" w:hRule="atLeast"/>
          <w:jc w:val="center"/>
        </w:trPr>
        <w:tc>
          <w:tcPr>
            <w:tcW w:w="1610" w:type="dxa"/>
            <w:noWrap w:val="0"/>
            <w:vAlign w:val="center"/>
          </w:tcPr>
          <w:p>
            <w:pPr>
              <w:adjustRightInd w:val="0"/>
              <w:snapToGrid w:val="0"/>
              <w:jc w:val="center"/>
              <w:rPr>
                <w:rFonts w:hint="eastAsia" w:ascii="宋体" w:hAnsi="宋体" w:cs="宋体"/>
                <w:szCs w:val="21"/>
                <w:highlight w:val="none"/>
              </w:rPr>
            </w:pPr>
            <w:r>
              <w:rPr>
                <w:rFonts w:hint="eastAsia" w:ascii="宋体" w:hAnsi="宋体" w:cs="宋体"/>
                <w:szCs w:val="21"/>
                <w:highlight w:val="none"/>
              </w:rPr>
              <w:t>生态</w:t>
            </w:r>
          </w:p>
          <w:p>
            <w:pPr>
              <w:adjustRightInd w:val="0"/>
              <w:snapToGrid w:val="0"/>
              <w:jc w:val="center"/>
              <w:rPr>
                <w:rFonts w:hint="eastAsia" w:ascii="宋体" w:hAnsi="宋体" w:cs="宋体"/>
                <w:szCs w:val="21"/>
                <w:highlight w:val="none"/>
              </w:rPr>
            </w:pPr>
            <w:r>
              <w:rPr>
                <w:rFonts w:hint="eastAsia" w:ascii="宋体" w:hAnsi="宋体" w:cs="宋体"/>
                <w:szCs w:val="21"/>
                <w:highlight w:val="none"/>
              </w:rPr>
              <w:t>保护措施</w:t>
            </w:r>
          </w:p>
        </w:tc>
        <w:tc>
          <w:tcPr>
            <w:tcW w:w="7190" w:type="dxa"/>
            <w:gridSpan w:val="4"/>
            <w:noWrap w:val="0"/>
            <w:vAlign w:val="center"/>
          </w:tcPr>
          <w:p>
            <w:pPr>
              <w:adjustRightInd w:val="0"/>
              <w:snapToGrid w:val="0"/>
              <w:spacing w:line="240" w:lineRule="auto"/>
              <w:jc w:val="center"/>
              <w:rPr>
                <w:rFonts w:hint="default" w:ascii="Times New Roman" w:hAnsi="Times New Roman" w:eastAsia="宋体" w:cs="Times New Roman"/>
                <w:sz w:val="24"/>
                <w:szCs w:val="24"/>
                <w:highlight w:val="none"/>
                <w:lang w:val="en-US" w:eastAsia="zh-CN"/>
              </w:rPr>
            </w:pPr>
            <w:r>
              <w:rPr>
                <w:rFonts w:hint="eastAsia" w:cs="Times New Roman"/>
                <w:sz w:val="21"/>
                <w:szCs w:val="21"/>
                <w:highlight w:val="none"/>
                <w:lang w:val="en-US" w:eastAsia="zh-CN"/>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59" w:hRule="atLeast"/>
          <w:jc w:val="center"/>
        </w:trPr>
        <w:tc>
          <w:tcPr>
            <w:tcW w:w="1610" w:type="dxa"/>
            <w:noWrap w:val="0"/>
            <w:vAlign w:val="center"/>
          </w:tcPr>
          <w:p>
            <w:pPr>
              <w:adjustRightInd w:val="0"/>
              <w:snapToGrid w:val="0"/>
              <w:jc w:val="center"/>
              <w:rPr>
                <w:rFonts w:hint="eastAsia" w:ascii="宋体" w:hAnsi="宋体" w:cs="宋体"/>
                <w:spacing w:val="-8"/>
                <w:szCs w:val="21"/>
                <w:highlight w:val="none"/>
              </w:rPr>
            </w:pPr>
            <w:r>
              <w:rPr>
                <w:rFonts w:hint="eastAsia" w:ascii="宋体" w:hAnsi="宋体" w:cs="宋体"/>
                <w:spacing w:val="-8"/>
                <w:szCs w:val="21"/>
                <w:highlight w:val="none"/>
                <w:lang w:val="en-US" w:eastAsia="zh-CN"/>
              </w:rPr>
              <w:t>生态</w:t>
            </w:r>
            <w:r>
              <w:rPr>
                <w:rFonts w:hint="eastAsia" w:ascii="宋体" w:hAnsi="宋体" w:cs="宋体"/>
                <w:spacing w:val="-8"/>
                <w:szCs w:val="21"/>
                <w:highlight w:val="none"/>
              </w:rPr>
              <w:t>环境风险防范措施</w:t>
            </w:r>
          </w:p>
        </w:tc>
        <w:tc>
          <w:tcPr>
            <w:tcW w:w="7190" w:type="dxa"/>
            <w:gridSpan w:val="4"/>
            <w:noWrap w:val="0"/>
            <w:vAlign w:val="center"/>
          </w:tcPr>
          <w:p>
            <w:pPr>
              <w:bidi w:val="0"/>
              <w:spacing w:line="360" w:lineRule="auto"/>
              <w:ind w:firstLine="480" w:firstLineChars="200"/>
              <w:rPr>
                <w:rFonts w:hint="eastAsia"/>
                <w:highlight w:val="none"/>
                <w:lang w:val="en-US" w:eastAsia="zh-CN"/>
              </w:rPr>
            </w:pPr>
            <w:r>
              <w:rPr>
                <w:rFonts w:hint="eastAsia"/>
                <w:highlight w:val="none"/>
                <w:lang w:val="en-US" w:eastAsia="zh-CN"/>
              </w:rPr>
              <w:t>一、阻止空气进入</w:t>
            </w:r>
          </w:p>
          <w:p>
            <w:pPr>
              <w:bidi w:val="0"/>
              <w:spacing w:line="360" w:lineRule="auto"/>
              <w:ind w:firstLine="480" w:firstLineChars="200"/>
              <w:rPr>
                <w:rFonts w:hint="eastAsia"/>
                <w:highlight w:val="none"/>
                <w:lang w:val="en-US" w:eastAsia="zh-CN"/>
              </w:rPr>
            </w:pPr>
            <w:r>
              <w:rPr>
                <w:rFonts w:hint="eastAsia"/>
                <w:highlight w:val="none"/>
                <w:lang w:val="en-US" w:eastAsia="zh-CN"/>
              </w:rPr>
              <w:t>储存过程用装载机将煤一层一层压实，尤其是要将堆边大块部分压实，这样可以减少煤堆的空隙度，赶走煤堆空隙中的一部分空气，减少煤与氧气的接触。装车时要有秩序地进行，逐层整形压实。</w:t>
            </w:r>
          </w:p>
          <w:p>
            <w:pPr>
              <w:bidi w:val="0"/>
              <w:spacing w:line="360" w:lineRule="auto"/>
              <w:ind w:firstLine="480" w:firstLineChars="200"/>
              <w:rPr>
                <w:rFonts w:hint="eastAsia"/>
                <w:highlight w:val="none"/>
                <w:lang w:val="en-US" w:eastAsia="zh-CN"/>
              </w:rPr>
            </w:pPr>
            <w:r>
              <w:rPr>
                <w:rFonts w:hint="eastAsia"/>
                <w:highlight w:val="none"/>
                <w:lang w:val="en-US" w:eastAsia="zh-CN"/>
              </w:rPr>
              <w:t>二、防止危险温度产生</w:t>
            </w:r>
          </w:p>
          <w:p>
            <w:pPr>
              <w:bidi w:val="0"/>
              <w:spacing w:line="360" w:lineRule="auto"/>
              <w:ind w:firstLine="480" w:firstLineChars="200"/>
              <w:rPr>
                <w:rFonts w:hint="eastAsia"/>
                <w:highlight w:val="none"/>
                <w:lang w:val="en-US" w:eastAsia="zh-CN"/>
              </w:rPr>
            </w:pPr>
            <w:r>
              <w:rPr>
                <w:rFonts w:hint="eastAsia"/>
                <w:highlight w:val="none"/>
                <w:lang w:val="en-US" w:eastAsia="zh-CN"/>
              </w:rPr>
              <w:t>（1）封闭储煤仓库，防止煤堆暴晒。</w:t>
            </w:r>
          </w:p>
          <w:p>
            <w:pPr>
              <w:bidi w:val="0"/>
              <w:spacing w:line="360" w:lineRule="auto"/>
              <w:ind w:firstLine="480" w:firstLineChars="200"/>
              <w:rPr>
                <w:rFonts w:hint="eastAsia"/>
                <w:color w:val="auto"/>
                <w:highlight w:val="none"/>
                <w:lang w:val="en-US" w:eastAsia="zh-CN"/>
              </w:rPr>
            </w:pPr>
            <w:r>
              <w:rPr>
                <w:rFonts w:hint="eastAsia"/>
                <w:color w:val="auto"/>
                <w:highlight w:val="none"/>
                <w:lang w:val="en-US" w:eastAsia="zh-CN"/>
              </w:rPr>
              <w:t>（2）</w:t>
            </w:r>
            <w:r>
              <w:rPr>
                <w:rFonts w:hint="eastAsia"/>
                <w:color w:val="auto"/>
                <w:kern w:val="2"/>
                <w:sz w:val="24"/>
                <w:szCs w:val="24"/>
                <w:highlight w:val="none"/>
                <w:lang w:val="en-US" w:eastAsia="zh-CN" w:bidi="ar-SA"/>
              </w:rPr>
              <w:t>储煤仓库设置移动雾炮喷淋设施，定期向煤堆喷水降温</w:t>
            </w:r>
            <w:r>
              <w:rPr>
                <w:rFonts w:hint="eastAsia"/>
                <w:color w:val="auto"/>
                <w:highlight w:val="none"/>
                <w:lang w:val="en-US" w:eastAsia="zh-CN"/>
              </w:rPr>
              <w:t>。</w:t>
            </w:r>
          </w:p>
          <w:p>
            <w:pPr>
              <w:bidi w:val="0"/>
              <w:spacing w:line="360" w:lineRule="auto"/>
              <w:ind w:firstLine="480" w:firstLineChars="200"/>
              <w:rPr>
                <w:rFonts w:hint="eastAsia"/>
                <w:highlight w:val="none"/>
                <w:lang w:val="en-US" w:eastAsia="zh-CN"/>
              </w:rPr>
            </w:pPr>
            <w:r>
              <w:rPr>
                <w:rFonts w:hint="eastAsia"/>
                <w:highlight w:val="none"/>
                <w:lang w:val="en-US" w:eastAsia="zh-CN"/>
              </w:rPr>
              <w:t>（3）煤堆的方向以南北方向取长，以减少阳光的直接照射。</w:t>
            </w:r>
          </w:p>
          <w:p>
            <w:pPr>
              <w:bidi w:val="0"/>
              <w:spacing w:line="360" w:lineRule="auto"/>
              <w:ind w:firstLine="480" w:firstLineChars="200"/>
              <w:rPr>
                <w:rFonts w:hint="eastAsia"/>
                <w:highlight w:val="none"/>
                <w:lang w:val="en-US" w:eastAsia="zh-CN"/>
              </w:rPr>
            </w:pPr>
            <w:r>
              <w:rPr>
                <w:rFonts w:hint="eastAsia"/>
                <w:highlight w:val="none"/>
                <w:lang w:val="en-US" w:eastAsia="zh-CN"/>
              </w:rPr>
              <w:t>（4）煤堆的场地为水泥地面，尽量在较低的温度下贮存煤炭，避开中午烈日下进行堆煤，以减少热量的携带。</w:t>
            </w:r>
          </w:p>
          <w:p>
            <w:pPr>
              <w:bidi w:val="0"/>
              <w:spacing w:line="360" w:lineRule="auto"/>
              <w:ind w:firstLine="480" w:firstLineChars="200"/>
              <w:rPr>
                <w:rFonts w:hint="eastAsia"/>
                <w:highlight w:val="none"/>
                <w:lang w:val="en-US" w:eastAsia="zh-CN"/>
              </w:rPr>
            </w:pPr>
            <w:r>
              <w:rPr>
                <w:rFonts w:hint="eastAsia"/>
                <w:highlight w:val="none"/>
                <w:lang w:val="en-US" w:eastAsia="zh-CN"/>
              </w:rPr>
              <w:t>三、管理措施</w:t>
            </w:r>
          </w:p>
          <w:p>
            <w:pPr>
              <w:bidi w:val="0"/>
              <w:spacing w:line="360" w:lineRule="auto"/>
              <w:ind w:firstLine="480" w:firstLineChars="200"/>
              <w:rPr>
                <w:rFonts w:hint="eastAsia" w:eastAsia="宋体"/>
                <w:highlight w:val="none"/>
                <w:lang w:val="en-US" w:eastAsia="zh-CN"/>
              </w:rPr>
            </w:pPr>
            <w:r>
              <w:rPr>
                <w:rFonts w:hint="eastAsia"/>
                <w:highlight w:val="none"/>
                <w:lang w:val="en-US" w:eastAsia="zh-CN"/>
              </w:rPr>
              <w:t>（1）现场管理人员和操作人员应熟悉现场基本情况。</w:t>
            </w:r>
          </w:p>
          <w:p>
            <w:pPr>
              <w:bidi w:val="0"/>
              <w:spacing w:line="360" w:lineRule="auto"/>
              <w:ind w:firstLine="480" w:firstLineChars="200"/>
              <w:rPr>
                <w:rFonts w:hint="eastAsia"/>
                <w:highlight w:val="none"/>
                <w:lang w:val="en-US" w:eastAsia="zh-CN"/>
              </w:rPr>
            </w:pPr>
            <w:r>
              <w:rPr>
                <w:rFonts w:hint="eastAsia"/>
                <w:highlight w:val="none"/>
                <w:lang w:val="en-US" w:eastAsia="zh-CN"/>
              </w:rPr>
              <w:t>（2）定期进行测温，发现异常，及时降温处理。</w:t>
            </w:r>
          </w:p>
          <w:p>
            <w:pPr>
              <w:bidi w:val="0"/>
              <w:spacing w:line="360" w:lineRule="auto"/>
              <w:ind w:firstLine="480" w:firstLineChars="200"/>
              <w:rPr>
                <w:rFonts w:hint="eastAsia"/>
                <w:highlight w:val="none"/>
                <w:lang w:val="en-US" w:eastAsia="zh-CN"/>
              </w:rPr>
            </w:pPr>
            <w:r>
              <w:rPr>
                <w:rFonts w:hint="eastAsia"/>
                <w:highlight w:val="none"/>
                <w:lang w:val="en-US" w:eastAsia="zh-CN"/>
              </w:rPr>
              <w:t>（3）对每一批新进煤炭做好时间、煤种、场地的登记。</w:t>
            </w:r>
          </w:p>
          <w:p>
            <w:pPr>
              <w:bidi w:val="0"/>
              <w:spacing w:line="360" w:lineRule="auto"/>
              <w:ind w:firstLine="480" w:firstLineChars="200"/>
              <w:rPr>
                <w:rFonts w:hint="eastAsia"/>
                <w:highlight w:val="none"/>
                <w:lang w:val="en-US" w:eastAsia="zh-CN"/>
              </w:rPr>
            </w:pPr>
            <w:r>
              <w:rPr>
                <w:rFonts w:hint="eastAsia"/>
                <w:highlight w:val="none"/>
                <w:lang w:val="en-US" w:eastAsia="zh-CN"/>
              </w:rPr>
              <w:t>（4）安全巡视人员应对煤堆日常巡视，以便早期发现异常情况。</w:t>
            </w:r>
          </w:p>
          <w:p>
            <w:pPr>
              <w:bidi w:val="0"/>
              <w:spacing w:line="360" w:lineRule="auto"/>
              <w:ind w:firstLine="480" w:firstLineChars="200"/>
              <w:rPr>
                <w:rFonts w:hint="eastAsia"/>
                <w:highlight w:val="none"/>
                <w:lang w:val="en-US" w:eastAsia="zh-CN"/>
              </w:rPr>
            </w:pPr>
            <w:r>
              <w:rPr>
                <w:rFonts w:hint="eastAsia"/>
                <w:highlight w:val="none"/>
                <w:lang w:val="en-US" w:eastAsia="zh-CN"/>
              </w:rPr>
              <w:t>（5）配备干粉灭火器，CO</w:t>
            </w:r>
            <w:r>
              <w:rPr>
                <w:rFonts w:hint="eastAsia"/>
                <w:highlight w:val="none"/>
                <w:vertAlign w:val="subscript"/>
                <w:lang w:val="en-US" w:eastAsia="zh-CN"/>
              </w:rPr>
              <w:t>2</w:t>
            </w:r>
            <w:r>
              <w:rPr>
                <w:rFonts w:hint="eastAsia"/>
                <w:highlight w:val="none"/>
                <w:lang w:val="en-US" w:eastAsia="zh-CN"/>
              </w:rPr>
              <w:t>灭火器等应急设备。</w:t>
            </w:r>
          </w:p>
          <w:p>
            <w:pPr>
              <w:spacing w:line="360" w:lineRule="auto"/>
              <w:ind w:firstLine="480" w:firstLineChars="200"/>
              <w:rPr>
                <w:rFonts w:hint="default"/>
                <w:kern w:val="2"/>
                <w:sz w:val="24"/>
                <w:szCs w:val="24"/>
                <w:highlight w:val="none"/>
                <w:lang w:val="en-US" w:eastAsia="zh-CN" w:bidi="ar-SA"/>
              </w:rPr>
            </w:pPr>
            <w:r>
              <w:rPr>
                <w:rFonts w:hint="eastAsia"/>
                <w:kern w:val="2"/>
                <w:sz w:val="24"/>
                <w:szCs w:val="24"/>
                <w:highlight w:val="none"/>
                <w:lang w:val="en-US" w:eastAsia="zh-CN" w:bidi="ar-SA"/>
              </w:rPr>
              <w:t>四、其他措施</w:t>
            </w:r>
          </w:p>
          <w:p>
            <w:pPr>
              <w:spacing w:line="360" w:lineRule="auto"/>
              <w:ind w:firstLine="480" w:firstLineChars="200"/>
              <w:rPr>
                <w:rFonts w:hint="eastAsia"/>
                <w:kern w:val="2"/>
                <w:sz w:val="24"/>
                <w:szCs w:val="24"/>
                <w:highlight w:val="none"/>
                <w:lang w:val="en-US" w:eastAsia="zh-CN" w:bidi="ar-SA"/>
              </w:rPr>
            </w:pPr>
            <w:r>
              <w:rPr>
                <w:rFonts w:hint="eastAsia"/>
                <w:kern w:val="2"/>
                <w:sz w:val="24"/>
                <w:szCs w:val="24"/>
                <w:highlight w:val="none"/>
                <w:lang w:val="en-US" w:eastAsia="zh-CN" w:bidi="ar-SA"/>
              </w:rPr>
              <w:t>（1）下风向布设移动雾炮机喷洒水幕，捕捉外逸烟尘，减少下风向污染物浓度。</w:t>
            </w:r>
          </w:p>
          <w:p>
            <w:pPr>
              <w:spacing w:line="360" w:lineRule="auto"/>
              <w:ind w:firstLine="480" w:firstLineChars="200"/>
              <w:rPr>
                <w:rFonts w:hint="eastAsia"/>
                <w:kern w:val="2"/>
                <w:sz w:val="24"/>
                <w:szCs w:val="24"/>
                <w:highlight w:val="none"/>
                <w:lang w:val="en-US" w:eastAsia="zh-CN" w:bidi="ar-SA"/>
              </w:rPr>
            </w:pPr>
            <w:r>
              <w:rPr>
                <w:rFonts w:hint="eastAsia"/>
                <w:kern w:val="2"/>
                <w:sz w:val="24"/>
                <w:szCs w:val="24"/>
                <w:highlight w:val="none"/>
                <w:lang w:val="en-US" w:eastAsia="zh-CN" w:bidi="ar-SA"/>
              </w:rPr>
              <w:t>（2）</w:t>
            </w:r>
            <w:r>
              <w:rPr>
                <w:rFonts w:hint="eastAsia"/>
                <w:color w:val="auto"/>
                <w:kern w:val="2"/>
                <w:sz w:val="24"/>
                <w:szCs w:val="24"/>
                <w:highlight w:val="none"/>
                <w:lang w:val="en-US" w:eastAsia="zh-CN" w:bidi="ar-SA"/>
              </w:rPr>
              <w:t>关闭储煤库大门，利用封闭厂房的围挡作用限值烟气外逸。</w:t>
            </w:r>
          </w:p>
          <w:p>
            <w:pPr>
              <w:spacing w:line="360" w:lineRule="auto"/>
              <w:ind w:firstLine="480" w:firstLineChars="200"/>
              <w:rPr>
                <w:rFonts w:hint="eastAsia"/>
                <w:kern w:val="2"/>
                <w:sz w:val="24"/>
                <w:szCs w:val="24"/>
                <w:highlight w:val="none"/>
                <w:lang w:val="en-US" w:eastAsia="zh-CN" w:bidi="ar-SA"/>
              </w:rPr>
            </w:pPr>
            <w:r>
              <w:rPr>
                <w:rFonts w:hint="eastAsia"/>
                <w:kern w:val="2"/>
                <w:sz w:val="24"/>
                <w:szCs w:val="24"/>
                <w:highlight w:val="none"/>
                <w:lang w:val="en-US" w:eastAsia="zh-CN" w:bidi="ar-SA"/>
              </w:rPr>
              <w:t>（3）</w:t>
            </w:r>
            <w:r>
              <w:rPr>
                <w:rFonts w:hint="eastAsia"/>
                <w:color w:val="auto"/>
                <w:kern w:val="2"/>
                <w:sz w:val="24"/>
                <w:szCs w:val="24"/>
                <w:highlight w:val="none"/>
                <w:lang w:val="en-US" w:eastAsia="zh-CN" w:bidi="ar-SA"/>
              </w:rPr>
              <w:t>待煤堆完全冷却后挖除自燃区残煤，转运至单独区域堆存，避免复燃。残煤优先利用，不随意丢弃。</w:t>
            </w:r>
          </w:p>
          <w:p>
            <w:pPr>
              <w:spacing w:line="360" w:lineRule="auto"/>
              <w:ind w:firstLine="480" w:firstLineChars="200"/>
              <w:rPr>
                <w:rFonts w:hint="default"/>
                <w:highlight w:val="none"/>
                <w:lang w:val="en-US" w:eastAsia="zh-CN"/>
              </w:rPr>
            </w:pPr>
            <w:r>
              <w:rPr>
                <w:rFonts w:hint="eastAsia"/>
                <w:kern w:val="2"/>
                <w:sz w:val="24"/>
                <w:szCs w:val="24"/>
                <w:highlight w:val="none"/>
                <w:lang w:val="en-US" w:eastAsia="zh-CN" w:bidi="ar-SA"/>
              </w:rPr>
              <w:t>（4）</w:t>
            </w:r>
            <w:r>
              <w:rPr>
                <w:rFonts w:hint="eastAsia"/>
                <w:color w:val="auto"/>
                <w:kern w:val="2"/>
                <w:sz w:val="24"/>
                <w:szCs w:val="24"/>
                <w:highlight w:val="none"/>
                <w:lang w:val="en-US" w:eastAsia="zh-CN" w:bidi="ar-SA"/>
              </w:rPr>
              <w:t>清理沉降在厂区地面的烟尘积灰，收集后并入煤堆防止二次扬尘；冲洗废水收集至沉淀池中，不直接外排。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1610" w:type="dxa"/>
            <w:noWrap w:val="0"/>
            <w:vAlign w:val="center"/>
          </w:tcPr>
          <w:p>
            <w:pPr>
              <w:adjustRightInd w:val="0"/>
              <w:snapToGrid w:val="0"/>
              <w:jc w:val="center"/>
              <w:rPr>
                <w:rFonts w:ascii="宋体" w:hAnsi="宋体" w:cs="宋体"/>
                <w:spacing w:val="-8"/>
                <w:szCs w:val="21"/>
                <w:highlight w:val="none"/>
              </w:rPr>
            </w:pPr>
            <w:r>
              <w:rPr>
                <w:rFonts w:hint="eastAsia" w:ascii="宋体" w:hAnsi="宋体" w:cs="宋体"/>
                <w:spacing w:val="-8"/>
                <w:szCs w:val="21"/>
                <w:highlight w:val="none"/>
              </w:rPr>
              <w:t>其他环境</w:t>
            </w:r>
          </w:p>
          <w:p>
            <w:pPr>
              <w:adjustRightInd w:val="0"/>
              <w:snapToGrid w:val="0"/>
              <w:jc w:val="center"/>
              <w:rPr>
                <w:rFonts w:hint="eastAsia" w:ascii="宋体" w:hAnsi="宋体" w:cs="宋体"/>
                <w:spacing w:val="-8"/>
                <w:szCs w:val="21"/>
                <w:highlight w:val="none"/>
              </w:rPr>
            </w:pPr>
            <w:r>
              <w:rPr>
                <w:rFonts w:hint="eastAsia" w:ascii="宋体" w:hAnsi="宋体" w:cs="宋体"/>
                <w:spacing w:val="-8"/>
                <w:szCs w:val="21"/>
                <w:highlight w:val="none"/>
              </w:rPr>
              <w:t>管理要求</w:t>
            </w:r>
          </w:p>
        </w:tc>
        <w:tc>
          <w:tcPr>
            <w:tcW w:w="7190" w:type="dxa"/>
            <w:gridSpan w:val="4"/>
            <w:noWrap w:val="0"/>
            <w:vAlign w:val="center"/>
          </w:tcPr>
          <w:p>
            <w:pPr>
              <w:bidi w:val="0"/>
              <w:spacing w:line="360" w:lineRule="auto"/>
              <w:ind w:firstLine="480" w:firstLineChars="200"/>
              <w:rPr>
                <w:rFonts w:hint="eastAsia"/>
                <w:highlight w:val="none"/>
                <w:lang w:val="en-US" w:eastAsia="zh-CN"/>
              </w:rPr>
            </w:pPr>
            <w:r>
              <w:rPr>
                <w:rFonts w:hint="eastAsia"/>
                <w:highlight w:val="none"/>
                <w:lang w:val="en-US" w:eastAsia="zh-CN"/>
              </w:rPr>
              <w:t>1、排污许可</w:t>
            </w:r>
          </w:p>
          <w:p>
            <w:pPr>
              <w:bidi w:val="0"/>
              <w:spacing w:line="360" w:lineRule="auto"/>
              <w:ind w:firstLine="480" w:firstLineChars="200"/>
              <w:rPr>
                <w:rFonts w:hint="default"/>
                <w:highlight w:val="none"/>
                <w:lang w:val="en-US" w:eastAsia="zh-CN"/>
              </w:rPr>
            </w:pPr>
            <w:r>
              <w:rPr>
                <w:rFonts w:hint="eastAsia"/>
                <w:highlight w:val="none"/>
                <w:lang w:val="en-US" w:eastAsia="zh-CN"/>
              </w:rPr>
              <w:t>根据《固定污染源排污许可分类管理名录（</w:t>
            </w:r>
            <w:r>
              <w:rPr>
                <w:rFonts w:hint="default"/>
                <w:highlight w:val="none"/>
                <w:lang w:val="en-US" w:eastAsia="zh-CN"/>
              </w:rPr>
              <w:t>2019年版</w:t>
            </w:r>
            <w:r>
              <w:rPr>
                <w:rFonts w:hint="eastAsia"/>
                <w:highlight w:val="none"/>
                <w:lang w:val="en-US" w:eastAsia="zh-CN"/>
              </w:rPr>
              <w:t>）</w:t>
            </w:r>
            <w:r>
              <w:rPr>
                <w:rFonts w:hint="default"/>
                <w:highlight w:val="none"/>
                <w:lang w:val="en-US" w:eastAsia="zh-CN"/>
              </w:rPr>
              <w:t>》,本项目属于</w:t>
            </w:r>
            <w:r>
              <w:rPr>
                <w:rFonts w:hint="eastAsia"/>
                <w:highlight w:val="none"/>
                <w:lang w:val="en-US" w:eastAsia="zh-CN"/>
              </w:rPr>
              <w:t>“</w:t>
            </w:r>
            <w:r>
              <w:rPr>
                <w:rFonts w:hint="default"/>
                <w:highlight w:val="none"/>
                <w:lang w:val="en-US" w:eastAsia="zh-CN"/>
              </w:rPr>
              <w:t>二、煤炭开采和洗选业06</w:t>
            </w:r>
            <w:r>
              <w:rPr>
                <w:rFonts w:hint="eastAsia"/>
                <w:highlight w:val="none"/>
                <w:lang w:val="en-US" w:eastAsia="zh-CN"/>
              </w:rPr>
              <w:t>”、“</w:t>
            </w:r>
            <w:r>
              <w:rPr>
                <w:rFonts w:hint="default"/>
                <w:highlight w:val="none"/>
                <w:lang w:val="en-US" w:eastAsia="zh-CN"/>
              </w:rPr>
              <w:t>3.烟煤和无烟煤开采洗选061</w:t>
            </w:r>
            <w:r>
              <w:rPr>
                <w:rFonts w:hint="eastAsia"/>
                <w:highlight w:val="none"/>
                <w:lang w:val="en-US" w:eastAsia="zh-CN"/>
              </w:rPr>
              <w:t>，</w:t>
            </w:r>
            <w:r>
              <w:rPr>
                <w:rFonts w:hint="default"/>
                <w:highlight w:val="none"/>
                <w:lang w:val="en-US" w:eastAsia="zh-CN"/>
              </w:rPr>
              <w:t>褐煤开采洗选062</w:t>
            </w:r>
            <w:r>
              <w:rPr>
                <w:rFonts w:hint="eastAsia"/>
                <w:highlight w:val="none"/>
                <w:lang w:val="en-US" w:eastAsia="zh-CN"/>
              </w:rPr>
              <w:t>，</w:t>
            </w:r>
            <w:r>
              <w:rPr>
                <w:rFonts w:hint="default"/>
                <w:highlight w:val="none"/>
                <w:lang w:val="en-US" w:eastAsia="zh-CN"/>
              </w:rPr>
              <w:t>其他煤炭洗选069</w:t>
            </w:r>
            <w:r>
              <w:rPr>
                <w:rFonts w:hint="eastAsia"/>
                <w:highlight w:val="none"/>
                <w:lang w:val="en-US" w:eastAsia="zh-CN"/>
              </w:rPr>
              <w:t>”</w:t>
            </w:r>
            <w:r>
              <w:rPr>
                <w:rFonts w:hint="default"/>
                <w:highlight w:val="none"/>
                <w:lang w:val="en-US" w:eastAsia="zh-CN"/>
              </w:rPr>
              <w:t>中的</w:t>
            </w:r>
            <w:r>
              <w:rPr>
                <w:rFonts w:hint="eastAsia"/>
                <w:highlight w:val="none"/>
                <w:lang w:val="en-US" w:eastAsia="zh-CN"/>
              </w:rPr>
              <w:t>“</w:t>
            </w:r>
            <w:r>
              <w:rPr>
                <w:rFonts w:hint="default"/>
                <w:highlight w:val="none"/>
                <w:lang w:val="en-US" w:eastAsia="zh-CN"/>
              </w:rPr>
              <w:t>其他</w:t>
            </w:r>
            <w:r>
              <w:rPr>
                <w:rFonts w:hint="eastAsia"/>
                <w:highlight w:val="none"/>
                <w:lang w:val="en-US" w:eastAsia="zh-CN"/>
              </w:rPr>
              <w:t>”，</w:t>
            </w:r>
            <w:r>
              <w:rPr>
                <w:rFonts w:hint="default"/>
                <w:highlight w:val="none"/>
                <w:lang w:val="en-US" w:eastAsia="zh-CN"/>
              </w:rPr>
              <w:t>为登记管理，不属于大气环境重点排污单位。</w:t>
            </w:r>
          </w:p>
          <w:p>
            <w:pPr>
              <w:bidi w:val="0"/>
              <w:spacing w:line="360" w:lineRule="auto"/>
              <w:ind w:firstLine="480" w:firstLineChars="200"/>
              <w:rPr>
                <w:rFonts w:hint="eastAsia"/>
                <w:highlight w:val="none"/>
                <w:lang w:val="en-US" w:eastAsia="zh-CN"/>
              </w:rPr>
            </w:pPr>
            <w:r>
              <w:rPr>
                <w:rFonts w:hint="eastAsia"/>
                <w:highlight w:val="none"/>
                <w:lang w:val="en-US" w:eastAsia="zh-CN"/>
              </w:rPr>
              <w:t>2、排放口规范化</w:t>
            </w:r>
          </w:p>
          <w:p>
            <w:pPr>
              <w:bidi w:val="0"/>
              <w:spacing w:line="360" w:lineRule="auto"/>
              <w:ind w:firstLine="480" w:firstLineChars="200"/>
              <w:rPr>
                <w:rFonts w:hint="eastAsia"/>
                <w:highlight w:val="none"/>
                <w:lang w:val="en-US" w:eastAsia="zh-CN"/>
              </w:rPr>
            </w:pPr>
            <w:r>
              <w:rPr>
                <w:rFonts w:hint="eastAsia"/>
                <w:highlight w:val="none"/>
                <w:lang w:val="en-US" w:eastAsia="zh-CN"/>
              </w:rPr>
              <w:t>根据《关于开展排污口规范化整治工作的通知》(国家环保总局环发</w:t>
            </w:r>
            <w:r>
              <w:rPr>
                <w:rFonts w:hint="default"/>
                <w:highlight w:val="none"/>
                <w:lang w:val="en-US" w:eastAsia="zh-CN"/>
              </w:rPr>
              <w:t>〔1999〕24号)</w:t>
            </w:r>
            <w:r>
              <w:rPr>
                <w:rFonts w:hint="eastAsia"/>
                <w:highlight w:val="none"/>
                <w:lang w:val="en-US" w:eastAsia="zh-CN"/>
              </w:rPr>
              <w:t>文件的规定“一切新建、扩建、改建的排污单位必须在建设污染治理设施的同时建设规范化排污口，作为落实环境保护“三同时”制度的必要组成和项目验收内容之一。”因此环评对本项目排污口提出如下规范化要求：</w:t>
            </w:r>
          </w:p>
          <w:p>
            <w:pPr>
              <w:bidi w:val="0"/>
              <w:spacing w:line="360" w:lineRule="auto"/>
              <w:ind w:firstLine="480" w:firstLineChars="200"/>
              <w:rPr>
                <w:rFonts w:hint="eastAsia"/>
                <w:highlight w:val="none"/>
                <w:lang w:val="en-US" w:eastAsia="zh-CN"/>
              </w:rPr>
            </w:pPr>
            <w:r>
              <w:rPr>
                <w:rFonts w:hint="eastAsia"/>
                <w:highlight w:val="none"/>
                <w:lang w:val="en-US" w:eastAsia="zh-CN"/>
              </w:rPr>
              <w:t>（1）噪声排放源</w:t>
            </w:r>
          </w:p>
          <w:p>
            <w:pPr>
              <w:bidi w:val="0"/>
              <w:spacing w:line="360" w:lineRule="auto"/>
              <w:ind w:firstLine="480" w:firstLineChars="200"/>
              <w:rPr>
                <w:rFonts w:hint="eastAsia"/>
                <w:highlight w:val="none"/>
                <w:lang w:val="en-US" w:eastAsia="zh-CN"/>
              </w:rPr>
            </w:pPr>
            <w:r>
              <w:rPr>
                <w:rFonts w:hint="eastAsia"/>
                <w:highlight w:val="none"/>
                <w:lang w:val="en-US" w:eastAsia="zh-CN"/>
              </w:rPr>
              <w:t>噪声排放源的环境保护图形符号分别为提示图形符号和警告图形符号，图形符号的设置应按照</w:t>
            </w:r>
            <w:r>
              <w:rPr>
                <w:rFonts w:hint="default"/>
                <w:highlight w:val="none"/>
                <w:lang w:val="en-US" w:eastAsia="zh-CN"/>
              </w:rPr>
              <w:t>GB15562.1-1995</w:t>
            </w:r>
            <w:r>
              <w:rPr>
                <w:rFonts w:hint="eastAsia"/>
                <w:highlight w:val="none"/>
                <w:lang w:val="en-US" w:eastAsia="zh-CN"/>
              </w:rPr>
              <w:t>设置。</w:t>
            </w:r>
          </w:p>
          <w:p>
            <w:pPr>
              <w:pStyle w:val="28"/>
              <w:spacing w:line="360" w:lineRule="auto"/>
              <w:ind w:firstLine="441" w:firstLineChars="200"/>
              <w:jc w:val="center"/>
              <w:rPr>
                <w:rFonts w:hint="default" w:ascii="Times New Roman" w:hAnsi="Times New Roman" w:cs="Times New Roman"/>
                <w:b/>
                <w:bCs/>
                <w:sz w:val="22"/>
                <w:szCs w:val="22"/>
                <w:highlight w:val="none"/>
                <w:lang w:val="en-US" w:eastAsia="zh-CN"/>
              </w:rPr>
            </w:pPr>
            <w:r>
              <w:rPr>
                <w:rFonts w:hint="default" w:ascii="Times New Roman" w:hAnsi="Times New Roman" w:cs="Times New Roman"/>
                <w:b/>
                <w:bCs/>
                <w:sz w:val="22"/>
                <w:szCs w:val="22"/>
                <w:highlight w:val="none"/>
                <w:lang w:val="en-US" w:eastAsia="zh-CN"/>
              </w:rPr>
              <w:t>表5-1 环境保护图形符号一览表</w:t>
            </w:r>
          </w:p>
          <w:tbl>
            <w:tblPr>
              <w:tblStyle w:val="22"/>
              <w:tblW w:w="0" w:type="auto"/>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73"/>
              <w:gridCol w:w="1373"/>
              <w:gridCol w:w="1373"/>
              <w:gridCol w:w="1373"/>
              <w:gridCol w:w="1373"/>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373" w:type="dxa"/>
                  <w:tcBorders>
                    <w:tl2br w:val="nil"/>
                    <w:tr2bl w:val="nil"/>
                  </w:tcBorders>
                  <w:vAlign w:val="center"/>
                </w:tcPr>
                <w:p>
                  <w:pPr>
                    <w:bidi w:val="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序号</w:t>
                  </w:r>
                </w:p>
              </w:tc>
              <w:tc>
                <w:tcPr>
                  <w:tcW w:w="1373" w:type="dxa"/>
                  <w:tcBorders>
                    <w:tl2br w:val="nil"/>
                    <w:tr2bl w:val="nil"/>
                  </w:tcBorders>
                  <w:vAlign w:val="center"/>
                </w:tcPr>
                <w:p>
                  <w:pPr>
                    <w:bidi w:val="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提示图形</w:t>
                  </w:r>
                </w:p>
              </w:tc>
              <w:tc>
                <w:tcPr>
                  <w:tcW w:w="1373" w:type="dxa"/>
                  <w:tcBorders>
                    <w:tl2br w:val="nil"/>
                    <w:tr2bl w:val="nil"/>
                  </w:tcBorders>
                  <w:vAlign w:val="center"/>
                </w:tcPr>
                <w:p>
                  <w:pPr>
                    <w:bidi w:val="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警示图形</w:t>
                  </w:r>
                </w:p>
              </w:tc>
              <w:tc>
                <w:tcPr>
                  <w:tcW w:w="1373" w:type="dxa"/>
                  <w:tcBorders>
                    <w:tl2br w:val="nil"/>
                    <w:tr2bl w:val="nil"/>
                  </w:tcBorders>
                  <w:vAlign w:val="center"/>
                </w:tcPr>
                <w:p>
                  <w:pPr>
                    <w:bidi w:val="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名称</w:t>
                  </w:r>
                </w:p>
              </w:tc>
              <w:tc>
                <w:tcPr>
                  <w:tcW w:w="1373" w:type="dxa"/>
                  <w:tcBorders>
                    <w:tl2br w:val="nil"/>
                    <w:tr2bl w:val="nil"/>
                  </w:tcBorders>
                  <w:vAlign w:val="center"/>
                </w:tcPr>
                <w:p>
                  <w:pPr>
                    <w:bidi w:val="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功能</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373" w:type="dxa"/>
                  <w:tcBorders>
                    <w:tl2br w:val="nil"/>
                    <w:tr2bl w:val="nil"/>
                  </w:tcBorders>
                  <w:vAlign w:val="center"/>
                </w:tcPr>
                <w:p>
                  <w:pPr>
                    <w:bidi w:val="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w:t>
                  </w:r>
                </w:p>
              </w:tc>
              <w:tc>
                <w:tcPr>
                  <w:tcW w:w="1373" w:type="dxa"/>
                  <w:tcBorders>
                    <w:tl2br w:val="nil"/>
                    <w:tr2bl w:val="nil"/>
                  </w:tcBorders>
                  <w:vAlign w:val="center"/>
                </w:tcPr>
                <w:p>
                  <w:pPr>
                    <w:bidi w:val="0"/>
                    <w:jc w:val="center"/>
                    <w:rPr>
                      <w:rFonts w:hint="default" w:ascii="Times New Roman" w:hAnsi="Times New Roman" w:eastAsia="宋体" w:cs="Times New Roman"/>
                      <w:sz w:val="21"/>
                      <w:szCs w:val="21"/>
                      <w:highlight w:val="none"/>
                      <w:lang w:val="en-US" w:eastAsia="zh-CN"/>
                    </w:rPr>
                  </w:pPr>
                  <w:r>
                    <w:rPr>
                      <w:highlight w:val="none"/>
                    </w:rPr>
                    <w:drawing>
                      <wp:inline distT="0" distB="0" distL="114300" distR="114300">
                        <wp:extent cx="734695" cy="848360"/>
                        <wp:effectExtent l="0" t="0" r="12065" b="5080"/>
                        <wp:docPr id="3"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true"/>
                                </pic:cNvPicPr>
                              </pic:nvPicPr>
                              <pic:blipFill>
                                <a:blip r:embed="rId35"/>
                                <a:stretch>
                                  <a:fillRect/>
                                </a:stretch>
                              </pic:blipFill>
                              <pic:spPr>
                                <a:xfrm>
                                  <a:off x="0" y="0"/>
                                  <a:ext cx="734695" cy="848360"/>
                                </a:xfrm>
                                <a:prstGeom prst="rect">
                                  <a:avLst/>
                                </a:prstGeom>
                                <a:noFill/>
                                <a:ln>
                                  <a:noFill/>
                                </a:ln>
                              </pic:spPr>
                            </pic:pic>
                          </a:graphicData>
                        </a:graphic>
                      </wp:inline>
                    </w:drawing>
                  </w:r>
                </w:p>
              </w:tc>
              <w:tc>
                <w:tcPr>
                  <w:tcW w:w="1373" w:type="dxa"/>
                  <w:tcBorders>
                    <w:tl2br w:val="nil"/>
                    <w:tr2bl w:val="nil"/>
                  </w:tcBorders>
                  <w:vAlign w:val="center"/>
                </w:tcPr>
                <w:p>
                  <w:pPr>
                    <w:bidi w:val="0"/>
                    <w:jc w:val="center"/>
                    <w:rPr>
                      <w:rFonts w:hint="default" w:ascii="Times New Roman" w:hAnsi="Times New Roman" w:eastAsia="宋体" w:cs="Times New Roman"/>
                      <w:sz w:val="21"/>
                      <w:szCs w:val="21"/>
                      <w:highlight w:val="none"/>
                      <w:lang w:val="en-US" w:eastAsia="zh-CN"/>
                    </w:rPr>
                  </w:pPr>
                  <w:r>
                    <w:rPr>
                      <w:highlight w:val="none"/>
                    </w:rPr>
                    <w:drawing>
                      <wp:inline distT="0" distB="0" distL="114300" distR="114300">
                        <wp:extent cx="734695" cy="675640"/>
                        <wp:effectExtent l="0" t="0" r="12065" b="10160"/>
                        <wp:docPr id="4"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true"/>
                                </pic:cNvPicPr>
                              </pic:nvPicPr>
                              <pic:blipFill>
                                <a:blip r:embed="rId36"/>
                                <a:stretch>
                                  <a:fillRect/>
                                </a:stretch>
                              </pic:blipFill>
                              <pic:spPr>
                                <a:xfrm>
                                  <a:off x="0" y="0"/>
                                  <a:ext cx="734695" cy="675640"/>
                                </a:xfrm>
                                <a:prstGeom prst="rect">
                                  <a:avLst/>
                                </a:prstGeom>
                                <a:noFill/>
                                <a:ln>
                                  <a:noFill/>
                                </a:ln>
                              </pic:spPr>
                            </pic:pic>
                          </a:graphicData>
                        </a:graphic>
                      </wp:inline>
                    </w:drawing>
                  </w:r>
                </w:p>
              </w:tc>
              <w:tc>
                <w:tcPr>
                  <w:tcW w:w="1373" w:type="dxa"/>
                  <w:tcBorders>
                    <w:tl2br w:val="nil"/>
                    <w:tr2bl w:val="nil"/>
                  </w:tcBorders>
                  <w:vAlign w:val="center"/>
                </w:tcPr>
                <w:p>
                  <w:pPr>
                    <w:bidi w:val="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噪声排放源</w:t>
                  </w:r>
                </w:p>
              </w:tc>
              <w:tc>
                <w:tcPr>
                  <w:tcW w:w="1373" w:type="dxa"/>
                  <w:tcBorders>
                    <w:tl2br w:val="nil"/>
                    <w:tr2bl w:val="nil"/>
                  </w:tcBorders>
                  <w:vAlign w:val="center"/>
                </w:tcPr>
                <w:p>
                  <w:pPr>
                    <w:bidi w:val="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表示噪声向外环境排放</w:t>
                  </w:r>
                </w:p>
              </w:tc>
            </w:tr>
          </w:tbl>
          <w:p>
            <w:pPr>
              <w:bidi w:val="0"/>
              <w:spacing w:line="360" w:lineRule="auto"/>
              <w:ind w:firstLine="480" w:firstLineChars="200"/>
              <w:rPr>
                <w:rFonts w:hint="eastAsia" w:cs="Times New Roman"/>
                <w:sz w:val="24"/>
                <w:szCs w:val="24"/>
                <w:highlight w:val="none"/>
                <w:lang w:val="en-US" w:eastAsia="zh-CN"/>
              </w:rPr>
            </w:pPr>
            <w:r>
              <w:rPr>
                <w:rFonts w:hint="eastAsia"/>
                <w:highlight w:val="none"/>
                <w:lang w:val="en-US" w:eastAsia="zh-CN"/>
              </w:rPr>
              <w:t>（2）排污口规范化管理</w:t>
            </w:r>
          </w:p>
          <w:p>
            <w:pPr>
              <w:bidi w:val="0"/>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①建设单位应在各排污口处设立较明显的排污口标志牌，其上应注明主要排放污染物的名称以警示周围群众。</w:t>
            </w:r>
          </w:p>
          <w:p>
            <w:pPr>
              <w:bidi w:val="0"/>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②建设单位应如实填写《中华人民共和国规范化排污口标志登记证》的有关内容，由环保主管部门签发登记证。</w:t>
            </w:r>
          </w:p>
          <w:p>
            <w:pPr>
              <w:bidi w:val="0"/>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③建设单位应将有关排污口的情况，如：排污口的性质、编号，排污口的位置；主要排放的污染物种类、数量、浓度、排放规律、排放去向；污染治理设施的运行情况等进行建档管理，并报送环保主管部门备案。</w:t>
            </w:r>
          </w:p>
          <w:p>
            <w:pPr>
              <w:pStyle w:val="2"/>
              <w:rPr>
                <w:rFonts w:hint="default"/>
                <w:highlight w:val="none"/>
                <w:lang w:val="en-US" w:eastAsia="zh-CN"/>
              </w:rPr>
            </w:pPr>
          </w:p>
          <w:p>
            <w:pPr>
              <w:bidi w:val="0"/>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3、环境管理</w:t>
            </w:r>
          </w:p>
          <w:p>
            <w:pPr>
              <w:bidi w:val="0"/>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为了贯彻执行国家环保法的有关法律法规，对项目</w:t>
            </w:r>
            <w:r>
              <w:rPr>
                <w:rFonts w:hint="eastAsia" w:cs="Times New Roman"/>
                <w:highlight w:val="none"/>
                <w:lang w:val="en-US" w:eastAsia="zh-CN"/>
              </w:rPr>
              <w:t>“</w:t>
            </w:r>
            <w:r>
              <w:rPr>
                <w:rFonts w:hint="default" w:ascii="Times New Roman" w:hAnsi="Times New Roman" w:eastAsia="宋体" w:cs="Times New Roman"/>
                <w:highlight w:val="none"/>
                <w:lang w:val="en-US" w:eastAsia="zh-CN"/>
              </w:rPr>
              <w:t>三废</w:t>
            </w:r>
            <w:r>
              <w:rPr>
                <w:rFonts w:hint="eastAsia" w:cs="Times New Roman"/>
                <w:highlight w:val="none"/>
                <w:lang w:val="en-US" w:eastAsia="zh-CN"/>
              </w:rPr>
              <w:t>”</w:t>
            </w:r>
            <w:r>
              <w:rPr>
                <w:rFonts w:hint="default" w:ascii="Times New Roman" w:hAnsi="Times New Roman" w:eastAsia="宋体" w:cs="Times New Roman"/>
                <w:highlight w:val="none"/>
                <w:lang w:val="en-US" w:eastAsia="zh-CN"/>
              </w:rPr>
              <w:t>排放实行监控，确保建设项目社会、经济、环境效益协调发展，协助地方环保职能部门工作，为厂区的生产管理和环境管理提供保证。建设单位需设置专门的环境管理人员，以对厂区内的环境问题进行管理和监测。</w:t>
            </w:r>
          </w:p>
          <w:p>
            <w:pPr>
              <w:bidi w:val="0"/>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4、运输车辆和非道路移动机械管理要求</w:t>
            </w:r>
          </w:p>
          <w:p>
            <w:pPr>
              <w:bidi w:val="0"/>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项目施工期所使用移动源尾气排放应达到国家有关现行有效标准的要求。</w:t>
            </w:r>
            <w:r>
              <w:rPr>
                <w:rFonts w:hint="default" w:ascii="Times New Roman" w:hAnsi="Times New Roman" w:eastAsia="宋体" w:cs="Times New Roman"/>
                <w:color w:val="auto"/>
                <w:highlight w:val="none"/>
                <w:lang w:val="en-US" w:eastAsia="zh-CN"/>
              </w:rPr>
              <w:t>运营期</w:t>
            </w:r>
            <w:r>
              <w:rPr>
                <w:rFonts w:hint="eastAsia" w:ascii="Times New Roman" w:hAnsi="Times New Roman" w:eastAsia="宋体" w:cs="Times New Roman"/>
                <w:color w:val="auto"/>
                <w:highlight w:val="none"/>
                <w:lang w:val="zh-CN" w:eastAsia="zh-CN"/>
              </w:rPr>
              <w:t>所采用的</w:t>
            </w:r>
            <w:r>
              <w:rPr>
                <w:rFonts w:hint="default" w:ascii="Times New Roman" w:hAnsi="Times New Roman" w:eastAsia="宋体" w:cs="Times New Roman"/>
                <w:color w:val="auto"/>
                <w:highlight w:val="none"/>
                <w:lang w:val="en-US" w:eastAsia="zh-CN"/>
              </w:rPr>
              <w:t>物料</w:t>
            </w:r>
            <w:r>
              <w:rPr>
                <w:rFonts w:hint="eastAsia" w:ascii="Times New Roman" w:hAnsi="Times New Roman" w:eastAsia="宋体" w:cs="Times New Roman"/>
                <w:color w:val="auto"/>
                <w:highlight w:val="none"/>
                <w:lang w:val="zh-CN" w:eastAsia="zh-CN"/>
              </w:rPr>
              <w:t>运输车辆均达到</w:t>
            </w:r>
            <w:r>
              <w:rPr>
                <w:rFonts w:hint="eastAsia" w:ascii="Times New Roman" w:hAnsi="Times New Roman" w:eastAsia="宋体" w:cs="Times New Roman"/>
                <w:color w:val="auto"/>
                <w:highlight w:val="none"/>
                <w:lang w:val="en-US" w:eastAsia="zh-CN"/>
              </w:rPr>
              <w:t>国Ⅵ汽、柴油标准</w:t>
            </w:r>
            <w:r>
              <w:rPr>
                <w:rFonts w:hint="eastAsia" w:cs="Times New Roman"/>
                <w:color w:val="auto"/>
                <w:highlight w:val="none"/>
                <w:lang w:val="en-US" w:eastAsia="zh-CN"/>
              </w:rPr>
              <w:t>；</w:t>
            </w:r>
            <w:r>
              <w:rPr>
                <w:rFonts w:hint="eastAsia" w:ascii="Times New Roman" w:hAnsi="Times New Roman" w:eastAsia="宋体" w:cs="Times New Roman"/>
                <w:color w:val="auto"/>
                <w:highlight w:val="none"/>
                <w:lang w:val="zh-CN" w:eastAsia="zh-CN"/>
              </w:rPr>
              <w:t>非道路移动机械均达到国四</w:t>
            </w:r>
            <w:r>
              <w:rPr>
                <w:rFonts w:hint="eastAsia" w:cs="Times New Roman"/>
                <w:color w:val="auto"/>
                <w:highlight w:val="none"/>
                <w:lang w:val="zh-CN" w:eastAsia="zh-CN"/>
              </w:rPr>
              <w:t>及以上</w:t>
            </w:r>
            <w:r>
              <w:rPr>
                <w:rFonts w:hint="eastAsia" w:ascii="Times New Roman" w:hAnsi="Times New Roman" w:eastAsia="宋体" w:cs="Times New Roman"/>
                <w:color w:val="auto"/>
                <w:highlight w:val="none"/>
                <w:lang w:val="zh-CN" w:eastAsia="zh-CN"/>
              </w:rPr>
              <w:t>标准</w:t>
            </w:r>
            <w:r>
              <w:rPr>
                <w:rFonts w:hint="eastAsia" w:cs="Times New Roman"/>
                <w:color w:val="auto"/>
                <w:highlight w:val="none"/>
                <w:lang w:val="zh-CN" w:eastAsia="zh-CN"/>
              </w:rPr>
              <w:t>，</w:t>
            </w:r>
            <w:r>
              <w:rPr>
                <w:rFonts w:hint="default" w:ascii="Times New Roman" w:hAnsi="Times New Roman" w:eastAsia="宋体" w:cs="Times New Roman"/>
                <w:highlight w:val="none"/>
                <w:lang w:val="en-US" w:eastAsia="zh-CN"/>
              </w:rPr>
              <w:t>场所内使用的非道路移动机械均应进行环保编码登记并悬挂号牌或机身明显处喷码，达标排放。安装车辆门禁和视频监控系统，建立运输电子台账，加强运输车辆管控，完善车辆使用、维修保养记录，每半年更新一次。</w:t>
            </w:r>
          </w:p>
          <w:p>
            <w:pPr>
              <w:bidi w:val="0"/>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5、竣工环境保护设施验收</w:t>
            </w:r>
          </w:p>
          <w:p>
            <w:pPr>
              <w:bidi w:val="0"/>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根据《建设项目竣工环境保护验收暂行办法》的规定，建设项目竣工后，建设单位应当如实查验、监测、记载建设项目环境保护设施的建设和调试情况，编制验收监测报告。</w:t>
            </w:r>
          </w:p>
          <w:p>
            <w:pPr>
              <w:bidi w:val="0"/>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6、运行台账</w:t>
            </w:r>
          </w:p>
          <w:p>
            <w:pPr>
              <w:bidi w:val="0"/>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排污单位应按照HJ944要求建立环境管理台账制度，落实环境管理台账记录的责任单位和责任人，明确工作职责，包括台账的记录、整理、维护和管理等，台账记录频次和内容须满足排污许可证环境管理要求，并对台账记录结果的真实性、完整性和规范性负责。</w:t>
            </w:r>
          </w:p>
          <w:p>
            <w:pPr>
              <w:bidi w:val="0"/>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排污单位环境管理台账应真实记录基本信息、生产设施运行管理信息、污染防治措施运行管理信息、监测记录信息及其他环境管理信息等。生产设施、污染防治设施、排放口编码应与排污许可证副本中载明的编码一致。</w:t>
            </w:r>
          </w:p>
          <w:p>
            <w:pPr>
              <w:bidi w:val="0"/>
              <w:rPr>
                <w:rFonts w:hint="default"/>
                <w:highlight w:val="none"/>
                <w:lang w:val="en-US" w:eastAsia="zh-CN"/>
              </w:rPr>
            </w:pPr>
          </w:p>
          <w:p>
            <w:pPr>
              <w:pStyle w:val="28"/>
              <w:spacing w:line="360" w:lineRule="auto"/>
              <w:ind w:firstLine="480" w:firstLineChars="200"/>
              <w:jc w:val="both"/>
              <w:rPr>
                <w:rFonts w:hint="eastAsia" w:cs="Times New Roman"/>
                <w:sz w:val="24"/>
                <w:szCs w:val="24"/>
                <w:highlight w:val="none"/>
                <w:lang w:val="en-US" w:eastAsia="zh-CN"/>
              </w:rPr>
            </w:pPr>
          </w:p>
          <w:p>
            <w:pPr>
              <w:pStyle w:val="28"/>
              <w:jc w:val="center"/>
              <w:rPr>
                <w:rFonts w:hint="eastAsia" w:cs="Times New Roman"/>
                <w:sz w:val="21"/>
                <w:szCs w:val="21"/>
                <w:highlight w:val="none"/>
                <w:lang w:val="en-US" w:eastAsia="zh-CN"/>
              </w:rPr>
            </w:pPr>
          </w:p>
        </w:tc>
      </w:tr>
    </w:tbl>
    <w:p>
      <w:pPr>
        <w:pStyle w:val="18"/>
        <w:jc w:val="center"/>
        <w:outlineLvl w:val="0"/>
        <w:rPr>
          <w:rFonts w:ascii="黑体" w:hAnsi="黑体" w:eastAsia="黑体"/>
          <w:snapToGrid w:val="0"/>
          <w:sz w:val="30"/>
          <w:szCs w:val="30"/>
          <w:highlight w:val="none"/>
        </w:rPr>
      </w:pPr>
      <w:r>
        <w:rPr>
          <w:snapToGrid w:val="0"/>
          <w:highlight w:val="none"/>
        </w:rPr>
        <w:br w:type="page"/>
      </w:r>
      <w:r>
        <w:rPr>
          <w:rFonts w:hint="eastAsia" w:ascii="黑体" w:hAnsi="黑体" w:eastAsia="黑体"/>
          <w:snapToGrid w:val="0"/>
          <w:sz w:val="30"/>
          <w:szCs w:val="30"/>
          <w:highlight w:val="none"/>
        </w:rPr>
        <w:t>六、结论</w:t>
      </w:r>
    </w:p>
    <w:tbl>
      <w:tblPr>
        <w:tblStyle w:val="2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top"/>
          </w:tcPr>
          <w:p>
            <w:pPr>
              <w:spacing w:line="360" w:lineRule="auto"/>
              <w:ind w:firstLine="480" w:firstLineChars="200"/>
              <w:jc w:val="both"/>
              <w:rPr>
                <w:rFonts w:hint="eastAsia" w:ascii="宋体" w:eastAsia="宋体" w:cs="宋体"/>
                <w:sz w:val="24"/>
                <w:highlight w:val="none"/>
                <w:lang w:eastAsia="zh-CN"/>
              </w:rPr>
            </w:pPr>
            <w:r>
              <w:rPr>
                <w:color w:val="auto"/>
                <w:sz w:val="24"/>
                <w:highlight w:val="none"/>
              </w:rPr>
              <w:t>综合本次评价，</w:t>
            </w:r>
            <w:r>
              <w:rPr>
                <w:rFonts w:hint="default" w:ascii="Times New Roman" w:hAnsi="Times New Roman" w:cs="Times New Roman"/>
                <w:szCs w:val="21"/>
                <w:highlight w:val="none"/>
                <w:lang w:val="en-US" w:eastAsia="zh-CN"/>
              </w:rPr>
              <w:t>阜矿集团海州公司10万吨中央储煤基地</w:t>
            </w:r>
            <w:r>
              <w:rPr>
                <w:rFonts w:hint="default" w:ascii="Times New Roman" w:hAnsi="Times New Roman" w:eastAsia="宋体" w:cs="Times New Roman"/>
                <w:color w:val="auto"/>
                <w:sz w:val="24"/>
                <w:highlight w:val="none"/>
                <w:lang w:eastAsia="zh-CN"/>
              </w:rPr>
              <w:t>项目</w:t>
            </w:r>
            <w:r>
              <w:rPr>
                <w:rFonts w:hint="eastAsia"/>
                <w:color w:val="auto"/>
                <w:sz w:val="24"/>
                <w:highlight w:val="none"/>
              </w:rPr>
              <w:t>，</w:t>
            </w:r>
            <w:r>
              <w:rPr>
                <w:color w:val="auto"/>
                <w:sz w:val="24"/>
                <w:highlight w:val="none"/>
              </w:rPr>
              <w:t>为国家</w:t>
            </w:r>
            <w:r>
              <w:rPr>
                <w:rFonts w:hint="eastAsia"/>
                <w:color w:val="auto"/>
                <w:sz w:val="24"/>
                <w:highlight w:val="none"/>
                <w:lang w:val="en-US" w:eastAsia="zh-CN"/>
              </w:rPr>
              <w:t>鼓励</w:t>
            </w:r>
            <w:r>
              <w:rPr>
                <w:color w:val="auto"/>
                <w:sz w:val="24"/>
                <w:highlight w:val="none"/>
              </w:rPr>
              <w:t>类项目，符合国家产业政策，</w:t>
            </w:r>
            <w:r>
              <w:rPr>
                <w:rFonts w:hint="eastAsia" w:ascii="Times New Roman" w:hAnsi="Times New Roman" w:eastAsia="宋体" w:cs="Times New Roman"/>
                <w:color w:val="auto"/>
                <w:sz w:val="24"/>
                <w:szCs w:val="24"/>
                <w:highlight w:val="none"/>
                <w:lang w:eastAsia="zh-CN"/>
              </w:rPr>
              <w:t>本项目已取得土地证，土地手续详见附件</w:t>
            </w:r>
            <w:r>
              <w:rPr>
                <w:rFonts w:hint="eastAsia" w:cs="Times New Roman"/>
                <w:color w:val="auto"/>
                <w:sz w:val="24"/>
                <w:szCs w:val="24"/>
                <w:highlight w:val="none"/>
                <w:lang w:val="en-US" w:eastAsia="zh-CN"/>
              </w:rPr>
              <w:t>6</w:t>
            </w:r>
            <w:r>
              <w:rPr>
                <w:color w:val="auto"/>
                <w:sz w:val="24"/>
                <w:highlight w:val="none"/>
              </w:rPr>
              <w:t>，选址合理；在落实报告表中采取的</w:t>
            </w:r>
            <w:r>
              <w:rPr>
                <w:rFonts w:hint="eastAsia"/>
                <w:color w:val="auto"/>
                <w:sz w:val="24"/>
                <w:highlight w:val="none"/>
              </w:rPr>
              <w:t>废</w:t>
            </w:r>
            <w:r>
              <w:rPr>
                <w:color w:val="auto"/>
                <w:sz w:val="24"/>
                <w:highlight w:val="none"/>
              </w:rPr>
              <w:t>水、废气、固废、噪声等治理措施，</w:t>
            </w:r>
            <w:r>
              <w:rPr>
                <w:rFonts w:hint="eastAsia"/>
                <w:color w:val="auto"/>
                <w:sz w:val="24"/>
                <w:highlight w:val="none"/>
                <w:lang w:eastAsia="zh-CN"/>
              </w:rPr>
              <w:t>并在</w:t>
            </w:r>
            <w:r>
              <w:rPr>
                <w:color w:val="auto"/>
                <w:sz w:val="24"/>
                <w:highlight w:val="none"/>
              </w:rPr>
              <w:t>确保各类污染物稳定达标排放的前提下，本项目营运期对周围</w:t>
            </w:r>
            <w:r>
              <w:rPr>
                <w:rFonts w:hint="eastAsia"/>
                <w:color w:val="auto"/>
                <w:sz w:val="24"/>
                <w:highlight w:val="none"/>
                <w:lang w:val="en-US" w:eastAsia="zh-CN"/>
              </w:rPr>
              <w:t>生态</w:t>
            </w:r>
            <w:r>
              <w:rPr>
                <w:color w:val="auto"/>
                <w:sz w:val="24"/>
                <w:highlight w:val="none"/>
              </w:rPr>
              <w:t>环境的影响不大，从</w:t>
            </w:r>
            <w:r>
              <w:rPr>
                <w:rFonts w:hint="eastAsia"/>
                <w:color w:val="auto"/>
                <w:sz w:val="24"/>
                <w:highlight w:val="none"/>
                <w:lang w:val="en-US" w:eastAsia="zh-CN"/>
              </w:rPr>
              <w:t>生态</w:t>
            </w:r>
            <w:r>
              <w:rPr>
                <w:color w:val="auto"/>
                <w:sz w:val="24"/>
                <w:highlight w:val="none"/>
              </w:rPr>
              <w:t>环境保护角度分析，本项目的建设可行</w:t>
            </w:r>
            <w:r>
              <w:rPr>
                <w:rFonts w:hint="eastAsia"/>
                <w:color w:val="auto"/>
                <w:sz w:val="24"/>
                <w:highlight w:val="none"/>
              </w:rPr>
              <w:t>。</w:t>
            </w:r>
          </w:p>
        </w:tc>
      </w:tr>
    </w:tbl>
    <w:p>
      <w:pPr>
        <w:rPr>
          <w:rFonts w:ascii="宋体"/>
          <w:highlight w:val="none"/>
        </w:rPr>
        <w:sectPr>
          <w:pgSz w:w="11906" w:h="16838"/>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adjustRightInd w:val="0"/>
        <w:snapToGrid w:val="0"/>
        <w:spacing w:before="0" w:beforeAutospacing="0" w:after="0" w:afterAutospacing="0" w:line="648" w:lineRule="auto"/>
        <w:outlineLvl w:val="0"/>
        <w:rPr>
          <w:rFonts w:ascii="黑体" w:hAnsi="黑体" w:eastAsia="黑体"/>
          <w:snapToGrid w:val="0"/>
          <w:sz w:val="32"/>
          <w:szCs w:val="32"/>
          <w:highlight w:val="none"/>
        </w:rPr>
      </w:pPr>
      <w:r>
        <w:rPr>
          <w:rFonts w:hint="eastAsia" w:ascii="黑体" w:hAnsi="黑体" w:eastAsia="黑体"/>
          <w:snapToGrid w:val="0"/>
          <w:sz w:val="32"/>
          <w:szCs w:val="32"/>
          <w:highlight w:val="none"/>
        </w:rPr>
        <w:t>附表</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outlineLvl w:val="0"/>
        <w:rPr>
          <w:rFonts w:hint="eastAsia" w:ascii="方正小标宋_GBK" w:hAnsi="黑体" w:eastAsia="方正小标宋_GBK"/>
          <w:snapToGrid w:val="0"/>
          <w:sz w:val="38"/>
          <w:szCs w:val="38"/>
          <w:highlight w:val="none"/>
        </w:rPr>
      </w:pPr>
      <w:r>
        <w:rPr>
          <w:rFonts w:hint="eastAsia" w:ascii="方正小标宋_GBK" w:hAnsi="黑体" w:eastAsia="方正小标宋_GBK"/>
          <w:snapToGrid w:val="0"/>
          <w:sz w:val="38"/>
          <w:szCs w:val="38"/>
          <w:highlight w:val="none"/>
        </w:rPr>
        <w:t>建设项目污染物排放量汇总表</w:t>
      </w:r>
    </w:p>
    <w:tbl>
      <w:tblPr>
        <w:tblStyle w:val="21"/>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88"/>
        <w:gridCol w:w="1417"/>
        <w:gridCol w:w="1701"/>
        <w:gridCol w:w="1276"/>
        <w:gridCol w:w="1701"/>
        <w:gridCol w:w="1559"/>
        <w:gridCol w:w="1563"/>
        <w:gridCol w:w="1800"/>
        <w:gridCol w:w="118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588" w:type="dxa"/>
            <w:tcBorders>
              <w:tl2br w:val="single" w:color="auto" w:sz="4" w:space="0"/>
            </w:tcBorders>
            <w:noWrap w:val="0"/>
            <w:tcMar>
              <w:left w:w="28" w:type="dxa"/>
              <w:right w:w="28" w:type="dxa"/>
            </w:tcMar>
            <w:vAlign w:val="center"/>
          </w:tcPr>
          <w:p>
            <w:pPr>
              <w:pStyle w:val="44"/>
              <w:spacing w:beforeLines="0" w:afterLines="0" w:line="240" w:lineRule="auto"/>
              <w:jc w:val="right"/>
              <w:rPr>
                <w:rFonts w:hint="eastAsia" w:ascii="黑体" w:hAnsi="黑体" w:eastAsia="黑体" w:cs="宋体"/>
                <w:snapToGrid w:val="0"/>
                <w:color w:val="000000"/>
                <w:spacing w:val="-6"/>
                <w:kern w:val="21"/>
                <w:szCs w:val="21"/>
                <w:highlight w:val="none"/>
              </w:rPr>
            </w:pPr>
            <w:r>
              <w:rPr>
                <w:rFonts w:hint="eastAsia" w:ascii="黑体" w:hAnsi="黑体" w:eastAsia="黑体" w:cs="宋体"/>
                <w:snapToGrid w:val="0"/>
                <w:color w:val="000000"/>
                <w:spacing w:val="-6"/>
                <w:kern w:val="21"/>
                <w:szCs w:val="21"/>
                <w:highlight w:val="none"/>
              </w:rPr>
              <w:t>项目</w:t>
            </w:r>
          </w:p>
          <w:p>
            <w:pPr>
              <w:pStyle w:val="44"/>
              <w:spacing w:beforeLines="0" w:afterLines="0" w:line="240" w:lineRule="auto"/>
              <w:jc w:val="left"/>
              <w:rPr>
                <w:rFonts w:hint="eastAsia" w:ascii="黑体" w:hAnsi="黑体" w:eastAsia="黑体" w:cs="宋体"/>
                <w:snapToGrid w:val="0"/>
                <w:color w:val="000000"/>
                <w:spacing w:val="-6"/>
                <w:kern w:val="21"/>
                <w:szCs w:val="21"/>
                <w:highlight w:val="none"/>
              </w:rPr>
            </w:pPr>
            <w:r>
              <w:rPr>
                <w:rFonts w:hint="eastAsia" w:ascii="黑体" w:hAnsi="黑体" w:eastAsia="黑体" w:cs="宋体"/>
                <w:snapToGrid w:val="0"/>
                <w:color w:val="000000"/>
                <w:spacing w:val="-6"/>
                <w:kern w:val="21"/>
                <w:szCs w:val="21"/>
                <w:highlight w:val="none"/>
              </w:rPr>
              <w:t>分类</w:t>
            </w:r>
          </w:p>
        </w:tc>
        <w:tc>
          <w:tcPr>
            <w:tcW w:w="1417" w:type="dxa"/>
            <w:noWrap w:val="0"/>
            <w:tcMar>
              <w:left w:w="28" w:type="dxa"/>
              <w:right w:w="28" w:type="dxa"/>
            </w:tcMar>
            <w:vAlign w:val="center"/>
          </w:tcPr>
          <w:p>
            <w:pPr>
              <w:pStyle w:val="44"/>
              <w:spacing w:beforeLines="0" w:afterLines="0" w:line="240" w:lineRule="auto"/>
              <w:rPr>
                <w:rFonts w:hint="eastAsia" w:ascii="黑体" w:hAnsi="黑体" w:eastAsia="黑体" w:cs="宋体"/>
                <w:snapToGrid w:val="0"/>
                <w:color w:val="000000"/>
                <w:spacing w:val="-6"/>
                <w:kern w:val="21"/>
                <w:szCs w:val="21"/>
                <w:highlight w:val="none"/>
              </w:rPr>
            </w:pPr>
            <w:r>
              <w:rPr>
                <w:rFonts w:hint="eastAsia" w:ascii="黑体" w:hAnsi="黑体" w:eastAsia="黑体" w:cs="宋体"/>
                <w:snapToGrid w:val="0"/>
                <w:color w:val="000000"/>
                <w:spacing w:val="-6"/>
                <w:kern w:val="21"/>
                <w:szCs w:val="21"/>
                <w:highlight w:val="none"/>
              </w:rPr>
              <w:t>污染物名称</w:t>
            </w:r>
          </w:p>
        </w:tc>
        <w:tc>
          <w:tcPr>
            <w:tcW w:w="1701" w:type="dxa"/>
            <w:noWrap w:val="0"/>
            <w:tcMar>
              <w:left w:w="28" w:type="dxa"/>
              <w:right w:w="28" w:type="dxa"/>
            </w:tcMar>
            <w:vAlign w:val="center"/>
          </w:tcPr>
          <w:p>
            <w:pPr>
              <w:pStyle w:val="44"/>
              <w:spacing w:beforeLines="0" w:afterLines="0" w:line="240" w:lineRule="auto"/>
              <w:rPr>
                <w:rFonts w:hint="eastAsia" w:ascii="黑体" w:hAnsi="黑体" w:eastAsia="黑体"/>
                <w:snapToGrid w:val="0"/>
                <w:color w:val="000000"/>
                <w:spacing w:val="-6"/>
                <w:kern w:val="21"/>
                <w:szCs w:val="21"/>
                <w:highlight w:val="none"/>
              </w:rPr>
            </w:pPr>
            <w:r>
              <w:rPr>
                <w:rFonts w:ascii="黑体" w:hAnsi="黑体" w:eastAsia="黑体"/>
                <w:snapToGrid w:val="0"/>
                <w:color w:val="000000"/>
                <w:spacing w:val="-6"/>
                <w:kern w:val="21"/>
                <w:szCs w:val="21"/>
                <w:highlight w:val="none"/>
              </w:rPr>
              <w:t>现有工程</w:t>
            </w:r>
          </w:p>
          <w:p>
            <w:pPr>
              <w:pStyle w:val="44"/>
              <w:spacing w:beforeLines="0" w:afterLines="0" w:line="240" w:lineRule="auto"/>
              <w:rPr>
                <w:rFonts w:ascii="黑体" w:hAnsi="黑体" w:eastAsia="黑体"/>
                <w:snapToGrid w:val="0"/>
                <w:color w:val="000000"/>
                <w:spacing w:val="-6"/>
                <w:kern w:val="21"/>
                <w:szCs w:val="21"/>
                <w:highlight w:val="none"/>
              </w:rPr>
            </w:pPr>
            <w:r>
              <w:rPr>
                <w:rFonts w:ascii="黑体" w:hAnsi="黑体" w:eastAsia="黑体"/>
                <w:snapToGrid w:val="0"/>
                <w:color w:val="000000"/>
                <w:spacing w:val="-6"/>
                <w:kern w:val="21"/>
                <w:szCs w:val="21"/>
                <w:highlight w:val="none"/>
              </w:rPr>
              <w:t>排放量（固</w:t>
            </w:r>
            <w:r>
              <w:rPr>
                <w:rFonts w:hint="eastAsia" w:ascii="黑体" w:hAnsi="黑体" w:eastAsia="黑体"/>
                <w:snapToGrid w:val="0"/>
                <w:color w:val="000000"/>
                <w:spacing w:val="-6"/>
                <w:kern w:val="21"/>
                <w:szCs w:val="21"/>
                <w:highlight w:val="none"/>
              </w:rPr>
              <w:t>体</w:t>
            </w:r>
            <w:r>
              <w:rPr>
                <w:rFonts w:ascii="黑体" w:hAnsi="黑体" w:eastAsia="黑体"/>
                <w:snapToGrid w:val="0"/>
                <w:color w:val="000000"/>
                <w:spacing w:val="-6"/>
                <w:kern w:val="21"/>
                <w:szCs w:val="21"/>
                <w:highlight w:val="none"/>
              </w:rPr>
              <w:t>废</w:t>
            </w:r>
            <w:r>
              <w:rPr>
                <w:rFonts w:hint="eastAsia" w:ascii="黑体" w:hAnsi="黑体" w:eastAsia="黑体"/>
                <w:snapToGrid w:val="0"/>
                <w:color w:val="000000"/>
                <w:spacing w:val="-6"/>
                <w:kern w:val="21"/>
                <w:szCs w:val="21"/>
                <w:highlight w:val="none"/>
              </w:rPr>
              <w:t>物</w:t>
            </w:r>
            <w:r>
              <w:rPr>
                <w:rFonts w:ascii="黑体" w:hAnsi="黑体" w:eastAsia="黑体"/>
                <w:snapToGrid w:val="0"/>
                <w:color w:val="000000"/>
                <w:spacing w:val="-6"/>
                <w:kern w:val="21"/>
                <w:szCs w:val="21"/>
                <w:highlight w:val="none"/>
              </w:rPr>
              <w:t>产生量）</w:t>
            </w:r>
            <w:r>
              <w:rPr>
                <w:rFonts w:ascii="黑体" w:hAnsi="黑体" w:eastAsia="黑体"/>
                <w:snapToGrid w:val="0"/>
                <w:color w:val="000000"/>
                <w:spacing w:val="-6"/>
                <w:kern w:val="21"/>
                <w:szCs w:val="21"/>
                <w:highlight w:val="none"/>
              </w:rPr>
              <w:fldChar w:fldCharType="begin"/>
            </w:r>
            <w:r>
              <w:rPr>
                <w:rFonts w:ascii="黑体" w:hAnsi="黑体" w:eastAsia="黑体"/>
                <w:snapToGrid w:val="0"/>
                <w:color w:val="000000"/>
                <w:spacing w:val="-6"/>
                <w:kern w:val="21"/>
                <w:szCs w:val="21"/>
                <w:highlight w:val="none"/>
              </w:rPr>
              <w:instrText xml:space="preserve"> = 1 \* GB3 \* MERGEFORMAT </w:instrText>
            </w:r>
            <w:r>
              <w:rPr>
                <w:rFonts w:ascii="黑体" w:hAnsi="黑体" w:eastAsia="黑体"/>
                <w:snapToGrid w:val="0"/>
                <w:color w:val="000000"/>
                <w:spacing w:val="-6"/>
                <w:kern w:val="21"/>
                <w:szCs w:val="21"/>
                <w:highlight w:val="none"/>
              </w:rPr>
              <w:fldChar w:fldCharType="separate"/>
            </w:r>
            <w:r>
              <w:rPr>
                <w:rFonts w:hint="eastAsia" w:ascii="黑体" w:hAnsi="黑体" w:eastAsia="黑体" w:cs="宋体"/>
                <w:kern w:val="2"/>
                <w:szCs w:val="21"/>
                <w:highlight w:val="none"/>
              </w:rPr>
              <w:t>①</w:t>
            </w:r>
            <w:r>
              <w:rPr>
                <w:rFonts w:ascii="黑体" w:hAnsi="黑体" w:eastAsia="黑体"/>
                <w:snapToGrid w:val="0"/>
                <w:color w:val="000000"/>
                <w:spacing w:val="-6"/>
                <w:kern w:val="21"/>
                <w:szCs w:val="21"/>
                <w:highlight w:val="none"/>
              </w:rPr>
              <w:fldChar w:fldCharType="end"/>
            </w:r>
          </w:p>
        </w:tc>
        <w:tc>
          <w:tcPr>
            <w:tcW w:w="1276" w:type="dxa"/>
            <w:noWrap w:val="0"/>
            <w:tcMar>
              <w:left w:w="28" w:type="dxa"/>
              <w:right w:w="28" w:type="dxa"/>
            </w:tcMar>
            <w:vAlign w:val="center"/>
          </w:tcPr>
          <w:p>
            <w:pPr>
              <w:pStyle w:val="44"/>
              <w:spacing w:beforeLines="0" w:afterLines="0" w:line="240" w:lineRule="auto"/>
              <w:rPr>
                <w:rFonts w:ascii="黑体" w:hAnsi="黑体" w:eastAsia="黑体"/>
                <w:snapToGrid w:val="0"/>
                <w:color w:val="000000"/>
                <w:spacing w:val="-6"/>
                <w:kern w:val="21"/>
                <w:szCs w:val="21"/>
                <w:highlight w:val="none"/>
              </w:rPr>
            </w:pPr>
            <w:r>
              <w:rPr>
                <w:rFonts w:ascii="黑体" w:hAnsi="黑体" w:eastAsia="黑体"/>
                <w:snapToGrid w:val="0"/>
                <w:color w:val="000000"/>
                <w:spacing w:val="-6"/>
                <w:kern w:val="21"/>
                <w:szCs w:val="21"/>
                <w:highlight w:val="none"/>
              </w:rPr>
              <w:t>现有工程</w:t>
            </w:r>
          </w:p>
          <w:p>
            <w:pPr>
              <w:pStyle w:val="44"/>
              <w:spacing w:beforeLines="0" w:afterLines="0" w:line="240" w:lineRule="auto"/>
              <w:rPr>
                <w:rFonts w:ascii="黑体" w:hAnsi="黑体" w:eastAsia="黑体"/>
                <w:snapToGrid w:val="0"/>
                <w:color w:val="000000"/>
                <w:spacing w:val="-6"/>
                <w:kern w:val="21"/>
                <w:szCs w:val="21"/>
                <w:highlight w:val="none"/>
              </w:rPr>
            </w:pPr>
            <w:r>
              <w:rPr>
                <w:rFonts w:ascii="黑体" w:hAnsi="黑体" w:eastAsia="黑体"/>
                <w:snapToGrid w:val="0"/>
                <w:color w:val="000000"/>
                <w:spacing w:val="-6"/>
                <w:kern w:val="21"/>
                <w:szCs w:val="21"/>
                <w:highlight w:val="none"/>
              </w:rPr>
              <w:t>许可排放量</w:t>
            </w:r>
          </w:p>
          <w:p>
            <w:pPr>
              <w:pStyle w:val="44"/>
              <w:spacing w:beforeLines="0" w:afterLines="0"/>
              <w:rPr>
                <w:rFonts w:ascii="黑体" w:hAnsi="黑体" w:eastAsia="黑体"/>
                <w:snapToGrid w:val="0"/>
                <w:color w:val="000000"/>
                <w:spacing w:val="-6"/>
                <w:kern w:val="21"/>
                <w:szCs w:val="21"/>
                <w:highlight w:val="none"/>
              </w:rPr>
            </w:pPr>
            <w:r>
              <w:rPr>
                <w:rFonts w:ascii="黑体" w:hAnsi="黑体" w:eastAsia="黑体"/>
                <w:snapToGrid w:val="0"/>
                <w:color w:val="000000"/>
                <w:spacing w:val="-6"/>
                <w:kern w:val="21"/>
                <w:szCs w:val="21"/>
                <w:highlight w:val="none"/>
              </w:rPr>
              <w:fldChar w:fldCharType="begin"/>
            </w:r>
            <w:r>
              <w:rPr>
                <w:rFonts w:ascii="黑体" w:hAnsi="黑体" w:eastAsia="黑体"/>
                <w:snapToGrid w:val="0"/>
                <w:color w:val="000000"/>
                <w:spacing w:val="-6"/>
                <w:kern w:val="21"/>
                <w:szCs w:val="21"/>
                <w:highlight w:val="none"/>
              </w:rPr>
              <w:instrText xml:space="preserve"> = 2 \* GB3 \* MERGEFORMAT </w:instrText>
            </w:r>
            <w:r>
              <w:rPr>
                <w:rFonts w:ascii="黑体" w:hAnsi="黑体" w:eastAsia="黑体"/>
                <w:snapToGrid w:val="0"/>
                <w:color w:val="000000"/>
                <w:spacing w:val="-6"/>
                <w:kern w:val="21"/>
                <w:szCs w:val="21"/>
                <w:highlight w:val="none"/>
              </w:rPr>
              <w:fldChar w:fldCharType="separate"/>
            </w:r>
            <w:r>
              <w:rPr>
                <w:rFonts w:hint="eastAsia" w:ascii="黑体" w:hAnsi="黑体" w:eastAsia="黑体" w:cs="宋体"/>
                <w:snapToGrid w:val="0"/>
                <w:color w:val="000000"/>
                <w:spacing w:val="-6"/>
                <w:kern w:val="21"/>
                <w:szCs w:val="21"/>
                <w:highlight w:val="none"/>
              </w:rPr>
              <w:t>②</w:t>
            </w:r>
            <w:r>
              <w:rPr>
                <w:rFonts w:ascii="黑体" w:hAnsi="黑体" w:eastAsia="黑体"/>
                <w:snapToGrid w:val="0"/>
                <w:color w:val="000000"/>
                <w:spacing w:val="-6"/>
                <w:kern w:val="21"/>
                <w:szCs w:val="21"/>
                <w:highlight w:val="none"/>
              </w:rPr>
              <w:fldChar w:fldCharType="end"/>
            </w:r>
          </w:p>
        </w:tc>
        <w:tc>
          <w:tcPr>
            <w:tcW w:w="1701" w:type="dxa"/>
            <w:noWrap w:val="0"/>
            <w:tcMar>
              <w:left w:w="28" w:type="dxa"/>
              <w:right w:w="28" w:type="dxa"/>
            </w:tcMar>
            <w:vAlign w:val="center"/>
          </w:tcPr>
          <w:p>
            <w:pPr>
              <w:pStyle w:val="44"/>
              <w:spacing w:beforeLines="0" w:afterLines="0" w:line="240" w:lineRule="auto"/>
              <w:rPr>
                <w:rFonts w:hint="eastAsia" w:ascii="黑体" w:hAnsi="黑体" w:eastAsia="黑体"/>
                <w:snapToGrid w:val="0"/>
                <w:color w:val="000000"/>
                <w:spacing w:val="-6"/>
                <w:kern w:val="21"/>
                <w:szCs w:val="21"/>
                <w:highlight w:val="none"/>
              </w:rPr>
            </w:pPr>
            <w:r>
              <w:rPr>
                <w:rFonts w:ascii="黑体" w:hAnsi="黑体" w:eastAsia="黑体"/>
                <w:snapToGrid w:val="0"/>
                <w:color w:val="000000"/>
                <w:spacing w:val="-6"/>
                <w:kern w:val="21"/>
                <w:szCs w:val="21"/>
                <w:highlight w:val="none"/>
              </w:rPr>
              <w:t>在建工程</w:t>
            </w:r>
          </w:p>
          <w:p>
            <w:pPr>
              <w:pStyle w:val="44"/>
              <w:spacing w:beforeLines="0" w:afterLines="0" w:line="240" w:lineRule="auto"/>
              <w:rPr>
                <w:rFonts w:ascii="黑体" w:hAnsi="黑体" w:eastAsia="黑体"/>
                <w:snapToGrid w:val="0"/>
                <w:color w:val="000000"/>
                <w:spacing w:val="-6"/>
                <w:kern w:val="21"/>
                <w:szCs w:val="21"/>
                <w:highlight w:val="none"/>
              </w:rPr>
            </w:pPr>
            <w:r>
              <w:rPr>
                <w:rFonts w:ascii="黑体" w:hAnsi="黑体" w:eastAsia="黑体"/>
                <w:snapToGrid w:val="0"/>
                <w:color w:val="000000"/>
                <w:spacing w:val="-6"/>
                <w:kern w:val="21"/>
                <w:szCs w:val="21"/>
                <w:highlight w:val="none"/>
              </w:rPr>
              <w:t>排放量（固</w:t>
            </w:r>
            <w:r>
              <w:rPr>
                <w:rFonts w:hint="eastAsia" w:ascii="黑体" w:hAnsi="黑体" w:eastAsia="黑体"/>
                <w:snapToGrid w:val="0"/>
                <w:color w:val="000000"/>
                <w:spacing w:val="-6"/>
                <w:kern w:val="21"/>
                <w:szCs w:val="21"/>
                <w:highlight w:val="none"/>
              </w:rPr>
              <w:t>体</w:t>
            </w:r>
            <w:r>
              <w:rPr>
                <w:rFonts w:ascii="黑体" w:hAnsi="黑体" w:eastAsia="黑体"/>
                <w:snapToGrid w:val="0"/>
                <w:color w:val="000000"/>
                <w:spacing w:val="-6"/>
                <w:kern w:val="21"/>
                <w:szCs w:val="21"/>
                <w:highlight w:val="none"/>
              </w:rPr>
              <w:t>废</w:t>
            </w:r>
            <w:r>
              <w:rPr>
                <w:rFonts w:hint="eastAsia" w:ascii="黑体" w:hAnsi="黑体" w:eastAsia="黑体"/>
                <w:snapToGrid w:val="0"/>
                <w:color w:val="000000"/>
                <w:spacing w:val="-6"/>
                <w:kern w:val="21"/>
                <w:szCs w:val="21"/>
                <w:highlight w:val="none"/>
              </w:rPr>
              <w:t>物</w:t>
            </w:r>
            <w:r>
              <w:rPr>
                <w:rFonts w:ascii="黑体" w:hAnsi="黑体" w:eastAsia="黑体"/>
                <w:snapToGrid w:val="0"/>
                <w:color w:val="000000"/>
                <w:spacing w:val="-6"/>
                <w:kern w:val="21"/>
                <w:szCs w:val="21"/>
                <w:highlight w:val="none"/>
              </w:rPr>
              <w:t>产生量）</w:t>
            </w:r>
            <w:r>
              <w:rPr>
                <w:rFonts w:ascii="黑体" w:hAnsi="黑体" w:eastAsia="黑体"/>
                <w:snapToGrid w:val="0"/>
                <w:color w:val="000000"/>
                <w:spacing w:val="-6"/>
                <w:kern w:val="21"/>
                <w:szCs w:val="21"/>
                <w:highlight w:val="none"/>
              </w:rPr>
              <w:fldChar w:fldCharType="begin"/>
            </w:r>
            <w:r>
              <w:rPr>
                <w:rFonts w:ascii="黑体" w:hAnsi="黑体" w:eastAsia="黑体"/>
                <w:snapToGrid w:val="0"/>
                <w:color w:val="000000"/>
                <w:spacing w:val="-6"/>
                <w:kern w:val="21"/>
                <w:szCs w:val="21"/>
                <w:highlight w:val="none"/>
              </w:rPr>
              <w:instrText xml:space="preserve"> = 3 \* GB3 \* MERGEFORMAT </w:instrText>
            </w:r>
            <w:r>
              <w:rPr>
                <w:rFonts w:ascii="黑体" w:hAnsi="黑体" w:eastAsia="黑体"/>
                <w:snapToGrid w:val="0"/>
                <w:color w:val="000000"/>
                <w:spacing w:val="-6"/>
                <w:kern w:val="21"/>
                <w:szCs w:val="21"/>
                <w:highlight w:val="none"/>
              </w:rPr>
              <w:fldChar w:fldCharType="separate"/>
            </w:r>
            <w:r>
              <w:rPr>
                <w:rFonts w:hint="eastAsia" w:ascii="黑体" w:hAnsi="黑体" w:eastAsia="黑体" w:cs="宋体"/>
                <w:kern w:val="2"/>
                <w:szCs w:val="21"/>
                <w:highlight w:val="none"/>
              </w:rPr>
              <w:t>③</w:t>
            </w:r>
            <w:r>
              <w:rPr>
                <w:rFonts w:ascii="黑体" w:hAnsi="黑体" w:eastAsia="黑体"/>
                <w:snapToGrid w:val="0"/>
                <w:color w:val="000000"/>
                <w:spacing w:val="-6"/>
                <w:kern w:val="21"/>
                <w:szCs w:val="21"/>
                <w:highlight w:val="none"/>
              </w:rPr>
              <w:fldChar w:fldCharType="end"/>
            </w:r>
          </w:p>
        </w:tc>
        <w:tc>
          <w:tcPr>
            <w:tcW w:w="1559" w:type="dxa"/>
            <w:noWrap w:val="0"/>
            <w:tcMar>
              <w:left w:w="28" w:type="dxa"/>
              <w:right w:w="28" w:type="dxa"/>
            </w:tcMar>
            <w:vAlign w:val="center"/>
          </w:tcPr>
          <w:p>
            <w:pPr>
              <w:pStyle w:val="44"/>
              <w:spacing w:beforeLines="0" w:afterLines="0" w:line="240" w:lineRule="auto"/>
              <w:rPr>
                <w:rFonts w:hint="eastAsia" w:ascii="黑体" w:hAnsi="黑体" w:eastAsia="黑体"/>
                <w:snapToGrid w:val="0"/>
                <w:color w:val="000000"/>
                <w:spacing w:val="-6"/>
                <w:kern w:val="21"/>
                <w:szCs w:val="21"/>
                <w:highlight w:val="none"/>
              </w:rPr>
            </w:pPr>
            <w:r>
              <w:rPr>
                <w:rFonts w:ascii="黑体" w:hAnsi="黑体" w:eastAsia="黑体"/>
                <w:snapToGrid w:val="0"/>
                <w:color w:val="000000"/>
                <w:spacing w:val="-6"/>
                <w:kern w:val="21"/>
                <w:szCs w:val="21"/>
                <w:highlight w:val="none"/>
              </w:rPr>
              <w:t>本项目</w:t>
            </w:r>
          </w:p>
          <w:p>
            <w:pPr>
              <w:pStyle w:val="44"/>
              <w:spacing w:beforeLines="0" w:afterLines="0" w:line="240" w:lineRule="auto"/>
              <w:rPr>
                <w:rFonts w:ascii="黑体" w:hAnsi="黑体" w:eastAsia="黑体"/>
                <w:snapToGrid w:val="0"/>
                <w:color w:val="000000"/>
                <w:spacing w:val="-6"/>
                <w:kern w:val="21"/>
                <w:szCs w:val="21"/>
                <w:highlight w:val="none"/>
              </w:rPr>
            </w:pPr>
            <w:r>
              <w:rPr>
                <w:rFonts w:ascii="黑体" w:hAnsi="黑体" w:eastAsia="黑体"/>
                <w:snapToGrid w:val="0"/>
                <w:color w:val="000000"/>
                <w:spacing w:val="-6"/>
                <w:kern w:val="21"/>
                <w:szCs w:val="21"/>
                <w:highlight w:val="none"/>
              </w:rPr>
              <w:t>排放量（固</w:t>
            </w:r>
            <w:r>
              <w:rPr>
                <w:rFonts w:hint="eastAsia" w:ascii="黑体" w:hAnsi="黑体" w:eastAsia="黑体"/>
                <w:snapToGrid w:val="0"/>
                <w:color w:val="000000"/>
                <w:spacing w:val="-6"/>
                <w:kern w:val="21"/>
                <w:szCs w:val="21"/>
                <w:highlight w:val="none"/>
              </w:rPr>
              <w:t>体</w:t>
            </w:r>
            <w:r>
              <w:rPr>
                <w:rFonts w:ascii="黑体" w:hAnsi="黑体" w:eastAsia="黑体"/>
                <w:snapToGrid w:val="0"/>
                <w:color w:val="000000"/>
                <w:spacing w:val="-6"/>
                <w:kern w:val="21"/>
                <w:szCs w:val="21"/>
                <w:highlight w:val="none"/>
              </w:rPr>
              <w:t>废</w:t>
            </w:r>
            <w:r>
              <w:rPr>
                <w:rFonts w:hint="eastAsia" w:ascii="黑体" w:hAnsi="黑体" w:eastAsia="黑体"/>
                <w:snapToGrid w:val="0"/>
                <w:color w:val="000000"/>
                <w:spacing w:val="-6"/>
                <w:kern w:val="21"/>
                <w:szCs w:val="21"/>
                <w:highlight w:val="none"/>
              </w:rPr>
              <w:t>物</w:t>
            </w:r>
            <w:r>
              <w:rPr>
                <w:rFonts w:ascii="黑体" w:hAnsi="黑体" w:eastAsia="黑体"/>
                <w:snapToGrid w:val="0"/>
                <w:color w:val="000000"/>
                <w:spacing w:val="-6"/>
                <w:kern w:val="21"/>
                <w:szCs w:val="21"/>
                <w:highlight w:val="none"/>
              </w:rPr>
              <w:t>产生量）</w:t>
            </w:r>
            <w:r>
              <w:rPr>
                <w:rFonts w:ascii="黑体" w:hAnsi="黑体" w:eastAsia="黑体"/>
                <w:snapToGrid w:val="0"/>
                <w:color w:val="000000"/>
                <w:spacing w:val="-6"/>
                <w:kern w:val="21"/>
                <w:szCs w:val="21"/>
                <w:highlight w:val="none"/>
              </w:rPr>
              <w:fldChar w:fldCharType="begin"/>
            </w:r>
            <w:r>
              <w:rPr>
                <w:rFonts w:ascii="黑体" w:hAnsi="黑体" w:eastAsia="黑体"/>
                <w:snapToGrid w:val="0"/>
                <w:color w:val="000000"/>
                <w:spacing w:val="-6"/>
                <w:kern w:val="21"/>
                <w:szCs w:val="21"/>
                <w:highlight w:val="none"/>
              </w:rPr>
              <w:instrText xml:space="preserve"> = 4 \* GB3 \* MERGEFORMAT </w:instrText>
            </w:r>
            <w:r>
              <w:rPr>
                <w:rFonts w:ascii="黑体" w:hAnsi="黑体" w:eastAsia="黑体"/>
                <w:snapToGrid w:val="0"/>
                <w:color w:val="000000"/>
                <w:spacing w:val="-6"/>
                <w:kern w:val="21"/>
                <w:szCs w:val="21"/>
                <w:highlight w:val="none"/>
              </w:rPr>
              <w:fldChar w:fldCharType="separate"/>
            </w:r>
            <w:r>
              <w:rPr>
                <w:rFonts w:hint="eastAsia" w:ascii="黑体" w:hAnsi="黑体" w:eastAsia="黑体" w:cs="宋体"/>
                <w:kern w:val="2"/>
                <w:szCs w:val="21"/>
                <w:highlight w:val="none"/>
              </w:rPr>
              <w:t>④</w:t>
            </w:r>
            <w:r>
              <w:rPr>
                <w:rFonts w:ascii="黑体" w:hAnsi="黑体" w:eastAsia="黑体"/>
                <w:snapToGrid w:val="0"/>
                <w:color w:val="000000"/>
                <w:spacing w:val="-6"/>
                <w:kern w:val="21"/>
                <w:szCs w:val="21"/>
                <w:highlight w:val="none"/>
              </w:rPr>
              <w:fldChar w:fldCharType="end"/>
            </w:r>
          </w:p>
        </w:tc>
        <w:tc>
          <w:tcPr>
            <w:tcW w:w="1563" w:type="dxa"/>
            <w:noWrap w:val="0"/>
            <w:tcMar>
              <w:left w:w="28" w:type="dxa"/>
              <w:right w:w="28" w:type="dxa"/>
            </w:tcMar>
            <w:vAlign w:val="center"/>
          </w:tcPr>
          <w:p>
            <w:pPr>
              <w:pStyle w:val="44"/>
              <w:spacing w:beforeLines="0" w:afterLines="0" w:line="240" w:lineRule="auto"/>
              <w:rPr>
                <w:rFonts w:hint="eastAsia" w:ascii="黑体" w:hAnsi="黑体" w:eastAsia="黑体"/>
                <w:snapToGrid w:val="0"/>
                <w:color w:val="000000"/>
                <w:spacing w:val="-16"/>
                <w:kern w:val="21"/>
                <w:szCs w:val="21"/>
                <w:highlight w:val="none"/>
              </w:rPr>
            </w:pPr>
            <w:r>
              <w:rPr>
                <w:rFonts w:ascii="黑体" w:hAnsi="黑体" w:eastAsia="黑体"/>
                <w:snapToGrid w:val="0"/>
                <w:color w:val="000000"/>
                <w:spacing w:val="-16"/>
                <w:kern w:val="21"/>
                <w:szCs w:val="21"/>
                <w:highlight w:val="none"/>
              </w:rPr>
              <w:t>以新带老削减量</w:t>
            </w:r>
          </w:p>
          <w:p>
            <w:pPr>
              <w:pStyle w:val="44"/>
              <w:spacing w:beforeLines="0" w:afterLines="0" w:line="240" w:lineRule="auto"/>
              <w:rPr>
                <w:rFonts w:ascii="黑体" w:hAnsi="黑体" w:eastAsia="黑体"/>
                <w:snapToGrid w:val="0"/>
                <w:color w:val="000000"/>
                <w:spacing w:val="-16"/>
                <w:kern w:val="21"/>
                <w:szCs w:val="21"/>
                <w:highlight w:val="none"/>
              </w:rPr>
            </w:pPr>
            <w:r>
              <w:rPr>
                <w:rFonts w:ascii="黑体" w:hAnsi="黑体" w:eastAsia="黑体"/>
                <w:snapToGrid w:val="0"/>
                <w:color w:val="000000"/>
                <w:spacing w:val="-16"/>
                <w:kern w:val="21"/>
                <w:szCs w:val="21"/>
                <w:highlight w:val="none"/>
              </w:rPr>
              <w:t>（新建项目不填）</w:t>
            </w:r>
            <w:r>
              <w:rPr>
                <w:rFonts w:ascii="黑体" w:hAnsi="黑体" w:eastAsia="黑体"/>
                <w:snapToGrid w:val="0"/>
                <w:color w:val="000000"/>
                <w:spacing w:val="-16"/>
                <w:kern w:val="21"/>
                <w:szCs w:val="21"/>
                <w:highlight w:val="none"/>
              </w:rPr>
              <w:fldChar w:fldCharType="begin"/>
            </w:r>
            <w:r>
              <w:rPr>
                <w:rFonts w:ascii="黑体" w:hAnsi="黑体" w:eastAsia="黑体"/>
                <w:snapToGrid w:val="0"/>
                <w:color w:val="000000"/>
                <w:spacing w:val="-16"/>
                <w:kern w:val="21"/>
                <w:szCs w:val="21"/>
                <w:highlight w:val="none"/>
              </w:rPr>
              <w:instrText xml:space="preserve"> = 5 \* GB3 \* MERGEFORMAT </w:instrText>
            </w:r>
            <w:r>
              <w:rPr>
                <w:rFonts w:ascii="黑体" w:hAnsi="黑体" w:eastAsia="黑体"/>
                <w:snapToGrid w:val="0"/>
                <w:color w:val="000000"/>
                <w:spacing w:val="-16"/>
                <w:kern w:val="21"/>
                <w:szCs w:val="21"/>
                <w:highlight w:val="none"/>
              </w:rPr>
              <w:fldChar w:fldCharType="separate"/>
            </w:r>
            <w:r>
              <w:rPr>
                <w:rFonts w:hint="eastAsia" w:ascii="黑体" w:hAnsi="黑体" w:eastAsia="黑体" w:cs="宋体"/>
                <w:kern w:val="2"/>
                <w:szCs w:val="21"/>
                <w:highlight w:val="none"/>
              </w:rPr>
              <w:t>⑤</w:t>
            </w:r>
            <w:r>
              <w:rPr>
                <w:rFonts w:ascii="黑体" w:hAnsi="黑体" w:eastAsia="黑体"/>
                <w:snapToGrid w:val="0"/>
                <w:color w:val="000000"/>
                <w:spacing w:val="-16"/>
                <w:kern w:val="21"/>
                <w:szCs w:val="21"/>
                <w:highlight w:val="none"/>
              </w:rPr>
              <w:fldChar w:fldCharType="end"/>
            </w:r>
          </w:p>
        </w:tc>
        <w:tc>
          <w:tcPr>
            <w:tcW w:w="1800" w:type="dxa"/>
            <w:noWrap w:val="0"/>
            <w:tcMar>
              <w:left w:w="28" w:type="dxa"/>
              <w:right w:w="28" w:type="dxa"/>
            </w:tcMar>
            <w:vAlign w:val="center"/>
          </w:tcPr>
          <w:p>
            <w:pPr>
              <w:pStyle w:val="44"/>
              <w:spacing w:beforeLines="0" w:afterLines="0" w:line="240" w:lineRule="auto"/>
              <w:rPr>
                <w:rFonts w:hint="eastAsia" w:ascii="黑体" w:hAnsi="黑体" w:eastAsia="黑体"/>
                <w:snapToGrid w:val="0"/>
                <w:color w:val="000000"/>
                <w:spacing w:val="-16"/>
                <w:kern w:val="21"/>
                <w:szCs w:val="21"/>
                <w:highlight w:val="none"/>
              </w:rPr>
            </w:pPr>
            <w:r>
              <w:rPr>
                <w:rFonts w:ascii="黑体" w:hAnsi="黑体" w:eastAsia="黑体"/>
                <w:snapToGrid w:val="0"/>
                <w:color w:val="000000"/>
                <w:spacing w:val="-16"/>
                <w:kern w:val="21"/>
                <w:szCs w:val="21"/>
                <w:highlight w:val="none"/>
              </w:rPr>
              <w:t>本项目建成后</w:t>
            </w:r>
          </w:p>
          <w:p>
            <w:pPr>
              <w:pStyle w:val="44"/>
              <w:spacing w:beforeLines="0" w:afterLines="0" w:line="240" w:lineRule="auto"/>
              <w:rPr>
                <w:rFonts w:ascii="黑体" w:hAnsi="黑体" w:eastAsia="黑体"/>
                <w:snapToGrid w:val="0"/>
                <w:color w:val="000000"/>
                <w:spacing w:val="-16"/>
                <w:kern w:val="21"/>
                <w:szCs w:val="21"/>
                <w:highlight w:val="none"/>
              </w:rPr>
            </w:pPr>
            <w:r>
              <w:rPr>
                <w:rFonts w:hint="eastAsia" w:ascii="黑体" w:hAnsi="黑体" w:eastAsia="黑体"/>
                <w:snapToGrid w:val="0"/>
                <w:color w:val="000000"/>
                <w:spacing w:val="-16"/>
                <w:kern w:val="21"/>
                <w:szCs w:val="21"/>
                <w:highlight w:val="none"/>
              </w:rPr>
              <w:t>全厂</w:t>
            </w:r>
            <w:r>
              <w:rPr>
                <w:rFonts w:ascii="黑体" w:hAnsi="黑体" w:eastAsia="黑体"/>
                <w:snapToGrid w:val="0"/>
                <w:color w:val="000000"/>
                <w:spacing w:val="-16"/>
                <w:kern w:val="21"/>
                <w:szCs w:val="21"/>
                <w:highlight w:val="none"/>
              </w:rPr>
              <w:t>排放量（固</w:t>
            </w:r>
            <w:r>
              <w:rPr>
                <w:rFonts w:hint="eastAsia" w:ascii="黑体" w:hAnsi="黑体" w:eastAsia="黑体"/>
                <w:snapToGrid w:val="0"/>
                <w:color w:val="000000"/>
                <w:spacing w:val="-16"/>
                <w:kern w:val="21"/>
                <w:szCs w:val="21"/>
                <w:highlight w:val="none"/>
              </w:rPr>
              <w:t>体</w:t>
            </w:r>
            <w:r>
              <w:rPr>
                <w:rFonts w:ascii="黑体" w:hAnsi="黑体" w:eastAsia="黑体"/>
                <w:snapToGrid w:val="0"/>
                <w:color w:val="000000"/>
                <w:spacing w:val="-16"/>
                <w:kern w:val="21"/>
                <w:szCs w:val="21"/>
                <w:highlight w:val="none"/>
              </w:rPr>
              <w:t>废</w:t>
            </w:r>
            <w:r>
              <w:rPr>
                <w:rFonts w:hint="eastAsia" w:ascii="黑体" w:hAnsi="黑体" w:eastAsia="黑体"/>
                <w:snapToGrid w:val="0"/>
                <w:color w:val="000000"/>
                <w:spacing w:val="-16"/>
                <w:kern w:val="21"/>
                <w:szCs w:val="21"/>
                <w:highlight w:val="none"/>
              </w:rPr>
              <w:t>物</w:t>
            </w:r>
            <w:r>
              <w:rPr>
                <w:rFonts w:ascii="黑体" w:hAnsi="黑体" w:eastAsia="黑体"/>
                <w:snapToGrid w:val="0"/>
                <w:color w:val="000000"/>
                <w:spacing w:val="-16"/>
                <w:kern w:val="21"/>
                <w:szCs w:val="21"/>
                <w:highlight w:val="none"/>
              </w:rPr>
              <w:t>产生量）</w:t>
            </w:r>
            <w:r>
              <w:rPr>
                <w:rFonts w:ascii="黑体" w:hAnsi="黑体" w:eastAsia="黑体"/>
                <w:snapToGrid w:val="0"/>
                <w:color w:val="000000"/>
                <w:spacing w:val="-16"/>
                <w:kern w:val="21"/>
                <w:szCs w:val="21"/>
                <w:highlight w:val="none"/>
              </w:rPr>
              <w:fldChar w:fldCharType="begin"/>
            </w:r>
            <w:r>
              <w:rPr>
                <w:rFonts w:ascii="黑体" w:hAnsi="黑体" w:eastAsia="黑体"/>
                <w:snapToGrid w:val="0"/>
                <w:color w:val="000000"/>
                <w:spacing w:val="-16"/>
                <w:kern w:val="21"/>
                <w:szCs w:val="21"/>
                <w:highlight w:val="none"/>
              </w:rPr>
              <w:instrText xml:space="preserve"> = 6 \* GB3 \* MERGEFORMAT </w:instrText>
            </w:r>
            <w:r>
              <w:rPr>
                <w:rFonts w:ascii="黑体" w:hAnsi="黑体" w:eastAsia="黑体"/>
                <w:snapToGrid w:val="0"/>
                <w:color w:val="000000"/>
                <w:spacing w:val="-16"/>
                <w:kern w:val="21"/>
                <w:szCs w:val="21"/>
                <w:highlight w:val="none"/>
              </w:rPr>
              <w:fldChar w:fldCharType="separate"/>
            </w:r>
            <w:r>
              <w:rPr>
                <w:rFonts w:hint="eastAsia" w:ascii="黑体" w:hAnsi="黑体" w:eastAsia="黑体" w:cs="宋体"/>
                <w:kern w:val="2"/>
                <w:szCs w:val="21"/>
                <w:highlight w:val="none"/>
              </w:rPr>
              <w:t>⑥</w:t>
            </w:r>
            <w:r>
              <w:rPr>
                <w:rFonts w:ascii="黑体" w:hAnsi="黑体" w:eastAsia="黑体"/>
                <w:snapToGrid w:val="0"/>
                <w:color w:val="000000"/>
                <w:spacing w:val="-16"/>
                <w:kern w:val="21"/>
                <w:szCs w:val="21"/>
                <w:highlight w:val="none"/>
              </w:rPr>
              <w:fldChar w:fldCharType="end"/>
            </w:r>
          </w:p>
        </w:tc>
        <w:tc>
          <w:tcPr>
            <w:tcW w:w="1183" w:type="dxa"/>
            <w:noWrap w:val="0"/>
            <w:tcMar>
              <w:left w:w="28" w:type="dxa"/>
              <w:right w:w="28" w:type="dxa"/>
            </w:tcMar>
            <w:vAlign w:val="center"/>
          </w:tcPr>
          <w:p>
            <w:pPr>
              <w:pStyle w:val="44"/>
              <w:spacing w:beforeLines="0" w:afterLines="0" w:line="240" w:lineRule="auto"/>
              <w:rPr>
                <w:rFonts w:ascii="黑体" w:hAnsi="黑体" w:eastAsia="黑体"/>
                <w:snapToGrid w:val="0"/>
                <w:color w:val="000000"/>
                <w:spacing w:val="-6"/>
                <w:kern w:val="21"/>
                <w:szCs w:val="21"/>
                <w:highlight w:val="none"/>
              </w:rPr>
            </w:pPr>
            <w:r>
              <w:rPr>
                <w:rFonts w:ascii="黑体" w:hAnsi="黑体" w:eastAsia="黑体"/>
                <w:snapToGrid w:val="0"/>
                <w:color w:val="000000"/>
                <w:spacing w:val="-6"/>
                <w:kern w:val="21"/>
                <w:szCs w:val="21"/>
                <w:highlight w:val="none"/>
              </w:rPr>
              <w:t>变化量</w:t>
            </w:r>
          </w:p>
          <w:p>
            <w:pPr>
              <w:pStyle w:val="44"/>
              <w:spacing w:beforeLines="0" w:afterLines="0" w:line="240" w:lineRule="auto"/>
              <w:rPr>
                <w:rFonts w:ascii="黑体" w:hAnsi="黑体" w:eastAsia="黑体"/>
                <w:snapToGrid w:val="0"/>
                <w:color w:val="000000"/>
                <w:spacing w:val="-6"/>
                <w:kern w:val="21"/>
                <w:szCs w:val="21"/>
                <w:highlight w:val="none"/>
              </w:rPr>
            </w:pPr>
            <w:r>
              <w:rPr>
                <w:rFonts w:ascii="黑体" w:hAnsi="黑体" w:eastAsia="黑体"/>
                <w:snapToGrid w:val="0"/>
                <w:color w:val="000000"/>
                <w:spacing w:val="-6"/>
                <w:kern w:val="21"/>
                <w:szCs w:val="21"/>
                <w:highlight w:val="none"/>
              </w:rPr>
              <w:fldChar w:fldCharType="begin"/>
            </w:r>
            <w:r>
              <w:rPr>
                <w:rFonts w:ascii="黑体" w:hAnsi="黑体" w:eastAsia="黑体"/>
                <w:snapToGrid w:val="0"/>
                <w:color w:val="000000"/>
                <w:spacing w:val="-6"/>
                <w:kern w:val="21"/>
                <w:szCs w:val="21"/>
                <w:highlight w:val="none"/>
              </w:rPr>
              <w:instrText xml:space="preserve"> = 7 \* GB3 \* MERGEFORMAT </w:instrText>
            </w:r>
            <w:r>
              <w:rPr>
                <w:rFonts w:ascii="黑体" w:hAnsi="黑体" w:eastAsia="黑体"/>
                <w:snapToGrid w:val="0"/>
                <w:color w:val="000000"/>
                <w:spacing w:val="-6"/>
                <w:kern w:val="21"/>
                <w:szCs w:val="21"/>
                <w:highlight w:val="none"/>
              </w:rPr>
              <w:fldChar w:fldCharType="separate"/>
            </w:r>
            <w:r>
              <w:rPr>
                <w:rFonts w:hint="eastAsia" w:ascii="黑体" w:hAnsi="黑体" w:eastAsia="黑体" w:cs="宋体"/>
                <w:kern w:val="2"/>
                <w:szCs w:val="21"/>
                <w:highlight w:val="none"/>
              </w:rPr>
              <w:t>⑦</w:t>
            </w:r>
            <w:r>
              <w:rPr>
                <w:rFonts w:ascii="黑体" w:hAnsi="黑体" w:eastAsia="黑体"/>
                <w:snapToGrid w:val="0"/>
                <w:color w:val="000000"/>
                <w:spacing w:val="-6"/>
                <w:kern w:val="21"/>
                <w:szCs w:val="21"/>
                <w:highlight w:val="none"/>
              </w:rPr>
              <w:fldChar w:fldCharType="end"/>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noWrap w:val="0"/>
            <w:vAlign w:val="center"/>
          </w:tcPr>
          <w:p>
            <w:pPr>
              <w:pStyle w:val="44"/>
              <w:spacing w:beforeLines="0" w:afterLines="0" w:line="240" w:lineRule="auto"/>
              <w:rPr>
                <w:rFonts w:hint="eastAsia" w:hAnsi="宋体" w:cs="宋体"/>
                <w:snapToGrid w:val="0"/>
                <w:color w:val="000000"/>
                <w:kern w:val="21"/>
                <w:szCs w:val="21"/>
                <w:highlight w:val="none"/>
              </w:rPr>
            </w:pPr>
            <w:r>
              <w:rPr>
                <w:rFonts w:hint="eastAsia" w:hAnsi="宋体" w:cs="宋体"/>
                <w:snapToGrid w:val="0"/>
                <w:color w:val="000000"/>
                <w:kern w:val="21"/>
                <w:szCs w:val="21"/>
                <w:highlight w:val="none"/>
              </w:rPr>
              <w:t>废气</w:t>
            </w:r>
          </w:p>
        </w:tc>
        <w:tc>
          <w:tcPr>
            <w:tcW w:w="1417" w:type="dxa"/>
            <w:noWrap w:val="0"/>
            <w:vAlign w:val="center"/>
          </w:tcPr>
          <w:p>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r>
              <w:rPr>
                <w:rFonts w:hint="default" w:ascii="Times New Roman" w:hAnsi="Times New Roman" w:cs="Times New Roman"/>
                <w:snapToGrid w:val="0"/>
                <w:color w:val="auto"/>
                <w:kern w:val="21"/>
                <w:szCs w:val="21"/>
                <w:highlight w:val="none"/>
                <w:lang w:val="en-US" w:eastAsia="zh-CN"/>
              </w:rPr>
              <w:t>TSP</w:t>
            </w:r>
          </w:p>
        </w:tc>
        <w:tc>
          <w:tcPr>
            <w:tcW w:w="1701" w:type="dxa"/>
            <w:noWrap w:val="0"/>
            <w:vAlign w:val="center"/>
          </w:tcPr>
          <w:p>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r>
              <w:rPr>
                <w:rFonts w:hint="default" w:ascii="Times New Roman" w:hAnsi="Times New Roman" w:cs="Times New Roman"/>
                <w:snapToGrid w:val="0"/>
                <w:color w:val="auto"/>
                <w:kern w:val="21"/>
                <w:szCs w:val="21"/>
                <w:highlight w:val="none"/>
                <w:lang w:val="en-US" w:eastAsia="zh-CN"/>
              </w:rPr>
              <w:t>/</w:t>
            </w:r>
          </w:p>
        </w:tc>
        <w:tc>
          <w:tcPr>
            <w:tcW w:w="1276" w:type="dxa"/>
            <w:noWrap w:val="0"/>
            <w:vAlign w:val="center"/>
          </w:tcPr>
          <w:p>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lang w:val="en-US" w:eastAsia="zh-CN"/>
              </w:rPr>
              <w:t>/</w:t>
            </w:r>
          </w:p>
        </w:tc>
        <w:tc>
          <w:tcPr>
            <w:tcW w:w="1701" w:type="dxa"/>
            <w:noWrap w:val="0"/>
            <w:vAlign w:val="center"/>
          </w:tcPr>
          <w:p>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lang w:val="en-US" w:eastAsia="zh-CN"/>
              </w:rPr>
              <w:t>/</w:t>
            </w:r>
          </w:p>
        </w:tc>
        <w:tc>
          <w:tcPr>
            <w:tcW w:w="155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napToGrid w:val="0"/>
                <w:color w:val="auto"/>
                <w:kern w:val="21"/>
                <w:sz w:val="24"/>
                <w:szCs w:val="24"/>
                <w:highlight w:val="none"/>
                <w:lang w:val="en-US" w:eastAsia="zh-CN"/>
              </w:rPr>
            </w:pPr>
            <w:r>
              <w:rPr>
                <w:rFonts w:hint="eastAsia" w:cs="Times New Roman"/>
                <w:snapToGrid w:val="0"/>
                <w:color w:val="auto"/>
                <w:kern w:val="21"/>
                <w:sz w:val="24"/>
                <w:szCs w:val="24"/>
                <w:highlight w:val="none"/>
                <w:lang w:val="en-US" w:eastAsia="zh-CN"/>
              </w:rPr>
              <w:t>/</w:t>
            </w:r>
          </w:p>
        </w:tc>
        <w:tc>
          <w:tcPr>
            <w:tcW w:w="1563" w:type="dxa"/>
            <w:noWrap w:val="0"/>
            <w:vAlign w:val="center"/>
          </w:tcPr>
          <w:p>
            <w:pPr>
              <w:spacing w:beforeLines="0" w:afterLines="0" w:line="240" w:lineRule="auto"/>
              <w:jc w:val="center"/>
              <w:rPr>
                <w:rFonts w:hint="default" w:ascii="Times New Roman" w:hAnsi="Times New Roman" w:cs="Times New Roman"/>
                <w:snapToGrid w:val="0"/>
                <w:color w:val="000000"/>
                <w:kern w:val="21"/>
                <w:szCs w:val="21"/>
                <w:highlight w:val="none"/>
              </w:rPr>
            </w:pPr>
            <w:r>
              <w:rPr>
                <w:rFonts w:hint="default" w:ascii="Times New Roman" w:hAnsi="Times New Roman" w:cs="Times New Roman"/>
                <w:snapToGrid w:val="0"/>
                <w:color w:val="auto"/>
                <w:kern w:val="21"/>
                <w:szCs w:val="21"/>
                <w:highlight w:val="none"/>
                <w:lang w:val="en-US" w:eastAsia="zh-CN"/>
              </w:rPr>
              <w:t>/</w:t>
            </w:r>
          </w:p>
        </w:tc>
        <w:tc>
          <w:tcPr>
            <w:tcW w:w="1800" w:type="dxa"/>
            <w:noWrap w:val="0"/>
            <w:vAlign w:val="center"/>
          </w:tcPr>
          <w:p>
            <w:pPr>
              <w:pStyle w:val="44"/>
              <w:spacing w:beforeLines="0" w:afterLines="0" w:line="240" w:lineRule="auto"/>
              <w:rPr>
                <w:rFonts w:hint="default" w:ascii="Times New Roman" w:hAnsi="Times New Roman" w:eastAsia="宋体" w:cs="Times New Roman"/>
                <w:snapToGrid w:val="0"/>
                <w:color w:val="000000"/>
                <w:kern w:val="21"/>
                <w:szCs w:val="21"/>
                <w:highlight w:val="none"/>
                <w:lang w:val="en-US" w:eastAsia="zh-CN"/>
              </w:rPr>
            </w:pPr>
            <w:r>
              <w:rPr>
                <w:rFonts w:hint="eastAsia" w:ascii="Times New Roman" w:cs="Times New Roman"/>
                <w:snapToGrid w:val="0"/>
                <w:color w:val="auto"/>
                <w:kern w:val="21"/>
                <w:sz w:val="24"/>
                <w:szCs w:val="24"/>
                <w:highlight w:val="none"/>
                <w:lang w:val="en-US" w:eastAsia="zh-CN"/>
              </w:rPr>
              <w:t>/</w:t>
            </w:r>
          </w:p>
        </w:tc>
        <w:tc>
          <w:tcPr>
            <w:tcW w:w="118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napToGrid w:val="0"/>
                <w:color w:val="000000"/>
                <w:kern w:val="21"/>
                <w:szCs w:val="21"/>
                <w:highlight w:val="none"/>
                <w:lang w:val="en-US" w:eastAsia="zh-CN"/>
              </w:rPr>
            </w:pPr>
            <w:r>
              <w:rPr>
                <w:rFonts w:hint="eastAsia" w:cs="Times New Roman"/>
                <w:snapToGrid w:val="0"/>
                <w:color w:val="000000"/>
                <w:kern w:val="21"/>
                <w:szCs w:val="21"/>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restart"/>
            <w:noWrap w:val="0"/>
            <w:vAlign w:val="center"/>
          </w:tcPr>
          <w:p>
            <w:pPr>
              <w:pStyle w:val="44"/>
              <w:spacing w:beforeLines="0" w:afterLines="0" w:line="240" w:lineRule="auto"/>
              <w:rPr>
                <w:rFonts w:hint="eastAsia" w:hAnsi="宋体" w:cs="宋体"/>
                <w:snapToGrid w:val="0"/>
                <w:color w:val="000000"/>
                <w:kern w:val="21"/>
                <w:szCs w:val="21"/>
                <w:highlight w:val="none"/>
              </w:rPr>
            </w:pPr>
            <w:r>
              <w:rPr>
                <w:rFonts w:hint="eastAsia" w:hAnsi="宋体" w:cs="宋体"/>
                <w:snapToGrid w:val="0"/>
                <w:color w:val="000000"/>
                <w:kern w:val="21"/>
                <w:szCs w:val="21"/>
                <w:highlight w:val="none"/>
                <w:lang w:val="en-US" w:eastAsia="zh-CN"/>
              </w:rPr>
              <w:t>废水</w:t>
            </w:r>
          </w:p>
        </w:tc>
        <w:tc>
          <w:tcPr>
            <w:tcW w:w="1417" w:type="dxa"/>
            <w:noWrap w:val="0"/>
            <w:vAlign w:val="center"/>
          </w:tcPr>
          <w:p>
            <w:pPr>
              <w:pStyle w:val="44"/>
              <w:spacing w:beforeLines="0" w:afterLines="0" w:line="240" w:lineRule="auto"/>
              <w:rPr>
                <w:rFonts w:hint="default" w:ascii="Times New Roman" w:hAnsi="Times New Roman" w:eastAsia="宋体" w:cs="Times New Roman"/>
                <w:snapToGrid w:val="0"/>
                <w:color w:val="000000"/>
                <w:kern w:val="21"/>
                <w:szCs w:val="21"/>
                <w:highlight w:val="none"/>
                <w:lang w:val="en-US" w:eastAsia="zh-CN"/>
              </w:rPr>
            </w:pPr>
            <w:r>
              <w:rPr>
                <w:rFonts w:hint="default" w:ascii="Times New Roman" w:hAnsi="Times New Roman" w:cs="Times New Roman"/>
                <w:snapToGrid w:val="0"/>
                <w:color w:val="000000"/>
                <w:kern w:val="21"/>
                <w:szCs w:val="21"/>
                <w:highlight w:val="none"/>
                <w:lang w:val="en-US" w:eastAsia="zh-CN"/>
              </w:rPr>
              <w:t>COD</w:t>
            </w:r>
            <w:r>
              <w:rPr>
                <w:rFonts w:hint="default" w:ascii="Times New Roman" w:hAnsi="Times New Roman" w:cs="Times New Roman"/>
                <w:snapToGrid w:val="0"/>
                <w:color w:val="000000"/>
                <w:kern w:val="21"/>
                <w:szCs w:val="21"/>
                <w:highlight w:val="none"/>
                <w:vertAlign w:val="subscript"/>
                <w:lang w:val="en-US" w:eastAsia="zh-CN"/>
              </w:rPr>
              <w:t>cr</w:t>
            </w:r>
          </w:p>
        </w:tc>
        <w:tc>
          <w:tcPr>
            <w:tcW w:w="1701" w:type="dxa"/>
            <w:noWrap w:val="0"/>
            <w:vAlign w:val="center"/>
          </w:tcPr>
          <w:p>
            <w:pPr>
              <w:spacing w:beforeLines="0" w:afterLines="0" w:line="240" w:lineRule="auto"/>
              <w:jc w:val="center"/>
              <w:rPr>
                <w:rFonts w:hint="default" w:ascii="Times New Roman" w:hAnsi="Times New Roman" w:eastAsia="宋体" w:cs="Times New Roman"/>
                <w:snapToGrid w:val="0"/>
                <w:color w:val="000000"/>
                <w:kern w:val="21"/>
                <w:szCs w:val="21"/>
                <w:highlight w:val="none"/>
                <w:lang w:val="en-US" w:eastAsia="zh-CN"/>
              </w:rPr>
            </w:pPr>
            <w:r>
              <w:rPr>
                <w:rFonts w:hint="default" w:ascii="Times New Roman" w:hAnsi="Times New Roman" w:cs="Times New Roman"/>
                <w:snapToGrid w:val="0"/>
                <w:color w:val="auto"/>
                <w:kern w:val="21"/>
                <w:szCs w:val="21"/>
                <w:highlight w:val="none"/>
                <w:lang w:val="en-US" w:eastAsia="zh-CN"/>
              </w:rPr>
              <w:t>/</w:t>
            </w:r>
          </w:p>
        </w:tc>
        <w:tc>
          <w:tcPr>
            <w:tcW w:w="1276" w:type="dxa"/>
            <w:noWrap w:val="0"/>
            <w:vAlign w:val="center"/>
          </w:tcPr>
          <w:p>
            <w:pPr>
              <w:spacing w:beforeLines="0" w:afterLines="0" w:line="240" w:lineRule="auto"/>
              <w:jc w:val="center"/>
              <w:rPr>
                <w:rFonts w:hint="default" w:ascii="Times New Roman" w:hAnsi="Times New Roman" w:eastAsia="宋体" w:cs="Times New Roman"/>
                <w:snapToGrid w:val="0"/>
                <w:color w:val="000000"/>
                <w:kern w:val="21"/>
                <w:szCs w:val="21"/>
                <w:highlight w:val="none"/>
                <w:lang w:val="en-US" w:eastAsia="zh-CN"/>
              </w:rPr>
            </w:pPr>
            <w:r>
              <w:rPr>
                <w:rFonts w:hint="default" w:ascii="Times New Roman" w:hAnsi="Times New Roman" w:cs="Times New Roman"/>
                <w:snapToGrid w:val="0"/>
                <w:color w:val="auto"/>
                <w:kern w:val="21"/>
                <w:szCs w:val="21"/>
                <w:highlight w:val="none"/>
                <w:lang w:val="en-US" w:eastAsia="zh-CN"/>
              </w:rPr>
              <w:t>/</w:t>
            </w:r>
          </w:p>
        </w:tc>
        <w:tc>
          <w:tcPr>
            <w:tcW w:w="1701" w:type="dxa"/>
            <w:noWrap w:val="0"/>
            <w:vAlign w:val="center"/>
          </w:tcPr>
          <w:p>
            <w:pPr>
              <w:spacing w:beforeLines="0" w:afterLines="0" w:line="240" w:lineRule="auto"/>
              <w:jc w:val="center"/>
              <w:rPr>
                <w:rFonts w:hint="default" w:ascii="Times New Roman" w:hAnsi="Times New Roman" w:cs="Times New Roman"/>
                <w:snapToGrid w:val="0"/>
                <w:color w:val="000000"/>
                <w:kern w:val="21"/>
                <w:szCs w:val="21"/>
                <w:highlight w:val="none"/>
              </w:rPr>
            </w:pPr>
            <w:r>
              <w:rPr>
                <w:rFonts w:hint="default" w:ascii="Times New Roman" w:hAnsi="Times New Roman" w:cs="Times New Roman"/>
                <w:snapToGrid w:val="0"/>
                <w:color w:val="auto"/>
                <w:kern w:val="21"/>
                <w:szCs w:val="21"/>
                <w:highlight w:val="none"/>
                <w:lang w:val="en-US" w:eastAsia="zh-CN"/>
              </w:rPr>
              <w:t>/</w:t>
            </w:r>
          </w:p>
        </w:tc>
        <w:tc>
          <w:tcPr>
            <w:tcW w:w="1559" w:type="dxa"/>
            <w:noWrap w:val="0"/>
            <w:vAlign w:val="center"/>
          </w:tcPr>
          <w:p>
            <w:pPr>
              <w:spacing w:beforeLines="0" w:afterLines="0" w:line="240" w:lineRule="auto"/>
              <w:jc w:val="center"/>
              <w:rPr>
                <w:rFonts w:hint="default" w:ascii="Times New Roman" w:hAnsi="Times New Roman" w:eastAsia="宋体" w:cs="Times New Roman"/>
                <w:snapToGrid w:val="0"/>
                <w:color w:val="000000"/>
                <w:kern w:val="21"/>
                <w:szCs w:val="21"/>
                <w:highlight w:val="none"/>
                <w:lang w:val="en-US" w:eastAsia="zh-CN"/>
              </w:rPr>
            </w:pPr>
            <w:r>
              <w:rPr>
                <w:rFonts w:hint="default" w:ascii="Times New Roman" w:hAnsi="Times New Roman" w:cs="Times New Roman"/>
                <w:snapToGrid w:val="0"/>
                <w:color w:val="auto"/>
                <w:kern w:val="21"/>
                <w:szCs w:val="21"/>
                <w:highlight w:val="none"/>
                <w:lang w:val="en-US" w:eastAsia="zh-CN"/>
              </w:rPr>
              <w:t>/</w:t>
            </w:r>
          </w:p>
        </w:tc>
        <w:tc>
          <w:tcPr>
            <w:tcW w:w="1563" w:type="dxa"/>
            <w:noWrap w:val="0"/>
            <w:vAlign w:val="center"/>
          </w:tcPr>
          <w:p>
            <w:pPr>
              <w:spacing w:beforeLines="0" w:afterLines="0" w:line="240" w:lineRule="auto"/>
              <w:jc w:val="center"/>
              <w:rPr>
                <w:rFonts w:hint="default" w:ascii="Times New Roman" w:hAnsi="Times New Roman" w:cs="Times New Roman"/>
                <w:snapToGrid w:val="0"/>
                <w:color w:val="000000"/>
                <w:kern w:val="21"/>
                <w:szCs w:val="21"/>
                <w:highlight w:val="none"/>
              </w:rPr>
            </w:pPr>
            <w:r>
              <w:rPr>
                <w:rFonts w:hint="default" w:ascii="Times New Roman" w:hAnsi="Times New Roman" w:cs="Times New Roman"/>
                <w:snapToGrid w:val="0"/>
                <w:color w:val="auto"/>
                <w:kern w:val="21"/>
                <w:szCs w:val="21"/>
                <w:highlight w:val="none"/>
                <w:lang w:val="en-US" w:eastAsia="zh-CN"/>
              </w:rPr>
              <w:t>/</w:t>
            </w:r>
          </w:p>
        </w:tc>
        <w:tc>
          <w:tcPr>
            <w:tcW w:w="1800" w:type="dxa"/>
            <w:noWrap w:val="0"/>
            <w:vAlign w:val="center"/>
          </w:tcPr>
          <w:p>
            <w:pPr>
              <w:spacing w:beforeLines="0" w:afterLines="0" w:line="240" w:lineRule="auto"/>
              <w:jc w:val="center"/>
              <w:rPr>
                <w:rFonts w:hint="default" w:ascii="Times New Roman" w:hAnsi="Times New Roman" w:cs="Times New Roman"/>
                <w:snapToGrid w:val="0"/>
                <w:color w:val="000000"/>
                <w:kern w:val="21"/>
                <w:szCs w:val="21"/>
                <w:highlight w:val="none"/>
                <w:lang w:val="en-US"/>
              </w:rPr>
            </w:pPr>
            <w:r>
              <w:rPr>
                <w:rFonts w:hint="default" w:ascii="Times New Roman" w:hAnsi="Times New Roman" w:cs="Times New Roman"/>
                <w:snapToGrid w:val="0"/>
                <w:color w:val="auto"/>
                <w:kern w:val="21"/>
                <w:szCs w:val="21"/>
                <w:highlight w:val="none"/>
                <w:lang w:val="en-US" w:eastAsia="zh-CN"/>
              </w:rPr>
              <w:t>/</w:t>
            </w:r>
          </w:p>
        </w:tc>
        <w:tc>
          <w:tcPr>
            <w:tcW w:w="1183" w:type="dxa"/>
            <w:noWrap w:val="0"/>
            <w:vAlign w:val="center"/>
          </w:tcPr>
          <w:p>
            <w:pPr>
              <w:spacing w:beforeLines="0" w:afterLines="0" w:line="240" w:lineRule="auto"/>
              <w:jc w:val="center"/>
              <w:rPr>
                <w:rFonts w:hint="default" w:ascii="Times New Roman" w:hAnsi="Times New Roman" w:cs="Times New Roman"/>
                <w:snapToGrid w:val="0"/>
                <w:color w:val="000000"/>
                <w:kern w:val="21"/>
                <w:szCs w:val="21"/>
                <w:highlight w:val="none"/>
              </w:rPr>
            </w:pPr>
            <w:r>
              <w:rPr>
                <w:rFonts w:hint="default" w:ascii="Times New Roman" w:hAnsi="Times New Roman" w:cs="Times New Roman"/>
                <w:snapToGrid w:val="0"/>
                <w:color w:val="auto"/>
                <w:kern w:val="21"/>
                <w:szCs w:val="21"/>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pPr>
              <w:pStyle w:val="44"/>
              <w:spacing w:beforeLines="0" w:afterLines="0" w:line="240" w:lineRule="auto"/>
              <w:rPr>
                <w:rFonts w:hint="eastAsia" w:hAnsi="宋体" w:cs="宋体"/>
                <w:snapToGrid w:val="0"/>
                <w:color w:val="000000"/>
                <w:kern w:val="21"/>
                <w:szCs w:val="21"/>
                <w:highlight w:val="none"/>
              </w:rPr>
            </w:pPr>
          </w:p>
        </w:tc>
        <w:tc>
          <w:tcPr>
            <w:tcW w:w="1417" w:type="dxa"/>
            <w:noWrap w:val="0"/>
            <w:vAlign w:val="center"/>
          </w:tcPr>
          <w:p>
            <w:pPr>
              <w:pStyle w:val="44"/>
              <w:spacing w:beforeLines="0" w:afterLines="0" w:line="240" w:lineRule="auto"/>
              <w:rPr>
                <w:rFonts w:hint="default" w:ascii="Times New Roman" w:hAnsi="Times New Roman" w:eastAsia="宋体" w:cs="Times New Roman"/>
                <w:snapToGrid w:val="0"/>
                <w:color w:val="000000"/>
                <w:kern w:val="21"/>
                <w:szCs w:val="21"/>
                <w:highlight w:val="none"/>
                <w:lang w:val="en-US" w:eastAsia="zh-CN"/>
              </w:rPr>
            </w:pPr>
            <w:r>
              <w:rPr>
                <w:rFonts w:hint="default" w:ascii="Times New Roman" w:hAnsi="Times New Roman" w:cs="Times New Roman"/>
                <w:snapToGrid w:val="0"/>
                <w:color w:val="000000"/>
                <w:kern w:val="21"/>
                <w:szCs w:val="21"/>
                <w:highlight w:val="none"/>
                <w:lang w:val="en-US" w:eastAsia="zh-CN"/>
              </w:rPr>
              <w:t>TP</w:t>
            </w:r>
          </w:p>
        </w:tc>
        <w:tc>
          <w:tcPr>
            <w:tcW w:w="1701" w:type="dxa"/>
            <w:noWrap w:val="0"/>
            <w:vAlign w:val="center"/>
          </w:tcPr>
          <w:p>
            <w:pPr>
              <w:spacing w:beforeLines="0" w:afterLines="0" w:line="240" w:lineRule="auto"/>
              <w:jc w:val="center"/>
              <w:rPr>
                <w:rFonts w:hint="default" w:ascii="Times New Roman" w:hAnsi="Times New Roman" w:eastAsia="宋体" w:cs="Times New Roman"/>
                <w:snapToGrid w:val="0"/>
                <w:color w:val="000000"/>
                <w:kern w:val="21"/>
                <w:szCs w:val="21"/>
                <w:highlight w:val="none"/>
                <w:lang w:val="en-US" w:eastAsia="zh-CN"/>
              </w:rPr>
            </w:pPr>
            <w:r>
              <w:rPr>
                <w:rFonts w:hint="default" w:ascii="Times New Roman" w:hAnsi="Times New Roman" w:cs="Times New Roman"/>
                <w:snapToGrid w:val="0"/>
                <w:color w:val="auto"/>
                <w:kern w:val="21"/>
                <w:szCs w:val="21"/>
                <w:highlight w:val="none"/>
                <w:lang w:val="en-US" w:eastAsia="zh-CN"/>
              </w:rPr>
              <w:t>/</w:t>
            </w:r>
          </w:p>
        </w:tc>
        <w:tc>
          <w:tcPr>
            <w:tcW w:w="1276" w:type="dxa"/>
            <w:noWrap w:val="0"/>
            <w:vAlign w:val="center"/>
          </w:tcPr>
          <w:p>
            <w:pPr>
              <w:spacing w:beforeLines="0" w:afterLines="0" w:line="240" w:lineRule="auto"/>
              <w:jc w:val="center"/>
              <w:rPr>
                <w:rFonts w:hint="default" w:ascii="Times New Roman" w:hAnsi="Times New Roman" w:eastAsia="宋体" w:cs="Times New Roman"/>
                <w:snapToGrid w:val="0"/>
                <w:color w:val="000000"/>
                <w:kern w:val="21"/>
                <w:szCs w:val="21"/>
                <w:highlight w:val="none"/>
                <w:lang w:val="en-US" w:eastAsia="zh-CN"/>
              </w:rPr>
            </w:pPr>
            <w:r>
              <w:rPr>
                <w:rFonts w:hint="default" w:ascii="Times New Roman" w:hAnsi="Times New Roman" w:cs="Times New Roman"/>
                <w:snapToGrid w:val="0"/>
                <w:color w:val="auto"/>
                <w:kern w:val="21"/>
                <w:szCs w:val="21"/>
                <w:highlight w:val="none"/>
                <w:lang w:val="en-US" w:eastAsia="zh-CN"/>
              </w:rPr>
              <w:t>/</w:t>
            </w:r>
          </w:p>
        </w:tc>
        <w:tc>
          <w:tcPr>
            <w:tcW w:w="1701" w:type="dxa"/>
            <w:noWrap w:val="0"/>
            <w:vAlign w:val="center"/>
          </w:tcPr>
          <w:p>
            <w:pPr>
              <w:spacing w:beforeLines="0" w:afterLines="0" w:line="240" w:lineRule="auto"/>
              <w:jc w:val="center"/>
              <w:rPr>
                <w:rFonts w:hint="default" w:ascii="Times New Roman" w:hAnsi="Times New Roman" w:cs="Times New Roman"/>
                <w:snapToGrid w:val="0"/>
                <w:color w:val="000000"/>
                <w:kern w:val="21"/>
                <w:szCs w:val="21"/>
                <w:highlight w:val="none"/>
              </w:rPr>
            </w:pPr>
            <w:r>
              <w:rPr>
                <w:rFonts w:hint="default" w:ascii="Times New Roman" w:hAnsi="Times New Roman" w:cs="Times New Roman"/>
                <w:snapToGrid w:val="0"/>
                <w:color w:val="auto"/>
                <w:kern w:val="21"/>
                <w:szCs w:val="21"/>
                <w:highlight w:val="none"/>
                <w:lang w:val="en-US" w:eastAsia="zh-CN"/>
              </w:rPr>
              <w:t>/</w:t>
            </w:r>
          </w:p>
        </w:tc>
        <w:tc>
          <w:tcPr>
            <w:tcW w:w="1559" w:type="dxa"/>
            <w:noWrap w:val="0"/>
            <w:vAlign w:val="center"/>
          </w:tcPr>
          <w:p>
            <w:pPr>
              <w:spacing w:beforeLines="0" w:afterLines="0" w:line="240" w:lineRule="auto"/>
              <w:jc w:val="center"/>
              <w:rPr>
                <w:rFonts w:hint="default" w:ascii="Times New Roman" w:hAnsi="Times New Roman" w:eastAsia="宋体" w:cs="Times New Roman"/>
                <w:snapToGrid w:val="0"/>
                <w:color w:val="000000"/>
                <w:kern w:val="21"/>
                <w:szCs w:val="21"/>
                <w:highlight w:val="none"/>
                <w:lang w:val="en-US" w:eastAsia="zh-CN"/>
              </w:rPr>
            </w:pPr>
            <w:r>
              <w:rPr>
                <w:rFonts w:hint="default" w:ascii="Times New Roman" w:hAnsi="Times New Roman" w:cs="Times New Roman"/>
                <w:snapToGrid w:val="0"/>
                <w:color w:val="auto"/>
                <w:kern w:val="21"/>
                <w:szCs w:val="21"/>
                <w:highlight w:val="none"/>
                <w:lang w:val="en-US" w:eastAsia="zh-CN"/>
              </w:rPr>
              <w:t>/</w:t>
            </w:r>
          </w:p>
        </w:tc>
        <w:tc>
          <w:tcPr>
            <w:tcW w:w="1563" w:type="dxa"/>
            <w:noWrap w:val="0"/>
            <w:vAlign w:val="center"/>
          </w:tcPr>
          <w:p>
            <w:pPr>
              <w:spacing w:beforeLines="0" w:afterLines="0" w:line="240" w:lineRule="auto"/>
              <w:jc w:val="center"/>
              <w:rPr>
                <w:rFonts w:hint="default" w:ascii="Times New Roman" w:hAnsi="Times New Roman" w:cs="Times New Roman"/>
                <w:snapToGrid w:val="0"/>
                <w:color w:val="000000"/>
                <w:kern w:val="21"/>
                <w:szCs w:val="21"/>
                <w:highlight w:val="none"/>
              </w:rPr>
            </w:pPr>
            <w:r>
              <w:rPr>
                <w:rFonts w:hint="default" w:ascii="Times New Roman" w:hAnsi="Times New Roman" w:cs="Times New Roman"/>
                <w:snapToGrid w:val="0"/>
                <w:color w:val="auto"/>
                <w:kern w:val="21"/>
                <w:szCs w:val="21"/>
                <w:highlight w:val="none"/>
                <w:lang w:val="en-US" w:eastAsia="zh-CN"/>
              </w:rPr>
              <w:t>/</w:t>
            </w:r>
          </w:p>
        </w:tc>
        <w:tc>
          <w:tcPr>
            <w:tcW w:w="1800" w:type="dxa"/>
            <w:noWrap w:val="0"/>
            <w:vAlign w:val="center"/>
          </w:tcPr>
          <w:p>
            <w:pPr>
              <w:spacing w:beforeLines="0" w:afterLines="0" w:line="240" w:lineRule="auto"/>
              <w:jc w:val="center"/>
              <w:rPr>
                <w:rFonts w:hint="default" w:ascii="Times New Roman" w:hAnsi="Times New Roman" w:cs="Times New Roman"/>
                <w:snapToGrid w:val="0"/>
                <w:color w:val="000000"/>
                <w:kern w:val="21"/>
                <w:szCs w:val="21"/>
                <w:highlight w:val="none"/>
                <w:lang w:val="en-US"/>
              </w:rPr>
            </w:pPr>
            <w:r>
              <w:rPr>
                <w:rFonts w:hint="default" w:ascii="Times New Roman" w:hAnsi="Times New Roman" w:cs="Times New Roman"/>
                <w:snapToGrid w:val="0"/>
                <w:color w:val="auto"/>
                <w:kern w:val="21"/>
                <w:szCs w:val="21"/>
                <w:highlight w:val="none"/>
                <w:lang w:val="en-US" w:eastAsia="zh-CN"/>
              </w:rPr>
              <w:t>/</w:t>
            </w:r>
          </w:p>
        </w:tc>
        <w:tc>
          <w:tcPr>
            <w:tcW w:w="1183" w:type="dxa"/>
            <w:noWrap w:val="0"/>
            <w:vAlign w:val="center"/>
          </w:tcPr>
          <w:p>
            <w:pPr>
              <w:spacing w:beforeLines="0" w:afterLines="0" w:line="240" w:lineRule="auto"/>
              <w:jc w:val="center"/>
              <w:rPr>
                <w:rFonts w:hint="default" w:ascii="Times New Roman" w:hAnsi="Times New Roman" w:cs="Times New Roman"/>
                <w:snapToGrid w:val="0"/>
                <w:color w:val="000000"/>
                <w:kern w:val="21"/>
                <w:szCs w:val="21"/>
                <w:highlight w:val="none"/>
              </w:rPr>
            </w:pPr>
            <w:r>
              <w:rPr>
                <w:rFonts w:hint="default" w:ascii="Times New Roman" w:hAnsi="Times New Roman" w:cs="Times New Roman"/>
                <w:snapToGrid w:val="0"/>
                <w:color w:val="auto"/>
                <w:kern w:val="21"/>
                <w:szCs w:val="21"/>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noWrap w:val="0"/>
            <w:vAlign w:val="center"/>
          </w:tcPr>
          <w:p>
            <w:pPr>
              <w:pStyle w:val="44"/>
              <w:spacing w:beforeLines="0" w:afterLines="0" w:line="240" w:lineRule="auto"/>
              <w:rPr>
                <w:rFonts w:hint="eastAsia" w:hAnsi="宋体" w:eastAsia="宋体" w:cs="宋体"/>
                <w:snapToGrid w:val="0"/>
                <w:color w:val="000000"/>
                <w:kern w:val="21"/>
                <w:szCs w:val="21"/>
                <w:highlight w:val="none"/>
                <w:lang w:val="en-US" w:eastAsia="zh-CN"/>
              </w:rPr>
            </w:pPr>
            <w:r>
              <w:rPr>
                <w:rFonts w:hint="eastAsia" w:hAnsi="宋体" w:cs="宋体"/>
                <w:snapToGrid w:val="0"/>
                <w:color w:val="000000"/>
                <w:kern w:val="21"/>
                <w:szCs w:val="21"/>
                <w:highlight w:val="none"/>
                <w:lang w:val="en-US" w:eastAsia="zh-CN"/>
              </w:rPr>
              <w:t>一般固废</w:t>
            </w:r>
          </w:p>
        </w:tc>
        <w:tc>
          <w:tcPr>
            <w:tcW w:w="1417" w:type="dxa"/>
            <w:noWrap w:val="0"/>
            <w:vAlign w:val="center"/>
          </w:tcPr>
          <w:p>
            <w:pPr>
              <w:pStyle w:val="44"/>
              <w:spacing w:beforeLines="0" w:afterLines="0" w:line="240" w:lineRule="auto"/>
              <w:rPr>
                <w:rFonts w:hint="default" w:ascii="Times New Roman" w:hAnsi="Times New Roman" w:cs="Times New Roman"/>
                <w:snapToGrid w:val="0"/>
                <w:color w:val="000000"/>
                <w:kern w:val="21"/>
                <w:szCs w:val="21"/>
                <w:highlight w:val="none"/>
                <w:lang w:val="en-US" w:eastAsia="zh-CN"/>
              </w:rPr>
            </w:pPr>
            <w:r>
              <w:rPr>
                <w:rFonts w:hint="eastAsia" w:ascii="Times New Roman" w:cs="Times New Roman"/>
                <w:snapToGrid w:val="0"/>
                <w:color w:val="000000"/>
                <w:kern w:val="21"/>
                <w:szCs w:val="21"/>
                <w:highlight w:val="none"/>
                <w:lang w:val="en-US" w:eastAsia="zh-CN"/>
              </w:rPr>
              <w:t>煤泥</w:t>
            </w:r>
          </w:p>
        </w:tc>
        <w:tc>
          <w:tcPr>
            <w:tcW w:w="1701" w:type="dxa"/>
            <w:noWrap w:val="0"/>
            <w:vAlign w:val="center"/>
          </w:tcPr>
          <w:p>
            <w:pPr>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cs="Times New Roman"/>
                <w:snapToGrid w:val="0"/>
                <w:color w:val="auto"/>
                <w:kern w:val="21"/>
                <w:szCs w:val="21"/>
                <w:highlight w:val="none"/>
                <w:lang w:val="en-US" w:eastAsia="zh-CN"/>
              </w:rPr>
              <w:t>/</w:t>
            </w:r>
          </w:p>
        </w:tc>
        <w:tc>
          <w:tcPr>
            <w:tcW w:w="1276" w:type="dxa"/>
            <w:noWrap w:val="0"/>
            <w:vAlign w:val="center"/>
          </w:tcPr>
          <w:p>
            <w:pPr>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cs="Times New Roman"/>
                <w:snapToGrid w:val="0"/>
                <w:color w:val="auto"/>
                <w:kern w:val="21"/>
                <w:szCs w:val="21"/>
                <w:highlight w:val="none"/>
                <w:lang w:val="en-US" w:eastAsia="zh-CN"/>
              </w:rPr>
              <w:t>/</w:t>
            </w:r>
          </w:p>
        </w:tc>
        <w:tc>
          <w:tcPr>
            <w:tcW w:w="1701" w:type="dxa"/>
            <w:noWrap w:val="0"/>
            <w:vAlign w:val="center"/>
          </w:tcPr>
          <w:p>
            <w:pPr>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cs="Times New Roman"/>
                <w:snapToGrid w:val="0"/>
                <w:color w:val="auto"/>
                <w:kern w:val="21"/>
                <w:szCs w:val="21"/>
                <w:highlight w:val="none"/>
                <w:lang w:val="en-US" w:eastAsia="zh-CN"/>
              </w:rPr>
              <w:t>/</w:t>
            </w:r>
          </w:p>
        </w:tc>
        <w:tc>
          <w:tcPr>
            <w:tcW w:w="1559" w:type="dxa"/>
            <w:shd w:val="clear" w:color="auto" w:fill="auto"/>
            <w:noWrap w:val="0"/>
            <w:vAlign w:val="center"/>
          </w:tcPr>
          <w:p>
            <w:pPr>
              <w:spacing w:beforeLines="0" w:afterLines="0" w:line="240" w:lineRule="auto"/>
              <w:jc w:val="center"/>
              <w:rPr>
                <w:rFonts w:hint="default" w:ascii="Times New Roman" w:hAnsi="Times New Roman" w:eastAsia="宋体" w:cs="Times New Roman"/>
                <w:snapToGrid w:val="0"/>
                <w:color w:val="000000"/>
                <w:kern w:val="21"/>
                <w:sz w:val="24"/>
                <w:szCs w:val="21"/>
                <w:highlight w:val="none"/>
                <w:lang w:val="en-US" w:eastAsia="zh-CN" w:bidi="ar-SA"/>
              </w:rPr>
            </w:pPr>
            <w:r>
              <w:rPr>
                <w:rFonts w:hint="eastAsia" w:cs="Times New Roman"/>
                <w:snapToGrid w:val="0"/>
                <w:color w:val="auto"/>
                <w:kern w:val="21"/>
                <w:szCs w:val="21"/>
                <w:highlight w:val="none"/>
                <w:lang w:val="en-US" w:eastAsia="zh-CN"/>
              </w:rPr>
              <w:t>3.33</w:t>
            </w:r>
          </w:p>
        </w:tc>
        <w:tc>
          <w:tcPr>
            <w:tcW w:w="1563" w:type="dxa"/>
            <w:shd w:val="clear" w:color="auto" w:fill="auto"/>
            <w:noWrap w:val="0"/>
            <w:vAlign w:val="center"/>
          </w:tcPr>
          <w:p>
            <w:pPr>
              <w:spacing w:beforeLines="0" w:afterLines="0" w:line="240" w:lineRule="auto"/>
              <w:jc w:val="center"/>
              <w:rPr>
                <w:rFonts w:hint="default" w:ascii="Times New Roman" w:hAnsi="Times New Roman" w:eastAsia="宋体" w:cs="Times New Roman"/>
                <w:snapToGrid w:val="0"/>
                <w:color w:val="000000"/>
                <w:kern w:val="21"/>
                <w:sz w:val="24"/>
                <w:szCs w:val="21"/>
                <w:highlight w:val="none"/>
                <w:lang w:val="en-US" w:eastAsia="zh-CN" w:bidi="ar-SA"/>
              </w:rPr>
            </w:pPr>
            <w:r>
              <w:rPr>
                <w:rFonts w:hint="default" w:ascii="Times New Roman" w:hAnsi="Times New Roman" w:cs="Times New Roman"/>
                <w:snapToGrid w:val="0"/>
                <w:color w:val="auto"/>
                <w:kern w:val="21"/>
                <w:szCs w:val="21"/>
                <w:highlight w:val="none"/>
                <w:lang w:val="en-US" w:eastAsia="zh-CN"/>
              </w:rPr>
              <w:t>/</w:t>
            </w:r>
          </w:p>
        </w:tc>
        <w:tc>
          <w:tcPr>
            <w:tcW w:w="1800" w:type="dxa"/>
            <w:shd w:val="clear" w:color="auto" w:fill="auto"/>
            <w:noWrap w:val="0"/>
            <w:vAlign w:val="center"/>
          </w:tcPr>
          <w:p>
            <w:pPr>
              <w:spacing w:beforeLines="0" w:afterLines="0" w:line="240" w:lineRule="auto"/>
              <w:jc w:val="center"/>
              <w:rPr>
                <w:rFonts w:hint="default" w:ascii="Times New Roman" w:hAnsi="Times New Roman" w:eastAsia="宋体" w:cs="Times New Roman"/>
                <w:snapToGrid w:val="0"/>
                <w:color w:val="000000"/>
                <w:kern w:val="21"/>
                <w:sz w:val="24"/>
                <w:szCs w:val="21"/>
                <w:highlight w:val="none"/>
                <w:lang w:val="en-US" w:eastAsia="zh-CN" w:bidi="ar-SA"/>
              </w:rPr>
            </w:pPr>
            <w:r>
              <w:rPr>
                <w:rFonts w:hint="eastAsia" w:cs="Times New Roman"/>
                <w:snapToGrid w:val="0"/>
                <w:color w:val="000000"/>
                <w:kern w:val="21"/>
                <w:sz w:val="24"/>
                <w:szCs w:val="21"/>
                <w:highlight w:val="none"/>
                <w:lang w:val="en-US" w:eastAsia="zh-CN" w:bidi="ar-SA"/>
              </w:rPr>
              <w:t>3.33</w:t>
            </w:r>
          </w:p>
        </w:tc>
        <w:tc>
          <w:tcPr>
            <w:tcW w:w="1183" w:type="dxa"/>
            <w:shd w:val="clear" w:color="auto" w:fill="auto"/>
            <w:noWrap w:val="0"/>
            <w:vAlign w:val="center"/>
          </w:tcPr>
          <w:p>
            <w:pPr>
              <w:spacing w:beforeLines="0" w:afterLines="0" w:line="240" w:lineRule="auto"/>
              <w:jc w:val="center"/>
              <w:rPr>
                <w:rFonts w:hint="default" w:ascii="Times New Roman" w:hAnsi="Times New Roman" w:eastAsia="宋体" w:cs="Times New Roman"/>
                <w:snapToGrid w:val="0"/>
                <w:color w:val="000000"/>
                <w:kern w:val="21"/>
                <w:sz w:val="24"/>
                <w:szCs w:val="21"/>
                <w:highlight w:val="none"/>
                <w:lang w:val="en-US" w:eastAsia="zh-CN" w:bidi="ar-SA"/>
              </w:rPr>
            </w:pPr>
            <w:r>
              <w:rPr>
                <w:rFonts w:hint="eastAsia" w:cs="Times New Roman"/>
                <w:snapToGrid w:val="0"/>
                <w:color w:val="auto"/>
                <w:kern w:val="21"/>
                <w:szCs w:val="21"/>
                <w:highlight w:val="none"/>
                <w:lang w:val="en-US" w:eastAsia="zh-CN"/>
              </w:rPr>
              <w:t>+3.33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noWrap w:val="0"/>
            <w:vAlign w:val="center"/>
          </w:tcPr>
          <w:p>
            <w:pPr>
              <w:pStyle w:val="44"/>
              <w:spacing w:beforeLines="0" w:afterLines="0" w:line="240" w:lineRule="auto"/>
              <w:rPr>
                <w:rFonts w:hint="default" w:hAnsi="宋体" w:cs="宋体"/>
                <w:snapToGrid w:val="0"/>
                <w:color w:val="000000"/>
                <w:kern w:val="21"/>
                <w:szCs w:val="21"/>
                <w:highlight w:val="none"/>
                <w:lang w:val="en-US" w:eastAsia="zh-CN"/>
              </w:rPr>
            </w:pPr>
            <w:r>
              <w:rPr>
                <w:rFonts w:hint="eastAsia" w:hAnsi="宋体" w:cs="宋体"/>
                <w:snapToGrid w:val="0"/>
                <w:color w:val="000000"/>
                <w:kern w:val="21"/>
                <w:szCs w:val="21"/>
                <w:highlight w:val="none"/>
                <w:lang w:val="en-US" w:eastAsia="zh-CN"/>
              </w:rPr>
              <w:t>生活垃圾</w:t>
            </w:r>
          </w:p>
        </w:tc>
        <w:tc>
          <w:tcPr>
            <w:tcW w:w="1417" w:type="dxa"/>
            <w:noWrap w:val="0"/>
            <w:vAlign w:val="center"/>
          </w:tcPr>
          <w:p>
            <w:pPr>
              <w:pStyle w:val="44"/>
              <w:spacing w:beforeLines="0" w:afterLines="0" w:line="240" w:lineRule="auto"/>
              <w:rPr>
                <w:rFonts w:hint="default" w:ascii="Times New Roman" w:hAnsi="Times New Roman" w:cs="Times New Roman"/>
                <w:snapToGrid w:val="0"/>
                <w:color w:val="000000"/>
                <w:kern w:val="21"/>
                <w:szCs w:val="21"/>
                <w:highlight w:val="none"/>
                <w:lang w:val="en-US" w:eastAsia="zh-CN"/>
              </w:rPr>
            </w:pPr>
            <w:r>
              <w:rPr>
                <w:rFonts w:hint="eastAsia" w:ascii="Times New Roman" w:cs="Times New Roman"/>
                <w:snapToGrid w:val="0"/>
                <w:color w:val="000000"/>
                <w:kern w:val="21"/>
                <w:szCs w:val="21"/>
                <w:highlight w:val="none"/>
                <w:lang w:val="en-US" w:eastAsia="zh-CN"/>
              </w:rPr>
              <w:t>生活垃圾</w:t>
            </w:r>
          </w:p>
        </w:tc>
        <w:tc>
          <w:tcPr>
            <w:tcW w:w="1701" w:type="dxa"/>
            <w:shd w:val="clear" w:color="auto" w:fill="auto"/>
            <w:noWrap w:val="0"/>
            <w:vAlign w:val="center"/>
          </w:tcPr>
          <w:p>
            <w:pPr>
              <w:spacing w:beforeLines="0" w:afterLines="0" w:line="240" w:lineRule="auto"/>
              <w:jc w:val="center"/>
              <w:rPr>
                <w:rFonts w:hint="eastAsia" w:ascii="Times New Roman" w:hAnsi="Times New Roman" w:eastAsia="宋体" w:cs="Times New Roman"/>
                <w:snapToGrid w:val="0"/>
                <w:color w:val="auto"/>
                <w:kern w:val="21"/>
                <w:sz w:val="24"/>
                <w:szCs w:val="21"/>
                <w:highlight w:val="none"/>
                <w:lang w:val="en-US" w:eastAsia="zh-CN" w:bidi="ar-SA"/>
              </w:rPr>
            </w:pPr>
            <w:r>
              <w:rPr>
                <w:rFonts w:hint="eastAsia" w:cs="Times New Roman"/>
                <w:snapToGrid w:val="0"/>
                <w:color w:val="auto"/>
                <w:kern w:val="21"/>
                <w:szCs w:val="21"/>
                <w:highlight w:val="none"/>
                <w:lang w:val="en-US" w:eastAsia="zh-CN"/>
              </w:rPr>
              <w:t>/</w:t>
            </w:r>
          </w:p>
        </w:tc>
        <w:tc>
          <w:tcPr>
            <w:tcW w:w="1276" w:type="dxa"/>
            <w:shd w:val="clear" w:color="auto" w:fill="auto"/>
            <w:noWrap w:val="0"/>
            <w:vAlign w:val="center"/>
          </w:tcPr>
          <w:p>
            <w:pPr>
              <w:spacing w:beforeLines="0" w:afterLines="0" w:line="240" w:lineRule="auto"/>
              <w:jc w:val="center"/>
              <w:rPr>
                <w:rFonts w:hint="eastAsia" w:ascii="Times New Roman" w:hAnsi="Times New Roman" w:eastAsia="宋体" w:cs="Times New Roman"/>
                <w:snapToGrid w:val="0"/>
                <w:color w:val="auto"/>
                <w:kern w:val="21"/>
                <w:sz w:val="24"/>
                <w:szCs w:val="21"/>
                <w:highlight w:val="none"/>
                <w:lang w:val="en-US" w:eastAsia="zh-CN" w:bidi="ar-SA"/>
              </w:rPr>
            </w:pPr>
            <w:r>
              <w:rPr>
                <w:rFonts w:hint="eastAsia" w:cs="Times New Roman"/>
                <w:snapToGrid w:val="0"/>
                <w:color w:val="auto"/>
                <w:kern w:val="21"/>
                <w:szCs w:val="21"/>
                <w:highlight w:val="none"/>
                <w:lang w:val="en-US" w:eastAsia="zh-CN"/>
              </w:rPr>
              <w:t>/</w:t>
            </w:r>
          </w:p>
        </w:tc>
        <w:tc>
          <w:tcPr>
            <w:tcW w:w="1701" w:type="dxa"/>
            <w:shd w:val="clear" w:color="auto" w:fill="auto"/>
            <w:noWrap w:val="0"/>
            <w:vAlign w:val="center"/>
          </w:tcPr>
          <w:p>
            <w:pPr>
              <w:spacing w:beforeLines="0" w:afterLines="0" w:line="240" w:lineRule="auto"/>
              <w:jc w:val="center"/>
              <w:rPr>
                <w:rFonts w:hint="eastAsia" w:ascii="Times New Roman" w:hAnsi="Times New Roman" w:eastAsia="宋体" w:cs="Times New Roman"/>
                <w:snapToGrid w:val="0"/>
                <w:color w:val="auto"/>
                <w:kern w:val="21"/>
                <w:sz w:val="24"/>
                <w:szCs w:val="21"/>
                <w:highlight w:val="none"/>
                <w:lang w:val="en-US" w:eastAsia="zh-CN" w:bidi="ar-SA"/>
              </w:rPr>
            </w:pPr>
            <w:r>
              <w:rPr>
                <w:rFonts w:hint="eastAsia" w:cs="Times New Roman"/>
                <w:snapToGrid w:val="0"/>
                <w:color w:val="auto"/>
                <w:kern w:val="21"/>
                <w:szCs w:val="21"/>
                <w:highlight w:val="none"/>
                <w:lang w:val="en-US" w:eastAsia="zh-CN"/>
              </w:rPr>
              <w:t>/</w:t>
            </w:r>
          </w:p>
        </w:tc>
        <w:tc>
          <w:tcPr>
            <w:tcW w:w="1559" w:type="dxa"/>
            <w:shd w:val="clear" w:color="auto" w:fill="auto"/>
            <w:noWrap w:val="0"/>
            <w:vAlign w:val="center"/>
          </w:tcPr>
          <w:p>
            <w:pPr>
              <w:spacing w:beforeLines="0" w:afterLines="0" w:line="240" w:lineRule="auto"/>
              <w:jc w:val="center"/>
              <w:rPr>
                <w:rFonts w:hint="default" w:ascii="Times New Roman" w:hAnsi="Times New Roman" w:eastAsia="宋体" w:cs="Times New Roman"/>
                <w:snapToGrid w:val="0"/>
                <w:color w:val="auto"/>
                <w:kern w:val="21"/>
                <w:sz w:val="24"/>
                <w:szCs w:val="21"/>
                <w:highlight w:val="none"/>
                <w:lang w:val="en-US" w:eastAsia="zh-CN" w:bidi="ar-SA"/>
              </w:rPr>
            </w:pPr>
            <w:r>
              <w:rPr>
                <w:rFonts w:hint="eastAsia" w:cs="Times New Roman"/>
                <w:snapToGrid w:val="0"/>
                <w:color w:val="auto"/>
                <w:kern w:val="21"/>
                <w:szCs w:val="21"/>
                <w:highlight w:val="none"/>
                <w:lang w:val="en-US" w:eastAsia="zh-CN"/>
              </w:rPr>
              <w:t>3.3</w:t>
            </w:r>
          </w:p>
        </w:tc>
        <w:tc>
          <w:tcPr>
            <w:tcW w:w="1563" w:type="dxa"/>
            <w:shd w:val="clear" w:color="auto" w:fill="auto"/>
            <w:noWrap w:val="0"/>
            <w:vAlign w:val="center"/>
          </w:tcPr>
          <w:p>
            <w:pPr>
              <w:spacing w:beforeLines="0" w:afterLines="0" w:line="240" w:lineRule="auto"/>
              <w:jc w:val="center"/>
              <w:rPr>
                <w:rFonts w:hint="eastAsia" w:ascii="Times New Roman" w:hAnsi="Times New Roman" w:eastAsia="宋体" w:cs="Times New Roman"/>
                <w:snapToGrid w:val="0"/>
                <w:color w:val="auto"/>
                <w:kern w:val="21"/>
                <w:sz w:val="24"/>
                <w:szCs w:val="21"/>
                <w:highlight w:val="none"/>
                <w:lang w:val="en-US" w:eastAsia="zh-CN" w:bidi="ar-SA"/>
              </w:rPr>
            </w:pPr>
            <w:r>
              <w:rPr>
                <w:rFonts w:hint="eastAsia" w:cs="Times New Roman"/>
                <w:snapToGrid w:val="0"/>
                <w:color w:val="auto"/>
                <w:kern w:val="21"/>
                <w:szCs w:val="21"/>
                <w:highlight w:val="none"/>
                <w:lang w:val="en-US" w:eastAsia="zh-CN"/>
              </w:rPr>
              <w:t>/</w:t>
            </w:r>
          </w:p>
        </w:tc>
        <w:tc>
          <w:tcPr>
            <w:tcW w:w="1800" w:type="dxa"/>
            <w:shd w:val="clear" w:color="auto" w:fill="auto"/>
            <w:noWrap w:val="0"/>
            <w:vAlign w:val="center"/>
          </w:tcPr>
          <w:p>
            <w:pPr>
              <w:spacing w:beforeLines="0" w:afterLines="0" w:line="240" w:lineRule="auto"/>
              <w:jc w:val="center"/>
              <w:rPr>
                <w:rFonts w:hint="default" w:ascii="Times New Roman" w:hAnsi="Times New Roman" w:eastAsia="宋体" w:cs="Times New Roman"/>
                <w:snapToGrid w:val="0"/>
                <w:color w:val="auto"/>
                <w:kern w:val="21"/>
                <w:sz w:val="24"/>
                <w:szCs w:val="21"/>
                <w:highlight w:val="none"/>
                <w:lang w:val="en-US" w:eastAsia="zh-CN" w:bidi="ar-SA"/>
              </w:rPr>
            </w:pPr>
            <w:r>
              <w:rPr>
                <w:rFonts w:hint="eastAsia" w:cs="Times New Roman"/>
                <w:snapToGrid w:val="0"/>
                <w:color w:val="auto"/>
                <w:kern w:val="21"/>
                <w:szCs w:val="21"/>
                <w:highlight w:val="none"/>
                <w:lang w:val="en-US" w:eastAsia="zh-CN"/>
              </w:rPr>
              <w:t>3.3</w:t>
            </w:r>
          </w:p>
        </w:tc>
        <w:tc>
          <w:tcPr>
            <w:tcW w:w="1183" w:type="dxa"/>
            <w:shd w:val="clear" w:color="auto" w:fill="auto"/>
            <w:noWrap w:val="0"/>
            <w:vAlign w:val="center"/>
          </w:tcPr>
          <w:p>
            <w:pPr>
              <w:spacing w:beforeLines="0" w:afterLines="0" w:line="240" w:lineRule="auto"/>
              <w:jc w:val="center"/>
              <w:rPr>
                <w:rFonts w:hint="default" w:ascii="Times New Roman" w:hAnsi="Times New Roman" w:eastAsia="宋体" w:cs="Times New Roman"/>
                <w:snapToGrid w:val="0"/>
                <w:color w:val="auto"/>
                <w:kern w:val="21"/>
                <w:sz w:val="24"/>
                <w:szCs w:val="21"/>
                <w:highlight w:val="none"/>
                <w:lang w:val="en-US" w:eastAsia="zh-CN" w:bidi="ar-SA"/>
              </w:rPr>
            </w:pPr>
            <w:r>
              <w:rPr>
                <w:rFonts w:hint="eastAsia" w:cs="Times New Roman"/>
                <w:snapToGrid w:val="0"/>
                <w:color w:val="auto"/>
                <w:kern w:val="21"/>
                <w:szCs w:val="21"/>
                <w:highlight w:val="none"/>
                <w:lang w:val="en-US" w:eastAsia="zh-CN"/>
              </w:rPr>
              <w:t>+3.3</w:t>
            </w:r>
          </w:p>
        </w:tc>
      </w:tr>
    </w:tbl>
    <w:p>
      <w:pPr>
        <w:pStyle w:val="44"/>
        <w:spacing w:before="192" w:beforeLines="80" w:after="24"/>
        <w:jc w:val="left"/>
        <w:rPr>
          <w:rFonts w:hint="eastAsia"/>
          <w:highlight w:val="none"/>
          <w:lang w:val="en-US" w:eastAsia="zh-CN"/>
        </w:rPr>
        <w:sectPr>
          <w:footerReference r:id="rId8" w:type="default"/>
          <w:pgSz w:w="16838" w:h="11906" w:orient="landscape"/>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r>
        <w:rPr>
          <w:rFonts w:hAnsi="宋体"/>
          <w:snapToGrid w:val="0"/>
          <w:color w:val="000000"/>
          <w:kern w:val="21"/>
          <w:szCs w:val="21"/>
          <w:highlight w:val="none"/>
        </w:rPr>
        <w:t>注：</w:t>
      </w:r>
      <w:r>
        <w:rPr>
          <w:rFonts w:hint="default" w:ascii="Times New Roman" w:hAnsi="Times New Roman" w:cs="Times New Roman"/>
          <w:snapToGrid w:val="0"/>
          <w:color w:val="000000"/>
          <w:spacing w:val="-16"/>
          <w:kern w:val="21"/>
          <w:szCs w:val="21"/>
          <w:highlight w:val="none"/>
        </w:rPr>
        <w:fldChar w:fldCharType="begin"/>
      </w:r>
      <w:r>
        <w:rPr>
          <w:rFonts w:hint="default" w:ascii="Times New Roman" w:hAnsi="Times New Roman" w:cs="Times New Roman"/>
          <w:snapToGrid w:val="0"/>
          <w:color w:val="000000"/>
          <w:spacing w:val="-16"/>
          <w:kern w:val="21"/>
          <w:szCs w:val="21"/>
          <w:highlight w:val="none"/>
        </w:rPr>
        <w:instrText xml:space="preserve"> = 6 \* GB3 \* MERGEFORMAT </w:instrText>
      </w:r>
      <w:r>
        <w:rPr>
          <w:rFonts w:hint="default" w:ascii="Times New Roman" w:hAnsi="Times New Roman" w:cs="Times New Roman"/>
          <w:snapToGrid w:val="0"/>
          <w:color w:val="000000"/>
          <w:spacing w:val="-16"/>
          <w:kern w:val="21"/>
          <w:szCs w:val="21"/>
          <w:highlight w:val="none"/>
        </w:rPr>
        <w:fldChar w:fldCharType="separate"/>
      </w:r>
      <w:r>
        <w:rPr>
          <w:rFonts w:hint="default" w:ascii="Times New Roman" w:hAnsi="Times New Roman" w:cs="Times New Roman"/>
          <w:szCs w:val="21"/>
          <w:highlight w:val="none"/>
        </w:rPr>
        <w:t>⑥</w:t>
      </w:r>
      <w:r>
        <w:rPr>
          <w:rFonts w:hint="default" w:ascii="Times New Roman" w:hAnsi="Times New Roman" w:cs="Times New Roman"/>
          <w:snapToGrid w:val="0"/>
          <w:color w:val="000000"/>
          <w:spacing w:val="-16"/>
          <w:kern w:val="21"/>
          <w:szCs w:val="21"/>
          <w:highlight w:val="none"/>
        </w:rPr>
        <w:fldChar w:fldCharType="end"/>
      </w:r>
      <w:r>
        <w:rPr>
          <w:rFonts w:hint="default" w:ascii="Times New Roman" w:hAnsi="Times New Roman" w:cs="Times New Roman"/>
          <w:snapToGrid w:val="0"/>
          <w:color w:val="000000"/>
          <w:spacing w:val="-1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1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①</w:t>
      </w:r>
      <w:r>
        <w:rPr>
          <w:rFonts w:hint="default" w:ascii="Times New Roman" w:hAnsi="Times New Roman" w:cs="Times New Roman"/>
          <w:snapToGrid w:val="0"/>
          <w:color w:val="000000"/>
          <w:spacing w:val="-6"/>
          <w:kern w:val="21"/>
          <w:szCs w:val="21"/>
          <w:highlight w:val="none"/>
        </w:rPr>
        <w:fldChar w:fldCharType="end"/>
      </w:r>
      <w:r>
        <w:rPr>
          <w:rFonts w:hint="default" w:ascii="Times New Roman" w:hAnsi="Times New Roman" w:cs="Times New Roman"/>
          <w:snapToGrid w:val="0"/>
          <w:color w:val="000000"/>
          <w:spacing w:val="-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3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③</w:t>
      </w:r>
      <w:r>
        <w:rPr>
          <w:rFonts w:hint="default" w:ascii="Times New Roman" w:hAnsi="Times New Roman" w:cs="Times New Roman"/>
          <w:snapToGrid w:val="0"/>
          <w:color w:val="000000"/>
          <w:spacing w:val="-6"/>
          <w:kern w:val="21"/>
          <w:szCs w:val="21"/>
          <w:highlight w:val="none"/>
        </w:rPr>
        <w:fldChar w:fldCharType="end"/>
      </w:r>
      <w:r>
        <w:rPr>
          <w:rFonts w:hint="default" w:ascii="Times New Roman" w:hAnsi="Times New Roman" w:cs="Times New Roman"/>
          <w:snapToGrid w:val="0"/>
          <w:color w:val="000000"/>
          <w:spacing w:val="-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4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④</w:t>
      </w:r>
      <w:r>
        <w:rPr>
          <w:rFonts w:hint="default" w:ascii="Times New Roman" w:hAnsi="Times New Roman" w:cs="Times New Roman"/>
          <w:snapToGrid w:val="0"/>
          <w:color w:val="000000"/>
          <w:spacing w:val="-6"/>
          <w:kern w:val="21"/>
          <w:szCs w:val="21"/>
          <w:highlight w:val="none"/>
        </w:rPr>
        <w:fldChar w:fldCharType="end"/>
      </w:r>
      <w:r>
        <w:rPr>
          <w:rFonts w:hint="default" w:ascii="Times New Roman" w:hAnsi="Times New Roman" w:cs="Times New Roman"/>
          <w:snapToGrid w:val="0"/>
          <w:color w:val="000000"/>
          <w:spacing w:val="-6"/>
          <w:kern w:val="21"/>
          <w:szCs w:val="21"/>
          <w:highlight w:val="none"/>
        </w:rPr>
        <w:t>-</w:t>
      </w:r>
      <w:r>
        <w:rPr>
          <w:rFonts w:hint="default" w:ascii="Times New Roman" w:hAnsi="Times New Roman" w:cs="Times New Roman"/>
          <w:snapToGrid w:val="0"/>
          <w:color w:val="000000"/>
          <w:spacing w:val="-16"/>
          <w:kern w:val="21"/>
          <w:szCs w:val="21"/>
          <w:highlight w:val="none"/>
        </w:rPr>
        <w:fldChar w:fldCharType="begin"/>
      </w:r>
      <w:r>
        <w:rPr>
          <w:rFonts w:hint="default" w:ascii="Times New Roman" w:hAnsi="Times New Roman" w:cs="Times New Roman"/>
          <w:snapToGrid w:val="0"/>
          <w:color w:val="000000"/>
          <w:spacing w:val="-16"/>
          <w:kern w:val="21"/>
          <w:szCs w:val="21"/>
          <w:highlight w:val="none"/>
        </w:rPr>
        <w:instrText xml:space="preserve"> = 5 \* GB3 \* MERGEFORMAT </w:instrText>
      </w:r>
      <w:r>
        <w:rPr>
          <w:rFonts w:hint="default" w:ascii="Times New Roman" w:hAnsi="Times New Roman" w:cs="Times New Roman"/>
          <w:snapToGrid w:val="0"/>
          <w:color w:val="000000"/>
          <w:spacing w:val="-16"/>
          <w:kern w:val="21"/>
          <w:szCs w:val="21"/>
          <w:highlight w:val="none"/>
        </w:rPr>
        <w:fldChar w:fldCharType="separate"/>
      </w:r>
      <w:r>
        <w:rPr>
          <w:rFonts w:hint="default" w:ascii="Times New Roman" w:hAnsi="Times New Roman" w:cs="Times New Roman"/>
          <w:szCs w:val="21"/>
          <w:highlight w:val="none"/>
        </w:rPr>
        <w:t>⑤</w:t>
      </w:r>
      <w:r>
        <w:rPr>
          <w:rFonts w:hint="default" w:ascii="Times New Roman" w:hAnsi="Times New Roman" w:cs="Times New Roman"/>
          <w:snapToGrid w:val="0"/>
          <w:color w:val="000000"/>
          <w:spacing w:val="-16"/>
          <w:kern w:val="21"/>
          <w:szCs w:val="21"/>
          <w:highlight w:val="none"/>
        </w:rPr>
        <w:fldChar w:fldCharType="end"/>
      </w:r>
      <w:r>
        <w:rPr>
          <w:rFonts w:hAnsi="宋体"/>
          <w:snapToGrid w:val="0"/>
          <w:color w:val="000000"/>
          <w:spacing w:val="-1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7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⑦</w:t>
      </w:r>
      <w:r>
        <w:rPr>
          <w:rFonts w:hint="default" w:ascii="Times New Roman" w:hAnsi="Times New Roman" w:cs="Times New Roman"/>
          <w:snapToGrid w:val="0"/>
          <w:color w:val="000000"/>
          <w:spacing w:val="-6"/>
          <w:kern w:val="21"/>
          <w:szCs w:val="21"/>
          <w:highlight w:val="none"/>
        </w:rPr>
        <w:fldChar w:fldCharType="end"/>
      </w:r>
      <w:r>
        <w:rPr>
          <w:rFonts w:hint="default" w:ascii="Times New Roman" w:hAnsi="Times New Roman" w:cs="Times New Roman"/>
          <w:snapToGrid w:val="0"/>
          <w:color w:val="000000"/>
          <w:spacing w:val="-6"/>
          <w:kern w:val="21"/>
          <w:szCs w:val="21"/>
          <w:highlight w:val="none"/>
        </w:rPr>
        <w:t>=</w:t>
      </w:r>
      <w:r>
        <w:rPr>
          <w:rFonts w:hint="default" w:ascii="Times New Roman" w:hAnsi="Times New Roman" w:cs="Times New Roman"/>
          <w:snapToGrid w:val="0"/>
          <w:color w:val="000000"/>
          <w:spacing w:val="-16"/>
          <w:kern w:val="21"/>
          <w:szCs w:val="21"/>
          <w:highlight w:val="none"/>
        </w:rPr>
        <w:fldChar w:fldCharType="begin"/>
      </w:r>
      <w:r>
        <w:rPr>
          <w:rFonts w:hint="default" w:ascii="Times New Roman" w:hAnsi="Times New Roman" w:cs="Times New Roman"/>
          <w:snapToGrid w:val="0"/>
          <w:color w:val="000000"/>
          <w:spacing w:val="-16"/>
          <w:kern w:val="21"/>
          <w:szCs w:val="21"/>
          <w:highlight w:val="none"/>
        </w:rPr>
        <w:instrText xml:space="preserve"> = 6 \* GB3 \* MERGEFORMAT </w:instrText>
      </w:r>
      <w:r>
        <w:rPr>
          <w:rFonts w:hint="default" w:ascii="Times New Roman" w:hAnsi="Times New Roman" w:cs="Times New Roman"/>
          <w:snapToGrid w:val="0"/>
          <w:color w:val="000000"/>
          <w:spacing w:val="-16"/>
          <w:kern w:val="21"/>
          <w:szCs w:val="21"/>
          <w:highlight w:val="none"/>
        </w:rPr>
        <w:fldChar w:fldCharType="separate"/>
      </w:r>
      <w:r>
        <w:rPr>
          <w:rFonts w:hint="default" w:ascii="Times New Roman" w:hAnsi="Times New Roman" w:cs="Times New Roman"/>
          <w:szCs w:val="21"/>
          <w:highlight w:val="none"/>
        </w:rPr>
        <w:t>⑥</w:t>
      </w:r>
      <w:r>
        <w:rPr>
          <w:rFonts w:hint="default" w:ascii="Times New Roman" w:hAnsi="Times New Roman" w:cs="Times New Roman"/>
          <w:snapToGrid w:val="0"/>
          <w:color w:val="000000"/>
          <w:spacing w:val="-16"/>
          <w:kern w:val="21"/>
          <w:szCs w:val="21"/>
          <w:highlight w:val="none"/>
        </w:rPr>
        <w:fldChar w:fldCharType="end"/>
      </w:r>
      <w:r>
        <w:rPr>
          <w:rFonts w:hint="default" w:ascii="Times New Roman" w:hAnsi="Times New Roman" w:cs="Times New Roman"/>
          <w:snapToGrid w:val="0"/>
          <w:color w:val="000000"/>
          <w:spacing w:val="-1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1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①</w:t>
      </w:r>
      <w:r>
        <w:rPr>
          <w:rFonts w:hint="default" w:ascii="Times New Roman" w:hAnsi="Times New Roman" w:cs="Times New Roman"/>
          <w:snapToGrid w:val="0"/>
          <w:color w:val="000000"/>
          <w:spacing w:val="-6"/>
          <w:kern w:val="21"/>
          <w:szCs w:val="21"/>
          <w:highlight w:val="none"/>
        </w:rPr>
        <w:fldChar w:fldCharType="end"/>
      </w:r>
      <w:r>
        <w:rPr>
          <w:rFonts w:hint="eastAsia" w:hAnsi="宋体"/>
          <w:snapToGrid w:val="0"/>
          <w:color w:val="000000"/>
          <w:spacing w:val="-6"/>
          <w:kern w:val="21"/>
          <w:szCs w:val="21"/>
          <w:highlight w:val="none"/>
          <w:lang w:val="en-US" w:eastAsia="zh-CN"/>
        </w:rPr>
        <w:t xml:space="preserve"> </w:t>
      </w:r>
      <w:r>
        <w:rPr>
          <w:rFonts w:hint="eastAsia"/>
          <w:highlight w:val="none"/>
          <w:lang w:val="en-US" w:eastAsia="zh-CN"/>
        </w:rPr>
        <w:t>单位：</w:t>
      </w:r>
      <w:r>
        <w:rPr>
          <w:rFonts w:hint="default" w:ascii="Times New Roman" w:hAnsi="Times New Roman" w:cs="Times New Roman"/>
          <w:highlight w:val="none"/>
          <w:lang w:val="en-US" w:eastAsia="zh-CN"/>
        </w:rPr>
        <w:t>t/a</w:t>
      </w:r>
      <w:r>
        <w:rPr>
          <w:rFonts w:hint="eastAsia"/>
          <w:highlight w:val="none"/>
          <w:lang w:val="en-US" w:eastAsia="zh-CN"/>
        </w:rPr>
        <w:t>。</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32"/>
          <w:szCs w:val="32"/>
          <w:highlight w:val="none"/>
          <w:lang w:val="en-US" w:eastAsia="zh-CN"/>
        </w:rPr>
      </w:pPr>
      <w:r>
        <w:rPr>
          <w:rFonts w:hint="eastAsia" w:ascii="黑体" w:hAnsi="黑体" w:eastAsia="黑体"/>
          <w:snapToGrid w:val="0"/>
          <w:sz w:val="32"/>
          <w:szCs w:val="32"/>
          <w:highlight w:val="none"/>
        </w:rPr>
        <w:t>附</w:t>
      </w:r>
      <w:r>
        <w:rPr>
          <w:rFonts w:hint="eastAsia" w:ascii="黑体" w:hAnsi="黑体" w:eastAsia="黑体"/>
          <w:snapToGrid w:val="0"/>
          <w:sz w:val="32"/>
          <w:szCs w:val="32"/>
          <w:highlight w:val="none"/>
          <w:lang w:val="en-US" w:eastAsia="zh-CN"/>
        </w:rPr>
        <w:t>件</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t>附件1 项目委托书</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outlineLvl w:val="0"/>
        <w:rPr>
          <w:rFonts w:hint="eastAsia" w:ascii="黑体" w:hAnsi="黑体" w:eastAsia="黑体"/>
          <w:snapToGrid w:val="0"/>
          <w:sz w:val="32"/>
          <w:szCs w:val="32"/>
          <w:highlight w:val="none"/>
          <w:lang w:val="en-US" w:eastAsia="zh-CN"/>
        </w:rPr>
      </w:pPr>
      <w:r>
        <w:rPr>
          <w:rFonts w:hint="eastAsia" w:ascii="黑体" w:hAnsi="黑体" w:eastAsia="黑体"/>
          <w:snapToGrid w:val="0"/>
          <w:sz w:val="32"/>
          <w:szCs w:val="32"/>
          <w:highlight w:val="none"/>
          <w:lang w:val="en-US" w:eastAsia="zh-CN"/>
        </w:rPr>
        <w:drawing>
          <wp:inline distT="0" distB="0" distL="114300" distR="114300">
            <wp:extent cx="4991100" cy="7086600"/>
            <wp:effectExtent l="0" t="0" r="0" b="0"/>
            <wp:docPr id="20" name="图片 20" descr="9fa31131b6120910a377a2251ece7c2b"/>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 name="图片 20" descr="9fa31131b6120910a377a2251ece7c2b"/>
                    <pic:cNvPicPr>
                      <a:picLocks noChangeAspect="true"/>
                    </pic:cNvPicPr>
                  </pic:nvPicPr>
                  <pic:blipFill>
                    <a:blip r:embed="rId37"/>
                    <a:stretch>
                      <a:fillRect/>
                    </a:stretch>
                  </pic:blipFill>
                  <pic:spPr>
                    <a:xfrm>
                      <a:off x="0" y="0"/>
                      <a:ext cx="4991100" cy="7086600"/>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outlineLvl w:val="0"/>
        <w:rPr>
          <w:rFonts w:hint="eastAsia" w:ascii="黑体" w:hAnsi="黑体" w:eastAsia="黑体"/>
          <w:snapToGrid w:val="0"/>
          <w:sz w:val="32"/>
          <w:szCs w:val="32"/>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outlineLvl w:val="0"/>
        <w:rPr>
          <w:rFonts w:hint="eastAsia" w:ascii="黑体" w:hAnsi="黑体" w:eastAsia="黑体"/>
          <w:snapToGrid w:val="0"/>
          <w:sz w:val="32"/>
          <w:szCs w:val="32"/>
          <w:highlight w:val="none"/>
          <w:lang w:val="en-US" w:eastAsia="zh-CN"/>
        </w:rPr>
        <w:sectPr>
          <w:footerReference r:id="rId9" w:type="default"/>
          <w:pgSz w:w="11906" w:h="16838"/>
          <w:pgMar w:top="1531" w:right="1701" w:bottom="1531" w:left="1701"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t>附件2 项目确认书</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center"/>
        <w:textAlignment w:val="auto"/>
        <w:outlineLvl w:val="0"/>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4989830" cy="7084695"/>
            <wp:effectExtent l="0" t="0" r="1270" b="1905"/>
            <wp:docPr id="45" name="图片 45" descr="c7e5db6b816f23dac2e44808e1877589"/>
            <wp:cNvGraphicFramePr/>
            <a:graphic xmlns:a="http://schemas.openxmlformats.org/drawingml/2006/main">
              <a:graphicData uri="http://schemas.openxmlformats.org/drawingml/2006/picture">
                <pic:pic xmlns:pic="http://schemas.openxmlformats.org/drawingml/2006/picture">
                  <pic:nvPicPr>
                    <pic:cNvPr id="45" name="图片 45" descr="c7e5db6b816f23dac2e44808e1877589"/>
                    <pic:cNvPicPr/>
                  </pic:nvPicPr>
                  <pic:blipFill>
                    <a:blip r:embed="rId38"/>
                    <a:srcRect t="14543" b="15155"/>
                    <a:stretch>
                      <a:fillRect/>
                    </a:stretch>
                  </pic:blipFill>
                  <pic:spPr>
                    <a:xfrm>
                      <a:off x="0" y="0"/>
                      <a:ext cx="4989830" cy="7084695"/>
                    </a:xfrm>
                    <a:prstGeom prst="rect">
                      <a:avLst/>
                    </a:prstGeom>
                  </pic:spPr>
                </pic:pic>
              </a:graphicData>
            </a:graphic>
          </wp:inline>
        </w:drawing>
      </w:r>
    </w:p>
    <w:p>
      <w:pPr>
        <w:rPr>
          <w:rFonts w:hint="default" w:ascii="黑体" w:hAnsi="黑体" w:eastAsia="黑体"/>
          <w:snapToGrid w:val="0"/>
          <w:sz w:val="28"/>
          <w:szCs w:val="28"/>
          <w:highlight w:val="none"/>
          <w:lang w:val="en-US" w:eastAsia="zh-CN"/>
        </w:rPr>
      </w:pPr>
      <w:r>
        <w:rPr>
          <w:rFonts w:hint="default" w:ascii="黑体" w:hAnsi="黑体" w:eastAsia="黑体"/>
          <w:snapToGrid w:val="0"/>
          <w:sz w:val="28"/>
          <w:szCs w:val="28"/>
          <w:highlight w:val="none"/>
          <w:lang w:val="en-US" w:eastAsia="zh-CN"/>
        </w:rPr>
        <w:br w:type="page"/>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t>附件3 情况说明</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5396865" cy="8000365"/>
            <wp:effectExtent l="0" t="0" r="13335" b="635"/>
            <wp:docPr id="28" name="图片 28" descr="786be0dcb78a590d65fa1ad67be5dd4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8" name="图片 28" descr="786be0dcb78a590d65fa1ad67be5dd43"/>
                    <pic:cNvPicPr>
                      <a:picLocks noChangeAspect="true"/>
                    </pic:cNvPicPr>
                  </pic:nvPicPr>
                  <pic:blipFill>
                    <a:blip r:embed="rId39"/>
                    <a:stretch>
                      <a:fillRect/>
                    </a:stretch>
                  </pic:blipFill>
                  <pic:spPr>
                    <a:xfrm>
                      <a:off x="0" y="0"/>
                      <a:ext cx="5396865" cy="8000365"/>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t>附件4 项目备案</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5384165" cy="7178675"/>
            <wp:effectExtent l="0" t="0" r="6985" b="3175"/>
            <wp:docPr id="10" name="图片 10" descr="7fcf3eea81f9f6ad7866262e964c5f0c"/>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图片 10" descr="7fcf3eea81f9f6ad7866262e964c5f0c"/>
                    <pic:cNvPicPr>
                      <a:picLocks noChangeAspect="true"/>
                    </pic:cNvPicPr>
                  </pic:nvPicPr>
                  <pic:blipFill>
                    <a:blip r:embed="rId40"/>
                    <a:stretch>
                      <a:fillRect/>
                    </a:stretch>
                  </pic:blipFill>
                  <pic:spPr>
                    <a:xfrm>
                      <a:off x="0" y="0"/>
                      <a:ext cx="5384165" cy="7178675"/>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t>附件5 营业执照</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sectPr>
          <w:pgSz w:w="11906" w:h="16838"/>
          <w:pgMar w:top="1531" w:right="1701" w:bottom="1531" w:left="1701"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eastAsia" w:eastAsia="宋体"/>
          <w:highlight w:val="none"/>
          <w:lang w:eastAsia="zh-CN"/>
        </w:rPr>
        <w:drawing>
          <wp:inline distT="0" distB="0" distL="114300" distR="114300">
            <wp:extent cx="7503795" cy="5363845"/>
            <wp:effectExtent l="0" t="0" r="8255" b="1905"/>
            <wp:docPr id="66" name="图片 66" descr="037431c9502cbbdbd44b015c75f31ca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6" name="图片 66" descr="037431c9502cbbdbd44b015c75f31cae"/>
                    <pic:cNvPicPr>
                      <a:picLocks noChangeAspect="true"/>
                    </pic:cNvPicPr>
                  </pic:nvPicPr>
                  <pic:blipFill>
                    <a:blip r:embed="rId41"/>
                    <a:stretch>
                      <a:fillRect/>
                    </a:stretch>
                  </pic:blipFill>
                  <pic:spPr>
                    <a:xfrm rot="16200000">
                      <a:off x="0" y="0"/>
                      <a:ext cx="7503795" cy="5363845"/>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t>附件6 土地租赁合同及土地证、证明</w:t>
      </w:r>
      <w:r>
        <w:rPr>
          <w:rFonts w:hint="eastAsia" w:ascii="黑体" w:hAnsi="黑体" w:eastAsia="黑体"/>
          <w:snapToGrid w:val="0"/>
          <w:sz w:val="28"/>
          <w:szCs w:val="28"/>
          <w:highlight w:val="none"/>
          <w:lang w:val="en-US" w:eastAsia="zh-CN"/>
        </w:rPr>
        <w:drawing>
          <wp:inline distT="0" distB="0" distL="114300" distR="114300">
            <wp:extent cx="5760085" cy="6881495"/>
            <wp:effectExtent l="0" t="0" r="12065" b="14605"/>
            <wp:docPr id="71" name="图片 71" descr="资产委托协议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1" name="图片 71" descr="资产委托协议_01"/>
                    <pic:cNvPicPr>
                      <a:picLocks noChangeAspect="true"/>
                    </pic:cNvPicPr>
                  </pic:nvPicPr>
                  <pic:blipFill>
                    <a:blip r:embed="rId42"/>
                    <a:stretch>
                      <a:fillRect/>
                    </a:stretch>
                  </pic:blipFill>
                  <pic:spPr>
                    <a:xfrm>
                      <a:off x="0" y="0"/>
                      <a:ext cx="5760085" cy="6881495"/>
                    </a:xfrm>
                    <a:prstGeom prst="rect">
                      <a:avLst/>
                    </a:prstGeom>
                  </pic:spPr>
                </pic:pic>
              </a:graphicData>
            </a:graphic>
          </wp:inline>
        </w:drawing>
      </w:r>
      <w:r>
        <w:rPr>
          <w:rFonts w:hint="eastAsia" w:ascii="黑体" w:hAnsi="黑体" w:eastAsia="黑体"/>
          <w:snapToGrid w:val="0"/>
          <w:sz w:val="28"/>
          <w:szCs w:val="28"/>
          <w:highlight w:val="none"/>
          <w:lang w:val="en-US" w:eastAsia="zh-CN"/>
        </w:rPr>
        <w:drawing>
          <wp:inline distT="0" distB="0" distL="114300" distR="114300">
            <wp:extent cx="5760085" cy="7200265"/>
            <wp:effectExtent l="0" t="0" r="12065" b="635"/>
            <wp:docPr id="72" name="图片 72" descr="资产委托协议_02"/>
            <wp:cNvGraphicFramePr/>
            <a:graphic xmlns:a="http://schemas.openxmlformats.org/drawingml/2006/main">
              <a:graphicData uri="http://schemas.openxmlformats.org/drawingml/2006/picture">
                <pic:pic xmlns:pic="http://schemas.openxmlformats.org/drawingml/2006/picture">
                  <pic:nvPicPr>
                    <pic:cNvPr id="72" name="图片 72" descr="资产委托协议_02"/>
                    <pic:cNvPicPr/>
                  </pic:nvPicPr>
                  <pic:blipFill>
                    <a:blip r:embed="rId43"/>
                    <a:stretch>
                      <a:fillRect/>
                    </a:stretch>
                  </pic:blipFill>
                  <pic:spPr>
                    <a:xfrm>
                      <a:off x="0" y="0"/>
                      <a:ext cx="5760085" cy="7200265"/>
                    </a:xfrm>
                    <a:prstGeom prst="rect">
                      <a:avLst/>
                    </a:prstGeom>
                  </pic:spPr>
                </pic:pic>
              </a:graphicData>
            </a:graphic>
          </wp:inline>
        </w:drawing>
      </w:r>
      <w:r>
        <w:rPr>
          <w:rFonts w:hint="eastAsia" w:ascii="黑体" w:hAnsi="黑体" w:eastAsia="黑体"/>
          <w:snapToGrid w:val="0"/>
          <w:sz w:val="28"/>
          <w:szCs w:val="28"/>
          <w:highlight w:val="none"/>
          <w:lang w:val="en-US" w:eastAsia="zh-CN"/>
        </w:rPr>
        <w:drawing>
          <wp:inline distT="0" distB="0" distL="114300" distR="114300">
            <wp:extent cx="5760085" cy="7200265"/>
            <wp:effectExtent l="0" t="0" r="12065" b="635"/>
            <wp:docPr id="73" name="图片 73" descr="资产委托协议_03"/>
            <wp:cNvGraphicFramePr/>
            <a:graphic xmlns:a="http://schemas.openxmlformats.org/drawingml/2006/main">
              <a:graphicData uri="http://schemas.openxmlformats.org/drawingml/2006/picture">
                <pic:pic xmlns:pic="http://schemas.openxmlformats.org/drawingml/2006/picture">
                  <pic:nvPicPr>
                    <pic:cNvPr id="73" name="图片 73" descr="资产委托协议_03"/>
                    <pic:cNvPicPr/>
                  </pic:nvPicPr>
                  <pic:blipFill>
                    <a:blip r:embed="rId44"/>
                    <a:stretch>
                      <a:fillRect/>
                    </a:stretch>
                  </pic:blipFill>
                  <pic:spPr>
                    <a:xfrm>
                      <a:off x="0" y="0"/>
                      <a:ext cx="5760085" cy="7200265"/>
                    </a:xfrm>
                    <a:prstGeom prst="rect">
                      <a:avLst/>
                    </a:prstGeom>
                  </pic:spPr>
                </pic:pic>
              </a:graphicData>
            </a:graphic>
          </wp:inline>
        </w:drawing>
      </w:r>
      <w:r>
        <w:rPr>
          <w:rFonts w:hint="eastAsia" w:ascii="黑体" w:hAnsi="黑体" w:eastAsia="黑体"/>
          <w:snapToGrid w:val="0"/>
          <w:sz w:val="28"/>
          <w:szCs w:val="28"/>
          <w:highlight w:val="none"/>
          <w:lang w:val="en-US" w:eastAsia="zh-CN"/>
        </w:rPr>
        <w:drawing>
          <wp:inline distT="0" distB="0" distL="114300" distR="114300">
            <wp:extent cx="5760085" cy="7200265"/>
            <wp:effectExtent l="0" t="0" r="12065" b="635"/>
            <wp:docPr id="74" name="图片 74" descr="资产委托协议_04"/>
            <wp:cNvGraphicFramePr/>
            <a:graphic xmlns:a="http://schemas.openxmlformats.org/drawingml/2006/main">
              <a:graphicData uri="http://schemas.openxmlformats.org/drawingml/2006/picture">
                <pic:pic xmlns:pic="http://schemas.openxmlformats.org/drawingml/2006/picture">
                  <pic:nvPicPr>
                    <pic:cNvPr id="74" name="图片 74" descr="资产委托协议_04"/>
                    <pic:cNvPicPr/>
                  </pic:nvPicPr>
                  <pic:blipFill>
                    <a:blip r:embed="rId45"/>
                    <a:stretch>
                      <a:fillRect/>
                    </a:stretch>
                  </pic:blipFill>
                  <pic:spPr>
                    <a:xfrm>
                      <a:off x="0" y="0"/>
                      <a:ext cx="5760085" cy="7200265"/>
                    </a:xfrm>
                    <a:prstGeom prst="rect">
                      <a:avLst/>
                    </a:prstGeom>
                  </pic:spPr>
                </pic:pic>
              </a:graphicData>
            </a:graphic>
          </wp:inline>
        </w:drawing>
      </w:r>
      <w:r>
        <w:rPr>
          <w:rFonts w:hint="eastAsia" w:ascii="黑体" w:hAnsi="黑体" w:eastAsia="黑体"/>
          <w:snapToGrid w:val="0"/>
          <w:sz w:val="28"/>
          <w:szCs w:val="28"/>
          <w:highlight w:val="none"/>
          <w:lang w:val="en-US" w:eastAsia="zh-CN"/>
        </w:rPr>
        <w:drawing>
          <wp:inline distT="0" distB="0" distL="114300" distR="114300">
            <wp:extent cx="5723890" cy="7200265"/>
            <wp:effectExtent l="0" t="0" r="10160" b="635"/>
            <wp:docPr id="75" name="图片 75" descr="资产委托协议_05"/>
            <wp:cNvGraphicFramePr/>
            <a:graphic xmlns:a="http://schemas.openxmlformats.org/drawingml/2006/main">
              <a:graphicData uri="http://schemas.openxmlformats.org/drawingml/2006/picture">
                <pic:pic xmlns:pic="http://schemas.openxmlformats.org/drawingml/2006/picture">
                  <pic:nvPicPr>
                    <pic:cNvPr id="75" name="图片 75" descr="资产委托协议_05"/>
                    <pic:cNvPicPr/>
                  </pic:nvPicPr>
                  <pic:blipFill>
                    <a:blip r:embed="rId46"/>
                    <a:stretch>
                      <a:fillRect/>
                    </a:stretch>
                  </pic:blipFill>
                  <pic:spPr>
                    <a:xfrm>
                      <a:off x="0" y="0"/>
                      <a:ext cx="5723890" cy="7200265"/>
                    </a:xfrm>
                    <a:prstGeom prst="rect">
                      <a:avLst/>
                    </a:prstGeom>
                  </pic:spPr>
                </pic:pic>
              </a:graphicData>
            </a:graphic>
          </wp:inline>
        </w:drawing>
      </w:r>
      <w:r>
        <w:rPr>
          <w:rFonts w:hint="eastAsia" w:ascii="黑体" w:hAnsi="黑体" w:eastAsia="黑体"/>
          <w:snapToGrid w:val="0"/>
          <w:sz w:val="28"/>
          <w:szCs w:val="28"/>
          <w:highlight w:val="none"/>
          <w:lang w:val="en-US" w:eastAsia="zh-CN"/>
        </w:rPr>
        <w:drawing>
          <wp:inline distT="0" distB="0" distL="114300" distR="114300">
            <wp:extent cx="5760085" cy="7200265"/>
            <wp:effectExtent l="0" t="0" r="12065" b="635"/>
            <wp:docPr id="76" name="图片 76" descr="资产委托协议_06"/>
            <wp:cNvGraphicFramePr/>
            <a:graphic xmlns:a="http://schemas.openxmlformats.org/drawingml/2006/main">
              <a:graphicData uri="http://schemas.openxmlformats.org/drawingml/2006/picture">
                <pic:pic xmlns:pic="http://schemas.openxmlformats.org/drawingml/2006/picture">
                  <pic:nvPicPr>
                    <pic:cNvPr id="76" name="图片 76" descr="资产委托协议_06"/>
                    <pic:cNvPicPr/>
                  </pic:nvPicPr>
                  <pic:blipFill>
                    <a:blip r:embed="rId47"/>
                    <a:stretch>
                      <a:fillRect/>
                    </a:stretch>
                  </pic:blipFill>
                  <pic:spPr>
                    <a:xfrm>
                      <a:off x="0" y="0"/>
                      <a:ext cx="5760085" cy="7200265"/>
                    </a:xfrm>
                    <a:prstGeom prst="rect">
                      <a:avLst/>
                    </a:prstGeom>
                  </pic:spPr>
                </pic:pic>
              </a:graphicData>
            </a:graphic>
          </wp:inline>
        </w:drawing>
      </w:r>
      <w:r>
        <w:rPr>
          <w:rFonts w:hint="eastAsia" w:ascii="黑体" w:hAnsi="黑体" w:eastAsia="黑体"/>
          <w:snapToGrid w:val="0"/>
          <w:sz w:val="28"/>
          <w:szCs w:val="28"/>
          <w:highlight w:val="none"/>
          <w:lang w:val="en-US" w:eastAsia="zh-CN"/>
        </w:rPr>
        <w:drawing>
          <wp:inline distT="0" distB="0" distL="114300" distR="114300">
            <wp:extent cx="5398135" cy="7621905"/>
            <wp:effectExtent l="0" t="0" r="12065" b="17145"/>
            <wp:docPr id="116" name="图片 116" descr="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6" name="图片 116" descr="4"/>
                    <pic:cNvPicPr>
                      <a:picLocks noChangeAspect="true"/>
                    </pic:cNvPicPr>
                  </pic:nvPicPr>
                  <pic:blipFill>
                    <a:blip r:embed="rId48"/>
                    <a:stretch>
                      <a:fillRect/>
                    </a:stretch>
                  </pic:blipFill>
                  <pic:spPr>
                    <a:xfrm>
                      <a:off x="0" y="0"/>
                      <a:ext cx="5398135" cy="7621905"/>
                    </a:xfrm>
                    <a:prstGeom prst="rect">
                      <a:avLst/>
                    </a:prstGeom>
                  </pic:spPr>
                </pic:pic>
              </a:graphicData>
            </a:graphic>
          </wp:inline>
        </w:drawing>
      </w:r>
      <w:r>
        <w:rPr>
          <w:rFonts w:hint="eastAsia" w:ascii="黑体" w:hAnsi="黑体" w:eastAsia="黑体"/>
          <w:snapToGrid w:val="0"/>
          <w:sz w:val="28"/>
          <w:szCs w:val="28"/>
          <w:highlight w:val="none"/>
          <w:lang w:val="en-US" w:eastAsia="zh-CN"/>
        </w:rPr>
        <w:drawing>
          <wp:inline distT="0" distB="0" distL="114300" distR="114300">
            <wp:extent cx="5398135" cy="7621905"/>
            <wp:effectExtent l="0" t="0" r="12065" b="17145"/>
            <wp:docPr id="120" name="图片 120" descr="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0" name="图片 120" descr="2"/>
                    <pic:cNvPicPr>
                      <a:picLocks noChangeAspect="true"/>
                    </pic:cNvPicPr>
                  </pic:nvPicPr>
                  <pic:blipFill>
                    <a:blip r:embed="rId49"/>
                    <a:stretch>
                      <a:fillRect/>
                    </a:stretch>
                  </pic:blipFill>
                  <pic:spPr>
                    <a:xfrm>
                      <a:off x="0" y="0"/>
                      <a:ext cx="5398135" cy="7621905"/>
                    </a:xfrm>
                    <a:prstGeom prst="rect">
                      <a:avLst/>
                    </a:prstGeom>
                  </pic:spPr>
                </pic:pic>
              </a:graphicData>
            </a:graphic>
          </wp:inline>
        </w:drawing>
      </w:r>
      <w:r>
        <w:rPr>
          <w:rFonts w:hint="eastAsia" w:ascii="黑体" w:hAnsi="黑体" w:eastAsia="黑体"/>
          <w:snapToGrid w:val="0"/>
          <w:sz w:val="28"/>
          <w:szCs w:val="28"/>
          <w:highlight w:val="none"/>
          <w:lang w:val="en-US" w:eastAsia="zh-CN"/>
        </w:rPr>
        <w:drawing>
          <wp:inline distT="0" distB="0" distL="114300" distR="114300">
            <wp:extent cx="5390515" cy="7604760"/>
            <wp:effectExtent l="0" t="0" r="635" b="15240"/>
            <wp:docPr id="121" name="图片 121" descr="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1" name="图片 121" descr="3"/>
                    <pic:cNvPicPr>
                      <a:picLocks noChangeAspect="true"/>
                    </pic:cNvPicPr>
                  </pic:nvPicPr>
                  <pic:blipFill>
                    <a:blip r:embed="rId50"/>
                    <a:stretch>
                      <a:fillRect/>
                    </a:stretch>
                  </pic:blipFill>
                  <pic:spPr>
                    <a:xfrm>
                      <a:off x="0" y="0"/>
                      <a:ext cx="5390515" cy="7604760"/>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sectPr>
          <w:pgSz w:w="11906" w:h="16838"/>
          <w:pgMar w:top="1531" w:right="1701" w:bottom="1531" w:left="1701"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eastAsia" w:ascii="黑体" w:hAnsi="黑体" w:eastAsia="黑体"/>
          <w:snapToGrid w:val="0"/>
          <w:sz w:val="28"/>
          <w:szCs w:val="28"/>
          <w:highlight w:val="none"/>
          <w:lang w:val="en-US" w:eastAsia="zh-CN"/>
        </w:rPr>
        <w:drawing>
          <wp:inline distT="0" distB="0" distL="114300" distR="114300">
            <wp:extent cx="5399405" cy="7721600"/>
            <wp:effectExtent l="0" t="0" r="10795" b="12700"/>
            <wp:docPr id="125" name="图片 125" descr="矿材厂改制批复文件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5" name="图片 125" descr="矿材厂改制批复文件_01"/>
                    <pic:cNvPicPr>
                      <a:picLocks noChangeAspect="true"/>
                    </pic:cNvPicPr>
                  </pic:nvPicPr>
                  <pic:blipFill>
                    <a:blip r:embed="rId51"/>
                    <a:stretch>
                      <a:fillRect/>
                    </a:stretch>
                  </pic:blipFill>
                  <pic:spPr>
                    <a:xfrm>
                      <a:off x="0" y="0"/>
                      <a:ext cx="5399405" cy="7721600"/>
                    </a:xfrm>
                    <a:prstGeom prst="rect">
                      <a:avLst/>
                    </a:prstGeom>
                  </pic:spPr>
                </pic:pic>
              </a:graphicData>
            </a:graphic>
          </wp:inline>
        </w:drawing>
      </w:r>
      <w:r>
        <w:rPr>
          <w:rFonts w:hint="eastAsia" w:ascii="黑体" w:hAnsi="黑体" w:eastAsia="黑体"/>
          <w:snapToGrid w:val="0"/>
          <w:sz w:val="28"/>
          <w:szCs w:val="28"/>
          <w:highlight w:val="none"/>
          <w:lang w:val="en-US" w:eastAsia="zh-CN"/>
        </w:rPr>
        <w:drawing>
          <wp:inline distT="0" distB="0" distL="114300" distR="114300">
            <wp:extent cx="5399405" cy="7959725"/>
            <wp:effectExtent l="0" t="0" r="10795" b="3175"/>
            <wp:docPr id="124" name="图片 124" descr="矿材厂改制批复文件_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4" name="图片 124" descr="矿材厂改制批复文件_02"/>
                    <pic:cNvPicPr>
                      <a:picLocks noChangeAspect="true"/>
                    </pic:cNvPicPr>
                  </pic:nvPicPr>
                  <pic:blipFill>
                    <a:blip r:embed="rId52"/>
                    <a:stretch>
                      <a:fillRect/>
                    </a:stretch>
                  </pic:blipFill>
                  <pic:spPr>
                    <a:xfrm>
                      <a:off x="0" y="0"/>
                      <a:ext cx="5399405" cy="7959725"/>
                    </a:xfrm>
                    <a:prstGeom prst="rect">
                      <a:avLst/>
                    </a:prstGeom>
                  </pic:spPr>
                </pic:pic>
              </a:graphicData>
            </a:graphic>
          </wp:inline>
        </w:drawing>
      </w:r>
      <w:r>
        <w:rPr>
          <w:rFonts w:hint="eastAsia" w:ascii="黑体" w:hAnsi="黑体" w:eastAsia="黑体"/>
          <w:snapToGrid w:val="0"/>
          <w:sz w:val="28"/>
          <w:szCs w:val="28"/>
          <w:highlight w:val="none"/>
          <w:lang w:val="en-US" w:eastAsia="zh-CN"/>
        </w:rPr>
        <w:drawing>
          <wp:inline distT="0" distB="0" distL="114300" distR="114300">
            <wp:extent cx="5398135" cy="8171815"/>
            <wp:effectExtent l="0" t="0" r="12065" b="635"/>
            <wp:docPr id="123" name="图片 123" descr="矿材厂改制批复文件_0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3" name="图片 123" descr="矿材厂改制批复文件_03"/>
                    <pic:cNvPicPr>
                      <a:picLocks noChangeAspect="true"/>
                    </pic:cNvPicPr>
                  </pic:nvPicPr>
                  <pic:blipFill>
                    <a:blip r:embed="rId53"/>
                    <a:stretch>
                      <a:fillRect/>
                    </a:stretch>
                  </pic:blipFill>
                  <pic:spPr>
                    <a:xfrm>
                      <a:off x="0" y="0"/>
                      <a:ext cx="5398135" cy="8171815"/>
                    </a:xfrm>
                    <a:prstGeom prst="rect">
                      <a:avLst/>
                    </a:prstGeom>
                  </pic:spPr>
                </pic:pic>
              </a:graphicData>
            </a:graphic>
          </wp:inline>
        </w:drawing>
      </w:r>
      <w:r>
        <w:rPr>
          <w:rFonts w:hint="eastAsia" w:ascii="黑体" w:hAnsi="黑体" w:eastAsia="黑体"/>
          <w:snapToGrid w:val="0"/>
          <w:sz w:val="28"/>
          <w:szCs w:val="28"/>
          <w:highlight w:val="none"/>
          <w:lang w:val="en-US" w:eastAsia="zh-CN"/>
        </w:rPr>
        <w:drawing>
          <wp:inline distT="0" distB="0" distL="114300" distR="114300">
            <wp:extent cx="5398135" cy="8145145"/>
            <wp:effectExtent l="0" t="0" r="12065" b="8255"/>
            <wp:docPr id="122" name="图片 122" descr="矿材厂改制批复文件_0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2" name="图片 122" descr="矿材厂改制批复文件_04"/>
                    <pic:cNvPicPr>
                      <a:picLocks noChangeAspect="true"/>
                    </pic:cNvPicPr>
                  </pic:nvPicPr>
                  <pic:blipFill>
                    <a:blip r:embed="rId54"/>
                    <a:stretch>
                      <a:fillRect/>
                    </a:stretch>
                  </pic:blipFill>
                  <pic:spPr>
                    <a:xfrm>
                      <a:off x="0" y="0"/>
                      <a:ext cx="5398135" cy="8145145"/>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t>附件7 引用的环境空气质量现状监测报告</w:t>
      </w:r>
    </w:p>
    <w:p>
      <w:pPr>
        <w:jc w:val="center"/>
        <w:rPr>
          <w:rFonts w:hint="eastAsia" w:ascii="宋体" w:hAnsi="宋体" w:eastAsia="黑体"/>
          <w:color w:val="FF0000"/>
          <w:highlight w:val="none"/>
          <w:lang w:eastAsia="zh-CN"/>
        </w:rPr>
      </w:pPr>
      <w:r>
        <w:rPr>
          <w:rFonts w:hint="eastAsia" w:ascii="宋体" w:hAnsi="宋体" w:eastAsia="黑体"/>
          <w:color w:val="FF0000"/>
          <w:highlight w:val="none"/>
          <w:lang w:eastAsia="zh-CN"/>
        </w:rPr>
        <w:drawing>
          <wp:inline distT="0" distB="0" distL="114300" distR="114300">
            <wp:extent cx="5925820" cy="8376920"/>
            <wp:effectExtent l="0" t="0" r="17780" b="5080"/>
            <wp:docPr id="161" name="图片 12" descr="DW0802400阜新市东圣达实业发展有限公司_0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1" name="图片 12" descr="DW0802400阜新市东圣达实业发展有限公司_00"/>
                    <pic:cNvPicPr>
                      <a:picLocks noChangeAspect="true"/>
                    </pic:cNvPicPr>
                  </pic:nvPicPr>
                  <pic:blipFill>
                    <a:blip r:embed="rId55"/>
                    <a:stretch>
                      <a:fillRect/>
                    </a:stretch>
                  </pic:blipFill>
                  <pic:spPr>
                    <a:xfrm>
                      <a:off x="0" y="0"/>
                      <a:ext cx="5925820" cy="8376920"/>
                    </a:xfrm>
                    <a:prstGeom prst="rect">
                      <a:avLst/>
                    </a:prstGeom>
                    <a:noFill/>
                    <a:ln>
                      <a:noFill/>
                    </a:ln>
                  </pic:spPr>
                </pic:pic>
              </a:graphicData>
            </a:graphic>
          </wp:inline>
        </w:drawing>
      </w:r>
      <w:r>
        <w:rPr>
          <w:rFonts w:hint="eastAsia" w:ascii="宋体" w:hAnsi="宋体" w:eastAsia="黑体"/>
          <w:color w:val="FF0000"/>
          <w:highlight w:val="none"/>
          <w:lang w:eastAsia="zh-CN"/>
        </w:rPr>
        <w:drawing>
          <wp:inline distT="0" distB="0" distL="114300" distR="114300">
            <wp:extent cx="5926455" cy="8378190"/>
            <wp:effectExtent l="0" t="0" r="17145" b="3810"/>
            <wp:docPr id="162" name="图片 13" descr="DW0802400阜新市东圣达实业发展有限公司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2" name="图片 13" descr="DW0802400阜新市东圣达实业发展有限公司_01"/>
                    <pic:cNvPicPr>
                      <a:picLocks noChangeAspect="true"/>
                    </pic:cNvPicPr>
                  </pic:nvPicPr>
                  <pic:blipFill>
                    <a:blip r:embed="rId56"/>
                    <a:stretch>
                      <a:fillRect/>
                    </a:stretch>
                  </pic:blipFill>
                  <pic:spPr>
                    <a:xfrm>
                      <a:off x="0" y="0"/>
                      <a:ext cx="5926455" cy="8378190"/>
                    </a:xfrm>
                    <a:prstGeom prst="rect">
                      <a:avLst/>
                    </a:prstGeom>
                    <a:noFill/>
                    <a:ln>
                      <a:noFill/>
                    </a:ln>
                  </pic:spPr>
                </pic:pic>
              </a:graphicData>
            </a:graphic>
          </wp:inline>
        </w:drawing>
      </w:r>
      <w:r>
        <w:rPr>
          <w:rFonts w:hint="eastAsia" w:ascii="宋体" w:hAnsi="宋体" w:eastAsia="黑体"/>
          <w:color w:val="FF0000"/>
          <w:highlight w:val="none"/>
          <w:lang w:eastAsia="zh-CN"/>
        </w:rPr>
        <w:drawing>
          <wp:inline distT="0" distB="0" distL="114300" distR="114300">
            <wp:extent cx="5939155" cy="8396605"/>
            <wp:effectExtent l="0" t="0" r="4445" b="4445"/>
            <wp:docPr id="163" name="图片 14" descr="DW0802400阜新市东圣达实业发展有限公司_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3" name="图片 14" descr="DW0802400阜新市东圣达实业发展有限公司_02"/>
                    <pic:cNvPicPr>
                      <a:picLocks noChangeAspect="true"/>
                    </pic:cNvPicPr>
                  </pic:nvPicPr>
                  <pic:blipFill>
                    <a:blip r:embed="rId57"/>
                    <a:stretch>
                      <a:fillRect/>
                    </a:stretch>
                  </pic:blipFill>
                  <pic:spPr>
                    <a:xfrm>
                      <a:off x="0" y="0"/>
                      <a:ext cx="5939155" cy="8396605"/>
                    </a:xfrm>
                    <a:prstGeom prst="rect">
                      <a:avLst/>
                    </a:prstGeom>
                    <a:noFill/>
                    <a:ln>
                      <a:noFill/>
                    </a:ln>
                  </pic:spPr>
                </pic:pic>
              </a:graphicData>
            </a:graphic>
          </wp:inline>
        </w:drawing>
      </w:r>
      <w:r>
        <w:rPr>
          <w:rFonts w:hint="eastAsia" w:ascii="宋体" w:hAnsi="宋体" w:eastAsia="黑体"/>
          <w:color w:val="FF0000"/>
          <w:highlight w:val="none"/>
          <w:lang w:eastAsia="zh-CN"/>
        </w:rPr>
        <w:drawing>
          <wp:inline distT="0" distB="0" distL="114300" distR="114300">
            <wp:extent cx="5890260" cy="8327390"/>
            <wp:effectExtent l="0" t="0" r="15240" b="16510"/>
            <wp:docPr id="164" name="图片 15" descr="DW0802400阜新市东圣达实业发展有限公司_0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4" name="图片 15" descr="DW0802400阜新市东圣达实业发展有限公司_03"/>
                    <pic:cNvPicPr>
                      <a:picLocks noChangeAspect="true"/>
                    </pic:cNvPicPr>
                  </pic:nvPicPr>
                  <pic:blipFill>
                    <a:blip r:embed="rId58"/>
                    <a:stretch>
                      <a:fillRect/>
                    </a:stretch>
                  </pic:blipFill>
                  <pic:spPr>
                    <a:xfrm>
                      <a:off x="0" y="0"/>
                      <a:ext cx="5890260" cy="8327390"/>
                    </a:xfrm>
                    <a:prstGeom prst="rect">
                      <a:avLst/>
                    </a:prstGeom>
                    <a:noFill/>
                    <a:ln>
                      <a:noFill/>
                    </a:ln>
                  </pic:spPr>
                </pic:pic>
              </a:graphicData>
            </a:graphic>
          </wp:inline>
        </w:drawing>
      </w:r>
      <w:r>
        <w:rPr>
          <w:rFonts w:hint="eastAsia" w:ascii="宋体" w:hAnsi="宋体" w:eastAsia="黑体"/>
          <w:color w:val="FF0000"/>
          <w:highlight w:val="none"/>
          <w:lang w:eastAsia="zh-CN"/>
        </w:rPr>
        <w:drawing>
          <wp:inline distT="0" distB="0" distL="114300" distR="114300">
            <wp:extent cx="5889625" cy="8326755"/>
            <wp:effectExtent l="0" t="0" r="15875" b="17145"/>
            <wp:docPr id="165" name="图片 16" descr="DW0802400阜新市东圣达实业发展有限公司_04"/>
            <wp:cNvGraphicFramePr/>
            <a:graphic xmlns:a="http://schemas.openxmlformats.org/drawingml/2006/main">
              <a:graphicData uri="http://schemas.openxmlformats.org/drawingml/2006/picture">
                <pic:pic xmlns:pic="http://schemas.openxmlformats.org/drawingml/2006/picture">
                  <pic:nvPicPr>
                    <pic:cNvPr id="165" name="图片 16" descr="DW0802400阜新市东圣达实业发展有限公司_04"/>
                    <pic:cNvPicPr/>
                  </pic:nvPicPr>
                  <pic:blipFill>
                    <a:blip r:embed="rId59"/>
                    <a:stretch>
                      <a:fillRect/>
                    </a:stretch>
                  </pic:blipFill>
                  <pic:spPr>
                    <a:xfrm>
                      <a:off x="0" y="0"/>
                      <a:ext cx="5889625" cy="8326755"/>
                    </a:xfrm>
                    <a:prstGeom prst="rect">
                      <a:avLst/>
                    </a:prstGeom>
                    <a:noFill/>
                    <a:ln>
                      <a:noFill/>
                    </a:ln>
                  </pic:spPr>
                </pic:pic>
              </a:graphicData>
            </a:graphic>
          </wp:inline>
        </w:drawing>
      </w:r>
      <w:r>
        <w:rPr>
          <w:rFonts w:hint="eastAsia" w:ascii="宋体" w:hAnsi="宋体" w:eastAsia="黑体"/>
          <w:color w:val="FF0000"/>
          <w:highlight w:val="none"/>
          <w:lang w:eastAsia="zh-CN"/>
        </w:rPr>
        <w:drawing>
          <wp:inline distT="0" distB="0" distL="114300" distR="114300">
            <wp:extent cx="5903595" cy="8345805"/>
            <wp:effectExtent l="0" t="0" r="1905" b="17145"/>
            <wp:docPr id="166" name="图片 17" descr="DW0802400阜新市东圣达实业发展有限公司_0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6" name="图片 17" descr="DW0802400阜新市东圣达实业发展有限公司_05"/>
                    <pic:cNvPicPr>
                      <a:picLocks noChangeAspect="true"/>
                    </pic:cNvPicPr>
                  </pic:nvPicPr>
                  <pic:blipFill>
                    <a:blip r:embed="rId60"/>
                    <a:stretch>
                      <a:fillRect/>
                    </a:stretch>
                  </pic:blipFill>
                  <pic:spPr>
                    <a:xfrm>
                      <a:off x="0" y="0"/>
                      <a:ext cx="5903595" cy="8345805"/>
                    </a:xfrm>
                    <a:prstGeom prst="rect">
                      <a:avLst/>
                    </a:prstGeom>
                    <a:noFill/>
                    <a:ln>
                      <a:noFill/>
                    </a:ln>
                  </pic:spPr>
                </pic:pic>
              </a:graphicData>
            </a:graphic>
          </wp:inline>
        </w:drawing>
      </w:r>
    </w:p>
    <w:p>
      <w:pPr>
        <w:jc w:val="center"/>
        <w:rPr>
          <w:highlight w:val="none"/>
        </w:rPr>
      </w:pPr>
    </w:p>
    <w:p>
      <w:pPr>
        <w:jc w:val="center"/>
        <w:rPr>
          <w:highlight w:val="none"/>
        </w:rPr>
      </w:pPr>
    </w:p>
    <w:p>
      <w:pPr>
        <w:spacing w:line="360" w:lineRule="auto"/>
        <w:jc w:val="left"/>
        <w:rPr>
          <w:rFonts w:hint="default"/>
          <w:highlight w:val="none"/>
          <w:lang w:val="en-US"/>
        </w:rPr>
      </w:pPr>
      <w:r>
        <w:rPr>
          <w:rFonts w:hint="eastAsia" w:ascii="黑体" w:hAnsi="黑体" w:eastAsia="黑体"/>
          <w:snapToGrid w:val="0"/>
          <w:sz w:val="28"/>
          <w:szCs w:val="28"/>
          <w:highlight w:val="none"/>
          <w:lang w:val="en-US" w:eastAsia="zh-CN"/>
        </w:rPr>
        <w:t>附件8 本项目储运煤的煤质检验报告</w:t>
      </w:r>
    </w:p>
    <w:p>
      <w:pPr>
        <w:spacing w:line="360" w:lineRule="auto"/>
        <w:jc w:val="center"/>
        <w:rPr>
          <w:rFonts w:hint="eastAsia" w:eastAsia="宋体"/>
          <w:highlight w:val="none"/>
          <w:lang w:eastAsia="zh-CN"/>
        </w:rPr>
      </w:pPr>
      <w:r>
        <w:rPr>
          <w:highlight w:val="none"/>
        </w:rPr>
        <w:drawing>
          <wp:inline distT="0" distB="0" distL="114300" distR="114300">
            <wp:extent cx="5234940" cy="7560310"/>
            <wp:effectExtent l="0" t="0" r="3810" b="2540"/>
            <wp:docPr id="31" name="图片 31" descr="48957c7dafd0b2bf478391bd577c6b6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1" name="图片 31" descr="48957c7dafd0b2bf478391bd577c6b66"/>
                    <pic:cNvPicPr>
                      <a:picLocks noChangeAspect="true"/>
                    </pic:cNvPicPr>
                  </pic:nvPicPr>
                  <pic:blipFill>
                    <a:blip r:embed="rId61"/>
                    <a:srcRect l="7153" t="8367" r="6398" b="19551"/>
                    <a:stretch>
                      <a:fillRect/>
                    </a:stretch>
                  </pic:blipFill>
                  <pic:spPr>
                    <a:xfrm>
                      <a:off x="0" y="0"/>
                      <a:ext cx="5234940" cy="7560310"/>
                    </a:xfrm>
                    <a:prstGeom prst="rect">
                      <a:avLst/>
                    </a:prstGeom>
                  </pic:spPr>
                </pic:pic>
              </a:graphicData>
            </a:graphic>
          </wp:inline>
        </w:drawing>
      </w:r>
      <w:r>
        <w:rPr>
          <w:rFonts w:hint="eastAsia" w:eastAsia="宋体"/>
          <w:highlight w:val="none"/>
          <w:lang w:eastAsia="zh-CN"/>
        </w:rPr>
        <w:drawing>
          <wp:inline distT="0" distB="0" distL="114300" distR="114300">
            <wp:extent cx="5217795" cy="7560310"/>
            <wp:effectExtent l="0" t="0" r="1905" b="2540"/>
            <wp:docPr id="32" name="图片 32" descr="86676d74caf94671c09dc1dff0a3fd2a"/>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2" name="图片 32" descr="86676d74caf94671c09dc1dff0a3fd2a"/>
                    <pic:cNvPicPr>
                      <a:picLocks noChangeAspect="true"/>
                    </pic:cNvPicPr>
                  </pic:nvPicPr>
                  <pic:blipFill>
                    <a:blip r:embed="rId62"/>
                    <a:srcRect l="5811" t="7439" r="6702" b="21248"/>
                    <a:stretch>
                      <a:fillRect/>
                    </a:stretch>
                  </pic:blipFill>
                  <pic:spPr>
                    <a:xfrm>
                      <a:off x="0" y="0"/>
                      <a:ext cx="5217795" cy="7560310"/>
                    </a:xfrm>
                    <a:prstGeom prst="rect">
                      <a:avLst/>
                    </a:prstGeom>
                  </pic:spPr>
                </pic:pic>
              </a:graphicData>
            </a:graphic>
          </wp:inline>
        </w:drawing>
      </w:r>
    </w:p>
    <w:p>
      <w:pPr>
        <w:pStyle w:val="20"/>
        <w:rPr>
          <w:rFonts w:hint="eastAsia" w:eastAsia="宋体"/>
          <w:highlight w:val="none"/>
          <w:lang w:eastAsia="zh-CN"/>
        </w:rPr>
      </w:pPr>
    </w:p>
    <w:p>
      <w:pPr>
        <w:rPr>
          <w:rFonts w:hint="eastAsia" w:eastAsia="宋体"/>
          <w:highlight w:val="none"/>
          <w:lang w:eastAsia="zh-CN"/>
        </w:rPr>
      </w:pPr>
      <w:r>
        <w:rPr>
          <w:rFonts w:hint="eastAsia" w:eastAsia="宋体"/>
          <w:highlight w:val="none"/>
          <w:lang w:eastAsia="zh-CN"/>
        </w:rPr>
        <w:br w:type="page"/>
      </w:r>
    </w:p>
    <w:p>
      <w:pPr>
        <w:pStyle w:val="20"/>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t>附件9 铁路专线营运协议</w:t>
      </w:r>
    </w:p>
    <w:p>
      <w:pPr>
        <w:pStyle w:val="20"/>
        <w:jc w:val="center"/>
        <w:rPr>
          <w:rFonts w:hint="default" w:ascii="黑体" w:hAnsi="黑体" w:eastAsia="黑体"/>
          <w:snapToGrid w:val="0"/>
          <w:sz w:val="28"/>
          <w:szCs w:val="28"/>
          <w:highlight w:val="none"/>
          <w:lang w:val="en-US" w:eastAsia="zh-CN"/>
        </w:rPr>
      </w:pPr>
      <w:r>
        <w:rPr>
          <w:rFonts w:hint="default" w:ascii="黑体" w:hAnsi="黑体" w:eastAsia="黑体"/>
          <w:snapToGrid w:val="0"/>
          <w:sz w:val="28"/>
          <w:szCs w:val="28"/>
          <w:highlight w:val="none"/>
          <w:lang w:val="en-US" w:eastAsia="zh-CN"/>
        </w:rPr>
        <w:drawing>
          <wp:inline distT="0" distB="0" distL="114300" distR="114300">
            <wp:extent cx="5594985" cy="7470140"/>
            <wp:effectExtent l="0" t="0" r="5715" b="16510"/>
            <wp:docPr id="64" name="图片 64" descr="6628372f6b6318f3d80df50c1c2d27e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4" name="图片 64" descr="6628372f6b6318f3d80df50c1c2d27e7"/>
                    <pic:cNvPicPr>
                      <a:picLocks noChangeAspect="true"/>
                    </pic:cNvPicPr>
                  </pic:nvPicPr>
                  <pic:blipFill>
                    <a:blip r:embed="rId63"/>
                    <a:stretch>
                      <a:fillRect/>
                    </a:stretch>
                  </pic:blipFill>
                  <pic:spPr>
                    <a:xfrm>
                      <a:off x="0" y="0"/>
                      <a:ext cx="5594985" cy="7470140"/>
                    </a:xfrm>
                    <a:prstGeom prst="rect">
                      <a:avLst/>
                    </a:prstGeom>
                  </pic:spPr>
                </pic:pic>
              </a:graphicData>
            </a:graphic>
          </wp:inline>
        </w:drawing>
      </w:r>
    </w:p>
    <w:p>
      <w:pPr>
        <w:pStyle w:val="20"/>
        <w:jc w:val="center"/>
        <w:rPr>
          <w:rFonts w:hint="default" w:ascii="黑体" w:hAnsi="黑体" w:eastAsia="黑体"/>
          <w:snapToGrid w:val="0"/>
          <w:sz w:val="28"/>
          <w:szCs w:val="28"/>
          <w:highlight w:val="none"/>
          <w:lang w:val="en-US" w:eastAsia="zh-CN"/>
        </w:rPr>
      </w:pPr>
      <w:r>
        <w:rPr>
          <w:rFonts w:hint="default" w:ascii="黑体" w:hAnsi="黑体" w:eastAsia="黑体"/>
          <w:snapToGrid w:val="0"/>
          <w:sz w:val="28"/>
          <w:szCs w:val="28"/>
          <w:highlight w:val="none"/>
          <w:lang w:val="en-US" w:eastAsia="zh-CN"/>
        </w:rPr>
        <w:drawing>
          <wp:inline distT="0" distB="0" distL="114300" distR="114300">
            <wp:extent cx="5519420" cy="7470140"/>
            <wp:effectExtent l="0" t="0" r="5080" b="16510"/>
            <wp:docPr id="65" name="图片 65" descr="5a0eab870e6f3250c6177506fc9d273c"/>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5" name="图片 65" descr="5a0eab870e6f3250c6177506fc9d273c"/>
                    <pic:cNvPicPr>
                      <a:picLocks noChangeAspect="true"/>
                    </pic:cNvPicPr>
                  </pic:nvPicPr>
                  <pic:blipFill>
                    <a:blip r:embed="rId64"/>
                    <a:stretch>
                      <a:fillRect/>
                    </a:stretch>
                  </pic:blipFill>
                  <pic:spPr>
                    <a:xfrm>
                      <a:off x="0" y="0"/>
                      <a:ext cx="5519420" cy="7470140"/>
                    </a:xfrm>
                    <a:prstGeom prst="rect">
                      <a:avLst/>
                    </a:prstGeom>
                  </pic:spPr>
                </pic:pic>
              </a:graphicData>
            </a:graphic>
          </wp:inline>
        </w:drawing>
      </w:r>
    </w:p>
    <w:p>
      <w:pPr>
        <w:pStyle w:val="20"/>
        <w:jc w:val="center"/>
        <w:rPr>
          <w:rFonts w:hint="default" w:ascii="黑体" w:hAnsi="黑体" w:eastAsia="黑体"/>
          <w:snapToGrid w:val="0"/>
          <w:sz w:val="28"/>
          <w:szCs w:val="28"/>
          <w:highlight w:val="none"/>
          <w:lang w:val="en-US" w:eastAsia="zh-CN"/>
        </w:rPr>
      </w:pPr>
      <w:r>
        <w:rPr>
          <w:rFonts w:hint="default" w:ascii="黑体" w:hAnsi="黑体" w:eastAsia="黑体"/>
          <w:snapToGrid w:val="0"/>
          <w:sz w:val="28"/>
          <w:szCs w:val="28"/>
          <w:highlight w:val="none"/>
          <w:lang w:val="en-US" w:eastAsia="zh-CN"/>
        </w:rPr>
        <w:drawing>
          <wp:inline distT="0" distB="0" distL="114300" distR="114300">
            <wp:extent cx="5235575" cy="7470140"/>
            <wp:effectExtent l="0" t="0" r="3175" b="16510"/>
            <wp:docPr id="67" name="图片 67" descr="25767b6780eebf3290bd11765b1c5ab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7" name="图片 67" descr="25767b6780eebf3290bd11765b1c5ab2"/>
                    <pic:cNvPicPr>
                      <a:picLocks noChangeAspect="true"/>
                    </pic:cNvPicPr>
                  </pic:nvPicPr>
                  <pic:blipFill>
                    <a:blip r:embed="rId65"/>
                    <a:stretch>
                      <a:fillRect/>
                    </a:stretch>
                  </pic:blipFill>
                  <pic:spPr>
                    <a:xfrm>
                      <a:off x="0" y="0"/>
                      <a:ext cx="5235575" cy="7470140"/>
                    </a:xfrm>
                    <a:prstGeom prst="rect">
                      <a:avLst/>
                    </a:prstGeom>
                  </pic:spPr>
                </pic:pic>
              </a:graphicData>
            </a:graphic>
          </wp:inline>
        </w:drawing>
      </w:r>
      <w:r>
        <w:rPr>
          <w:rFonts w:hint="default" w:ascii="黑体" w:hAnsi="黑体" w:eastAsia="黑体"/>
          <w:snapToGrid w:val="0"/>
          <w:sz w:val="28"/>
          <w:szCs w:val="28"/>
          <w:highlight w:val="none"/>
          <w:lang w:val="en-US" w:eastAsia="zh-CN"/>
        </w:rPr>
        <w:drawing>
          <wp:inline distT="0" distB="0" distL="114300" distR="114300">
            <wp:extent cx="5208905" cy="7470140"/>
            <wp:effectExtent l="0" t="0" r="10795" b="16510"/>
            <wp:docPr id="70" name="图片 70" descr="4098f3760562f84c1b93ac70d096c3a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0" name="图片 70" descr="4098f3760562f84c1b93ac70d096c3a7"/>
                    <pic:cNvPicPr>
                      <a:picLocks noChangeAspect="true"/>
                    </pic:cNvPicPr>
                  </pic:nvPicPr>
                  <pic:blipFill>
                    <a:blip r:embed="rId66"/>
                    <a:stretch>
                      <a:fillRect/>
                    </a:stretch>
                  </pic:blipFill>
                  <pic:spPr>
                    <a:xfrm>
                      <a:off x="0" y="0"/>
                      <a:ext cx="5208905" cy="7470140"/>
                    </a:xfrm>
                    <a:prstGeom prst="rect">
                      <a:avLst/>
                    </a:prstGeom>
                  </pic:spPr>
                </pic:pic>
              </a:graphicData>
            </a:graphic>
          </wp:inline>
        </w:drawing>
      </w:r>
    </w:p>
    <w:p>
      <w:pPr>
        <w:pStyle w:val="20"/>
        <w:jc w:val="center"/>
        <w:rPr>
          <w:rFonts w:hint="default" w:ascii="黑体" w:hAnsi="黑体" w:eastAsia="黑体"/>
          <w:snapToGrid w:val="0"/>
          <w:sz w:val="28"/>
          <w:szCs w:val="28"/>
          <w:highlight w:val="none"/>
          <w:lang w:val="en-US" w:eastAsia="zh-CN"/>
        </w:rPr>
      </w:pPr>
    </w:p>
    <w:p>
      <w:pPr>
        <w:pStyle w:val="20"/>
        <w:jc w:val="center"/>
        <w:rPr>
          <w:rFonts w:hint="eastAsia" w:eastAsia="宋体"/>
          <w:highlight w:val="none"/>
          <w:lang w:eastAsia="zh-CN"/>
        </w:rPr>
      </w:pPr>
      <w:r>
        <w:rPr>
          <w:rFonts w:hint="eastAsia" w:eastAsia="宋体"/>
          <w:highlight w:val="none"/>
          <w:lang w:eastAsia="zh-CN"/>
        </w:rPr>
        <w:drawing>
          <wp:inline distT="0" distB="0" distL="114300" distR="114300">
            <wp:extent cx="5391785" cy="7470775"/>
            <wp:effectExtent l="0" t="0" r="18415" b="15875"/>
            <wp:docPr id="77" name="图片 77" descr="1aa859d79cca237e38b6a86ccaccbf0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7" name="图片 77" descr="1aa859d79cca237e38b6a86ccaccbf0d"/>
                    <pic:cNvPicPr>
                      <a:picLocks noChangeAspect="true"/>
                    </pic:cNvPicPr>
                  </pic:nvPicPr>
                  <pic:blipFill>
                    <a:blip r:embed="rId67"/>
                    <a:stretch>
                      <a:fillRect/>
                    </a:stretch>
                  </pic:blipFill>
                  <pic:spPr>
                    <a:xfrm>
                      <a:off x="0" y="0"/>
                      <a:ext cx="5391785" cy="7470775"/>
                    </a:xfrm>
                    <a:prstGeom prst="rect">
                      <a:avLst/>
                    </a:prstGeom>
                  </pic:spPr>
                </pic:pic>
              </a:graphicData>
            </a:graphic>
          </wp:inline>
        </w:drawing>
      </w:r>
      <w:r>
        <w:rPr>
          <w:rFonts w:hint="eastAsia" w:eastAsia="宋体"/>
          <w:highlight w:val="none"/>
          <w:lang w:eastAsia="zh-CN"/>
        </w:rPr>
        <w:drawing>
          <wp:inline distT="0" distB="0" distL="114300" distR="114300">
            <wp:extent cx="5382895" cy="7470140"/>
            <wp:effectExtent l="0" t="0" r="8255" b="16510"/>
            <wp:docPr id="78" name="图片 78" descr="f61a35401956f7515118d46209da104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8" name="图片 78" descr="f61a35401956f7515118d46209da1041"/>
                    <pic:cNvPicPr>
                      <a:picLocks noChangeAspect="true"/>
                    </pic:cNvPicPr>
                  </pic:nvPicPr>
                  <pic:blipFill>
                    <a:blip r:embed="rId68"/>
                    <a:stretch>
                      <a:fillRect/>
                    </a:stretch>
                  </pic:blipFill>
                  <pic:spPr>
                    <a:xfrm>
                      <a:off x="0" y="0"/>
                      <a:ext cx="5382895" cy="7470140"/>
                    </a:xfrm>
                    <a:prstGeom prst="rect">
                      <a:avLst/>
                    </a:prstGeom>
                  </pic:spPr>
                </pic:pic>
              </a:graphicData>
            </a:graphic>
          </wp:inline>
        </w:drawing>
      </w:r>
    </w:p>
    <w:p>
      <w:pPr>
        <w:pStyle w:val="20"/>
        <w:rPr>
          <w:rFonts w:hint="eastAsia" w:eastAsia="宋体"/>
          <w:highlight w:val="none"/>
          <w:lang w:eastAsia="zh-CN"/>
        </w:rPr>
      </w:pPr>
    </w:p>
    <w:p>
      <w:pPr>
        <w:pStyle w:val="20"/>
        <w:rPr>
          <w:rFonts w:hint="eastAsia" w:eastAsia="宋体"/>
          <w:highlight w:val="none"/>
          <w:lang w:eastAsia="zh-CN"/>
        </w:rPr>
      </w:pPr>
    </w:p>
    <w:p>
      <w:pPr>
        <w:pStyle w:val="20"/>
        <w:rPr>
          <w:rFonts w:hint="eastAsia" w:eastAsia="宋体"/>
          <w:highlight w:val="none"/>
          <w:lang w:eastAsia="zh-CN"/>
        </w:rPr>
      </w:pPr>
    </w:p>
    <w:p>
      <w:pPr>
        <w:pStyle w:val="20"/>
        <w:rPr>
          <w:rFonts w:hint="eastAsia" w:eastAsia="宋体"/>
          <w:highlight w:val="none"/>
          <w:lang w:eastAsia="zh-CN"/>
        </w:rPr>
      </w:pPr>
    </w:p>
    <w:p>
      <w:pPr>
        <w:pStyle w:val="20"/>
        <w:rPr>
          <w:rFonts w:hint="eastAsia" w:eastAsia="宋体"/>
          <w:highlight w:val="none"/>
          <w:lang w:eastAsia="zh-CN"/>
        </w:rPr>
      </w:pPr>
    </w:p>
    <w:p>
      <w:pPr>
        <w:pStyle w:val="20"/>
        <w:rPr>
          <w:rFonts w:hint="default" w:eastAsia="宋体"/>
          <w:highlight w:val="none"/>
          <w:lang w:val="en-US" w:eastAsia="zh-CN"/>
        </w:rPr>
      </w:pPr>
      <w:r>
        <w:rPr>
          <w:rFonts w:hint="eastAsia" w:ascii="黑体" w:hAnsi="黑体" w:eastAsia="黑体"/>
          <w:snapToGrid w:val="0"/>
          <w:sz w:val="28"/>
          <w:szCs w:val="28"/>
          <w:highlight w:val="none"/>
          <w:lang w:val="en-US" w:eastAsia="zh-CN"/>
        </w:rPr>
        <w:t>附件10 煤炭合同</w:t>
      </w:r>
    </w:p>
    <w:p>
      <w:pPr>
        <w:rPr>
          <w:rFonts w:hint="eastAsia" w:eastAsiaTheme="minorEastAsia"/>
          <w:highlight w:val="none"/>
          <w:lang w:eastAsia="zh-CN"/>
        </w:rPr>
      </w:pPr>
      <w:r>
        <w:rPr>
          <w:rFonts w:hint="eastAsia" w:eastAsiaTheme="minorEastAsia"/>
          <w:highlight w:val="none"/>
          <w:lang w:eastAsia="zh-CN"/>
        </w:rPr>
        <w:drawing>
          <wp:inline distT="0" distB="0" distL="114300" distR="114300">
            <wp:extent cx="5271135" cy="7452360"/>
            <wp:effectExtent l="0" t="0" r="5715" b="15240"/>
            <wp:docPr id="80" name="图片 80"/>
            <wp:cNvGraphicFramePr/>
            <a:graphic xmlns:a="http://schemas.openxmlformats.org/drawingml/2006/main">
              <a:graphicData uri="http://schemas.openxmlformats.org/drawingml/2006/picture">
                <pic:pic xmlns:pic="http://schemas.openxmlformats.org/drawingml/2006/picture">
                  <pic:nvPicPr>
                    <pic:cNvPr id="80" name="图片 80"/>
                    <pic:cNvPicPr/>
                  </pic:nvPicPr>
                  <pic:blipFill>
                    <a:blip r:embed="rId69"/>
                  </pic:blipFill>
                  <pic:spPr>
                    <a:xfrm>
                      <a:off x="0" y="0"/>
                      <a:ext cx="5271135" cy="7452360"/>
                    </a:xfrm>
                    <a:prstGeom prst="rect">
                      <a:avLst/>
                    </a:prstGeom>
                  </pic:spPr>
                </pic:pic>
              </a:graphicData>
            </a:graphic>
          </wp:inline>
        </w:drawing>
      </w:r>
      <w:r>
        <w:rPr>
          <w:rFonts w:hint="eastAsia" w:eastAsiaTheme="minorEastAsia"/>
          <w:highlight w:val="none"/>
          <w:lang w:eastAsia="zh-CN"/>
        </w:rPr>
        <w:drawing>
          <wp:inline distT="0" distB="0" distL="114300" distR="114300">
            <wp:extent cx="5271135" cy="7452360"/>
            <wp:effectExtent l="0" t="0" r="5715" b="15240"/>
            <wp:docPr id="83" name="图片 83"/>
            <wp:cNvGraphicFramePr/>
            <a:graphic xmlns:a="http://schemas.openxmlformats.org/drawingml/2006/main">
              <a:graphicData uri="http://schemas.openxmlformats.org/drawingml/2006/picture">
                <pic:pic xmlns:pic="http://schemas.openxmlformats.org/drawingml/2006/picture">
                  <pic:nvPicPr>
                    <pic:cNvPr id="83" name="图片 83"/>
                    <pic:cNvPicPr/>
                  </pic:nvPicPr>
                  <pic:blipFill>
                    <a:blip r:embed="rId70"/>
                  </pic:blipFill>
                  <pic:spPr>
                    <a:xfrm>
                      <a:off x="0" y="0"/>
                      <a:ext cx="5271135" cy="7452360"/>
                    </a:xfrm>
                    <a:prstGeom prst="rect">
                      <a:avLst/>
                    </a:prstGeom>
                  </pic:spPr>
                </pic:pic>
              </a:graphicData>
            </a:graphic>
          </wp:inline>
        </w:drawing>
      </w:r>
    </w:p>
    <w:p>
      <w:pPr>
        <w:pStyle w:val="20"/>
        <w:rPr>
          <w:rFonts w:hint="eastAsia" w:eastAsia="宋体"/>
          <w:highlight w:val="none"/>
          <w:lang w:eastAsia="zh-CN"/>
        </w:rPr>
      </w:pPr>
    </w:p>
    <w:p>
      <w:pPr>
        <w:rPr>
          <w:highlight w:val="none"/>
        </w:rPr>
      </w:pPr>
      <w:r>
        <w:rPr>
          <w:highlight w:val="none"/>
        </w:rPr>
        <w:br w:type="page"/>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32"/>
          <w:szCs w:val="32"/>
          <w:highlight w:val="none"/>
          <w:lang w:val="en-US" w:eastAsia="zh-CN"/>
        </w:rPr>
      </w:pPr>
      <w:r>
        <w:rPr>
          <w:rFonts w:hint="eastAsia" w:ascii="黑体" w:hAnsi="黑体" w:eastAsia="黑体"/>
          <w:snapToGrid w:val="0"/>
          <w:sz w:val="32"/>
          <w:szCs w:val="32"/>
          <w:highlight w:val="none"/>
        </w:rPr>
        <w:t>附</w:t>
      </w:r>
      <w:r>
        <w:rPr>
          <w:rFonts w:hint="eastAsia" w:ascii="黑体" w:hAnsi="黑体" w:eastAsia="黑体"/>
          <w:snapToGrid w:val="0"/>
          <w:sz w:val="32"/>
          <w:szCs w:val="32"/>
          <w:highlight w:val="none"/>
          <w:lang w:val="en-US" w:eastAsia="zh-CN"/>
        </w:rPr>
        <w:t>图</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t>附图1 “三线一单”平台截图</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5760720" cy="2754630"/>
            <wp:effectExtent l="0" t="0" r="11430" b="7620"/>
            <wp:docPr id="168" name="图片 168" descr="7e19670a92630ed583b4e26e55253da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8" name="图片 168" descr="7e19670a92630ed583b4e26e55253dae"/>
                    <pic:cNvPicPr>
                      <a:picLocks noChangeAspect="true"/>
                    </pic:cNvPicPr>
                  </pic:nvPicPr>
                  <pic:blipFill>
                    <a:blip r:embed="rId71"/>
                    <a:stretch>
                      <a:fillRect/>
                    </a:stretch>
                  </pic:blipFill>
                  <pic:spPr>
                    <a:xfrm>
                      <a:off x="0" y="0"/>
                      <a:ext cx="5760720" cy="2754630"/>
                    </a:xfrm>
                    <a:prstGeom prst="rect">
                      <a:avLst/>
                    </a:prstGeom>
                  </pic:spPr>
                </pic:pic>
              </a:graphicData>
            </a:graphic>
          </wp:inline>
        </w:drawing>
      </w:r>
      <w:r>
        <w:rPr>
          <w:highlight w:val="none"/>
        </w:rPr>
        <w:drawing>
          <wp:inline distT="0" distB="0" distL="114300" distR="114300">
            <wp:extent cx="5760085" cy="2080260"/>
            <wp:effectExtent l="0" t="0" r="12065" b="15240"/>
            <wp:docPr id="169"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9" name="图片 5"/>
                    <pic:cNvPicPr>
                      <a:picLocks noChangeAspect="true"/>
                    </pic:cNvPicPr>
                  </pic:nvPicPr>
                  <pic:blipFill>
                    <a:blip r:embed="rId72"/>
                    <a:stretch>
                      <a:fillRect/>
                    </a:stretch>
                  </pic:blipFill>
                  <pic:spPr>
                    <a:xfrm>
                      <a:off x="0" y="0"/>
                      <a:ext cx="5760085" cy="2080260"/>
                    </a:xfrm>
                    <a:prstGeom prst="rect">
                      <a:avLst/>
                    </a:prstGeom>
                    <a:noFill/>
                    <a:ln>
                      <a:noFill/>
                    </a:ln>
                  </pic:spPr>
                </pic:pic>
              </a:graphicData>
            </a:graphic>
          </wp:inline>
        </w:drawing>
      </w:r>
      <w:r>
        <w:rPr>
          <w:rFonts w:hint="eastAsia" w:ascii="黑体" w:hAnsi="黑体" w:eastAsia="黑体"/>
          <w:snapToGrid w:val="0"/>
          <w:sz w:val="28"/>
          <w:szCs w:val="28"/>
          <w:highlight w:val="none"/>
          <w:lang w:val="en-US" w:eastAsia="zh-CN"/>
        </w:rPr>
        <w:drawing>
          <wp:inline distT="0" distB="0" distL="114300" distR="114300">
            <wp:extent cx="5760720" cy="2760345"/>
            <wp:effectExtent l="0" t="0" r="11430" b="1905"/>
            <wp:docPr id="167" name="图片 167" descr="a24f98231568db12372327e9122d3e0b"/>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7" name="图片 167" descr="a24f98231568db12372327e9122d3e0b"/>
                    <pic:cNvPicPr>
                      <a:picLocks noChangeAspect="true"/>
                    </pic:cNvPicPr>
                  </pic:nvPicPr>
                  <pic:blipFill>
                    <a:blip r:embed="rId73"/>
                    <a:stretch>
                      <a:fillRect/>
                    </a:stretch>
                  </pic:blipFill>
                  <pic:spPr>
                    <a:xfrm>
                      <a:off x="0" y="0"/>
                      <a:ext cx="5760720" cy="2760345"/>
                    </a:xfrm>
                    <a:prstGeom prst="rect">
                      <a:avLst/>
                    </a:prstGeom>
                  </pic:spPr>
                </pic:pic>
              </a:graphicData>
            </a:graphic>
          </wp:inline>
        </w:drawing>
      </w:r>
    </w:p>
    <w:p>
      <w:pPr>
        <w:pStyle w:val="18"/>
        <w:adjustRightInd w:val="0"/>
        <w:snapToGrid w:val="0"/>
        <w:spacing w:before="0" w:beforeAutospacing="0" w:after="0" w:afterAutospacing="0" w:line="648" w:lineRule="auto"/>
        <w:jc w:val="both"/>
        <w:outlineLvl w:val="0"/>
        <w:rPr>
          <w:rFonts w:hint="eastAsia" w:ascii="黑体" w:hAnsi="黑体" w:eastAsia="宋体"/>
          <w:snapToGrid w:val="0"/>
          <w:sz w:val="32"/>
          <w:szCs w:val="32"/>
          <w:highlight w:val="none"/>
          <w:lang w:val="en-US" w:eastAsia="zh-CN"/>
        </w:rPr>
        <w:sectPr>
          <w:type w:val="continuous"/>
          <w:pgSz w:w="11906" w:h="16838"/>
          <w:pgMar w:top="1531" w:right="1701" w:bottom="1531" w:left="1701"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adjustRightInd w:val="0"/>
        <w:snapToGrid w:val="0"/>
        <w:spacing w:before="0" w:beforeAutospacing="0" w:after="0" w:afterAutospacing="0" w:line="648" w:lineRule="auto"/>
        <w:jc w:val="both"/>
        <w:outlineLvl w:val="0"/>
        <w:rPr>
          <w:rFonts w:hint="eastAsia" w:ascii="黑体" w:hAnsi="黑体" w:eastAsia="宋体"/>
          <w:snapToGrid w:val="0"/>
          <w:sz w:val="32"/>
          <w:szCs w:val="32"/>
          <w:highlight w:val="none"/>
          <w:lang w:val="en-US" w:eastAsia="zh-CN"/>
        </w:rPr>
      </w:pPr>
    </w:p>
    <w:p>
      <w:pPr>
        <w:pStyle w:val="18"/>
        <w:adjustRightInd w:val="0"/>
        <w:snapToGrid w:val="0"/>
        <w:spacing w:before="0" w:beforeAutospacing="0" w:after="0" w:afterAutospacing="0" w:line="648" w:lineRule="auto"/>
        <w:jc w:val="center"/>
        <w:outlineLvl w:val="0"/>
        <w:rPr>
          <w:rFonts w:hint="eastAsia" w:ascii="黑体" w:hAnsi="黑体" w:eastAsia="宋体"/>
          <w:snapToGrid w:val="0"/>
          <w:sz w:val="32"/>
          <w:szCs w:val="32"/>
          <w:highlight w:val="none"/>
          <w:lang w:val="en-US" w:eastAsia="zh-CN"/>
        </w:rPr>
        <w:sectPr>
          <w:type w:val="continuous"/>
          <w:pgSz w:w="11906" w:h="16838"/>
          <w:pgMar w:top="1531" w:right="1701" w:bottom="1531" w:left="1701"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t>附图2 项目所在地位置</w:t>
      </w:r>
    </w:p>
    <w:p>
      <w:pPr>
        <w:pStyle w:val="18"/>
        <w:adjustRightInd w:val="0"/>
        <w:snapToGrid w:val="0"/>
        <w:spacing w:before="0" w:beforeAutospacing="0" w:after="0" w:afterAutospacing="0" w:line="240" w:lineRule="auto"/>
        <w:jc w:val="center"/>
        <w:outlineLvl w:val="0"/>
        <w:rPr>
          <w:rFonts w:hint="eastAsia" w:ascii="黑体" w:hAnsi="黑体" w:eastAsia="宋体"/>
          <w:snapToGrid w:val="0"/>
          <w:sz w:val="32"/>
          <w:szCs w:val="32"/>
          <w:highlight w:val="none"/>
          <w:lang w:val="en-US" w:eastAsia="zh-CN"/>
        </w:rPr>
      </w:pPr>
      <w:r>
        <w:rPr>
          <w:sz w:val="24"/>
          <w:highlight w:val="none"/>
        </w:rPr>
        <mc:AlternateContent>
          <mc:Choice Requires="wps">
            <w:drawing>
              <wp:anchor distT="0" distB="0" distL="114300" distR="114300" simplePos="0" relativeHeight="251670528" behindDoc="0" locked="0" layoutInCell="1" allowOverlap="1">
                <wp:simplePos x="0" y="0"/>
                <wp:positionH relativeFrom="column">
                  <wp:posOffset>3365500</wp:posOffset>
                </wp:positionH>
                <wp:positionV relativeFrom="paragraph">
                  <wp:posOffset>2930525</wp:posOffset>
                </wp:positionV>
                <wp:extent cx="1114425" cy="314325"/>
                <wp:effectExtent l="12700" t="12700" r="15875" b="263525"/>
                <wp:wrapNone/>
                <wp:docPr id="22" name="矩形标注 22"/>
                <wp:cNvGraphicFramePr/>
                <a:graphic xmlns:a="http://schemas.openxmlformats.org/drawingml/2006/main">
                  <a:graphicData uri="http://schemas.microsoft.com/office/word/2010/wordprocessingShape">
                    <wps:wsp>
                      <wps:cNvSpPr/>
                      <wps:spPr>
                        <a:xfrm>
                          <a:off x="4474210" y="4333875"/>
                          <a:ext cx="1114425" cy="314325"/>
                        </a:xfrm>
                        <a:prstGeom prst="wedgeRectCallout">
                          <a:avLst>
                            <a:gd name="adj1" fmla="val -35584"/>
                            <a:gd name="adj2" fmla="val 126363"/>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项目所在地</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61" type="#_x0000_t61" style="position:absolute;left:0pt;margin-left:265pt;margin-top:230.75pt;height:24.75pt;width:87.75pt;z-index:251670528;v-text-anchor:middle;mso-width-relative:page;mso-height-relative:page;" fillcolor="#FFFFFF [3212]" filled="t" stroked="t" coordsize="21600,21600" o:gfxdata="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" adj="3114,38094">
                <v:fill on="t" focussize="0,0"/>
                <v:stroke weight="2pt" color="#FF0000 [2404]" joinstyle="round"/>
                <v:imagedata o:title=""/>
                <o:lock v:ext="edit" aspectratio="f"/>
                <v:textbox>
                  <w:txbxContent>
                    <w:p>
                      <w:pPr>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项目所在地</w:t>
                      </w:r>
                    </w:p>
                  </w:txbxContent>
                </v:textbox>
              </v:shape>
            </w:pict>
          </mc:Fallback>
        </mc:AlternateContent>
      </w:r>
      <w:r>
        <w:rPr>
          <w:color w:val="auto"/>
          <w:highlight w:val="none"/>
        </w:rPr>
        <w:drawing>
          <wp:anchor distT="0" distB="0" distL="114300" distR="114300" simplePos="0" relativeHeight="251666432" behindDoc="0" locked="0" layoutInCell="1" allowOverlap="1">
            <wp:simplePos x="0" y="0"/>
            <wp:positionH relativeFrom="column">
              <wp:posOffset>7185660</wp:posOffset>
            </wp:positionH>
            <wp:positionV relativeFrom="paragraph">
              <wp:posOffset>296545</wp:posOffset>
            </wp:positionV>
            <wp:extent cx="552450" cy="840740"/>
            <wp:effectExtent l="0" t="0" r="0" b="16510"/>
            <wp:wrapNone/>
            <wp:docPr id="11" name="图片 430" descr="风向标"/>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 name="图片 430" descr="风向标"/>
                    <pic:cNvPicPr>
                      <a:picLocks noChangeAspect="true"/>
                    </pic:cNvPicPr>
                  </pic:nvPicPr>
                  <pic:blipFill>
                    <a:blip r:embed="rId74"/>
                    <a:stretch>
                      <a:fillRect/>
                    </a:stretch>
                  </pic:blipFill>
                  <pic:spPr>
                    <a:xfrm>
                      <a:off x="0" y="0"/>
                      <a:ext cx="552450" cy="840740"/>
                    </a:xfrm>
                    <a:prstGeom prst="rect">
                      <a:avLst/>
                    </a:prstGeom>
                    <a:noFill/>
                    <a:ln>
                      <a:noFill/>
                    </a:ln>
                    <a:effectLst/>
                  </pic:spPr>
                </pic:pic>
              </a:graphicData>
            </a:graphic>
          </wp:anchor>
        </w:drawing>
      </w:r>
      <w:r>
        <w:rPr>
          <w:rFonts w:hint="eastAsia" w:ascii="黑体" w:hAnsi="黑体" w:eastAsia="宋体"/>
          <w:snapToGrid w:val="0"/>
          <w:sz w:val="32"/>
          <w:szCs w:val="32"/>
          <w:highlight w:val="none"/>
          <w:lang w:val="en-US" w:eastAsia="zh-CN"/>
        </w:rPr>
        <w:drawing>
          <wp:inline distT="0" distB="0" distL="114300" distR="114300">
            <wp:extent cx="7117715" cy="4887595"/>
            <wp:effectExtent l="0" t="0" r="6985" b="8255"/>
            <wp:docPr id="21" name="图片 21" descr="阜新市地图"/>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1" name="图片 21" descr="阜新市地图"/>
                    <pic:cNvPicPr>
                      <a:picLocks noChangeAspect="true"/>
                    </pic:cNvPicPr>
                  </pic:nvPicPr>
                  <pic:blipFill>
                    <a:blip r:embed="rId75"/>
                    <a:stretch>
                      <a:fillRect/>
                    </a:stretch>
                  </pic:blipFill>
                  <pic:spPr>
                    <a:xfrm>
                      <a:off x="0" y="0"/>
                      <a:ext cx="7117715" cy="4887595"/>
                    </a:xfrm>
                    <a:prstGeom prst="rect">
                      <a:avLst/>
                    </a:prstGeom>
                  </pic:spPr>
                </pic:pic>
              </a:graphicData>
            </a:graphic>
          </wp:inline>
        </w:drawing>
      </w:r>
    </w:p>
    <w:p>
      <w:pPr>
        <w:pStyle w:val="18"/>
        <w:adjustRightInd w:val="0"/>
        <w:snapToGrid w:val="0"/>
        <w:spacing w:before="0" w:beforeAutospacing="0" w:after="0" w:afterAutospacing="0" w:line="240" w:lineRule="auto"/>
        <w:jc w:val="left"/>
        <w:outlineLvl w:val="0"/>
        <w:rPr>
          <w:rFonts w:hint="eastAsia" w:ascii="黑体" w:hAnsi="黑体" w:eastAsia="宋体"/>
          <w:snapToGrid w:val="0"/>
          <w:sz w:val="32"/>
          <w:szCs w:val="32"/>
          <w:highlight w:val="none"/>
          <w:lang w:val="en-US" w:eastAsia="zh-CN"/>
        </w:rPr>
      </w:pPr>
    </w:p>
    <w:p>
      <w:pPr>
        <w:pStyle w:val="18"/>
        <w:adjustRightInd w:val="0"/>
        <w:snapToGrid w:val="0"/>
        <w:spacing w:before="0" w:beforeAutospacing="0" w:after="0" w:afterAutospacing="0" w:line="240" w:lineRule="auto"/>
        <w:jc w:val="left"/>
        <w:outlineLvl w:val="0"/>
        <w:rPr>
          <w:rFonts w:hint="eastAsia" w:ascii="黑体" w:hAnsi="黑体" w:eastAsia="宋体"/>
          <w:snapToGrid w:val="0"/>
          <w:sz w:val="32"/>
          <w:szCs w:val="32"/>
          <w:highlight w:val="none"/>
          <w:lang w:val="en-US" w:eastAsia="zh-CN"/>
        </w:rPr>
      </w:pPr>
      <w:r>
        <w:rPr>
          <w:rFonts w:hint="eastAsia" w:ascii="黑体" w:hAnsi="黑体" w:eastAsia="黑体"/>
          <w:snapToGrid w:val="0"/>
          <w:sz w:val="28"/>
          <w:szCs w:val="28"/>
          <w:highlight w:val="none"/>
          <w:lang w:val="en-US" w:eastAsia="zh-CN"/>
        </w:rPr>
        <w:t>附图3 项目四邻图</w:t>
      </w:r>
    </w:p>
    <w:p>
      <w:pPr>
        <w:widowControl/>
        <w:adjustRightInd w:val="0"/>
        <w:snapToGrid w:val="0"/>
        <w:spacing w:before="0" w:beforeAutospacing="0" w:after="0" w:afterAutospacing="0" w:line="240" w:lineRule="auto"/>
        <w:jc w:val="center"/>
        <w:outlineLvl w:val="0"/>
        <w:rPr>
          <w:highlight w:val="none"/>
        </w:rPr>
      </w:pPr>
      <w:r>
        <w:rPr>
          <w:sz w:val="24"/>
          <w:highlight w:val="none"/>
        </w:rPr>
        <mc:AlternateContent>
          <mc:Choice Requires="wps">
            <w:drawing>
              <wp:anchor distT="0" distB="0" distL="114300" distR="114300" simplePos="0" relativeHeight="251672576" behindDoc="0" locked="0" layoutInCell="1" allowOverlap="1">
                <wp:simplePos x="0" y="0"/>
                <wp:positionH relativeFrom="column">
                  <wp:posOffset>7106920</wp:posOffset>
                </wp:positionH>
                <wp:positionV relativeFrom="paragraph">
                  <wp:posOffset>3536950</wp:posOffset>
                </wp:positionV>
                <wp:extent cx="1315085" cy="1559560"/>
                <wp:effectExtent l="0" t="0" r="18415" b="2540"/>
                <wp:wrapNone/>
                <wp:docPr id="37" name="矩形 37"/>
                <wp:cNvGraphicFramePr/>
                <a:graphic xmlns:a="http://schemas.openxmlformats.org/drawingml/2006/main">
                  <a:graphicData uri="http://schemas.microsoft.com/office/word/2010/wordprocessingShape">
                    <wps:wsp>
                      <wps:cNvSpPr/>
                      <wps:spPr>
                        <a:xfrm>
                          <a:off x="8433435" y="4437380"/>
                          <a:ext cx="1315085" cy="1559560"/>
                        </a:xfrm>
                        <a:prstGeom prst="rect">
                          <a:avLst/>
                        </a:prstGeom>
                        <a:solidFill>
                          <a:schemeClr val="bg1">
                            <a:alpha val="73000"/>
                          </a:schemeClr>
                        </a:solidFill>
                        <a:ln w="12700">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59.6pt;margin-top:278.5pt;height:122.8pt;width:103.55pt;z-index:251672576;v-text-anchor:middle;mso-width-relative:page;mso-height-relative:page;" fillcolor="#FFFFFF [3212]" filled="t" stroked="f" coordsize="21600,21600" o:gfxdata="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FgAAAGRycy9QSwECFAAUAAAACACHTuJA2ZGYZtoAAAANAQAADwAAAAAAAAABACAA&#10;AAA4AAAAZHJzL2Rvd25yZXYueG1sUEsBAhQAFAAAAAgAh07iQIGI7vFnAgAApQQAAA4AAAAAAAAA&#10;AQAgAAAAPwEAAGRycy9lMm9Eb2MueG1sUEsFBgAAAAAGAAYAWQEAABgGAAAAAA==&#10;">
                <v:fill on="t" opacity="47841f" focussize="0,0"/>
                <v:stroke on="f" weight="1pt"/>
                <v:imagedata o:title=""/>
                <o:lock v:ext="edit" aspectratio="f"/>
              </v:rect>
            </w:pict>
          </mc:Fallback>
        </mc:AlternateContent>
      </w:r>
      <w:r>
        <w:rPr>
          <w:sz w:val="24"/>
          <w:highlight w:val="none"/>
        </w:rPr>
        <mc:AlternateContent>
          <mc:Choice Requires="wps">
            <w:drawing>
              <wp:anchor distT="0" distB="0" distL="114300" distR="114300" simplePos="0" relativeHeight="251676672" behindDoc="0" locked="0" layoutInCell="1" allowOverlap="1">
                <wp:simplePos x="0" y="0"/>
                <wp:positionH relativeFrom="column">
                  <wp:posOffset>7268210</wp:posOffset>
                </wp:positionH>
                <wp:positionV relativeFrom="paragraph">
                  <wp:posOffset>4736465</wp:posOffset>
                </wp:positionV>
                <wp:extent cx="285750" cy="190500"/>
                <wp:effectExtent l="0" t="0" r="0" b="0"/>
                <wp:wrapNone/>
                <wp:docPr id="42" name="矩形 42"/>
                <wp:cNvGraphicFramePr/>
                <a:graphic xmlns:a="http://schemas.openxmlformats.org/drawingml/2006/main">
                  <a:graphicData uri="http://schemas.microsoft.com/office/word/2010/wordprocessingShape">
                    <wps:wsp>
                      <wps:cNvSpPr/>
                      <wps:spPr>
                        <a:xfrm>
                          <a:off x="0" y="0"/>
                          <a:ext cx="285750" cy="190500"/>
                        </a:xfrm>
                        <a:prstGeom prst="rect">
                          <a:avLst/>
                        </a:prstGeom>
                        <a:solidFill>
                          <a:srgbClr val="3EF52C"/>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72.3pt;margin-top:372.95pt;height:15pt;width:22.5pt;z-index:251676672;v-text-anchor:middle;mso-width-relative:page;mso-height-relative:page;" fillcolor="#3EF52C" filled="t" stroked="f" coordsize="21600,21600" o:gfxdata="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FgAAAGRycy9QSwECFAAUAAAA&#10;CACHTuJA/LsDi9oAAAANAQAADwAAAAAAAAABACAAAAA4AAAAZHJzL2Rvd25yZXYueG1sUEsBAhQA&#10;FAAAAAgAh07iQI2Knj1MAgAAdgQAAA4AAAAAAAAAAQAgAAAAPwEAAGRycy9lMm9Eb2MueG1sUEsF&#10;BgAAAAAGAAYAWQEAAP0FAAAAAA==&#10;">
                <v:fill on="t" focussize="0,0"/>
                <v:stroke on="f" weight="2pt"/>
                <v:imagedata o:title=""/>
                <o:lock v:ext="edit" aspectratio="f"/>
              </v:rect>
            </w:pict>
          </mc:Fallback>
        </mc:AlternateContent>
      </w:r>
      <w:r>
        <w:rPr>
          <w:sz w:val="24"/>
          <w:highlight w:val="none"/>
        </w:rPr>
        <mc:AlternateContent>
          <mc:Choice Requires="wps">
            <w:drawing>
              <wp:anchor distT="0" distB="0" distL="114300" distR="114300" simplePos="0" relativeHeight="251675648" behindDoc="0" locked="0" layoutInCell="1" allowOverlap="1">
                <wp:simplePos x="0" y="0"/>
                <wp:positionH relativeFrom="column">
                  <wp:posOffset>7254240</wp:posOffset>
                </wp:positionH>
                <wp:positionV relativeFrom="paragraph">
                  <wp:posOffset>4421505</wp:posOffset>
                </wp:positionV>
                <wp:extent cx="285750" cy="190500"/>
                <wp:effectExtent l="0" t="0" r="0" b="0"/>
                <wp:wrapNone/>
                <wp:docPr id="41" name="矩形 41"/>
                <wp:cNvGraphicFramePr/>
                <a:graphic xmlns:a="http://schemas.openxmlformats.org/drawingml/2006/main">
                  <a:graphicData uri="http://schemas.microsoft.com/office/word/2010/wordprocessingShape">
                    <wps:wsp>
                      <wps:cNvSpPr/>
                      <wps:spPr>
                        <a:xfrm>
                          <a:off x="0" y="0"/>
                          <a:ext cx="285750" cy="190500"/>
                        </a:xfrm>
                        <a:prstGeom prst="rect">
                          <a:avLst/>
                        </a:prstGeom>
                        <a:solidFill>
                          <a:srgbClr val="FFFF00"/>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71.2pt;margin-top:348.15pt;height:15pt;width:22.5pt;z-index:251675648;v-text-anchor:middle;mso-width-relative:page;mso-height-relative:page;" fillcolor="#FFFF00" filled="t" stroked="f" coordsize="21600,21600" o:gfxdata="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FgAAAGRycy9QSwECFAAUAAAACACH&#10;TuJAfhVB8tsAAAANAQAADwAAAAAAAAABACAAAAA4AAAAZHJzL2Rvd25yZXYueG1sUEsBAhQAFAAA&#10;AAgAh07iQJJK6zZIAgAAdgQAAA4AAAAAAAAAAQAgAAAAQAEAAGRycy9lMm9Eb2MueG1sUEsFBgAA&#10;AAAGAAYAWQEAAPoFAAAAAA==&#10;">
                <v:fill on="t" focussize="0,0"/>
                <v:stroke on="f" weight="2pt"/>
                <v:imagedata o:title=""/>
                <o:lock v:ext="edit" aspectratio="f"/>
              </v:rect>
            </w:pict>
          </mc:Fallback>
        </mc:AlternateContent>
      </w:r>
      <w:r>
        <w:rPr>
          <w:sz w:val="24"/>
          <w:highlight w:val="none"/>
        </w:rPr>
        <mc:AlternateContent>
          <mc:Choice Requires="wps">
            <w:drawing>
              <wp:anchor distT="0" distB="0" distL="114300" distR="114300" simplePos="0" relativeHeight="251674624" behindDoc="0" locked="0" layoutInCell="1" allowOverlap="1">
                <wp:simplePos x="0" y="0"/>
                <wp:positionH relativeFrom="column">
                  <wp:posOffset>7266940</wp:posOffset>
                </wp:positionH>
                <wp:positionV relativeFrom="paragraph">
                  <wp:posOffset>4072255</wp:posOffset>
                </wp:positionV>
                <wp:extent cx="285750" cy="190500"/>
                <wp:effectExtent l="12700" t="12700" r="25400" b="25400"/>
                <wp:wrapNone/>
                <wp:docPr id="39" name="矩形 39"/>
                <wp:cNvGraphicFramePr/>
                <a:graphic xmlns:a="http://schemas.openxmlformats.org/drawingml/2006/main">
                  <a:graphicData uri="http://schemas.microsoft.com/office/word/2010/wordprocessingShape">
                    <wps:wsp>
                      <wps:cNvSpPr/>
                      <wps:spPr>
                        <a:xfrm>
                          <a:off x="8390255" y="4878705"/>
                          <a:ext cx="285750" cy="190500"/>
                        </a:xfrm>
                        <a:prstGeom prst="rect">
                          <a:avLst/>
                        </a:prstGeom>
                        <a:solidFill>
                          <a:srgbClr val="000000">
                            <a:alpha val="0"/>
                          </a:srgbClr>
                        </a:solidFill>
                        <a:ln>
                          <a:solidFill>
                            <a:srgbClr val="2C3AB4"/>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72.2pt;margin-top:320.65pt;height:15pt;width:22.5pt;z-index:251674624;v-text-anchor:middle;mso-width-relative:page;mso-height-relative:page;" fillcolor="#000000" filled="t" stroked="t" coordsize="21600,21600" o:gfxdata="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BYAAABkcnMvUEsBAhQAFAAAAAgAh07iQIlhkCHcAAAADQEA&#10;AA8AAAAAAAAAAQAgAAAAOAAAAGRycy9kb3ducmV2LnhtbFBLAQIUABQAAAAIAIdO4kAdxbLwcgIA&#10;ANMEAAAOAAAAAAAAAAEAIAAAAEEBAABkcnMvZTJvRG9jLnhtbFBLBQYAAAAABgAGAFkBAAAlBgAA&#10;AAA=&#10;">
                <v:fill on="t" opacity="0f" focussize="0,0"/>
                <v:stroke weight="2pt" color="#2C3AB4 [2404]" joinstyle="round"/>
                <v:imagedata o:title=""/>
                <o:lock v:ext="edit" aspectratio="f"/>
                <v:textbox>
                  <w:txbxContent>
                    <w:p>
                      <w:pPr>
                        <w:jc w:val="center"/>
                      </w:pPr>
                    </w:p>
                  </w:txbxContent>
                </v:textbox>
              </v:rect>
            </w:pict>
          </mc:Fallback>
        </mc:AlternateContent>
      </w:r>
      <w:r>
        <w:rPr>
          <w:sz w:val="24"/>
          <w:highlight w:val="none"/>
        </w:rPr>
        <mc:AlternateContent>
          <mc:Choice Requires="wps">
            <w:drawing>
              <wp:anchor distT="0" distB="0" distL="114300" distR="114300" simplePos="0" relativeHeight="251677696" behindDoc="0" locked="0" layoutInCell="1" allowOverlap="1">
                <wp:simplePos x="0" y="0"/>
                <wp:positionH relativeFrom="column">
                  <wp:posOffset>7656195</wp:posOffset>
                </wp:positionH>
                <wp:positionV relativeFrom="paragraph">
                  <wp:posOffset>4032250</wp:posOffset>
                </wp:positionV>
                <wp:extent cx="864235" cy="996315"/>
                <wp:effectExtent l="0" t="0" r="0" b="0"/>
                <wp:wrapNone/>
                <wp:docPr id="43" name="文本框 43"/>
                <wp:cNvGraphicFramePr/>
                <a:graphic xmlns:a="http://schemas.openxmlformats.org/drawingml/2006/main">
                  <a:graphicData uri="http://schemas.microsoft.com/office/word/2010/wordprocessingShape">
                    <wps:wsp>
                      <wps:cNvSpPr txBox="true"/>
                      <wps:spPr>
                        <a:xfrm>
                          <a:off x="8866505" y="5112385"/>
                          <a:ext cx="864235" cy="9963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rPr>
                                <w:rFonts w:hint="eastAsia"/>
                                <w:lang w:val="en-US" w:eastAsia="zh-CN"/>
                              </w:rPr>
                            </w:pPr>
                            <w:r>
                              <w:rPr>
                                <w:rFonts w:hint="eastAsia"/>
                                <w:lang w:val="en-US" w:eastAsia="zh-CN"/>
                              </w:rPr>
                              <w:t>厂界</w:t>
                            </w:r>
                          </w:p>
                          <w:p>
                            <w:pPr>
                              <w:pStyle w:val="2"/>
                              <w:jc w:val="left"/>
                              <w:rPr>
                                <w:rFonts w:hint="eastAsia"/>
                                <w:sz w:val="10"/>
                                <w:szCs w:val="6"/>
                                <w:lang w:val="en-US" w:eastAsia="zh-CN"/>
                              </w:rPr>
                            </w:pPr>
                          </w:p>
                          <w:p>
                            <w:pPr>
                              <w:jc w:val="lef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工业区</w:t>
                            </w:r>
                          </w:p>
                          <w:p>
                            <w:pPr>
                              <w:pStyle w:val="2"/>
                              <w:jc w:val="left"/>
                              <w:rPr>
                                <w:rFonts w:hint="eastAsia"/>
                                <w:sz w:val="6"/>
                                <w:szCs w:val="6"/>
                                <w:lang w:val="en-US" w:eastAsia="zh-CN"/>
                              </w:rPr>
                            </w:pPr>
                          </w:p>
                          <w:p>
                            <w:pPr>
                              <w:jc w:val="left"/>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居民区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602.85pt;margin-top:317.5pt;height:78.45pt;width:68.05pt;z-index:251677696;mso-width-relative:page;mso-height-relative:page;" filled="f" stroked="f" coordsize="21600,21600" o:gfxdata="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WAAAAZHJzL1BLAQIUABQAAAAIAIdO4kCFziY53QAAAA0BAAAPAAAA&#10;AAAAAAEAIAAAADgAAABkcnMvZG93bnJldi54bWxQSwECFAAUAAAACACHTuJAZSg8STMCAAA3BAAA&#10;DgAAAAAAAAABACAAAABCAQAAZHJzL2Uyb0RvYy54bWxQSwUGAAAAAAYABgBZAQAA5wUAAAAA&#10;">
                <v:fill on="f" focussize="0,0"/>
                <v:stroke on="f" weight="0.5pt"/>
                <v:imagedata o:title=""/>
                <o:lock v:ext="edit" aspectratio="f"/>
                <v:textbox>
                  <w:txbxContent>
                    <w:p>
                      <w:pPr>
                        <w:jc w:val="left"/>
                        <w:rPr>
                          <w:rFonts w:hint="eastAsia"/>
                          <w:lang w:val="en-US" w:eastAsia="zh-CN"/>
                        </w:rPr>
                      </w:pPr>
                      <w:r>
                        <w:rPr>
                          <w:rFonts w:hint="eastAsia"/>
                          <w:lang w:val="en-US" w:eastAsia="zh-CN"/>
                        </w:rPr>
                        <w:t>厂界</w:t>
                      </w:r>
                    </w:p>
                    <w:p>
                      <w:pPr>
                        <w:pStyle w:val="2"/>
                        <w:jc w:val="left"/>
                        <w:rPr>
                          <w:rFonts w:hint="eastAsia"/>
                          <w:sz w:val="10"/>
                          <w:szCs w:val="6"/>
                          <w:lang w:val="en-US" w:eastAsia="zh-CN"/>
                        </w:rPr>
                      </w:pPr>
                    </w:p>
                    <w:p>
                      <w:pPr>
                        <w:jc w:val="lef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工业区</w:t>
                      </w:r>
                    </w:p>
                    <w:p>
                      <w:pPr>
                        <w:pStyle w:val="2"/>
                        <w:jc w:val="left"/>
                        <w:rPr>
                          <w:rFonts w:hint="eastAsia"/>
                          <w:sz w:val="6"/>
                          <w:szCs w:val="6"/>
                          <w:lang w:val="en-US" w:eastAsia="zh-CN"/>
                        </w:rPr>
                      </w:pPr>
                    </w:p>
                    <w:p>
                      <w:pPr>
                        <w:jc w:val="left"/>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居民区</w:t>
                      </w:r>
                    </w:p>
                  </w:txbxContent>
                </v:textbox>
              </v:shape>
            </w:pict>
          </mc:Fallback>
        </mc:AlternateContent>
      </w:r>
      <w:r>
        <w:rPr>
          <w:sz w:val="24"/>
          <w:highlight w:val="none"/>
        </w:rPr>
        <mc:AlternateContent>
          <mc:Choice Requires="wps">
            <w:drawing>
              <wp:anchor distT="0" distB="0" distL="114300" distR="114300" simplePos="0" relativeHeight="251673600" behindDoc="0" locked="0" layoutInCell="1" allowOverlap="1">
                <wp:simplePos x="0" y="0"/>
                <wp:positionH relativeFrom="column">
                  <wp:posOffset>7508875</wp:posOffset>
                </wp:positionH>
                <wp:positionV relativeFrom="paragraph">
                  <wp:posOffset>3624580</wp:posOffset>
                </wp:positionV>
                <wp:extent cx="554355" cy="294640"/>
                <wp:effectExtent l="0" t="0" r="17145" b="10160"/>
                <wp:wrapNone/>
                <wp:docPr id="38" name="文本框 38"/>
                <wp:cNvGraphicFramePr/>
                <a:graphic xmlns:a="http://schemas.openxmlformats.org/drawingml/2006/main">
                  <a:graphicData uri="http://schemas.microsoft.com/office/word/2010/wordprocessingShape">
                    <wps:wsp>
                      <wps:cNvSpPr txBox="true"/>
                      <wps:spPr>
                        <a:xfrm>
                          <a:off x="8641080" y="4549775"/>
                          <a:ext cx="554355" cy="2946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sz w:val="28"/>
                                <w:szCs w:val="28"/>
                                <w:lang w:val="en-US" w:eastAsia="zh-CN"/>
                              </w:rPr>
                            </w:pPr>
                            <w:r>
                              <w:rPr>
                                <w:rFonts w:hint="eastAsia"/>
                                <w:b/>
                                <w:bCs/>
                                <w:sz w:val="28"/>
                                <w:szCs w:val="28"/>
                                <w:lang w:val="en-US" w:eastAsia="zh-CN"/>
                              </w:rPr>
                              <w:t>图例</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591.25pt;margin-top:285.4pt;height:23.2pt;width:43.65pt;z-index:251673600;mso-width-relative:page;mso-height-relative:page;" filled="f" stroked="f" coordsize="21600,21600" o:gfxdata="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WAAAAZHJzL1BLAQIUABQAAAAIAIdO4kCcsoVC2wAAAA0BAAAPAAAA&#10;AAAAAAEAIAAAADgAAABkcnMvZG93bnJldi54bWxQSwECFAAUAAAACACHTuJAByocoTUCAAA3BAAA&#10;DgAAAAAAAAABACAAAABAAQAAZHJzL2Uyb0RvYy54bWxQSwUGAAAAAAYABgBZAQAA5wUAAAAA&#10;">
                <v:fill on="f" focussize="0,0"/>
                <v:stroke on="f" weight="0.5pt"/>
                <v:imagedata o:title=""/>
                <o:lock v:ext="edit" aspectratio="f"/>
                <v:textbox>
                  <w:txbxContent>
                    <w:p>
                      <w:pPr>
                        <w:rPr>
                          <w:rFonts w:hint="eastAsia" w:eastAsia="宋体"/>
                          <w:b/>
                          <w:bCs/>
                          <w:sz w:val="28"/>
                          <w:szCs w:val="28"/>
                          <w:lang w:val="en-US" w:eastAsia="zh-CN"/>
                        </w:rPr>
                      </w:pPr>
                      <w:r>
                        <w:rPr>
                          <w:rFonts w:hint="eastAsia"/>
                          <w:b/>
                          <w:bCs/>
                          <w:sz w:val="28"/>
                          <w:szCs w:val="28"/>
                          <w:lang w:val="en-US" w:eastAsia="zh-CN"/>
                        </w:rPr>
                        <w:t>图例</w:t>
                      </w:r>
                    </w:p>
                  </w:txbxContent>
                </v:textbox>
              </v:shape>
            </w:pict>
          </mc:Fallback>
        </mc:AlternateContent>
      </w:r>
      <w:r>
        <w:rPr>
          <w:color w:val="auto"/>
          <w:highlight w:val="none"/>
        </w:rPr>
        <w:drawing>
          <wp:anchor distT="0" distB="0" distL="114300" distR="114300" simplePos="0" relativeHeight="251665408" behindDoc="0" locked="0" layoutInCell="1" allowOverlap="1">
            <wp:simplePos x="0" y="0"/>
            <wp:positionH relativeFrom="column">
              <wp:posOffset>7847330</wp:posOffset>
            </wp:positionH>
            <wp:positionV relativeFrom="paragraph">
              <wp:posOffset>55245</wp:posOffset>
            </wp:positionV>
            <wp:extent cx="552450" cy="840740"/>
            <wp:effectExtent l="0" t="0" r="0" b="16510"/>
            <wp:wrapNone/>
            <wp:docPr id="7" name="图片 430" descr="风向标"/>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图片 430" descr="风向标"/>
                    <pic:cNvPicPr>
                      <a:picLocks noChangeAspect="true"/>
                    </pic:cNvPicPr>
                  </pic:nvPicPr>
                  <pic:blipFill>
                    <a:blip r:embed="rId74"/>
                    <a:stretch>
                      <a:fillRect/>
                    </a:stretch>
                  </pic:blipFill>
                  <pic:spPr>
                    <a:xfrm>
                      <a:off x="0" y="0"/>
                      <a:ext cx="552450" cy="840740"/>
                    </a:xfrm>
                    <a:prstGeom prst="rect">
                      <a:avLst/>
                    </a:prstGeom>
                    <a:noFill/>
                    <a:ln>
                      <a:noFill/>
                    </a:ln>
                    <a:effectLst/>
                  </pic:spPr>
                </pic:pic>
              </a:graphicData>
            </a:graphic>
          </wp:anchor>
        </w:drawing>
      </w:r>
      <w:r>
        <w:rPr>
          <w:highlight w:val="none"/>
        </w:rPr>
        <w:drawing>
          <wp:inline distT="0" distB="0" distL="114300" distR="114300">
            <wp:extent cx="8305800" cy="5086350"/>
            <wp:effectExtent l="0" t="0" r="0" b="0"/>
            <wp:docPr id="36" name="图片 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6" name="图片 8"/>
                    <pic:cNvPicPr>
                      <a:picLocks noChangeAspect="true"/>
                    </pic:cNvPicPr>
                  </pic:nvPicPr>
                  <pic:blipFill>
                    <a:blip r:embed="rId76"/>
                    <a:stretch>
                      <a:fillRect/>
                    </a:stretch>
                  </pic:blipFill>
                  <pic:spPr>
                    <a:xfrm>
                      <a:off x="0" y="0"/>
                      <a:ext cx="8305800" cy="5086350"/>
                    </a:xfrm>
                    <a:prstGeom prst="rect">
                      <a:avLst/>
                    </a:prstGeom>
                    <a:noFill/>
                    <a:ln>
                      <a:noFill/>
                    </a:ln>
                  </pic:spPr>
                </pic:pic>
              </a:graphicData>
            </a:graphic>
          </wp:inline>
        </w:drawing>
      </w:r>
    </w:p>
    <w:p>
      <w:pPr>
        <w:rPr>
          <w:highlight w:val="none"/>
        </w:rPr>
      </w:pPr>
      <w:r>
        <w:rPr>
          <w:highlight w:val="none"/>
        </w:rPr>
        <w:br w:type="page"/>
      </w:r>
    </w:p>
    <w:p>
      <w:pPr>
        <w:widowControl/>
        <w:adjustRightInd w:val="0"/>
        <w:snapToGrid w:val="0"/>
        <w:spacing w:before="0" w:beforeAutospacing="0" w:after="0" w:afterAutospacing="0" w:line="240" w:lineRule="auto"/>
        <w:jc w:val="left"/>
        <w:outlineLvl w:val="0"/>
        <w:rPr>
          <w:rFonts w:hint="default" w:ascii="黑体" w:hAnsi="黑体" w:eastAsia="宋体" w:cs="Times New Roman"/>
          <w:snapToGrid w:val="0"/>
          <w:kern w:val="0"/>
          <w:sz w:val="32"/>
          <w:szCs w:val="32"/>
          <w:highlight w:val="none"/>
          <w:lang w:val="en-US" w:eastAsia="zh-CN" w:bidi="ar-SA"/>
        </w:rPr>
      </w:pPr>
      <w:r>
        <w:rPr>
          <w:rFonts w:hint="eastAsia" w:ascii="黑体" w:hAnsi="黑体" w:eastAsia="黑体" w:cs="Times New Roman"/>
          <w:snapToGrid w:val="0"/>
          <w:kern w:val="0"/>
          <w:sz w:val="28"/>
          <w:szCs w:val="28"/>
          <w:highlight w:val="none"/>
          <w:lang w:val="en-US" w:eastAsia="zh-CN" w:bidi="ar-SA"/>
        </w:rPr>
        <w:t>附图4 平面布设图</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center"/>
        <w:textAlignment w:val="auto"/>
        <w:outlineLvl w:val="0"/>
        <w:rPr>
          <w:rFonts w:hint="eastAsia" w:ascii="黑体" w:hAnsi="黑体" w:eastAsia="宋体"/>
          <w:snapToGrid w:val="0"/>
          <w:sz w:val="28"/>
          <w:szCs w:val="28"/>
          <w:highlight w:val="none"/>
          <w:lang w:val="en-US" w:eastAsia="zh-CN"/>
        </w:rPr>
      </w:pPr>
      <w:r>
        <w:rPr>
          <w:sz w:val="24"/>
          <w:highlight w:val="none"/>
        </w:rPr>
        <mc:AlternateContent>
          <mc:Choice Requires="wps">
            <w:drawing>
              <wp:anchor distT="0" distB="0" distL="114300" distR="114300" simplePos="0" relativeHeight="251701248" behindDoc="0" locked="0" layoutInCell="1" allowOverlap="1">
                <wp:simplePos x="0" y="0"/>
                <wp:positionH relativeFrom="column">
                  <wp:posOffset>4912360</wp:posOffset>
                </wp:positionH>
                <wp:positionV relativeFrom="paragraph">
                  <wp:posOffset>1094740</wp:posOffset>
                </wp:positionV>
                <wp:extent cx="1524000" cy="708025"/>
                <wp:effectExtent l="0" t="0" r="0" b="0"/>
                <wp:wrapNone/>
                <wp:docPr id="84" name="文本框 84"/>
                <wp:cNvGraphicFramePr/>
                <a:graphic xmlns:a="http://schemas.openxmlformats.org/drawingml/2006/main">
                  <a:graphicData uri="http://schemas.microsoft.com/office/word/2010/wordprocessingShape">
                    <wps:wsp>
                      <wps:cNvSpPr txBox="true"/>
                      <wps:spPr>
                        <a:xfrm>
                          <a:off x="0" y="0"/>
                          <a:ext cx="1524000" cy="708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b/>
                                <w:bCs/>
                                <w:color w:val="auto"/>
                                <w:sz w:val="28"/>
                                <w:szCs w:val="28"/>
                                <w:highlight w:val="none"/>
                                <w:lang w:val="en-US" w:eastAsia="zh-CN"/>
                              </w:rPr>
                            </w:pPr>
                            <w:r>
                              <w:rPr>
                                <w:rFonts w:hint="eastAsia"/>
                                <w:b/>
                                <w:bCs/>
                                <w:color w:val="auto"/>
                                <w:sz w:val="28"/>
                                <w:szCs w:val="28"/>
                                <w:highlight w:val="none"/>
                                <w:lang w:val="en-US" w:eastAsia="zh-CN"/>
                              </w:rPr>
                              <w:t>洗车设备</w:t>
                            </w:r>
                          </w:p>
                          <w:p>
                            <w:pPr>
                              <w:jc w:val="center"/>
                              <w:rPr>
                                <w:rFonts w:hint="default" w:eastAsia="宋体"/>
                                <w:b/>
                                <w:bCs/>
                                <w:color w:val="auto"/>
                                <w:sz w:val="28"/>
                                <w:szCs w:val="28"/>
                                <w:highlight w:val="none"/>
                                <w:lang w:val="en-US" w:eastAsia="zh-CN"/>
                              </w:rPr>
                            </w:pPr>
                            <w:r>
                              <w:rPr>
                                <w:rFonts w:hint="eastAsia"/>
                                <w:b/>
                                <w:bCs/>
                                <w:color w:val="auto"/>
                                <w:sz w:val="28"/>
                                <w:szCs w:val="28"/>
                                <w:highlight w:val="none"/>
                                <w:lang w:val="en-US" w:eastAsia="zh-CN"/>
                              </w:rPr>
                              <w:t>及沉淀水池</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86.8pt;margin-top:86.2pt;height:55.75pt;width:120pt;z-index:251701248;mso-width-relative:page;mso-height-relative:page;" filled="f" stroked="f" coordsize="21600,21600" o:gfxdata="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DbK3k9wAAAAMAQAADwAAAAAAAAABACAAAAA4AAAA&#10;ZHJzL2Rvd25yZXYueG1sUEsBAhQAFAAAAAgAh07iQL7H5WAmAgAALAQAAA4AAAAAAAAAAQAgAAAA&#10;QQEAAGRycy9lMm9Eb2MueG1sUEsFBgAAAAAGAAYAWQEAANkFAAAAAA==&#10;">
                <v:fill on="f" focussize="0,0"/>
                <v:stroke on="f" weight="0.5pt"/>
                <v:imagedata o:title=""/>
                <o:lock v:ext="edit" aspectratio="f"/>
                <v:textbox>
                  <w:txbxContent>
                    <w:p>
                      <w:pPr>
                        <w:jc w:val="center"/>
                        <w:rPr>
                          <w:rFonts w:hint="eastAsia"/>
                          <w:b/>
                          <w:bCs/>
                          <w:color w:val="auto"/>
                          <w:sz w:val="28"/>
                          <w:szCs w:val="28"/>
                          <w:highlight w:val="none"/>
                          <w:lang w:val="en-US" w:eastAsia="zh-CN"/>
                        </w:rPr>
                      </w:pPr>
                      <w:r>
                        <w:rPr>
                          <w:rFonts w:hint="eastAsia"/>
                          <w:b/>
                          <w:bCs/>
                          <w:color w:val="auto"/>
                          <w:sz w:val="28"/>
                          <w:szCs w:val="28"/>
                          <w:highlight w:val="none"/>
                          <w:lang w:val="en-US" w:eastAsia="zh-CN"/>
                        </w:rPr>
                        <w:t>洗车设备</w:t>
                      </w:r>
                    </w:p>
                    <w:p>
                      <w:pPr>
                        <w:jc w:val="center"/>
                        <w:rPr>
                          <w:rFonts w:hint="default" w:eastAsia="宋体"/>
                          <w:b/>
                          <w:bCs/>
                          <w:color w:val="auto"/>
                          <w:sz w:val="28"/>
                          <w:szCs w:val="28"/>
                          <w:highlight w:val="none"/>
                          <w:lang w:val="en-US" w:eastAsia="zh-CN"/>
                        </w:rPr>
                      </w:pPr>
                      <w:r>
                        <w:rPr>
                          <w:rFonts w:hint="eastAsia"/>
                          <w:b/>
                          <w:bCs/>
                          <w:color w:val="auto"/>
                          <w:sz w:val="28"/>
                          <w:szCs w:val="28"/>
                          <w:highlight w:val="none"/>
                          <w:lang w:val="en-US" w:eastAsia="zh-CN"/>
                        </w:rPr>
                        <w:t>及沉淀水池</w:t>
                      </w:r>
                    </w:p>
                  </w:txbxContent>
                </v:textbox>
              </v:shape>
            </w:pict>
          </mc:Fallback>
        </mc:AlternateContent>
      </w:r>
      <w:r>
        <w:rPr>
          <w:sz w:val="24"/>
          <w:highlight w:val="none"/>
        </w:rPr>
        <mc:AlternateContent>
          <mc:Choice Requires="wps">
            <w:drawing>
              <wp:anchor distT="0" distB="0" distL="114300" distR="114300" simplePos="0" relativeHeight="251704320" behindDoc="0" locked="0" layoutInCell="1" allowOverlap="1">
                <wp:simplePos x="0" y="0"/>
                <wp:positionH relativeFrom="column">
                  <wp:posOffset>1044575</wp:posOffset>
                </wp:positionH>
                <wp:positionV relativeFrom="paragraph">
                  <wp:posOffset>3702050</wp:posOffset>
                </wp:positionV>
                <wp:extent cx="1524000" cy="708025"/>
                <wp:effectExtent l="0" t="0" r="0" b="0"/>
                <wp:wrapNone/>
                <wp:docPr id="86" name="文本框 86"/>
                <wp:cNvGraphicFramePr/>
                <a:graphic xmlns:a="http://schemas.openxmlformats.org/drawingml/2006/main">
                  <a:graphicData uri="http://schemas.microsoft.com/office/word/2010/wordprocessingShape">
                    <wps:wsp>
                      <wps:cNvSpPr txBox="true"/>
                      <wps:spPr>
                        <a:xfrm>
                          <a:off x="0" y="0"/>
                          <a:ext cx="1524000" cy="708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b/>
                                <w:bCs/>
                                <w:color w:val="auto"/>
                                <w:sz w:val="28"/>
                                <w:szCs w:val="28"/>
                                <w:highlight w:val="none"/>
                                <w:lang w:val="en-US" w:eastAsia="zh-CN"/>
                              </w:rPr>
                            </w:pPr>
                            <w:r>
                              <w:rPr>
                                <w:rFonts w:hint="eastAsia"/>
                                <w:b/>
                                <w:bCs/>
                                <w:color w:val="auto"/>
                                <w:sz w:val="28"/>
                                <w:szCs w:val="28"/>
                                <w:highlight w:val="none"/>
                                <w:lang w:val="en-US" w:eastAsia="zh-CN"/>
                              </w:rPr>
                              <w:t>地秤</w:t>
                            </w:r>
                          </w:p>
                          <w:p>
                            <w:pPr>
                              <w:rPr>
                                <w:rFonts w:hint="default" w:eastAsia="宋体"/>
                                <w:b/>
                                <w:bCs/>
                                <w:color w:val="auto"/>
                                <w:sz w:val="28"/>
                                <w:szCs w:val="28"/>
                                <w:highlight w:val="none"/>
                                <w:lang w:val="en-US" w:eastAsia="zh-CN"/>
                              </w:rPr>
                            </w:pPr>
                            <w:r>
                              <w:rPr>
                                <w:rFonts w:hint="eastAsia"/>
                                <w:b/>
                                <w:bCs/>
                                <w:color w:val="auto"/>
                                <w:sz w:val="28"/>
                                <w:szCs w:val="28"/>
                                <w:highlight w:val="none"/>
                                <w:lang w:val="en-US" w:eastAsia="zh-CN"/>
                              </w:rPr>
                              <w:t>铁路专线</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82.25pt;margin-top:291.5pt;height:55.75pt;width:120pt;z-index:251704320;mso-width-relative:page;mso-height-relative:page;" filled="f" stroked="f" coordsize="21600,21600" o:gfxdata="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&#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BYAAABkcnMvUEsBAhQAFAAAAAgAh07iQAcRanbaAAAACwEAAA8AAAAAAAAAAQAgAAAAOAAAAGRy&#10;cy9kb3ducmV2LnhtbFBLAQIUABQAAAAIAIdO4kBbLPvGJgIAACwEAAAOAAAAAAAAAAEAIAAAAD8B&#10;AABkcnMvZTJvRG9jLnhtbFBLBQYAAAAABgAGAFkBAADXBQAAAAA=&#10;">
                <v:fill on="f" focussize="0,0"/>
                <v:stroke on="f" weight="0.5pt"/>
                <v:imagedata o:title=""/>
                <o:lock v:ext="edit" aspectratio="f"/>
                <v:textbox>
                  <w:txbxContent>
                    <w:p>
                      <w:pPr>
                        <w:rPr>
                          <w:rFonts w:hint="eastAsia"/>
                          <w:b/>
                          <w:bCs/>
                          <w:color w:val="auto"/>
                          <w:sz w:val="28"/>
                          <w:szCs w:val="28"/>
                          <w:highlight w:val="none"/>
                          <w:lang w:val="en-US" w:eastAsia="zh-CN"/>
                        </w:rPr>
                      </w:pPr>
                      <w:r>
                        <w:rPr>
                          <w:rFonts w:hint="eastAsia"/>
                          <w:b/>
                          <w:bCs/>
                          <w:color w:val="auto"/>
                          <w:sz w:val="28"/>
                          <w:szCs w:val="28"/>
                          <w:highlight w:val="none"/>
                          <w:lang w:val="en-US" w:eastAsia="zh-CN"/>
                        </w:rPr>
                        <w:t>地秤</w:t>
                      </w:r>
                    </w:p>
                    <w:p>
                      <w:pPr>
                        <w:rPr>
                          <w:rFonts w:hint="default" w:eastAsia="宋体"/>
                          <w:b/>
                          <w:bCs/>
                          <w:color w:val="auto"/>
                          <w:sz w:val="28"/>
                          <w:szCs w:val="28"/>
                          <w:highlight w:val="none"/>
                          <w:lang w:val="en-US" w:eastAsia="zh-CN"/>
                        </w:rPr>
                      </w:pPr>
                      <w:r>
                        <w:rPr>
                          <w:rFonts w:hint="eastAsia"/>
                          <w:b/>
                          <w:bCs/>
                          <w:color w:val="auto"/>
                          <w:sz w:val="28"/>
                          <w:szCs w:val="28"/>
                          <w:highlight w:val="none"/>
                          <w:lang w:val="en-US" w:eastAsia="zh-CN"/>
                        </w:rPr>
                        <w:t>铁路专线</w:t>
                      </w:r>
                    </w:p>
                  </w:txbxContent>
                </v:textbox>
              </v:shape>
            </w:pict>
          </mc:Fallback>
        </mc:AlternateContent>
      </w:r>
      <w:r>
        <w:rPr>
          <w:sz w:val="24"/>
          <w:highlight w:val="none"/>
        </w:rPr>
        <mc:AlternateContent>
          <mc:Choice Requires="wps">
            <w:drawing>
              <wp:anchor distT="0" distB="0" distL="114300" distR="114300" simplePos="0" relativeHeight="251706368" behindDoc="0" locked="0" layoutInCell="1" allowOverlap="1">
                <wp:simplePos x="0" y="0"/>
                <wp:positionH relativeFrom="column">
                  <wp:posOffset>6923405</wp:posOffset>
                </wp:positionH>
                <wp:positionV relativeFrom="paragraph">
                  <wp:posOffset>4340860</wp:posOffset>
                </wp:positionV>
                <wp:extent cx="254000" cy="158750"/>
                <wp:effectExtent l="12700" t="12700" r="19050" b="19050"/>
                <wp:wrapNone/>
                <wp:docPr id="88" name="矩形 88"/>
                <wp:cNvGraphicFramePr/>
                <a:graphic xmlns:a="http://schemas.openxmlformats.org/drawingml/2006/main">
                  <a:graphicData uri="http://schemas.microsoft.com/office/word/2010/wordprocessingShape">
                    <wps:wsp>
                      <wps:cNvSpPr/>
                      <wps:spPr>
                        <a:xfrm>
                          <a:off x="0" y="0"/>
                          <a:ext cx="254000" cy="158750"/>
                        </a:xfrm>
                        <a:prstGeom prst="rect">
                          <a:avLst/>
                        </a:prstGeom>
                        <a:noFill/>
                        <a:ln>
                          <a:solidFill>
                            <a:srgbClr val="00B05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45.15pt;margin-top:341.8pt;height:12.5pt;width:20pt;z-index:251706368;v-text-anchor:middle;mso-width-relative:page;mso-height-relative:page;" filled="f" stroked="t" coordsize="21600,21600" o:gfxdata="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FgAAAGRycy9QSwECFAAUAAAACACHTuJA&#10;Ly24/9oAAAANAQAADwAAAAAAAAABACAAAAA4AAAAZHJzL2Rvd25yZXYueG1sUEsBAhQAFAAAAAgA&#10;h07iQAxImNVGAgAAdgQAAA4AAAAAAAAAAQAgAAAAPwEAAGRycy9lMm9Eb2MueG1sUEsFBgAAAAAG&#10;AAYAWQEAAPcFAAAAAA==&#10;">
                <v:fill on="f" focussize="0,0"/>
                <v:stroke weight="2pt" color="#00B050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96128" behindDoc="0" locked="0" layoutInCell="1" allowOverlap="1">
                <wp:simplePos x="0" y="0"/>
                <wp:positionH relativeFrom="column">
                  <wp:posOffset>6923405</wp:posOffset>
                </wp:positionH>
                <wp:positionV relativeFrom="paragraph">
                  <wp:posOffset>4093845</wp:posOffset>
                </wp:positionV>
                <wp:extent cx="254000" cy="158750"/>
                <wp:effectExtent l="12700" t="12700" r="19050" b="19050"/>
                <wp:wrapNone/>
                <wp:docPr id="50" name="矩形 50"/>
                <wp:cNvGraphicFramePr/>
                <a:graphic xmlns:a="http://schemas.openxmlformats.org/drawingml/2006/main">
                  <a:graphicData uri="http://schemas.microsoft.com/office/word/2010/wordprocessingShape">
                    <wps:wsp>
                      <wps:cNvSpPr/>
                      <wps:spPr>
                        <a:xfrm>
                          <a:off x="8079740" y="4867275"/>
                          <a:ext cx="254000" cy="158750"/>
                        </a:xfrm>
                        <a:prstGeom prst="rect">
                          <a:avLst/>
                        </a:prstGeom>
                        <a:noFill/>
                        <a:ln>
                          <a:solidFill>
                            <a:srgbClr val="0070C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45.15pt;margin-top:322.35pt;height:12.5pt;width:20pt;z-index:251696128;v-text-anchor:middle;mso-width-relative:page;mso-height-relative:page;" filled="f" stroked="t" coordsize="21600,21600" o:gfxdata="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BYAAABkcnMvUEsBAhQA&#10;FAAAAAgAh07iQGwbT3HWAAAADQEAAA8AAAAAAAAAAQAgAAAAOAAAAGRycy9kb3ducmV2LnhtbFBL&#10;AQIUABQAAAAIAIdO4kC844LmVAIAAIIEAAAOAAAAAAAAAAEAIAAAADsBAABkcnMvZTJvRG9jLnht&#10;bFBLBQYAAAAABgAGAFkBAAABBgAAAAA=&#10;">
                <v:fill on="f" focussize="0,0"/>
                <v:stroke weight="2pt" color="#0070C0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95104" behindDoc="0" locked="0" layoutInCell="1" allowOverlap="1">
                <wp:simplePos x="0" y="0"/>
                <wp:positionH relativeFrom="column">
                  <wp:posOffset>6871970</wp:posOffset>
                </wp:positionH>
                <wp:positionV relativeFrom="paragraph">
                  <wp:posOffset>3753485</wp:posOffset>
                </wp:positionV>
                <wp:extent cx="1133475" cy="1096645"/>
                <wp:effectExtent l="5080" t="4445" r="4445" b="22860"/>
                <wp:wrapNone/>
                <wp:docPr id="1" name="矩形 1"/>
                <wp:cNvGraphicFramePr/>
                <a:graphic xmlns:a="http://schemas.openxmlformats.org/drawingml/2006/main">
                  <a:graphicData uri="http://schemas.microsoft.com/office/word/2010/wordprocessingShape">
                    <wps:wsp>
                      <wps:cNvSpPr/>
                      <wps:spPr>
                        <a:xfrm>
                          <a:off x="7910830" y="4349115"/>
                          <a:ext cx="1133475" cy="1096645"/>
                        </a:xfrm>
                        <a:prstGeom prst="rect">
                          <a:avLst/>
                        </a:prstGeom>
                        <a:solidFill>
                          <a:schemeClr val="bg1"/>
                        </a:solidFill>
                        <a:ln w="3175">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eastAsia"/>
                                <w:b/>
                                <w:bCs/>
                                <w:color w:val="auto"/>
                                <w:highlight w:val="none"/>
                                <w:lang w:val="en-US" w:eastAsia="zh-CN"/>
                                <w14:textOutline w14:w="9525">
                                  <w14:solidFill>
                                    <w14:srgbClr w14:val="000000"/>
                                  </w14:solidFill>
                                  <w14:round/>
                                </w14:textOutline>
                              </w:rPr>
                            </w:pPr>
                            <w:r>
                              <w:rPr>
                                <w:rFonts w:hint="eastAsia"/>
                                <w:b/>
                                <w:bCs/>
                                <w:color w:val="auto"/>
                                <w:highlight w:val="none"/>
                                <w:lang w:val="en-US" w:eastAsia="zh-CN"/>
                                <w14:textOutline w14:w="9525">
                                  <w14:solidFill>
                                    <w14:srgbClr w14:val="000000"/>
                                  </w14:solidFill>
                                  <w14:round/>
                                </w14:textOutline>
                              </w:rPr>
                              <w:t>图例</w:t>
                            </w:r>
                          </w:p>
                          <w:p>
                            <w:pPr>
                              <w:pStyle w:val="2"/>
                              <w:spacing w:line="360" w:lineRule="auto"/>
                              <w:ind w:firstLine="420" w:firstLineChars="200"/>
                              <w:rPr>
                                <w:rFonts w:hint="eastAsia"/>
                                <w:color w:val="auto"/>
                                <w:sz w:val="21"/>
                                <w:szCs w:val="15"/>
                                <w:highlight w:val="none"/>
                                <w:lang w:val="en-US" w:eastAsia="zh-CN"/>
                                <w14:textOutline w14:w="9525">
                                  <w14:solidFill>
                                    <w14:srgbClr w14:val="000000"/>
                                  </w14:solidFill>
                                  <w14:round/>
                                </w14:textOutline>
                              </w:rPr>
                            </w:pPr>
                            <w:r>
                              <w:rPr>
                                <w:rFonts w:hint="eastAsia"/>
                                <w:color w:val="auto"/>
                                <w:sz w:val="21"/>
                                <w:szCs w:val="15"/>
                                <w:highlight w:val="none"/>
                                <w:lang w:val="en-US" w:eastAsia="zh-CN"/>
                                <w14:textOutline w14:w="9525">
                                  <w14:solidFill>
                                    <w14:srgbClr w14:val="000000"/>
                                  </w14:solidFill>
                                  <w14:round/>
                                </w14:textOutline>
                              </w:rPr>
                              <w:t>依托设施</w:t>
                            </w:r>
                          </w:p>
                          <w:p>
                            <w:pPr>
                              <w:spacing w:line="360" w:lineRule="auto"/>
                              <w:ind w:firstLine="420" w:firstLineChars="200"/>
                              <w:rPr>
                                <w:rFonts w:hint="eastAsia"/>
                                <w:color w:val="auto"/>
                                <w:sz w:val="21"/>
                                <w:szCs w:val="15"/>
                                <w:highlight w:val="none"/>
                                <w:lang w:val="en-US" w:eastAsia="zh-CN"/>
                                <w14:textOutline w14:w="9525">
                                  <w14:solidFill>
                                    <w14:srgbClr w14:val="000000"/>
                                  </w14:solidFill>
                                  <w14:round/>
                                </w14:textOutline>
                              </w:rPr>
                            </w:pPr>
                            <w:r>
                              <w:rPr>
                                <w:rFonts w:hint="eastAsia"/>
                                <w:color w:val="auto"/>
                                <w:sz w:val="21"/>
                                <w:szCs w:val="15"/>
                                <w:highlight w:val="none"/>
                                <w:lang w:val="en-US" w:eastAsia="zh-CN"/>
                                <w14:textOutline w14:w="9525">
                                  <w14:solidFill>
                                    <w14:srgbClr w14:val="000000"/>
                                  </w14:solidFill>
                                  <w14:round/>
                                </w14:textOutline>
                              </w:rPr>
                              <w:t>新建设施</w:t>
                            </w:r>
                          </w:p>
                          <w:p>
                            <w:pPr>
                              <w:spacing w:line="360" w:lineRule="auto"/>
                              <w:ind w:firstLine="420" w:firstLineChars="200"/>
                              <w:rPr>
                                <w:rFonts w:hint="default"/>
                                <w:color w:val="auto"/>
                                <w:sz w:val="21"/>
                                <w:szCs w:val="15"/>
                                <w:highlight w:val="none"/>
                                <w:lang w:val="en-US" w:eastAsia="zh-CN"/>
                                <w14:textOutline w14:w="9525">
                                  <w14:solidFill>
                                    <w14:srgbClr w14:val="000000"/>
                                  </w14:solidFill>
                                  <w14:round/>
                                </w14:textOutline>
                              </w:rPr>
                            </w:pPr>
                            <w:r>
                              <w:rPr>
                                <w:rFonts w:hint="eastAsia"/>
                                <w:color w:val="auto"/>
                                <w:sz w:val="21"/>
                                <w:szCs w:val="15"/>
                                <w:highlight w:val="none"/>
                                <w:lang w:val="en-US" w:eastAsia="zh-CN"/>
                                <w14:textOutline w14:w="9525">
                                  <w14:solidFill>
                                    <w14:srgbClr w14:val="000000"/>
                                  </w14:solidFill>
                                  <w14:round/>
                                </w14:textOutline>
                              </w:rPr>
                              <w:t>厂界</w:t>
                            </w:r>
                          </w:p>
                          <w:p>
                            <w:pPr>
                              <w:pStyle w:val="20"/>
                              <w:rPr>
                                <w:rFonts w:hint="eastAsia"/>
                                <w:lang w:val="en-US" w:eastAsia="zh-CN"/>
                              </w:rPr>
                            </w:pPr>
                          </w:p>
                          <w:p>
                            <w:pPr>
                              <w:pStyle w:val="20"/>
                              <w:rPr>
                                <w:rFonts w:hint="eastAsia"/>
                                <w:lang w:val="en-US" w:eastAsia="zh-CN"/>
                              </w:rPr>
                            </w:pPr>
                          </w:p>
                          <w:p>
                            <w:pPr>
                              <w:pStyle w:val="20"/>
                              <w:rPr>
                                <w:rFonts w:hint="eastAsia"/>
                                <w:lang w:val="en-US" w:eastAsia="zh-CN"/>
                              </w:rPr>
                            </w:pP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41.1pt;margin-top:295.55pt;height:86.35pt;width:89.25pt;z-index:251695104;v-text-anchor:middle;mso-width-relative:page;mso-height-relative:page;" fillcolor="#FFFFFF [3212]" filled="t" stroked="t" coordsize="21600,21600" o:gfxdata="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BYAAABkcnMvUEsBAhQAFAAAAAgAh07iQFx7ng7cAAAADQEAAA8AAAAAAAAAAQAgAAAA&#10;OAAAAGRycy9kb3ducmV2LnhtbFBLAQIUABQAAAAIAIdO4kALL+ZpYwIAALUEAAAOAAAAAAAAAAEA&#10;IAAAAEEBAABkcnMvZTJvRG9jLnhtbFBLBQYAAAAABgAGAFkBAAAWBgAAAAA=&#10;">
                <v:fill on="t" focussize="0,0"/>
                <v:stroke weight="0.25pt" color="#000000 [3213]" joinstyle="round"/>
                <v:imagedata o:title=""/>
                <o:lock v:ext="edit" aspectratio="f"/>
                <v:textbox>
                  <w:txbxContent>
                    <w:p>
                      <w:pPr>
                        <w:jc w:val="center"/>
                        <w:rPr>
                          <w:rFonts w:hint="eastAsia"/>
                          <w:b/>
                          <w:bCs/>
                          <w:color w:val="auto"/>
                          <w:highlight w:val="none"/>
                          <w:lang w:val="en-US" w:eastAsia="zh-CN"/>
                          <w14:textOutline w14:w="9525">
                            <w14:solidFill>
                              <w14:srgbClr w14:val="000000"/>
                            </w14:solidFill>
                            <w14:round/>
                          </w14:textOutline>
                        </w:rPr>
                      </w:pPr>
                      <w:r>
                        <w:rPr>
                          <w:rFonts w:hint="eastAsia"/>
                          <w:b/>
                          <w:bCs/>
                          <w:color w:val="auto"/>
                          <w:highlight w:val="none"/>
                          <w:lang w:val="en-US" w:eastAsia="zh-CN"/>
                          <w14:textOutline w14:w="9525">
                            <w14:solidFill>
                              <w14:srgbClr w14:val="000000"/>
                            </w14:solidFill>
                            <w14:round/>
                          </w14:textOutline>
                        </w:rPr>
                        <w:t>图例</w:t>
                      </w:r>
                    </w:p>
                    <w:p>
                      <w:pPr>
                        <w:pStyle w:val="2"/>
                        <w:spacing w:line="360" w:lineRule="auto"/>
                        <w:ind w:firstLine="420" w:firstLineChars="200"/>
                        <w:rPr>
                          <w:rFonts w:hint="eastAsia"/>
                          <w:color w:val="auto"/>
                          <w:sz w:val="21"/>
                          <w:szCs w:val="15"/>
                          <w:highlight w:val="none"/>
                          <w:lang w:val="en-US" w:eastAsia="zh-CN"/>
                          <w14:textOutline w14:w="9525">
                            <w14:solidFill>
                              <w14:srgbClr w14:val="000000"/>
                            </w14:solidFill>
                            <w14:round/>
                          </w14:textOutline>
                        </w:rPr>
                      </w:pPr>
                      <w:r>
                        <w:rPr>
                          <w:rFonts w:hint="eastAsia"/>
                          <w:color w:val="auto"/>
                          <w:sz w:val="21"/>
                          <w:szCs w:val="15"/>
                          <w:highlight w:val="none"/>
                          <w:lang w:val="en-US" w:eastAsia="zh-CN"/>
                          <w14:textOutline w14:w="9525">
                            <w14:solidFill>
                              <w14:srgbClr w14:val="000000"/>
                            </w14:solidFill>
                            <w14:round/>
                          </w14:textOutline>
                        </w:rPr>
                        <w:t>依托设施</w:t>
                      </w:r>
                    </w:p>
                    <w:p>
                      <w:pPr>
                        <w:spacing w:line="360" w:lineRule="auto"/>
                        <w:ind w:firstLine="420" w:firstLineChars="200"/>
                        <w:rPr>
                          <w:rFonts w:hint="eastAsia"/>
                          <w:color w:val="auto"/>
                          <w:sz w:val="21"/>
                          <w:szCs w:val="15"/>
                          <w:highlight w:val="none"/>
                          <w:lang w:val="en-US" w:eastAsia="zh-CN"/>
                          <w14:textOutline w14:w="9525">
                            <w14:solidFill>
                              <w14:srgbClr w14:val="000000"/>
                            </w14:solidFill>
                            <w14:round/>
                          </w14:textOutline>
                        </w:rPr>
                      </w:pPr>
                      <w:r>
                        <w:rPr>
                          <w:rFonts w:hint="eastAsia"/>
                          <w:color w:val="auto"/>
                          <w:sz w:val="21"/>
                          <w:szCs w:val="15"/>
                          <w:highlight w:val="none"/>
                          <w:lang w:val="en-US" w:eastAsia="zh-CN"/>
                          <w14:textOutline w14:w="9525">
                            <w14:solidFill>
                              <w14:srgbClr w14:val="000000"/>
                            </w14:solidFill>
                            <w14:round/>
                          </w14:textOutline>
                        </w:rPr>
                        <w:t>新建设施</w:t>
                      </w:r>
                    </w:p>
                    <w:p>
                      <w:pPr>
                        <w:spacing w:line="360" w:lineRule="auto"/>
                        <w:ind w:firstLine="420" w:firstLineChars="200"/>
                        <w:rPr>
                          <w:rFonts w:hint="default"/>
                          <w:color w:val="auto"/>
                          <w:sz w:val="21"/>
                          <w:szCs w:val="15"/>
                          <w:highlight w:val="none"/>
                          <w:lang w:val="en-US" w:eastAsia="zh-CN"/>
                          <w14:textOutline w14:w="9525">
                            <w14:solidFill>
                              <w14:srgbClr w14:val="000000"/>
                            </w14:solidFill>
                            <w14:round/>
                          </w14:textOutline>
                        </w:rPr>
                      </w:pPr>
                      <w:r>
                        <w:rPr>
                          <w:rFonts w:hint="eastAsia"/>
                          <w:color w:val="auto"/>
                          <w:sz w:val="21"/>
                          <w:szCs w:val="15"/>
                          <w:highlight w:val="none"/>
                          <w:lang w:val="en-US" w:eastAsia="zh-CN"/>
                          <w14:textOutline w14:w="9525">
                            <w14:solidFill>
                              <w14:srgbClr w14:val="000000"/>
                            </w14:solidFill>
                            <w14:round/>
                          </w14:textOutline>
                        </w:rPr>
                        <w:t>厂界</w:t>
                      </w:r>
                    </w:p>
                    <w:p>
                      <w:pPr>
                        <w:pStyle w:val="20"/>
                        <w:rPr>
                          <w:rFonts w:hint="eastAsia"/>
                          <w:lang w:val="en-US" w:eastAsia="zh-CN"/>
                        </w:rPr>
                      </w:pPr>
                    </w:p>
                    <w:p>
                      <w:pPr>
                        <w:pStyle w:val="20"/>
                        <w:rPr>
                          <w:rFonts w:hint="eastAsia"/>
                          <w:lang w:val="en-US" w:eastAsia="zh-CN"/>
                        </w:rPr>
                      </w:pPr>
                    </w:p>
                    <w:p>
                      <w:pPr>
                        <w:pStyle w:val="20"/>
                        <w:rPr>
                          <w:rFonts w:hint="eastAsia"/>
                          <w:lang w:val="en-US" w:eastAsia="zh-CN"/>
                        </w:rPr>
                      </w:pPr>
                    </w:p>
                  </w:txbxContent>
                </v:textbox>
              </v:rect>
            </w:pict>
          </mc:Fallback>
        </mc:AlternateContent>
      </w:r>
      <w:r>
        <w:rPr>
          <w:sz w:val="24"/>
          <w:highlight w:val="none"/>
        </w:rPr>
        <mc:AlternateContent>
          <mc:Choice Requires="wps">
            <w:drawing>
              <wp:anchor distT="0" distB="0" distL="114300" distR="114300" simplePos="0" relativeHeight="251703296" behindDoc="0" locked="0" layoutInCell="1" allowOverlap="1">
                <wp:simplePos x="0" y="0"/>
                <wp:positionH relativeFrom="column">
                  <wp:posOffset>861060</wp:posOffset>
                </wp:positionH>
                <wp:positionV relativeFrom="paragraph">
                  <wp:posOffset>3848100</wp:posOffset>
                </wp:positionV>
                <wp:extent cx="1644650" cy="393700"/>
                <wp:effectExtent l="3175" t="12065" r="9525" b="13335"/>
                <wp:wrapNone/>
                <wp:docPr id="87" name="直接连接符 87"/>
                <wp:cNvGraphicFramePr/>
                <a:graphic xmlns:a="http://schemas.openxmlformats.org/drawingml/2006/main">
                  <a:graphicData uri="http://schemas.microsoft.com/office/word/2010/wordprocessingShape">
                    <wps:wsp>
                      <wps:cNvCnPr/>
                      <wps:spPr>
                        <a:xfrm>
                          <a:off x="1926590" y="5195570"/>
                          <a:ext cx="1644650" cy="393700"/>
                        </a:xfrm>
                        <a:prstGeom prst="line">
                          <a:avLst/>
                        </a:prstGeom>
                        <a:ln>
                          <a:solidFill>
                            <a:srgbClr val="0070C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67.8pt;margin-top:303pt;height:31pt;width:129.5pt;z-index:251703296;mso-width-relative:page;mso-height-relative:page;" filled="f" stroked="t" coordsize="21600,21600" o:gfxdata="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WAAAAZHJzL1BLAQIUABQAAAAIAIdO4kAu&#10;Q5YO2gAAAAsBAAAPAAAAAAAAAAEAIAAAADgAAABkcnMvZG93bnJldi54bWxQSwECFAAUAAAACACH&#10;TuJAV14UpdMBAABgAwAADgAAAAAAAAABACAAAAA/AQAAZHJzL2Uyb0RvYy54bWxQSwUGAAAAAAYA&#10;BgBZAQAAhAUAAAAA&#10;">
                <v:fill on="f" focussize="0,0"/>
                <v:stroke weight="2pt" color="#0070C0 [3204]" joinstyle="round"/>
                <v:imagedata o:title=""/>
                <o:lock v:ext="edit" aspectratio="f"/>
              </v:line>
            </w:pict>
          </mc:Fallback>
        </mc:AlternateContent>
      </w:r>
      <w:r>
        <w:rPr>
          <w:sz w:val="24"/>
          <w:highlight w:val="none"/>
        </w:rPr>
        <mc:AlternateContent>
          <mc:Choice Requires="wps">
            <w:drawing>
              <wp:anchor distT="0" distB="0" distL="114300" distR="114300" simplePos="0" relativeHeight="251702272" behindDoc="0" locked="0" layoutInCell="1" allowOverlap="1">
                <wp:simplePos x="0" y="0"/>
                <wp:positionH relativeFrom="column">
                  <wp:posOffset>968375</wp:posOffset>
                </wp:positionH>
                <wp:positionV relativeFrom="paragraph">
                  <wp:posOffset>3771900</wp:posOffset>
                </wp:positionV>
                <wp:extent cx="120650" cy="75565"/>
                <wp:effectExtent l="19050" t="24130" r="31750" b="33655"/>
                <wp:wrapNone/>
                <wp:docPr id="85" name="矩形 85"/>
                <wp:cNvGraphicFramePr/>
                <a:graphic xmlns:a="http://schemas.openxmlformats.org/drawingml/2006/main">
                  <a:graphicData uri="http://schemas.microsoft.com/office/word/2010/wordprocessingShape">
                    <wps:wsp>
                      <wps:cNvSpPr/>
                      <wps:spPr>
                        <a:xfrm rot="720000">
                          <a:off x="2004060" y="4980940"/>
                          <a:ext cx="120650" cy="75565"/>
                        </a:xfrm>
                        <a:prstGeom prst="rect">
                          <a:avLst/>
                        </a:prstGeom>
                        <a:solidFill>
                          <a:srgbClr val="000000">
                            <a:alpha val="0"/>
                          </a:srgbClr>
                        </a:solidFill>
                        <a:ln>
                          <a:solidFill>
                            <a:srgbClr val="0070C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76.25pt;margin-top:297pt;height:5.95pt;width:9.5pt;rotation:786432f;z-index:251702272;v-text-anchor:middle;mso-width-relative:page;mso-height-relative:page;" fillcolor="#000000" filled="t" stroked="t" coordsize="21600,21600" o:gfxdata="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BYAAABkcnMvUEsBAhQAFAAAAAgAh07iQBvET2TZAAAACwEAAA8AAAAAAAAA&#10;AQAgAAAAOAAAAGRycy9kb3ducmV2LnhtbFBLAQIUABQAAAAIAIdO4kALx+ZCbAIAANQEAAAOAAAA&#10;AAAAAAEAIAAAAD4BAABkcnMvZTJvRG9jLnhtbFBLBQYAAAAABgAGAFkBAAAcBgAAAAA=&#10;">
                <v:fill on="t" opacity="0f" focussize="0,0"/>
                <v:stroke weight="2pt" color="#0070C0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700224" behindDoc="0" locked="0" layoutInCell="1" allowOverlap="1">
                <wp:simplePos x="0" y="0"/>
                <wp:positionH relativeFrom="column">
                  <wp:posOffset>5551805</wp:posOffset>
                </wp:positionH>
                <wp:positionV relativeFrom="paragraph">
                  <wp:posOffset>1245870</wp:posOffset>
                </wp:positionV>
                <wp:extent cx="235585" cy="128905"/>
                <wp:effectExtent l="29210" t="62865" r="40005" b="74930"/>
                <wp:wrapNone/>
                <wp:docPr id="81" name="矩形 81"/>
                <wp:cNvGraphicFramePr/>
                <a:graphic xmlns:a="http://schemas.openxmlformats.org/drawingml/2006/main">
                  <a:graphicData uri="http://schemas.microsoft.com/office/word/2010/wordprocessingShape">
                    <wps:wsp>
                      <wps:cNvSpPr/>
                      <wps:spPr>
                        <a:xfrm rot="19800000">
                          <a:off x="6376035" y="2590165"/>
                          <a:ext cx="235585" cy="128905"/>
                        </a:xfrm>
                        <a:prstGeom prst="rect">
                          <a:avLst/>
                        </a:prstGeom>
                        <a:noFill/>
                        <a:ln>
                          <a:solidFill>
                            <a:srgbClr val="00B050"/>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37.15pt;margin-top:98.1pt;height:10.15pt;width:18.55pt;rotation:-1966080f;z-index:251700224;v-text-anchor:middle;mso-width-relative:page;mso-height-relative:page;" filled="f" stroked="t" coordsize="21600,21600" o:gfxdata="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FgAAAGRycy9QSwECFAAUAAAACACHTuJA1R/KGdoAAAALAQAADwAAAAAAAAAB&#10;ACAAAAA4AAAAZHJzL2Rvd25yZXYueG1sUEsBAhQAFAAAAAgAh07iQJVBw+9qAgAAnAQAAA4AAAAA&#10;AAAAAQAgAAAAPwEAAGRycy9lMm9Eb2MueG1sUEsFBgAAAAAGAAYAWQEAABsGAAAAAA==&#10;">
                <v:fill on="f" focussize="0,0"/>
                <v:stroke weight="2pt" color="#00B050 [2404]" joinstyle="round"/>
                <v:imagedata o:title=""/>
                <o:lock v:ext="edit" aspectratio="f"/>
                <v:textbox>
                  <w:txbxContent>
                    <w:p>
                      <w:pPr>
                        <w:jc w:val="center"/>
                      </w:pPr>
                    </w:p>
                  </w:txbxContent>
                </v:textbox>
              </v:rect>
            </w:pict>
          </mc:Fallback>
        </mc:AlternateContent>
      </w:r>
      <w:r>
        <w:rPr>
          <w:sz w:val="24"/>
          <w:highlight w:val="none"/>
        </w:rPr>
        <mc:AlternateContent>
          <mc:Choice Requires="wps">
            <w:drawing>
              <wp:anchor distT="0" distB="0" distL="114300" distR="114300" simplePos="0" relativeHeight="251699200" behindDoc="0" locked="0" layoutInCell="1" allowOverlap="1">
                <wp:simplePos x="0" y="0"/>
                <wp:positionH relativeFrom="column">
                  <wp:posOffset>5971540</wp:posOffset>
                </wp:positionH>
                <wp:positionV relativeFrom="paragraph">
                  <wp:posOffset>697865</wp:posOffset>
                </wp:positionV>
                <wp:extent cx="1524000" cy="708025"/>
                <wp:effectExtent l="0" t="0" r="0" b="0"/>
                <wp:wrapNone/>
                <wp:docPr id="79" name="文本框 79"/>
                <wp:cNvGraphicFramePr/>
                <a:graphic xmlns:a="http://schemas.openxmlformats.org/drawingml/2006/main">
                  <a:graphicData uri="http://schemas.microsoft.com/office/word/2010/wordprocessingShape">
                    <wps:wsp>
                      <wps:cNvSpPr txBox="true"/>
                      <wps:spPr>
                        <a:xfrm>
                          <a:off x="0" y="0"/>
                          <a:ext cx="1524000" cy="708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auto"/>
                                <w:sz w:val="28"/>
                                <w:szCs w:val="28"/>
                                <w:lang w:val="en-US" w:eastAsia="zh-CN"/>
                              </w:rPr>
                            </w:pPr>
                            <w:r>
                              <w:rPr>
                                <w:rFonts w:hint="eastAsia"/>
                                <w:b/>
                                <w:bCs/>
                                <w:color w:val="auto"/>
                                <w:sz w:val="28"/>
                                <w:szCs w:val="28"/>
                                <w:lang w:val="en-US" w:eastAsia="zh-CN"/>
                              </w:rPr>
                              <w:t>门卫</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470.2pt;margin-top:54.95pt;height:55.75pt;width:120pt;z-index:251699200;mso-width-relative:page;mso-height-relative:page;" filled="f" stroked="f" coordsize="21600,21600" o:gfxdata="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BTTIHY2gAAAAwBAAAPAAAAAAAAAAEAIAAAADgAAABk&#10;cnMvZG93bnJldi54bWxQSwECFAAUAAAACACHTuJAKXNUiycCAAAsBAAADgAAAAAAAAABACAAAAA/&#10;AQAAZHJzL2Uyb0RvYy54bWxQSwUGAAAAAAYABgBZAQAA2AUAAAAA&#10;">
                <v:fill on="f" focussize="0,0"/>
                <v:stroke on="f" weight="0.5pt"/>
                <v:imagedata o:title=""/>
                <o:lock v:ext="edit" aspectratio="f"/>
                <v:textbox>
                  <w:txbxContent>
                    <w:p>
                      <w:pPr>
                        <w:rPr>
                          <w:rFonts w:hint="default" w:eastAsia="宋体"/>
                          <w:b/>
                          <w:bCs/>
                          <w:color w:val="auto"/>
                          <w:sz w:val="28"/>
                          <w:szCs w:val="28"/>
                          <w:lang w:val="en-US" w:eastAsia="zh-CN"/>
                        </w:rPr>
                      </w:pPr>
                      <w:r>
                        <w:rPr>
                          <w:rFonts w:hint="eastAsia"/>
                          <w:b/>
                          <w:bCs/>
                          <w:color w:val="auto"/>
                          <w:sz w:val="28"/>
                          <w:szCs w:val="28"/>
                          <w:lang w:val="en-US" w:eastAsia="zh-CN"/>
                        </w:rPr>
                        <w:t>门卫</w:t>
                      </w:r>
                    </w:p>
                  </w:txbxContent>
                </v:textbox>
              </v:shape>
            </w:pict>
          </mc:Fallback>
        </mc:AlternateContent>
      </w:r>
      <w:r>
        <w:rPr>
          <w:sz w:val="24"/>
          <w:highlight w:val="none"/>
        </w:rPr>
        <mc:AlternateContent>
          <mc:Choice Requires="wps">
            <w:drawing>
              <wp:anchor distT="0" distB="0" distL="114300" distR="114300" simplePos="0" relativeHeight="251698176" behindDoc="0" locked="0" layoutInCell="1" allowOverlap="1">
                <wp:simplePos x="0" y="0"/>
                <wp:positionH relativeFrom="column">
                  <wp:posOffset>6174105</wp:posOffset>
                </wp:positionH>
                <wp:positionV relativeFrom="paragraph">
                  <wp:posOffset>826770</wp:posOffset>
                </wp:positionV>
                <wp:extent cx="144780" cy="247015"/>
                <wp:effectExtent l="19050" t="53975" r="19685" b="67945"/>
                <wp:wrapNone/>
                <wp:docPr id="40" name="任意多边形 40"/>
                <wp:cNvGraphicFramePr/>
                <a:graphic xmlns:a="http://schemas.openxmlformats.org/drawingml/2006/main">
                  <a:graphicData uri="http://schemas.microsoft.com/office/word/2010/wordprocessingShape">
                    <wps:wsp>
                      <wps:cNvSpPr/>
                      <wps:spPr>
                        <a:xfrm rot="3960000">
                          <a:off x="0" y="0"/>
                          <a:ext cx="144780" cy="247015"/>
                        </a:xfrm>
                        <a:custGeom>
                          <a:avLst/>
                          <a:gdLst>
                            <a:gd name="connisteX0" fmla="*/ 0 w 181610"/>
                            <a:gd name="connsiteY0" fmla="*/ 21590 h 762000"/>
                            <a:gd name="connisteX1" fmla="*/ 120650 w 181610"/>
                            <a:gd name="connsiteY1" fmla="*/ 0 h 762000"/>
                            <a:gd name="connisteX2" fmla="*/ 181610 w 181610"/>
                            <a:gd name="connsiteY2" fmla="*/ 752475 h 762000"/>
                            <a:gd name="connisteX3" fmla="*/ 38735 w 181610"/>
                            <a:gd name="connsiteY3" fmla="*/ 762000 h 762000"/>
                            <a:gd name="connisteX4" fmla="*/ 0 w 181610"/>
                            <a:gd name="connsiteY4" fmla="*/ 21590 h 762000"/>
                          </a:gdLst>
                          <a:ahLst/>
                          <a:cxnLst>
                            <a:cxn ang="0">
                              <a:pos x="connisteX0" y="connsiteY0"/>
                            </a:cxn>
                            <a:cxn ang="0">
                              <a:pos x="connisteX1" y="connsiteY1"/>
                            </a:cxn>
                            <a:cxn ang="0">
                              <a:pos x="connisteX2" y="connsiteY2"/>
                            </a:cxn>
                            <a:cxn ang="0">
                              <a:pos x="connisteX3" y="connsiteY3"/>
                            </a:cxn>
                            <a:cxn ang="0">
                              <a:pos x="connisteX4" y="connsiteY4"/>
                            </a:cxn>
                          </a:cxnLst>
                          <a:rect l="l" t="t" r="r" b="b"/>
                          <a:pathLst>
                            <a:path w="181610" h="762000">
                              <a:moveTo>
                                <a:pt x="0" y="21590"/>
                              </a:moveTo>
                              <a:lnTo>
                                <a:pt x="120650" y="0"/>
                              </a:lnTo>
                              <a:lnTo>
                                <a:pt x="181610" y="752475"/>
                              </a:lnTo>
                              <a:lnTo>
                                <a:pt x="38735" y="762000"/>
                              </a:lnTo>
                              <a:lnTo>
                                <a:pt x="0" y="21590"/>
                              </a:lnTo>
                              <a:close/>
                            </a:path>
                          </a:pathLst>
                        </a:custGeom>
                        <a:noFill/>
                        <a:ln>
                          <a:solidFill>
                            <a:srgbClr val="0070C0"/>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486.15pt;margin-top:65.1pt;height:19.45pt;width:11.4pt;rotation:4325376f;z-index:251698176;mso-width-relative:page;mso-height-relative:page;" filled="f" stroked="t" coordsize="181610,762000" o:gfxdata="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" path="m0,21590l120650,0,181610,752475,38735,762000,0,21590xe">
                <v:path o:connectlocs="0,6998;96182,0;144780,243927;30879,247015;0,6998" o:connectangles="0,0,0,0,0"/>
                <v:fill on="f" focussize="0,0"/>
                <v:stroke weight="2pt" color="#0070C0 [2404]" joinstyle="round"/>
                <v:imagedata o:title=""/>
                <o:lock v:ext="edit" aspectratio="f"/>
              </v:shape>
            </w:pict>
          </mc:Fallback>
        </mc:AlternateContent>
      </w:r>
      <w:r>
        <w:rPr>
          <w:sz w:val="24"/>
          <w:highlight w:val="none"/>
        </w:rPr>
        <mc:AlternateContent>
          <mc:Choice Requires="wps">
            <w:drawing>
              <wp:anchor distT="0" distB="0" distL="114300" distR="114300" simplePos="0" relativeHeight="251697152" behindDoc="0" locked="0" layoutInCell="1" allowOverlap="1">
                <wp:simplePos x="0" y="0"/>
                <wp:positionH relativeFrom="column">
                  <wp:posOffset>6938645</wp:posOffset>
                </wp:positionH>
                <wp:positionV relativeFrom="paragraph">
                  <wp:posOffset>4592955</wp:posOffset>
                </wp:positionV>
                <wp:extent cx="254000" cy="158750"/>
                <wp:effectExtent l="13970" t="13970" r="17780" b="17780"/>
                <wp:wrapNone/>
                <wp:docPr id="62" name="矩形 62"/>
                <wp:cNvGraphicFramePr/>
                <a:graphic xmlns:a="http://schemas.openxmlformats.org/drawingml/2006/main">
                  <a:graphicData uri="http://schemas.microsoft.com/office/word/2010/wordprocessingShape">
                    <wps:wsp>
                      <wps:cNvSpPr/>
                      <wps:spPr>
                        <a:xfrm>
                          <a:off x="0" y="0"/>
                          <a:ext cx="254000" cy="158750"/>
                        </a:xfrm>
                        <a:prstGeom prst="rect">
                          <a:avLst/>
                        </a:prstGeom>
                        <a:noFill/>
                        <a:ln w="28575">
                          <a:solidFill>
                            <a:srgbClr val="42D9DD"/>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46.35pt;margin-top:361.65pt;height:12.5pt;width:20pt;z-index:251697152;v-text-anchor:middle;mso-width-relative:page;mso-height-relative:page;" filled="f" stroked="t" coordsize="21600,21600" o:gfxdata="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WAAAAZHJzL1BLAQIUABQAAAAI&#10;AIdO4kCK3IQr2AAAAA0BAAAPAAAAAAAAAAEAIAAAADgAAABkcnMvZG93bnJldi54bWxQSwECFAAU&#10;AAAACACHTuJAC3rxSk0CAAB2BAAADgAAAAAAAAABACAAAAA9AQAAZHJzL2Uyb0RvYy54bWxQSwUG&#10;AAAAAAYABgBZAQAA/AUAAAAA&#10;">
                <v:fill on="f" focussize="0,0"/>
                <v:stroke weight="2.25pt" color="#42D9DD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705344" behindDoc="0" locked="0" layoutInCell="1" allowOverlap="1">
                <wp:simplePos x="0" y="0"/>
                <wp:positionH relativeFrom="column">
                  <wp:posOffset>7215505</wp:posOffset>
                </wp:positionH>
                <wp:positionV relativeFrom="paragraph">
                  <wp:posOffset>1467485</wp:posOffset>
                </wp:positionV>
                <wp:extent cx="1524000" cy="708025"/>
                <wp:effectExtent l="0" t="0" r="0" b="0"/>
                <wp:wrapNone/>
                <wp:docPr id="30" name="文本框 30"/>
                <wp:cNvGraphicFramePr/>
                <a:graphic xmlns:a="http://schemas.openxmlformats.org/drawingml/2006/main">
                  <a:graphicData uri="http://schemas.microsoft.com/office/word/2010/wordprocessingShape">
                    <wps:wsp>
                      <wps:cNvSpPr txBox="true"/>
                      <wps:spPr>
                        <a:xfrm>
                          <a:off x="8365490" y="2683510"/>
                          <a:ext cx="1524000" cy="708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color w:val="auto"/>
                                <w:sz w:val="28"/>
                                <w:szCs w:val="28"/>
                                <w:lang w:val="en-US" w:eastAsia="zh-CN"/>
                              </w:rPr>
                            </w:pPr>
                            <w:r>
                              <w:rPr>
                                <w:rFonts w:hint="eastAsia"/>
                                <w:b/>
                                <w:bCs/>
                                <w:color w:val="auto"/>
                                <w:sz w:val="28"/>
                                <w:szCs w:val="28"/>
                                <w:lang w:val="en-US" w:eastAsia="zh-CN"/>
                              </w:rPr>
                              <w:t>办公室</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568.15pt;margin-top:115.55pt;height:55.75pt;width:120pt;z-index:251705344;mso-width-relative:page;mso-height-relative:page;" filled="f" stroked="f" coordsize="21600,21600" o:gfxdata="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FgAAAGRycy9QSwECFAAUAAAACACHTuJALhVLx9wAAAANAQAADwAAAAAA&#10;AAABACAAAAA4AAAAZHJzL2Rvd25yZXYueG1sUEsBAhQAFAAAAAgAh07iQJlxW5syAgAAOAQAAA4A&#10;AAAAAAAAAQAgAAAAQQEAAGRycy9lMm9Eb2MueG1sUEsFBgAAAAAGAAYAWQEAAOUFAAAAAA==&#10;">
                <v:fill on="f" focussize="0,0"/>
                <v:stroke on="f" weight="0.5pt"/>
                <v:imagedata o:title=""/>
                <o:lock v:ext="edit" aspectratio="f"/>
                <v:textbox>
                  <w:txbxContent>
                    <w:p>
                      <w:pPr>
                        <w:rPr>
                          <w:rFonts w:hint="eastAsia" w:eastAsia="宋体"/>
                          <w:b/>
                          <w:bCs/>
                          <w:color w:val="auto"/>
                          <w:sz w:val="28"/>
                          <w:szCs w:val="28"/>
                          <w:lang w:val="en-US" w:eastAsia="zh-CN"/>
                        </w:rPr>
                      </w:pPr>
                      <w:r>
                        <w:rPr>
                          <w:rFonts w:hint="eastAsia"/>
                          <w:b/>
                          <w:bCs/>
                          <w:color w:val="auto"/>
                          <w:sz w:val="28"/>
                          <w:szCs w:val="28"/>
                          <w:lang w:val="en-US" w:eastAsia="zh-CN"/>
                        </w:rPr>
                        <w:t>办公室</w:t>
                      </w:r>
                    </w:p>
                  </w:txbxContent>
                </v:textbox>
              </v:shape>
            </w:pict>
          </mc:Fallback>
        </mc:AlternateContent>
      </w: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7553960</wp:posOffset>
                </wp:positionH>
                <wp:positionV relativeFrom="paragraph">
                  <wp:posOffset>1332865</wp:posOffset>
                </wp:positionV>
                <wp:extent cx="181610" cy="762000"/>
                <wp:effectExtent l="12700" t="12700" r="15240" b="25400"/>
                <wp:wrapNone/>
                <wp:docPr id="44" name="任意多边形 44"/>
                <wp:cNvGraphicFramePr/>
                <a:graphic xmlns:a="http://schemas.openxmlformats.org/drawingml/2006/main">
                  <a:graphicData uri="http://schemas.microsoft.com/office/word/2010/wordprocessingShape">
                    <wps:wsp>
                      <wps:cNvSpPr/>
                      <wps:spPr>
                        <a:xfrm>
                          <a:off x="8634095" y="2535555"/>
                          <a:ext cx="181610" cy="762000"/>
                        </a:xfrm>
                        <a:custGeom>
                          <a:avLst/>
                          <a:gdLst>
                            <a:gd name="connisteX0" fmla="*/ 0 w 181610"/>
                            <a:gd name="connsiteY0" fmla="*/ 21590 h 762000"/>
                            <a:gd name="connisteX1" fmla="*/ 120650 w 181610"/>
                            <a:gd name="connsiteY1" fmla="*/ 0 h 762000"/>
                            <a:gd name="connisteX2" fmla="*/ 181610 w 181610"/>
                            <a:gd name="connsiteY2" fmla="*/ 752475 h 762000"/>
                            <a:gd name="connisteX3" fmla="*/ 38735 w 181610"/>
                            <a:gd name="connsiteY3" fmla="*/ 762000 h 762000"/>
                            <a:gd name="connisteX4" fmla="*/ 0 w 181610"/>
                            <a:gd name="connsiteY4" fmla="*/ 21590 h 762000"/>
                          </a:gdLst>
                          <a:ahLst/>
                          <a:cxnLst>
                            <a:cxn ang="0">
                              <a:pos x="connisteX0" y="connsiteY0"/>
                            </a:cxn>
                            <a:cxn ang="0">
                              <a:pos x="connisteX1" y="connsiteY1"/>
                            </a:cxn>
                            <a:cxn ang="0">
                              <a:pos x="connisteX2" y="connsiteY2"/>
                            </a:cxn>
                            <a:cxn ang="0">
                              <a:pos x="connisteX3" y="connsiteY3"/>
                            </a:cxn>
                            <a:cxn ang="0">
                              <a:pos x="connisteX4" y="connsiteY4"/>
                            </a:cxn>
                          </a:cxnLst>
                          <a:rect l="l" t="t" r="r" b="b"/>
                          <a:pathLst>
                            <a:path w="181610" h="762000">
                              <a:moveTo>
                                <a:pt x="0" y="21590"/>
                              </a:moveTo>
                              <a:lnTo>
                                <a:pt x="120650" y="0"/>
                              </a:lnTo>
                              <a:lnTo>
                                <a:pt x="181610" y="752475"/>
                              </a:lnTo>
                              <a:lnTo>
                                <a:pt x="38735" y="762000"/>
                              </a:lnTo>
                              <a:lnTo>
                                <a:pt x="0" y="21590"/>
                              </a:lnTo>
                              <a:close/>
                            </a:path>
                          </a:pathLst>
                        </a:custGeom>
                        <a:noFill/>
                        <a:ln>
                          <a:solidFill>
                            <a:srgbClr val="0070C0"/>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594.8pt;margin-top:104.95pt;height:60pt;width:14.3pt;z-index:251661312;mso-width-relative:page;mso-height-relative:page;" filled="f" stroked="t" coordsize="181610,762000" o:gfxdata="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" path="m0,21590l120650,0,181610,752475,38735,762000,0,21590xe">
                <v:path o:connectlocs="0,21590;120650,0;181610,752475;38735,762000;0,21590" o:connectangles="0,0,0,0,0"/>
                <v:fill on="f" focussize="0,0"/>
                <v:stroke weight="2pt" color="#0070C0 [2404]" joinstyle="round"/>
                <v:imagedata o:title=""/>
                <o:lock v:ext="edit" aspectratio="f"/>
              </v:shape>
            </w:pict>
          </mc:Fallback>
        </mc:AlternateContent>
      </w:r>
      <w:r>
        <w:rPr>
          <w:sz w:val="24"/>
          <w:highlight w:val="none"/>
        </w:rPr>
        <mc:AlternateContent>
          <mc:Choice Requires="wps">
            <w:drawing>
              <wp:anchor distT="0" distB="0" distL="114300" distR="114300" simplePos="0" relativeHeight="251694080" behindDoc="0" locked="0" layoutInCell="1" allowOverlap="1">
                <wp:simplePos x="0" y="0"/>
                <wp:positionH relativeFrom="column">
                  <wp:posOffset>5259705</wp:posOffset>
                </wp:positionH>
                <wp:positionV relativeFrom="paragraph">
                  <wp:posOffset>1630680</wp:posOffset>
                </wp:positionV>
                <wp:extent cx="935355" cy="1654175"/>
                <wp:effectExtent l="12700" t="12700" r="23495" b="28575"/>
                <wp:wrapNone/>
                <wp:docPr id="29" name="任意多边形 29"/>
                <wp:cNvGraphicFramePr/>
                <a:graphic xmlns:a="http://schemas.openxmlformats.org/drawingml/2006/main">
                  <a:graphicData uri="http://schemas.microsoft.com/office/word/2010/wordprocessingShape">
                    <wps:wsp>
                      <wps:cNvSpPr/>
                      <wps:spPr>
                        <a:xfrm>
                          <a:off x="6339840" y="2833370"/>
                          <a:ext cx="935355" cy="1654175"/>
                        </a:xfrm>
                        <a:custGeom>
                          <a:avLst/>
                          <a:gdLst>
                            <a:gd name="connisteX0" fmla="*/ 0 w 935355"/>
                            <a:gd name="connsiteY0" fmla="*/ 177800 h 1654175"/>
                            <a:gd name="connisteX1" fmla="*/ 299085 w 935355"/>
                            <a:gd name="connsiteY1" fmla="*/ 0 h 1654175"/>
                            <a:gd name="connisteX2" fmla="*/ 935355 w 935355"/>
                            <a:gd name="connsiteY2" fmla="*/ 1480185 h 1654175"/>
                            <a:gd name="connisteX3" fmla="*/ 649605 w 935355"/>
                            <a:gd name="connsiteY3" fmla="*/ 1654175 h 1654175"/>
                            <a:gd name="connisteX4" fmla="*/ 0 w 935355"/>
                            <a:gd name="connsiteY4" fmla="*/ 177800 h 1654175"/>
                          </a:gdLst>
                          <a:ahLst/>
                          <a:cxnLst>
                            <a:cxn ang="0">
                              <a:pos x="connisteX0" y="connsiteY0"/>
                            </a:cxn>
                            <a:cxn ang="0">
                              <a:pos x="connisteX1" y="connsiteY1"/>
                            </a:cxn>
                            <a:cxn ang="0">
                              <a:pos x="connisteX2" y="connsiteY2"/>
                            </a:cxn>
                            <a:cxn ang="0">
                              <a:pos x="connisteX3" y="connsiteY3"/>
                            </a:cxn>
                            <a:cxn ang="0">
                              <a:pos x="connisteX4" y="connsiteY4"/>
                            </a:cxn>
                          </a:cxnLst>
                          <a:rect l="l" t="t" r="r" b="b"/>
                          <a:pathLst>
                            <a:path w="935355" h="1654175">
                              <a:moveTo>
                                <a:pt x="0" y="177800"/>
                              </a:moveTo>
                              <a:lnTo>
                                <a:pt x="299085" y="0"/>
                              </a:lnTo>
                              <a:lnTo>
                                <a:pt x="935355" y="1480185"/>
                              </a:lnTo>
                              <a:lnTo>
                                <a:pt x="649605" y="1654175"/>
                              </a:lnTo>
                              <a:lnTo>
                                <a:pt x="0" y="177800"/>
                              </a:lnTo>
                              <a:close/>
                            </a:path>
                          </a:pathLst>
                        </a:custGeom>
                        <a:noFill/>
                        <a:ln>
                          <a:solidFill>
                            <a:srgbClr val="0070C0"/>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414.15pt;margin-top:128.4pt;height:130.25pt;width:73.65pt;z-index:251694080;mso-width-relative:page;mso-height-relative:page;" filled="f" stroked="t" coordsize="935355,1654175" o:gfxdata="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BYAAABkcnMvUEsBAhQAFAAA&#10;AAgAh07iQJQwA8TbAAAACwEAAA8AAAAAAAAAAQAgAAAAOAAAAGRycy9kb3ducmV2LnhtbFBLAQIU&#10;ABQAAAAIAIdO4kCGa5NO9wIAAPQHAAAOAAAAAAAAAAEAIAAAAEABAABkcnMvZTJvRG9jLnhtbFBL&#10;BQYAAAAABgAGAFkBAACpBgAAAAA=&#10;" path="m0,177800l299085,0,935355,1480185,649605,1654175,0,177800xe">
                <v:path o:connectlocs="0,177800;299085,0;935355,1480185;649605,1654175;0,177800" o:connectangles="0,0,0,0,0"/>
                <v:fill on="f" focussize="0,0"/>
                <v:stroke weight="2pt" color="#0070C0 [2404]" joinstyle="round"/>
                <v:imagedata o:title=""/>
                <o:lock v:ext="edit" aspectratio="f"/>
              </v:shape>
            </w:pict>
          </mc:Fallback>
        </mc:AlternateContent>
      </w:r>
      <w:r>
        <w:rPr>
          <w:sz w:val="24"/>
          <w:highlight w:val="none"/>
        </w:rPr>
        <mc:AlternateContent>
          <mc:Choice Requires="wps">
            <w:drawing>
              <wp:anchor distT="0" distB="0" distL="114300" distR="114300" simplePos="0" relativeHeight="251693056" behindDoc="0" locked="0" layoutInCell="1" allowOverlap="1">
                <wp:simplePos x="0" y="0"/>
                <wp:positionH relativeFrom="column">
                  <wp:posOffset>3551555</wp:posOffset>
                </wp:positionH>
                <wp:positionV relativeFrom="paragraph">
                  <wp:posOffset>2790190</wp:posOffset>
                </wp:positionV>
                <wp:extent cx="2446020" cy="1493520"/>
                <wp:effectExtent l="12700" t="12700" r="17780" b="17780"/>
                <wp:wrapNone/>
                <wp:docPr id="27" name="任意多边形 27"/>
                <wp:cNvGraphicFramePr/>
                <a:graphic xmlns:a="http://schemas.openxmlformats.org/drawingml/2006/main">
                  <a:graphicData uri="http://schemas.microsoft.com/office/word/2010/wordprocessingShape">
                    <wps:wsp>
                      <wps:cNvSpPr/>
                      <wps:spPr>
                        <a:xfrm>
                          <a:off x="4631690" y="3992880"/>
                          <a:ext cx="2446020" cy="1493520"/>
                        </a:xfrm>
                        <a:custGeom>
                          <a:avLst/>
                          <a:gdLst>
                            <a:gd name="connisteX0" fmla="*/ 0 w 2446020"/>
                            <a:gd name="connsiteY0" fmla="*/ 1186815 h 1493520"/>
                            <a:gd name="connisteX1" fmla="*/ 1952625 w 2446020"/>
                            <a:gd name="connsiteY1" fmla="*/ 0 h 1493520"/>
                            <a:gd name="connisteX2" fmla="*/ 2446020 w 2446020"/>
                            <a:gd name="connsiteY2" fmla="*/ 1120775 h 1493520"/>
                            <a:gd name="connisteX3" fmla="*/ 1917700 w 2446020"/>
                            <a:gd name="connsiteY3" fmla="*/ 1433195 h 1493520"/>
                            <a:gd name="connisteX4" fmla="*/ 541020 w 2446020"/>
                            <a:gd name="connsiteY4" fmla="*/ 1390015 h 1493520"/>
                            <a:gd name="connisteX5" fmla="*/ 502285 w 2446020"/>
                            <a:gd name="connsiteY5" fmla="*/ 1250950 h 1493520"/>
                            <a:gd name="connisteX6" fmla="*/ 125730 w 2446020"/>
                            <a:gd name="connsiteY6" fmla="*/ 1493520 h 1493520"/>
                            <a:gd name="connisteX7" fmla="*/ 0 w 2446020"/>
                            <a:gd name="connsiteY7" fmla="*/ 1186815 h 149352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Lst>
                          <a:rect l="l" t="t" r="r" b="b"/>
                          <a:pathLst>
                            <a:path w="2446020" h="1493520">
                              <a:moveTo>
                                <a:pt x="0" y="1186815"/>
                              </a:moveTo>
                              <a:lnTo>
                                <a:pt x="1952625" y="0"/>
                              </a:lnTo>
                              <a:lnTo>
                                <a:pt x="2446020" y="1120775"/>
                              </a:lnTo>
                              <a:lnTo>
                                <a:pt x="1917700" y="1433195"/>
                              </a:lnTo>
                              <a:lnTo>
                                <a:pt x="541020" y="1390015"/>
                              </a:lnTo>
                              <a:lnTo>
                                <a:pt x="502285" y="1250950"/>
                              </a:lnTo>
                              <a:lnTo>
                                <a:pt x="125730" y="1493520"/>
                              </a:lnTo>
                              <a:lnTo>
                                <a:pt x="0" y="1186815"/>
                              </a:lnTo>
                              <a:close/>
                            </a:path>
                          </a:pathLst>
                        </a:custGeom>
                        <a:noFill/>
                        <a:ln>
                          <a:solidFill>
                            <a:srgbClr val="0070C0"/>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279.65pt;margin-top:219.7pt;height:117.6pt;width:192.6pt;z-index:251693056;mso-width-relative:page;mso-height-relative:page;" filled="f" stroked="t" coordsize="2446020,1493520" o:gfxdata="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" path="m0,1186815l1952625,0,2446020,1120775,1917700,1433195,541020,1390015,502285,1250950,125730,1493520,0,1186815xe">
                <v:path o:connectlocs="0,1186815;1952625,0;2446020,1120775;1917700,1433195;541020,1390015;502285,1250950;125730,1493520;0,1186815" o:connectangles="0,0,0,0,0,0,0,0"/>
                <v:fill on="f" focussize="0,0"/>
                <v:stroke weight="2pt" color="#0070C0 [2404]" joinstyle="round"/>
                <v:imagedata o:title=""/>
                <o:lock v:ext="edit" aspectratio="f"/>
              </v:shape>
            </w:pict>
          </mc:Fallback>
        </mc:AlternateContent>
      </w:r>
      <w:r>
        <w:rPr>
          <w:sz w:val="24"/>
          <w:highlight w:val="none"/>
        </w:rPr>
        <mc:AlternateContent>
          <mc:Choice Requires="wps">
            <w:drawing>
              <wp:anchor distT="0" distB="0" distL="114300" distR="114300" simplePos="0" relativeHeight="251692032" behindDoc="0" locked="0" layoutInCell="1" allowOverlap="1">
                <wp:simplePos x="0" y="0"/>
                <wp:positionH relativeFrom="column">
                  <wp:posOffset>1087755</wp:posOffset>
                </wp:positionH>
                <wp:positionV relativeFrom="paragraph">
                  <wp:posOffset>2487930</wp:posOffset>
                </wp:positionV>
                <wp:extent cx="2329180" cy="1632585"/>
                <wp:effectExtent l="12700" t="12700" r="20320" b="31115"/>
                <wp:wrapNone/>
                <wp:docPr id="8" name="任意多边形 8"/>
                <wp:cNvGraphicFramePr/>
                <a:graphic xmlns:a="http://schemas.openxmlformats.org/drawingml/2006/main">
                  <a:graphicData uri="http://schemas.microsoft.com/office/word/2010/wordprocessingShape">
                    <wps:wsp>
                      <wps:cNvSpPr/>
                      <wps:spPr>
                        <a:xfrm>
                          <a:off x="2167890" y="3690620"/>
                          <a:ext cx="2329180" cy="1632585"/>
                        </a:xfrm>
                        <a:custGeom>
                          <a:avLst/>
                          <a:gdLst>
                            <a:gd name="connisteX0" fmla="*/ 0 w 2329180"/>
                            <a:gd name="connsiteY0" fmla="*/ 1061085 h 1632585"/>
                            <a:gd name="connisteX1" fmla="*/ 1731645 w 2329180"/>
                            <a:gd name="connsiteY1" fmla="*/ 0 h 1632585"/>
                            <a:gd name="connisteX2" fmla="*/ 2329180 w 2329180"/>
                            <a:gd name="connsiteY2" fmla="*/ 1398905 h 1632585"/>
                            <a:gd name="connisteX3" fmla="*/ 1952625 w 2329180"/>
                            <a:gd name="connsiteY3" fmla="*/ 1632585 h 1632585"/>
                            <a:gd name="connisteX4" fmla="*/ 597535 w 2329180"/>
                            <a:gd name="connsiteY4" fmla="*/ 1372235 h 1632585"/>
                            <a:gd name="connisteX5" fmla="*/ 515620 w 2329180"/>
                            <a:gd name="connsiteY5" fmla="*/ 1432560 h 1632585"/>
                            <a:gd name="connisteX6" fmla="*/ 476250 w 2329180"/>
                            <a:gd name="connsiteY6" fmla="*/ 1351280 h 1632585"/>
                            <a:gd name="connisteX7" fmla="*/ 86995 w 2329180"/>
                            <a:gd name="connsiteY7" fmla="*/ 1281430 h 1632585"/>
                            <a:gd name="connisteX8" fmla="*/ 0 w 2329180"/>
                            <a:gd name="connsiteY8" fmla="*/ 1061085 h 163258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Lst>
                          <a:rect l="l" t="t" r="r" b="b"/>
                          <a:pathLst>
                            <a:path w="2329180" h="1632585">
                              <a:moveTo>
                                <a:pt x="0" y="1061085"/>
                              </a:moveTo>
                              <a:lnTo>
                                <a:pt x="1731645" y="0"/>
                              </a:lnTo>
                              <a:lnTo>
                                <a:pt x="2329180" y="1398905"/>
                              </a:lnTo>
                              <a:lnTo>
                                <a:pt x="1952625" y="1632585"/>
                              </a:lnTo>
                              <a:lnTo>
                                <a:pt x="597535" y="1372235"/>
                              </a:lnTo>
                              <a:lnTo>
                                <a:pt x="515620" y="1432560"/>
                              </a:lnTo>
                              <a:lnTo>
                                <a:pt x="476250" y="1351280"/>
                              </a:lnTo>
                              <a:lnTo>
                                <a:pt x="86995" y="1281430"/>
                              </a:lnTo>
                              <a:lnTo>
                                <a:pt x="0" y="1061085"/>
                              </a:lnTo>
                              <a:close/>
                            </a:path>
                          </a:pathLst>
                        </a:custGeom>
                        <a:noFill/>
                        <a:ln>
                          <a:solidFill>
                            <a:srgbClr val="0070C0"/>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pPr>
                          </w:p>
                        </w:txbxContent>
                      </wps:txbx>
                      <wps:bodyPr/>
                    </wps:wsp>
                  </a:graphicData>
                </a:graphic>
              </wp:anchor>
            </w:drawing>
          </mc:Choice>
          <mc:Fallback>
            <w:pict>
              <v:shape id="_x0000_s1026" o:spid="_x0000_s1026" o:spt="100" style="position:absolute;left:0pt;margin-left:85.65pt;margin-top:195.9pt;height:128.55pt;width:183.4pt;z-index:251692032;mso-width-relative:page;mso-height-relative:page;" filled="f" stroked="t" coordsize="2329180,1632585" o:gfxdata="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" path="m0,1061085l1731645,0,2329180,1398905,1952625,1632585,597535,1372235,515620,1432560,476250,1351280,86995,1281430,0,1061085xe">
                <v:path textboxrect="0,0,2329180,1632585" o:connectlocs="0,1061085;1731645,0;2329180,1398905;1952625,1632585;597535,1372235;515620,1432560;476250,1351280;86995,1281430;0,1061085" o:connectangles="0,0,0,0,0,0,0,0,0"/>
                <v:fill on="f" focussize="0,0"/>
                <v:stroke weight="2pt" color="#0070C0 [2404]" joinstyle="round"/>
                <v:imagedata o:title=""/>
                <o:lock v:ext="edit" aspectratio="f"/>
                <v:textbox>
                  <w:txbxContent>
                    <w:p>
                      <w:pPr>
                        <w:jc w:val="center"/>
                      </w:pPr>
                    </w:p>
                  </w:txbxContent>
                </v:textbox>
              </v:shape>
            </w:pict>
          </mc:Fallback>
        </mc:AlternateContent>
      </w:r>
      <w:r>
        <w:rPr>
          <w:highlight w:val="none"/>
        </w:rPr>
        <w:drawing>
          <wp:inline distT="0" distB="0" distL="114300" distR="114300">
            <wp:extent cx="7693660" cy="5039995"/>
            <wp:effectExtent l="0" t="0" r="2540" b="8255"/>
            <wp:docPr id="34"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4" name="图片 4"/>
                    <pic:cNvPicPr>
                      <a:picLocks noChangeAspect="true"/>
                    </pic:cNvPicPr>
                  </pic:nvPicPr>
                  <pic:blipFill>
                    <a:blip r:embed="rId77"/>
                    <a:stretch>
                      <a:fillRect/>
                    </a:stretch>
                  </pic:blipFill>
                  <pic:spPr>
                    <a:xfrm>
                      <a:off x="0" y="0"/>
                      <a:ext cx="7693660" cy="5039995"/>
                    </a:xfrm>
                    <a:prstGeom prst="rect">
                      <a:avLst/>
                    </a:prstGeom>
                    <a:noFill/>
                    <a:ln>
                      <a:noFill/>
                    </a:ln>
                  </pic:spPr>
                </pic:pic>
              </a:graphicData>
            </a:graphic>
          </wp:inline>
        </w:drawing>
      </w:r>
      <w:r>
        <w:rPr>
          <w:highlight w:val="none"/>
        </w:rPr>
        <w:drawing>
          <wp:anchor distT="0" distB="0" distL="114300" distR="114300" simplePos="0" relativeHeight="251671552" behindDoc="0" locked="0" layoutInCell="1" allowOverlap="1">
            <wp:simplePos x="0" y="0"/>
            <wp:positionH relativeFrom="column">
              <wp:posOffset>563880</wp:posOffset>
            </wp:positionH>
            <wp:positionV relativeFrom="paragraph">
              <wp:posOffset>4293235</wp:posOffset>
            </wp:positionV>
            <wp:extent cx="1649095" cy="567055"/>
            <wp:effectExtent l="0" t="0" r="8255" b="4445"/>
            <wp:wrapNone/>
            <wp:docPr id="33"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3" name="图片 5"/>
                    <pic:cNvPicPr>
                      <a:picLocks noChangeAspect="true"/>
                    </pic:cNvPicPr>
                  </pic:nvPicPr>
                  <pic:blipFill>
                    <a:blip r:embed="rId78"/>
                    <a:srcRect l="13496" t="40254" r="21014" b="27726"/>
                    <a:stretch>
                      <a:fillRect/>
                    </a:stretch>
                  </pic:blipFill>
                  <pic:spPr>
                    <a:xfrm>
                      <a:off x="0" y="0"/>
                      <a:ext cx="1649095" cy="567055"/>
                    </a:xfrm>
                    <a:prstGeom prst="rect">
                      <a:avLst/>
                    </a:prstGeom>
                    <a:noFill/>
                    <a:ln>
                      <a:noFill/>
                    </a:ln>
                  </pic:spPr>
                </pic:pic>
              </a:graphicData>
            </a:graphic>
          </wp:anchor>
        </w:drawing>
      </w:r>
      <w:r>
        <w:rPr>
          <w:color w:val="auto"/>
          <w:highlight w:val="none"/>
        </w:rPr>
        <w:drawing>
          <wp:anchor distT="0" distB="0" distL="114300" distR="114300" simplePos="0" relativeHeight="251664384" behindDoc="0" locked="0" layoutInCell="1" allowOverlap="1">
            <wp:simplePos x="0" y="0"/>
            <wp:positionH relativeFrom="column">
              <wp:posOffset>7490460</wp:posOffset>
            </wp:positionH>
            <wp:positionV relativeFrom="paragraph">
              <wp:posOffset>208915</wp:posOffset>
            </wp:positionV>
            <wp:extent cx="552450" cy="840740"/>
            <wp:effectExtent l="0" t="0" r="0" b="16510"/>
            <wp:wrapNone/>
            <wp:docPr id="5" name="图片 430" descr="风向标"/>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图片 430" descr="风向标"/>
                    <pic:cNvPicPr>
                      <a:picLocks noChangeAspect="true"/>
                    </pic:cNvPicPr>
                  </pic:nvPicPr>
                  <pic:blipFill>
                    <a:blip r:embed="rId74"/>
                    <a:stretch>
                      <a:fillRect/>
                    </a:stretch>
                  </pic:blipFill>
                  <pic:spPr>
                    <a:xfrm>
                      <a:off x="0" y="0"/>
                      <a:ext cx="552450" cy="840740"/>
                    </a:xfrm>
                    <a:prstGeom prst="rect">
                      <a:avLst/>
                    </a:prstGeom>
                    <a:noFill/>
                    <a:ln>
                      <a:noFill/>
                    </a:ln>
                    <a:effectLst/>
                  </pic:spPr>
                </pic:pic>
              </a:graphicData>
            </a:graphic>
          </wp:anchor>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eastAsia" w:ascii="黑体" w:hAnsi="黑体" w:eastAsia="黑体"/>
          <w:snapToGrid w:val="0"/>
          <w:sz w:val="28"/>
          <w:szCs w:val="28"/>
          <w:highlight w:val="none"/>
          <w:lang w:val="en-US" w:eastAsia="zh-CN"/>
        </w:rPr>
      </w:pPr>
      <w:r>
        <w:rPr>
          <w:color w:val="auto"/>
          <w:highlight w:val="none"/>
        </w:rPr>
        <w:drawing>
          <wp:anchor distT="0" distB="0" distL="114300" distR="114300" simplePos="0" relativeHeight="251663360" behindDoc="0" locked="0" layoutInCell="1" allowOverlap="1">
            <wp:simplePos x="0" y="0"/>
            <wp:positionH relativeFrom="column">
              <wp:posOffset>7252335</wp:posOffset>
            </wp:positionH>
            <wp:positionV relativeFrom="paragraph">
              <wp:posOffset>487045</wp:posOffset>
            </wp:positionV>
            <wp:extent cx="495300" cy="850900"/>
            <wp:effectExtent l="0" t="0" r="0" b="6350"/>
            <wp:wrapNone/>
            <wp:docPr id="2" name="图片 430" descr="风向标"/>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430" descr="风向标"/>
                    <pic:cNvPicPr>
                      <a:picLocks noChangeAspect="true"/>
                    </pic:cNvPicPr>
                  </pic:nvPicPr>
                  <pic:blipFill>
                    <a:blip r:embed="rId74"/>
                    <a:stretch>
                      <a:fillRect/>
                    </a:stretch>
                  </pic:blipFill>
                  <pic:spPr>
                    <a:xfrm>
                      <a:off x="0" y="0"/>
                      <a:ext cx="495300" cy="850900"/>
                    </a:xfrm>
                    <a:prstGeom prst="rect">
                      <a:avLst/>
                    </a:prstGeom>
                    <a:noFill/>
                    <a:ln>
                      <a:noFill/>
                    </a:ln>
                    <a:effectLst/>
                  </pic:spPr>
                </pic:pic>
              </a:graphicData>
            </a:graphic>
          </wp:anchor>
        </w:drawing>
      </w:r>
      <w:r>
        <w:rPr>
          <w:rFonts w:hint="eastAsia" w:ascii="黑体" w:hAnsi="黑体" w:eastAsia="黑体"/>
          <w:snapToGrid w:val="0"/>
          <w:sz w:val="28"/>
          <w:szCs w:val="28"/>
          <w:highlight w:val="none"/>
          <w:lang w:val="en-US" w:eastAsia="zh-CN"/>
        </w:rPr>
        <w:t>附图5 引用监测点位图</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center"/>
        <w:textAlignment w:val="auto"/>
        <w:outlineLvl w:val="0"/>
        <w:rPr>
          <w:highlight w:val="none"/>
        </w:rPr>
      </w:pPr>
      <w:r>
        <w:rPr>
          <w:sz w:val="24"/>
          <w:highlight w:val="none"/>
        </w:rPr>
        <mc:AlternateContent>
          <mc:Choice Requires="wps">
            <w:drawing>
              <wp:anchor distT="0" distB="0" distL="114300" distR="114300" simplePos="0" relativeHeight="251682816" behindDoc="0" locked="0" layoutInCell="1" allowOverlap="1">
                <wp:simplePos x="0" y="0"/>
                <wp:positionH relativeFrom="column">
                  <wp:posOffset>7186295</wp:posOffset>
                </wp:positionH>
                <wp:positionV relativeFrom="paragraph">
                  <wp:posOffset>3955415</wp:posOffset>
                </wp:positionV>
                <wp:extent cx="713105" cy="885190"/>
                <wp:effectExtent l="0" t="0" r="0" b="0"/>
                <wp:wrapNone/>
                <wp:docPr id="52" name="文本框 52"/>
                <wp:cNvGraphicFramePr/>
                <a:graphic xmlns:a="http://schemas.openxmlformats.org/drawingml/2006/main">
                  <a:graphicData uri="http://schemas.microsoft.com/office/word/2010/wordprocessingShape">
                    <wps:wsp>
                      <wps:cNvSpPr txBox="true"/>
                      <wps:spPr>
                        <a:xfrm>
                          <a:off x="8418830" y="5177790"/>
                          <a:ext cx="713105" cy="8851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lang w:val="en-US" w:eastAsia="zh-CN"/>
                              </w:rPr>
                            </w:pPr>
                            <w:r>
                              <w:rPr>
                                <w:rFonts w:hint="eastAsia"/>
                                <w:lang w:val="en-US" w:eastAsia="zh-CN"/>
                              </w:rPr>
                              <w:t>厂界</w:t>
                            </w:r>
                          </w:p>
                          <w:p>
                            <w:pPr>
                              <w:rPr>
                                <w:rFonts w:hint="eastAsia"/>
                                <w:lang w:val="en-US" w:eastAsia="zh-CN"/>
                              </w:rPr>
                            </w:pPr>
                          </w:p>
                          <w:p>
                            <w:pPr>
                              <w:pStyle w:val="2"/>
                              <w:rPr>
                                <w:rFonts w:hint="eastAsia"/>
                                <w:color w:val="000000" w:themeColor="text1"/>
                                <w:sz w:val="15"/>
                                <w:szCs w:val="8"/>
                                <w:lang w:val="en-US" w:eastAsia="zh-CN"/>
                                <w14:textFill>
                                  <w14:solidFill>
                                    <w14:schemeClr w14:val="tx1"/>
                                  </w14:solidFill>
                                </w14:textFill>
                              </w:rPr>
                            </w:pPr>
                          </w:p>
                          <w:p>
                            <w:pPr>
                              <w:rPr>
                                <w:rFonts w:hint="default"/>
                                <w:lang w:val="en-US" w:eastAsia="zh-CN"/>
                              </w:rPr>
                            </w:pPr>
                            <w:r>
                              <w:rPr>
                                <w:rFonts w:hint="eastAsia"/>
                                <w:lang w:val="en-US" w:eastAsia="zh-CN"/>
                              </w:rPr>
                              <w:t>监测点</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565.85pt;margin-top:311.45pt;height:69.7pt;width:56.15pt;z-index:251682816;mso-width-relative:page;mso-height-relative:page;" filled="f" stroked="f" coordsize="21600,21600" o:gfxdata="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FgAAAGRycy9QSwECFAAUAAAACACHTuJAouWx3N0AAAANAQAADwAAAAAA&#10;AAABACAAAAA4AAAAZHJzL2Rvd25yZXYueG1sUEsBAhQAFAAAAAgAh07iQKYg6FIxAgAANwQAAA4A&#10;AAAAAAAAAQAgAAAAQgEAAGRycy9lMm9Eb2MueG1sUEsFBgAAAAAGAAYAWQEAAOUFAAAAAA==&#10;">
                <v:fill on="f" focussize="0,0"/>
                <v:stroke on="f" weight="0.5pt"/>
                <v:imagedata o:title=""/>
                <o:lock v:ext="edit" aspectratio="f"/>
                <v:textbox>
                  <w:txbxContent>
                    <w:p>
                      <w:pPr>
                        <w:rPr>
                          <w:rFonts w:hint="eastAsia"/>
                          <w:lang w:val="en-US" w:eastAsia="zh-CN"/>
                        </w:rPr>
                      </w:pPr>
                      <w:r>
                        <w:rPr>
                          <w:rFonts w:hint="eastAsia"/>
                          <w:lang w:val="en-US" w:eastAsia="zh-CN"/>
                        </w:rPr>
                        <w:t>厂界</w:t>
                      </w:r>
                    </w:p>
                    <w:p>
                      <w:pPr>
                        <w:rPr>
                          <w:rFonts w:hint="eastAsia"/>
                          <w:lang w:val="en-US" w:eastAsia="zh-CN"/>
                        </w:rPr>
                      </w:pPr>
                    </w:p>
                    <w:p>
                      <w:pPr>
                        <w:pStyle w:val="2"/>
                        <w:rPr>
                          <w:rFonts w:hint="eastAsia"/>
                          <w:color w:val="000000" w:themeColor="text1"/>
                          <w:sz w:val="15"/>
                          <w:szCs w:val="8"/>
                          <w:lang w:val="en-US" w:eastAsia="zh-CN"/>
                          <w14:textFill>
                            <w14:solidFill>
                              <w14:schemeClr w14:val="tx1"/>
                            </w14:solidFill>
                          </w14:textFill>
                        </w:rPr>
                      </w:pPr>
                    </w:p>
                    <w:p>
                      <w:pPr>
                        <w:rPr>
                          <w:rFonts w:hint="default"/>
                          <w:lang w:val="en-US" w:eastAsia="zh-CN"/>
                        </w:rPr>
                      </w:pPr>
                      <w:r>
                        <w:rPr>
                          <w:rFonts w:hint="eastAsia"/>
                          <w:lang w:val="en-US" w:eastAsia="zh-CN"/>
                        </w:rPr>
                        <w:t>监测点</w:t>
                      </w:r>
                    </w:p>
                  </w:txbxContent>
                </v:textbox>
              </v:shape>
            </w:pict>
          </mc:Fallback>
        </mc:AlternateContent>
      </w:r>
      <w:r>
        <w:rPr>
          <w:sz w:val="24"/>
          <w:highlight w:val="none"/>
        </w:rPr>
        <mc:AlternateContent>
          <mc:Choice Requires="wps">
            <w:drawing>
              <wp:anchor distT="0" distB="0" distL="114300" distR="114300" simplePos="0" relativeHeight="251680768" behindDoc="0" locked="0" layoutInCell="1" allowOverlap="1">
                <wp:simplePos x="0" y="0"/>
                <wp:positionH relativeFrom="column">
                  <wp:posOffset>6729095</wp:posOffset>
                </wp:positionH>
                <wp:positionV relativeFrom="paragraph">
                  <wp:posOffset>3964940</wp:posOffset>
                </wp:positionV>
                <wp:extent cx="400050" cy="257175"/>
                <wp:effectExtent l="12700" t="12700" r="25400" b="15875"/>
                <wp:wrapNone/>
                <wp:docPr id="49" name="矩形 49"/>
                <wp:cNvGraphicFramePr/>
                <a:graphic xmlns:a="http://schemas.openxmlformats.org/drawingml/2006/main">
                  <a:graphicData uri="http://schemas.microsoft.com/office/word/2010/wordprocessingShape">
                    <wps:wsp>
                      <wps:cNvSpPr/>
                      <wps:spPr>
                        <a:xfrm>
                          <a:off x="7809230" y="5149215"/>
                          <a:ext cx="400050" cy="257175"/>
                        </a:xfrm>
                        <a:prstGeom prst="rect">
                          <a:avLst/>
                        </a:prstGeom>
                        <a:noFill/>
                        <a:ln>
                          <a:solidFill>
                            <a:srgbClr val="3144A5"/>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29.85pt;margin-top:312.2pt;height:20.25pt;width:31.5pt;z-index:251680768;v-text-anchor:middle;mso-width-relative:page;mso-height-relative:page;" filled="f" stroked="t" coordsize="21600,21600" o:gfxdata="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FgAAAGRycy9Q&#10;SwECFAAUAAAACACHTuJAkHCfxNgAAAANAQAADwAAAAAAAAABACAAAAA4AAAAZHJzL2Rvd25yZXYu&#10;eG1sUEsBAhQAFAAAAAgAh07iQMmTi99XAgAAggQAAA4AAAAAAAAAAQAgAAAAPQEAAGRycy9lMm9E&#10;b2MueG1sUEsFBgAAAAAGAAYAWQEAAAYGAAAAAA==&#10;">
                <v:fill on="f" focussize="0,0"/>
                <v:stroke weight="2pt" color="#3144A5 [2404]" joinstyle="round"/>
                <v:imagedata o:title=""/>
                <o:lock v:ext="edit" aspectratio="f"/>
              </v:rect>
            </w:pict>
          </mc:Fallback>
        </mc:AlternateContent>
      </w:r>
      <w:r>
        <w:rPr>
          <w:highlight w:val="none"/>
        </w:rPr>
        <w:drawing>
          <wp:anchor distT="0" distB="0" distL="114300" distR="114300" simplePos="0" relativeHeight="251681792" behindDoc="0" locked="0" layoutInCell="1" allowOverlap="1">
            <wp:simplePos x="0" y="0"/>
            <wp:positionH relativeFrom="column">
              <wp:posOffset>6751955</wp:posOffset>
            </wp:positionH>
            <wp:positionV relativeFrom="page">
              <wp:posOffset>5794375</wp:posOffset>
            </wp:positionV>
            <wp:extent cx="323850" cy="371475"/>
            <wp:effectExtent l="0" t="0" r="0" b="9525"/>
            <wp:wrapNone/>
            <wp:docPr id="51" name="图片 1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1" name="图片 12"/>
                    <pic:cNvPicPr>
                      <a:picLocks noChangeAspect="true"/>
                    </pic:cNvPicPr>
                  </pic:nvPicPr>
                  <pic:blipFill>
                    <a:blip r:embed="rId79"/>
                    <a:stretch>
                      <a:fillRect/>
                    </a:stretch>
                  </pic:blipFill>
                  <pic:spPr>
                    <a:xfrm>
                      <a:off x="0" y="0"/>
                      <a:ext cx="323850" cy="371475"/>
                    </a:xfrm>
                    <a:prstGeom prst="rect">
                      <a:avLst/>
                    </a:prstGeom>
                    <a:noFill/>
                    <a:ln>
                      <a:noFill/>
                    </a:ln>
                  </pic:spPr>
                </pic:pic>
              </a:graphicData>
            </a:graphic>
          </wp:anchor>
        </w:drawing>
      </w:r>
      <w:r>
        <w:rPr>
          <w:sz w:val="24"/>
          <w:highlight w:val="none"/>
        </w:rPr>
        <mc:AlternateContent>
          <mc:Choice Requires="wps">
            <w:drawing>
              <wp:anchor distT="0" distB="0" distL="114300" distR="114300" simplePos="0" relativeHeight="251679744" behindDoc="0" locked="0" layoutInCell="1" allowOverlap="1">
                <wp:simplePos x="0" y="0"/>
                <wp:positionH relativeFrom="column">
                  <wp:posOffset>7005320</wp:posOffset>
                </wp:positionH>
                <wp:positionV relativeFrom="paragraph">
                  <wp:posOffset>3507740</wp:posOffset>
                </wp:positionV>
                <wp:extent cx="628015" cy="333375"/>
                <wp:effectExtent l="0" t="0" r="635" b="9525"/>
                <wp:wrapNone/>
                <wp:docPr id="48" name="文本框 48"/>
                <wp:cNvGraphicFramePr/>
                <a:graphic xmlns:a="http://schemas.openxmlformats.org/drawingml/2006/main">
                  <a:graphicData uri="http://schemas.microsoft.com/office/word/2010/wordprocessingShape">
                    <wps:wsp>
                      <wps:cNvSpPr txBox="true"/>
                      <wps:spPr>
                        <a:xfrm>
                          <a:off x="8009255" y="4758690"/>
                          <a:ext cx="628015" cy="3333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sz w:val="28"/>
                                <w:szCs w:val="28"/>
                                <w:lang w:val="en-US" w:eastAsia="zh-CN"/>
                              </w:rPr>
                            </w:pPr>
                            <w:r>
                              <w:rPr>
                                <w:rFonts w:hint="eastAsia"/>
                                <w:b/>
                                <w:bCs/>
                                <w:sz w:val="28"/>
                                <w:szCs w:val="28"/>
                                <w:lang w:val="en-US" w:eastAsia="zh-CN"/>
                              </w:rPr>
                              <w:t>图例</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551.6pt;margin-top:276.2pt;height:26.25pt;width:49.45pt;z-index:251679744;mso-width-relative:page;mso-height-relative:page;" filled="f" stroked="f" coordsize="21600,21600" o:gfxdata="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BYAAABkcnMvUEsBAhQAFAAAAAgAh07iQBeT/vvcAAAADQEAAA8AAAAAAAAA&#10;AQAgAAAAOAAAAGRycy9kb3ducmV2LnhtbFBLAQIUABQAAAAIAIdO4kAN7qJ1MAIAADcEAAAOAAAA&#10;AAAAAAEAIAAAAEEBAABkcnMvZTJvRG9jLnhtbFBLBQYAAAAABgAGAFkBAADjBQAAAAA=&#10;">
                <v:fill on="f" focussize="0,0"/>
                <v:stroke on="f" weight="0.5pt"/>
                <v:imagedata o:title=""/>
                <o:lock v:ext="edit" aspectratio="f"/>
                <v:textbox>
                  <w:txbxContent>
                    <w:p>
                      <w:pPr>
                        <w:rPr>
                          <w:rFonts w:hint="eastAsia" w:eastAsia="宋体"/>
                          <w:b/>
                          <w:bCs/>
                          <w:sz w:val="28"/>
                          <w:szCs w:val="28"/>
                          <w:lang w:val="en-US" w:eastAsia="zh-CN"/>
                        </w:rPr>
                      </w:pPr>
                      <w:r>
                        <w:rPr>
                          <w:rFonts w:hint="eastAsia"/>
                          <w:b/>
                          <w:bCs/>
                          <w:sz w:val="28"/>
                          <w:szCs w:val="28"/>
                          <w:lang w:val="en-US" w:eastAsia="zh-CN"/>
                        </w:rPr>
                        <w:t>图例</w:t>
                      </w:r>
                    </w:p>
                  </w:txbxContent>
                </v:textbox>
              </v:shape>
            </w:pict>
          </mc:Fallback>
        </mc:AlternateContent>
      </w:r>
      <w:r>
        <w:rPr>
          <w:sz w:val="24"/>
          <w:highlight w:val="none"/>
        </w:rPr>
        <mc:AlternateContent>
          <mc:Choice Requires="wps">
            <w:drawing>
              <wp:anchor distT="0" distB="0" distL="114300" distR="114300" simplePos="0" relativeHeight="251678720" behindDoc="0" locked="0" layoutInCell="1" allowOverlap="1">
                <wp:simplePos x="0" y="0"/>
                <wp:positionH relativeFrom="column">
                  <wp:posOffset>6557010</wp:posOffset>
                </wp:positionH>
                <wp:positionV relativeFrom="paragraph">
                  <wp:posOffset>3430905</wp:posOffset>
                </wp:positionV>
                <wp:extent cx="1409700" cy="1638935"/>
                <wp:effectExtent l="0" t="0" r="0" b="18415"/>
                <wp:wrapNone/>
                <wp:docPr id="47" name="矩形 47"/>
                <wp:cNvGraphicFramePr/>
                <a:graphic xmlns:a="http://schemas.openxmlformats.org/drawingml/2006/main">
                  <a:graphicData uri="http://schemas.microsoft.com/office/word/2010/wordprocessingShape">
                    <wps:wsp>
                      <wps:cNvSpPr/>
                      <wps:spPr>
                        <a:xfrm>
                          <a:off x="7504430" y="4568190"/>
                          <a:ext cx="1409700" cy="1638935"/>
                        </a:xfrm>
                        <a:prstGeom prst="rect">
                          <a:avLst/>
                        </a:prstGeom>
                        <a:solidFill>
                          <a:schemeClr val="bg1">
                            <a:alpha val="73000"/>
                          </a:schemeClr>
                        </a:solidFill>
                        <a:ln>
                          <a:noFill/>
                        </a:ln>
                      </wps:spPr>
                      <wps:style>
                        <a:lnRef idx="2">
                          <a:schemeClr val="accent1">
                            <a:lumMod val="75000"/>
                          </a:schemeClr>
                        </a:lnRef>
                        <a:fillRef idx="1">
                          <a:schemeClr val="accent1"/>
                        </a:fillRef>
                        <a:effectRef idx="0">
                          <a:srgbClr val="FFFFFF"/>
                        </a:effectRef>
                        <a:fontRef idx="minor">
                          <a:schemeClr val="lt1"/>
                        </a:fontRef>
                      </wps:style>
                      <wps:txbx>
                        <w:txbxContent>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16.3pt;margin-top:270.15pt;height:129.05pt;width:111pt;z-index:251678720;v-text-anchor:middle;mso-width-relative:page;mso-height-relative:page;" fillcolor="#FFFFFF [3212]" filled="t" stroked="f" coordsize="21600,21600" o:gfxdata="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WAAAAZHJzL1BLAQIUABQAAAAIAIdO4kA0HV4s2gAAAA0BAAAPAAAAAAAA&#10;AAEAIAAAADgAAABkcnMvZG93bnJldi54bWxQSwECFAAUAAAACACHTuJASW1D62wCAACwBAAADgAA&#10;AAAAAAABACAAAAA/AQAAZHJzL2Uyb0RvYy54bWxQSwUGAAAAAAYABgBZAQAAHQYAAAAA&#10;">
                <v:fill on="t" opacity="47841f" focussize="0,0"/>
                <v:stroke on="f" weight="2pt"/>
                <v:imagedata o:title=""/>
                <o:lock v:ext="edit" aspectratio="f"/>
                <v:textbox>
                  <w:txbxContent>
                    <w:p/>
                  </w:txbxContent>
                </v:textbox>
              </v:rect>
            </w:pict>
          </mc:Fallback>
        </mc:AlternateContent>
      </w:r>
      <w:r>
        <w:rPr>
          <w:highlight w:val="none"/>
        </w:rPr>
        <w:drawing>
          <wp:inline distT="0" distB="0" distL="114300" distR="114300">
            <wp:extent cx="7397115" cy="5059680"/>
            <wp:effectExtent l="0" t="0" r="13335" b="7620"/>
            <wp:docPr id="46" name="图片 1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6" name="图片 10"/>
                    <pic:cNvPicPr>
                      <a:picLocks noChangeAspect="true"/>
                    </pic:cNvPicPr>
                  </pic:nvPicPr>
                  <pic:blipFill>
                    <a:blip r:embed="rId80"/>
                    <a:stretch>
                      <a:fillRect/>
                    </a:stretch>
                  </pic:blipFill>
                  <pic:spPr>
                    <a:xfrm>
                      <a:off x="0" y="0"/>
                      <a:ext cx="7397115" cy="5059680"/>
                    </a:xfrm>
                    <a:prstGeom prst="rect">
                      <a:avLst/>
                    </a:prstGeom>
                    <a:noFill/>
                    <a:ln>
                      <a:noFill/>
                    </a:ln>
                  </pic:spPr>
                </pic:pic>
              </a:graphicData>
            </a:graphic>
          </wp:inline>
        </w:drawing>
      </w:r>
    </w:p>
    <w:p>
      <w:pPr>
        <w:pStyle w:val="2"/>
        <w:ind w:left="0" w:leftChars="0" w:firstLine="0" w:firstLineChars="0"/>
        <w:rPr>
          <w:rFonts w:hint="eastAsia"/>
          <w:highlight w:val="none"/>
          <w:lang w:val="en-US" w:eastAsia="zh-CN"/>
        </w:rPr>
      </w:pPr>
      <w:r>
        <w:rPr>
          <w:rFonts w:hint="eastAsia" w:ascii="黑体" w:hAnsi="黑体" w:eastAsia="黑体" w:cs="Times New Roman"/>
          <w:snapToGrid w:val="0"/>
          <w:kern w:val="0"/>
          <w:sz w:val="28"/>
          <w:szCs w:val="28"/>
          <w:highlight w:val="none"/>
          <w:lang w:val="en-US" w:eastAsia="zh-CN" w:bidi="ar-SA"/>
        </w:rPr>
        <w:t>附图6 项目环境保护目标图</w:t>
      </w:r>
      <w:r>
        <w:rPr>
          <w:rFonts w:hint="eastAsia"/>
          <w:highlight w:val="none"/>
          <w:lang w:val="en-US" w:eastAsia="zh-CN"/>
        </w:rPr>
        <w:t xml:space="preserve"> </w:t>
      </w:r>
    </w:p>
    <w:p>
      <w:pPr>
        <w:pStyle w:val="2"/>
        <w:ind w:left="0" w:leftChars="0" w:firstLine="0" w:firstLineChars="0"/>
        <w:jc w:val="center"/>
        <w:rPr>
          <w:rFonts w:hint="default"/>
          <w:highlight w:val="none"/>
          <w:lang w:val="en-US" w:eastAsia="zh-CN"/>
        </w:rPr>
      </w:pPr>
      <w:r>
        <w:rPr>
          <w:sz w:val="24"/>
          <w:highlight w:val="none"/>
        </w:rPr>
        <mc:AlternateContent>
          <mc:Choice Requires="wps">
            <w:drawing>
              <wp:anchor distT="0" distB="0" distL="114300" distR="114300" simplePos="0" relativeHeight="251691008" behindDoc="0" locked="0" layoutInCell="1" allowOverlap="1">
                <wp:simplePos x="0" y="0"/>
                <wp:positionH relativeFrom="column">
                  <wp:posOffset>4462145</wp:posOffset>
                </wp:positionH>
                <wp:positionV relativeFrom="paragraph">
                  <wp:posOffset>897255</wp:posOffset>
                </wp:positionV>
                <wp:extent cx="3152775" cy="1360805"/>
                <wp:effectExtent l="0" t="0" r="0" b="0"/>
                <wp:wrapNone/>
                <wp:docPr id="61" name="文本框 61"/>
                <wp:cNvGraphicFramePr/>
                <a:graphic xmlns:a="http://schemas.openxmlformats.org/drawingml/2006/main">
                  <a:graphicData uri="http://schemas.microsoft.com/office/word/2010/wordprocessingShape">
                    <wps:wsp>
                      <wps:cNvSpPr txBox="true"/>
                      <wps:spPr>
                        <a:xfrm>
                          <a:off x="5570855" y="2233930"/>
                          <a:ext cx="3152775" cy="13608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color w:val="FFFFFF" w:themeColor="background1"/>
                                <w:sz w:val="28"/>
                                <w:szCs w:val="28"/>
                                <w:highlight w:val="none"/>
                                <w:lang w:val="en-US" w:eastAsia="zh-CN"/>
                                <w14:textOutline w14:w="9525">
                                  <w14:solidFill>
                                    <w14:srgbClr w14:val="000000"/>
                                  </w14:solidFill>
                                  <w14:round/>
                                </w14:textOutline>
                                <w14:textFill>
                                  <w14:solidFill>
                                    <w14:schemeClr w14:val="bg1"/>
                                  </w14:solidFill>
                                </w14:textFill>
                              </w:rPr>
                            </w:pPr>
                            <w:r>
                              <w:rPr>
                                <w:rFonts w:hint="eastAsia"/>
                                <w:color w:val="FFFFFF" w:themeColor="background1"/>
                                <w:sz w:val="28"/>
                                <w:szCs w:val="28"/>
                                <w:highlight w:val="none"/>
                                <w:lang w:val="en-US" w:eastAsia="zh-CN"/>
                                <w14:textOutline w14:w="9525">
                                  <w14:solidFill>
                                    <w14:srgbClr w14:val="000000"/>
                                  </w14:solidFill>
                                  <w14:round/>
                                </w14:textOutline>
                                <w14:textFill>
                                  <w14:solidFill>
                                    <w14:schemeClr w14:val="bg1"/>
                                  </w14:solidFill>
                                </w14:textFill>
                              </w:rPr>
                              <w:t>城南小区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51.35pt;margin-top:70.65pt;height:107.15pt;width:248.25pt;z-index:251691008;mso-width-relative:page;mso-height-relative:page;" filled="f" stroked="f" coordsize="21600,21600" o:gfxdata="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BYAAABkcnMvUEsBAhQAFAAAAAgAh07iQNZRuhLcAAAADAEAAA8AAAAA&#10;AAAAAQAgAAAAOAAAAGRycy9kb3ducmV2LnhtbFBLAQIUABQAAAAIAIdO4kBIggPzMwIAADkEAAAO&#10;AAAAAAAAAAEAIAAAAEEBAABkcnMvZTJvRG9jLnhtbFBLBQYAAAAABgAGAFkBAADmBQAAAAA=&#10;">
                <v:fill on="f" focussize="0,0"/>
                <v:stroke on="f" weight="0.5pt"/>
                <v:imagedata o:title=""/>
                <o:lock v:ext="edit" aspectratio="f"/>
                <v:textbox>
                  <w:txbxContent>
                    <w:p>
                      <w:pPr>
                        <w:rPr>
                          <w:rFonts w:hint="default" w:eastAsia="宋体"/>
                          <w:color w:val="FFFFFF" w:themeColor="background1"/>
                          <w:sz w:val="28"/>
                          <w:szCs w:val="28"/>
                          <w:highlight w:val="none"/>
                          <w:lang w:val="en-US" w:eastAsia="zh-CN"/>
                          <w14:textOutline w14:w="9525">
                            <w14:solidFill>
                              <w14:srgbClr w14:val="000000"/>
                            </w14:solidFill>
                            <w14:round/>
                          </w14:textOutline>
                          <w14:textFill>
                            <w14:solidFill>
                              <w14:schemeClr w14:val="bg1"/>
                            </w14:solidFill>
                          </w14:textFill>
                        </w:rPr>
                      </w:pPr>
                      <w:r>
                        <w:rPr>
                          <w:rFonts w:hint="eastAsia"/>
                          <w:color w:val="FFFFFF" w:themeColor="background1"/>
                          <w:sz w:val="28"/>
                          <w:szCs w:val="28"/>
                          <w:highlight w:val="none"/>
                          <w:lang w:val="en-US" w:eastAsia="zh-CN"/>
                          <w14:textOutline w14:w="9525">
                            <w14:solidFill>
                              <w14:srgbClr w14:val="000000"/>
                            </w14:solidFill>
                            <w14:round/>
                          </w14:textOutline>
                          <w14:textFill>
                            <w14:solidFill>
                              <w14:schemeClr w14:val="bg1"/>
                            </w14:solidFill>
                          </w14:textFill>
                        </w:rPr>
                        <w:t>城南小区</w:t>
                      </w:r>
                    </w:p>
                  </w:txbxContent>
                </v:textbox>
              </v:shape>
            </w:pict>
          </mc:Fallback>
        </mc:AlternateContent>
      </w:r>
      <w:r>
        <w:rPr>
          <w:sz w:val="24"/>
          <w:highlight w:val="none"/>
        </w:rPr>
        <mc:AlternateContent>
          <mc:Choice Requires="wps">
            <w:drawing>
              <wp:anchor distT="0" distB="0" distL="114300" distR="114300" simplePos="0" relativeHeight="251684864" behindDoc="0" locked="0" layoutInCell="1" allowOverlap="1">
                <wp:simplePos x="0" y="0"/>
                <wp:positionH relativeFrom="column">
                  <wp:posOffset>6538595</wp:posOffset>
                </wp:positionH>
                <wp:positionV relativeFrom="paragraph">
                  <wp:posOffset>3775075</wp:posOffset>
                </wp:positionV>
                <wp:extent cx="581025" cy="323850"/>
                <wp:effectExtent l="0" t="0" r="0" b="0"/>
                <wp:wrapNone/>
                <wp:docPr id="55" name="文本框 55"/>
                <wp:cNvGraphicFramePr/>
                <a:graphic xmlns:a="http://schemas.openxmlformats.org/drawingml/2006/main">
                  <a:graphicData uri="http://schemas.microsoft.com/office/word/2010/wordprocessingShape">
                    <wps:wsp>
                      <wps:cNvSpPr txBox="true"/>
                      <wps:spPr>
                        <a:xfrm>
                          <a:off x="7761605" y="5153025"/>
                          <a:ext cx="58102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b/>
                                <w:bCs/>
                                <w:lang w:val="en-US" w:eastAsia="zh-CN"/>
                              </w:rPr>
                              <w:t>图例</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514.85pt;margin-top:297.25pt;height:25.5pt;width:45.75pt;z-index:251684864;mso-width-relative:page;mso-height-relative:page;" filled="f" stroked="f" coordsize="21600,21600" o:gfxdata="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FgAAAGRycy9QSwECFAAUAAAACACHTuJA7/cq4N0AAAANAQAADwAAAAAAAAAB&#10;ACAAAAA4AAAAZHJzL2Rvd25yZXYueG1sUEsBAhQAFAAAAAgAh07iQPd2woEuAgAANwQAAA4AAAAA&#10;AAAAAQAgAAAAQgEAAGRycy9lMm9Eb2MueG1sUEsFBgAAAAAGAAYAWQEAAOIFAAAAAA==&#10;">
                <v:fill on="f" focussize="0,0"/>
                <v:stroke on="f" weight="0.5pt"/>
                <v:imagedata o:title=""/>
                <o:lock v:ext="edit" aspectratio="f"/>
                <v:textbox>
                  <w:txbxContent>
                    <w:p>
                      <w:pPr>
                        <w:rPr>
                          <w:rFonts w:hint="eastAsia" w:eastAsia="宋体"/>
                          <w:lang w:val="en-US" w:eastAsia="zh-CN"/>
                        </w:rPr>
                      </w:pPr>
                      <w:r>
                        <w:rPr>
                          <w:rFonts w:hint="eastAsia"/>
                          <w:b/>
                          <w:bCs/>
                          <w:lang w:val="en-US" w:eastAsia="zh-CN"/>
                        </w:rPr>
                        <w:t>图例</w:t>
                      </w:r>
                    </w:p>
                  </w:txbxContent>
                </v:textbox>
              </v:shape>
            </w:pict>
          </mc:Fallback>
        </mc:AlternateContent>
      </w:r>
      <w:r>
        <w:rPr>
          <w:sz w:val="24"/>
          <w:highlight w:val="none"/>
        </w:rPr>
        <mc:AlternateContent>
          <mc:Choice Requires="wps">
            <w:drawing>
              <wp:anchor distT="0" distB="0" distL="114300" distR="114300" simplePos="0" relativeHeight="251683840" behindDoc="0" locked="0" layoutInCell="1" allowOverlap="1">
                <wp:simplePos x="0" y="0"/>
                <wp:positionH relativeFrom="column">
                  <wp:posOffset>6031230</wp:posOffset>
                </wp:positionH>
                <wp:positionV relativeFrom="paragraph">
                  <wp:posOffset>3665220</wp:posOffset>
                </wp:positionV>
                <wp:extent cx="1514475" cy="1631315"/>
                <wp:effectExtent l="0" t="0" r="9525" b="6985"/>
                <wp:wrapNone/>
                <wp:docPr id="54" name="矩形 54"/>
                <wp:cNvGraphicFramePr/>
                <a:graphic xmlns:a="http://schemas.openxmlformats.org/drawingml/2006/main">
                  <a:graphicData uri="http://schemas.microsoft.com/office/word/2010/wordprocessingShape">
                    <wps:wsp>
                      <wps:cNvSpPr/>
                      <wps:spPr>
                        <a:xfrm>
                          <a:off x="0" y="0"/>
                          <a:ext cx="1514475" cy="1631315"/>
                        </a:xfrm>
                        <a:prstGeom prst="rect">
                          <a:avLst/>
                        </a:prstGeom>
                        <a:solidFill>
                          <a:schemeClr val="bg1">
                            <a:alpha val="73000"/>
                          </a:schemeClr>
                        </a:solidFill>
                        <a:ln w="12700">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74.9pt;margin-top:288.6pt;height:128.45pt;width:119.25pt;z-index:251683840;v-text-anchor:middle;mso-width-relative:page;mso-height-relative:page;" fillcolor="#FFFFFF [3212]" filled="t" stroked="f" coordsize="21600,21600" o:gfxdata="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WAAAA&#10;ZHJzL1BLAQIUABQAAAAIAIdO4kDVPkIT2wAAAAwBAAAPAAAAAAAAAAEAIAAAADgAAABkcnMvZG93&#10;bnJldi54bWxQSwECFAAUAAAACACHTuJAkZKbOlkCAACZBAAADgAAAAAAAAABACAAAABAAQAAZHJz&#10;L2Uyb0RvYy54bWxQSwUGAAAAAAYABgBZAQAACwYAAAAA&#10;">
                <v:fill on="t" opacity="47841f" focussize="0,0"/>
                <v:stroke on="f" weight="1pt"/>
                <v:imagedata o:title=""/>
                <o:lock v:ext="edit" aspectratio="f"/>
              </v:rect>
            </w:pict>
          </mc:Fallback>
        </mc:AlternateContent>
      </w:r>
      <w:r>
        <w:rPr>
          <w:sz w:val="24"/>
          <w:highlight w:val="none"/>
        </w:rPr>
        <mc:AlternateContent>
          <mc:Choice Requires="wps">
            <w:drawing>
              <wp:anchor distT="0" distB="0" distL="114300" distR="114300" simplePos="0" relativeHeight="251689984" behindDoc="0" locked="0" layoutInCell="1" allowOverlap="1">
                <wp:simplePos x="0" y="0"/>
                <wp:positionH relativeFrom="column">
                  <wp:posOffset>6431280</wp:posOffset>
                </wp:positionH>
                <wp:positionV relativeFrom="paragraph">
                  <wp:posOffset>4126865</wp:posOffset>
                </wp:positionV>
                <wp:extent cx="1320800" cy="1485265"/>
                <wp:effectExtent l="0" t="0" r="0" b="0"/>
                <wp:wrapNone/>
                <wp:docPr id="60" name="文本框 60"/>
                <wp:cNvGraphicFramePr/>
                <a:graphic xmlns:a="http://schemas.openxmlformats.org/drawingml/2006/main">
                  <a:graphicData uri="http://schemas.microsoft.com/office/word/2010/wordprocessingShape">
                    <wps:wsp>
                      <wps:cNvSpPr txBox="true"/>
                      <wps:spPr>
                        <a:xfrm>
                          <a:off x="7942580" y="5424805"/>
                          <a:ext cx="1320800" cy="14852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240" w:lineRule="auto"/>
                              <w:rPr>
                                <w:rFonts w:hint="eastAsia"/>
                                <w:sz w:val="20"/>
                                <w:szCs w:val="20"/>
                                <w:lang w:val="en-US" w:eastAsia="zh-CN"/>
                              </w:rPr>
                            </w:pPr>
                            <w:r>
                              <w:rPr>
                                <w:rFonts w:hint="eastAsia"/>
                                <w:sz w:val="20"/>
                                <w:szCs w:val="20"/>
                                <w:lang w:val="en-US" w:eastAsia="zh-CN"/>
                              </w:rPr>
                              <w:t>厂界</w:t>
                            </w:r>
                          </w:p>
                          <w:p>
                            <w:pPr>
                              <w:pStyle w:val="2"/>
                              <w:spacing w:line="240" w:lineRule="auto"/>
                              <w:ind w:left="0" w:leftChars="0" w:firstLine="0" w:firstLineChars="0"/>
                              <w:rPr>
                                <w:rFonts w:hint="eastAsia"/>
                                <w:sz w:val="20"/>
                                <w:szCs w:val="20"/>
                                <w:lang w:val="en-US" w:eastAsia="zh-CN"/>
                              </w:rPr>
                            </w:pPr>
                            <w:r>
                              <w:rPr>
                                <w:rFonts w:hint="eastAsia"/>
                                <w:sz w:val="20"/>
                                <w:szCs w:val="20"/>
                                <w:lang w:val="en-US" w:eastAsia="zh-CN"/>
                              </w:rPr>
                              <w:t>声评价范围</w:t>
                            </w:r>
                          </w:p>
                          <w:p>
                            <w:pPr>
                              <w:spacing w:line="240" w:lineRule="auto"/>
                              <w:rPr>
                                <w:rFonts w:hint="eastAsia"/>
                                <w:sz w:val="15"/>
                                <w:szCs w:val="15"/>
                                <w:lang w:val="en-US" w:eastAsia="zh-CN"/>
                              </w:rPr>
                            </w:pPr>
                          </w:p>
                          <w:p>
                            <w:pPr>
                              <w:spacing w:line="240" w:lineRule="auto"/>
                              <w:rPr>
                                <w:rFonts w:hint="eastAsia"/>
                                <w:sz w:val="20"/>
                                <w:szCs w:val="20"/>
                                <w:lang w:val="en-US" w:eastAsia="zh-CN"/>
                              </w:rPr>
                            </w:pPr>
                            <w:r>
                              <w:rPr>
                                <w:rFonts w:hint="eastAsia"/>
                                <w:sz w:val="20"/>
                                <w:szCs w:val="20"/>
                                <w:lang w:val="en-US" w:eastAsia="zh-CN"/>
                              </w:rPr>
                              <w:t>大气评价范围</w:t>
                            </w:r>
                          </w:p>
                          <w:p>
                            <w:pPr>
                              <w:pStyle w:val="2"/>
                              <w:spacing w:line="240" w:lineRule="auto"/>
                              <w:ind w:left="0" w:leftChars="0" w:firstLine="0" w:firstLineChars="0"/>
                              <w:rPr>
                                <w:rFonts w:hint="default"/>
                                <w:sz w:val="32"/>
                                <w:szCs w:val="21"/>
                                <w:lang w:val="en-US" w:eastAsia="zh-CN"/>
                              </w:rPr>
                            </w:pPr>
                            <w:r>
                              <w:rPr>
                                <w:rFonts w:hint="eastAsia"/>
                                <w:sz w:val="20"/>
                                <w:szCs w:val="20"/>
                                <w:lang w:val="en-US" w:eastAsia="zh-CN"/>
                              </w:rPr>
                              <w:t>大气环境保护目标</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506.4pt;margin-top:324.95pt;height:116.95pt;width:104pt;z-index:251689984;mso-width-relative:page;mso-height-relative:page;" filled="f" stroked="f" coordsize="21600,21600" o:gfxdata="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WAAAAZHJzL1BLAQIUABQAAAAIAIdO4kBzrthv3AAAAA0BAAAPAAAA&#10;AAAAAAEAIAAAADgAAABkcnMvZG93bnJldi54bWxQSwECFAAUAAAACACHTuJAwBOnpDQCAAA5BAAA&#10;DgAAAAAAAAABACAAAABBAQAAZHJzL2Uyb0RvYy54bWxQSwUGAAAAAAYABgBZAQAA5wUAAAAA&#10;">
                <v:fill on="f" focussize="0,0"/>
                <v:stroke on="f" weight="0.5pt"/>
                <v:imagedata o:title=""/>
                <o:lock v:ext="edit" aspectratio="f"/>
                <v:textbox>
                  <w:txbxContent>
                    <w:p>
                      <w:pPr>
                        <w:spacing w:line="240" w:lineRule="auto"/>
                        <w:rPr>
                          <w:rFonts w:hint="eastAsia"/>
                          <w:sz w:val="20"/>
                          <w:szCs w:val="20"/>
                          <w:lang w:val="en-US" w:eastAsia="zh-CN"/>
                        </w:rPr>
                      </w:pPr>
                      <w:r>
                        <w:rPr>
                          <w:rFonts w:hint="eastAsia"/>
                          <w:sz w:val="20"/>
                          <w:szCs w:val="20"/>
                          <w:lang w:val="en-US" w:eastAsia="zh-CN"/>
                        </w:rPr>
                        <w:t>厂界</w:t>
                      </w:r>
                    </w:p>
                    <w:p>
                      <w:pPr>
                        <w:pStyle w:val="2"/>
                        <w:spacing w:line="240" w:lineRule="auto"/>
                        <w:ind w:left="0" w:leftChars="0" w:firstLine="0" w:firstLineChars="0"/>
                        <w:rPr>
                          <w:rFonts w:hint="eastAsia"/>
                          <w:sz w:val="20"/>
                          <w:szCs w:val="20"/>
                          <w:lang w:val="en-US" w:eastAsia="zh-CN"/>
                        </w:rPr>
                      </w:pPr>
                      <w:r>
                        <w:rPr>
                          <w:rFonts w:hint="eastAsia"/>
                          <w:sz w:val="20"/>
                          <w:szCs w:val="20"/>
                          <w:lang w:val="en-US" w:eastAsia="zh-CN"/>
                        </w:rPr>
                        <w:t>声评价范围</w:t>
                      </w:r>
                    </w:p>
                    <w:p>
                      <w:pPr>
                        <w:spacing w:line="240" w:lineRule="auto"/>
                        <w:rPr>
                          <w:rFonts w:hint="eastAsia"/>
                          <w:sz w:val="15"/>
                          <w:szCs w:val="15"/>
                          <w:lang w:val="en-US" w:eastAsia="zh-CN"/>
                        </w:rPr>
                      </w:pPr>
                    </w:p>
                    <w:p>
                      <w:pPr>
                        <w:spacing w:line="240" w:lineRule="auto"/>
                        <w:rPr>
                          <w:rFonts w:hint="eastAsia"/>
                          <w:sz w:val="20"/>
                          <w:szCs w:val="20"/>
                          <w:lang w:val="en-US" w:eastAsia="zh-CN"/>
                        </w:rPr>
                      </w:pPr>
                      <w:r>
                        <w:rPr>
                          <w:rFonts w:hint="eastAsia"/>
                          <w:sz w:val="20"/>
                          <w:szCs w:val="20"/>
                          <w:lang w:val="en-US" w:eastAsia="zh-CN"/>
                        </w:rPr>
                        <w:t>大气评价范围</w:t>
                      </w:r>
                    </w:p>
                    <w:p>
                      <w:pPr>
                        <w:pStyle w:val="2"/>
                        <w:spacing w:line="240" w:lineRule="auto"/>
                        <w:ind w:left="0" w:leftChars="0" w:firstLine="0" w:firstLineChars="0"/>
                        <w:rPr>
                          <w:rFonts w:hint="default"/>
                          <w:sz w:val="32"/>
                          <w:szCs w:val="21"/>
                          <w:lang w:val="en-US" w:eastAsia="zh-CN"/>
                        </w:rPr>
                      </w:pPr>
                      <w:r>
                        <w:rPr>
                          <w:rFonts w:hint="eastAsia"/>
                          <w:sz w:val="20"/>
                          <w:szCs w:val="20"/>
                          <w:lang w:val="en-US" w:eastAsia="zh-CN"/>
                        </w:rPr>
                        <w:t>大气环境保护目标</w:t>
                      </w:r>
                    </w:p>
                  </w:txbxContent>
                </v:textbox>
              </v:shape>
            </w:pict>
          </mc:Fallback>
        </mc:AlternateContent>
      </w:r>
      <w:r>
        <w:rPr>
          <w:sz w:val="24"/>
          <w:highlight w:val="none"/>
        </w:rPr>
        <mc:AlternateContent>
          <mc:Choice Requires="wps">
            <w:drawing>
              <wp:anchor distT="0" distB="0" distL="114300" distR="114300" simplePos="0" relativeHeight="251688960" behindDoc="0" locked="0" layoutInCell="1" allowOverlap="1">
                <wp:simplePos x="0" y="0"/>
                <wp:positionH relativeFrom="column">
                  <wp:posOffset>6087745</wp:posOffset>
                </wp:positionH>
                <wp:positionV relativeFrom="paragraph">
                  <wp:posOffset>4921885</wp:posOffset>
                </wp:positionV>
                <wp:extent cx="365125" cy="184150"/>
                <wp:effectExtent l="0" t="0" r="15875" b="6350"/>
                <wp:wrapNone/>
                <wp:docPr id="59" name="矩形 59"/>
                <wp:cNvGraphicFramePr/>
                <a:graphic xmlns:a="http://schemas.openxmlformats.org/drawingml/2006/main">
                  <a:graphicData uri="http://schemas.microsoft.com/office/word/2010/wordprocessingShape">
                    <wps:wsp>
                      <wps:cNvSpPr/>
                      <wps:spPr>
                        <a:xfrm>
                          <a:off x="0" y="0"/>
                          <a:ext cx="365125" cy="184150"/>
                        </a:xfrm>
                        <a:prstGeom prst="rect">
                          <a:avLst/>
                        </a:prstGeom>
                        <a:solidFill>
                          <a:srgbClr val="FFFF00"/>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79.35pt;margin-top:387.55pt;height:14.5pt;width:28.75pt;z-index:251688960;v-text-anchor:middle;mso-width-relative:page;mso-height-relative:page;" fillcolor="#FFFF00" filled="t" stroked="f" coordsize="21600,21600" o:gfxdata="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WAAAAZHJzL1BLAQIUABQAAAAI&#10;AIdO4kBIKJCr2wAAAAwBAAAPAAAAAAAAAAEAIAAAADgAAABkcnMvZG93bnJldi54bWxQSwECFAAU&#10;AAAACACHTuJAKk+S5koCAAB2BAAADgAAAAAAAAABACAAAABAAQAAZHJzL2Uyb0RvYy54bWxQSwUG&#10;AAAAAAYABgBZAQAA/AUAAAAA&#10;">
                <v:fill on="t" focussize="0,0"/>
                <v:stroke on="f" weight="2pt"/>
                <v:imagedata o:title=""/>
                <o:lock v:ext="edit" aspectratio="f"/>
              </v:rect>
            </w:pict>
          </mc:Fallback>
        </mc:AlternateContent>
      </w:r>
      <w:r>
        <w:rPr>
          <w:sz w:val="24"/>
          <w:highlight w:val="none"/>
        </w:rPr>
        <mc:AlternateContent>
          <mc:Choice Requires="wps">
            <w:drawing>
              <wp:anchor distT="0" distB="0" distL="114300" distR="114300" simplePos="0" relativeHeight="251687936" behindDoc="0" locked="0" layoutInCell="1" allowOverlap="1">
                <wp:simplePos x="0" y="0"/>
                <wp:positionH relativeFrom="column">
                  <wp:posOffset>6097270</wp:posOffset>
                </wp:positionH>
                <wp:positionV relativeFrom="paragraph">
                  <wp:posOffset>4686935</wp:posOffset>
                </wp:positionV>
                <wp:extent cx="333375" cy="171450"/>
                <wp:effectExtent l="12700" t="12700" r="15875" b="25400"/>
                <wp:wrapNone/>
                <wp:docPr id="58" name="矩形 58"/>
                <wp:cNvGraphicFramePr/>
                <a:graphic xmlns:a="http://schemas.openxmlformats.org/drawingml/2006/main">
                  <a:graphicData uri="http://schemas.microsoft.com/office/word/2010/wordprocessingShape">
                    <wps:wsp>
                      <wps:cNvSpPr/>
                      <wps:spPr>
                        <a:xfrm>
                          <a:off x="0" y="0"/>
                          <a:ext cx="333375" cy="171450"/>
                        </a:xfrm>
                        <a:prstGeom prst="rect">
                          <a:avLst/>
                        </a:prstGeom>
                        <a:noFill/>
                        <a:ln>
                          <a:solidFill>
                            <a:srgbClr val="3EF52C"/>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80.1pt;margin-top:369.05pt;height:13.5pt;width:26.25pt;z-index:251687936;v-text-anchor:middle;mso-width-relative:page;mso-height-relative:page;" filled="f" stroked="t" coordsize="21600,21600" o:gfxdata="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BYAAABkcnMvUEsBAhQAFAAA&#10;AAgAh07iQPrOblXbAAAADAEAAA8AAAAAAAAAAQAgAAAAOAAAAGRycy9kb3ducmV2LnhtbFBLAQIU&#10;ABQAAAAIAIdO4kCwe8JrTAIAAHYEAAAOAAAAAAAAAAEAIAAAAEABAABkcnMvZTJvRG9jLnhtbFBL&#10;BQYAAAAABgAGAFkBAAD+BQAAAAA=&#10;">
                <v:fill on="f" focussize="0,0"/>
                <v:stroke weight="2pt" color="#3EF52C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86912" behindDoc="0" locked="0" layoutInCell="1" allowOverlap="1">
                <wp:simplePos x="0" y="0"/>
                <wp:positionH relativeFrom="column">
                  <wp:posOffset>6103620</wp:posOffset>
                </wp:positionH>
                <wp:positionV relativeFrom="paragraph">
                  <wp:posOffset>4413885</wp:posOffset>
                </wp:positionV>
                <wp:extent cx="333375" cy="171450"/>
                <wp:effectExtent l="12700" t="12700" r="15875" b="25400"/>
                <wp:wrapNone/>
                <wp:docPr id="57" name="矩形 57"/>
                <wp:cNvGraphicFramePr/>
                <a:graphic xmlns:a="http://schemas.openxmlformats.org/drawingml/2006/main">
                  <a:graphicData uri="http://schemas.microsoft.com/office/word/2010/wordprocessingShape">
                    <wps:wsp>
                      <wps:cNvSpPr/>
                      <wps:spPr>
                        <a:xfrm>
                          <a:off x="0" y="0"/>
                          <a:ext cx="333375" cy="171450"/>
                        </a:xfrm>
                        <a:prstGeom prst="rect">
                          <a:avLst/>
                        </a:prstGeom>
                        <a:no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80.6pt;margin-top:347.55pt;height:13.5pt;width:26.25pt;z-index:251686912;v-text-anchor:middle;mso-width-relative:page;mso-height-relative:page;" filled="f" stroked="t" coordsize="21600,21600" o:gfxdata="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FgAAAGRycy9QSwECFAAUAAAACACH&#10;TuJAjdb5adoAAAAMAQAADwAAAAAAAAABACAAAAA4AAAAZHJzL2Rvd25yZXYueG1sUEsBAhQAFAAA&#10;AAgAh07iQO1+CshJAgAAdgQAAA4AAAAAAAAAAQAgAAAAPwEAAGRycy9lMm9Eb2MueG1sUEsFBgAA&#10;AAAGAAYAWQEAAPoFAAAAAA==&#10;">
                <v:fill on="f" focussize="0,0"/>
                <v:stroke weight="2pt" color="#FFFF00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85888" behindDoc="0" locked="0" layoutInCell="1" allowOverlap="1">
                <wp:simplePos x="0" y="0"/>
                <wp:positionH relativeFrom="column">
                  <wp:posOffset>6109970</wp:posOffset>
                </wp:positionH>
                <wp:positionV relativeFrom="paragraph">
                  <wp:posOffset>4156710</wp:posOffset>
                </wp:positionV>
                <wp:extent cx="333375" cy="171450"/>
                <wp:effectExtent l="12700" t="12700" r="15875" b="25400"/>
                <wp:wrapNone/>
                <wp:docPr id="56" name="矩形 56"/>
                <wp:cNvGraphicFramePr/>
                <a:graphic xmlns:a="http://schemas.openxmlformats.org/drawingml/2006/main">
                  <a:graphicData uri="http://schemas.microsoft.com/office/word/2010/wordprocessingShape">
                    <wps:wsp>
                      <wps:cNvSpPr/>
                      <wps:spPr>
                        <a:xfrm>
                          <a:off x="7437755" y="5410200"/>
                          <a:ext cx="333375" cy="171450"/>
                        </a:xfrm>
                        <a:prstGeom prst="rect">
                          <a:avLst/>
                        </a:prstGeom>
                        <a:noFill/>
                        <a:ln>
                          <a:solidFill>
                            <a:srgbClr val="0C1D9D"/>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81.1pt;margin-top:327.3pt;height:13.5pt;width:26.25pt;z-index:251685888;v-text-anchor:middle;mso-width-relative:page;mso-height-relative:page;" filled="f" stroked="t" coordsize="21600,21600" o:gfxdata="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FgAAAGRy&#10;cy9QSwECFAAUAAAACACHTuJAhwICmNwAAAAMAQAADwAAAAAAAAABACAAAAA4AAAAZHJzL2Rvd25y&#10;ZXYueG1sUEsBAhQAFAAAAAgAh07iQNLZAAVWAgAAggQAAA4AAAAAAAAAAQAgAAAAQQEAAGRycy9l&#10;Mm9Eb2MueG1sUEsFBgAAAAAGAAYAWQEAAAkGAAAAAA==&#10;">
                <v:fill on="f" focussize="0,0"/>
                <v:stroke weight="2pt" color="#0C1D9D [2404]" joinstyle="round"/>
                <v:imagedata o:title=""/>
                <o:lock v:ext="edit" aspectratio="f"/>
              </v:rect>
            </w:pict>
          </mc:Fallback>
        </mc:AlternateContent>
      </w:r>
      <w:r>
        <w:rPr>
          <w:color w:val="auto"/>
          <w:highlight w:val="none"/>
        </w:rPr>
        <w:drawing>
          <wp:anchor distT="0" distB="0" distL="114300" distR="114300" simplePos="0" relativeHeight="251662336" behindDoc="0" locked="0" layoutInCell="1" allowOverlap="1">
            <wp:simplePos x="0" y="0"/>
            <wp:positionH relativeFrom="column">
              <wp:posOffset>7004685</wp:posOffset>
            </wp:positionH>
            <wp:positionV relativeFrom="paragraph">
              <wp:posOffset>189865</wp:posOffset>
            </wp:positionV>
            <wp:extent cx="495300" cy="850900"/>
            <wp:effectExtent l="0" t="0" r="0" b="6350"/>
            <wp:wrapNone/>
            <wp:docPr id="317" name="图片 430" descr="风向标"/>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17" name="图片 430" descr="风向标"/>
                    <pic:cNvPicPr>
                      <a:picLocks noChangeAspect="true"/>
                    </pic:cNvPicPr>
                  </pic:nvPicPr>
                  <pic:blipFill>
                    <a:blip r:embed="rId74"/>
                    <a:stretch>
                      <a:fillRect/>
                    </a:stretch>
                  </pic:blipFill>
                  <pic:spPr>
                    <a:xfrm>
                      <a:off x="0" y="0"/>
                      <a:ext cx="495300" cy="850900"/>
                    </a:xfrm>
                    <a:prstGeom prst="rect">
                      <a:avLst/>
                    </a:prstGeom>
                    <a:noFill/>
                    <a:ln>
                      <a:noFill/>
                    </a:ln>
                    <a:effectLst/>
                  </pic:spPr>
                </pic:pic>
              </a:graphicData>
            </a:graphic>
          </wp:anchor>
        </w:drawing>
      </w:r>
      <w:r>
        <w:rPr>
          <w:highlight w:val="none"/>
        </w:rPr>
        <w:drawing>
          <wp:inline distT="0" distB="0" distL="114300" distR="114300">
            <wp:extent cx="6621780" cy="5218430"/>
            <wp:effectExtent l="0" t="0" r="7620" b="1270"/>
            <wp:docPr id="53"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3" name="图片 13"/>
                    <pic:cNvPicPr>
                      <a:picLocks noChangeAspect="true"/>
                    </pic:cNvPicPr>
                  </pic:nvPicPr>
                  <pic:blipFill>
                    <a:blip r:embed="rId81"/>
                    <a:stretch>
                      <a:fillRect/>
                    </a:stretch>
                  </pic:blipFill>
                  <pic:spPr>
                    <a:xfrm>
                      <a:off x="0" y="0"/>
                      <a:ext cx="6621780" cy="521843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t>附图7 本项目所在声环境功能区划位置示意图</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center"/>
        <w:textAlignment w:val="auto"/>
        <w:outlineLvl w:val="0"/>
        <w:rPr>
          <w:highlight w:val="none"/>
        </w:rPr>
      </w:pPr>
      <w:r>
        <w:rPr>
          <w:sz w:val="24"/>
          <w:highlight w:val="none"/>
        </w:rPr>
        <mc:AlternateContent>
          <mc:Choice Requires="wps">
            <w:drawing>
              <wp:anchor distT="0" distB="0" distL="114300" distR="114300" simplePos="0" relativeHeight="251667456" behindDoc="0" locked="0" layoutInCell="1" allowOverlap="1">
                <wp:simplePos x="0" y="0"/>
                <wp:positionH relativeFrom="column">
                  <wp:posOffset>5591175</wp:posOffset>
                </wp:positionH>
                <wp:positionV relativeFrom="paragraph">
                  <wp:posOffset>2162175</wp:posOffset>
                </wp:positionV>
                <wp:extent cx="1038225" cy="333375"/>
                <wp:effectExtent l="12700" t="294640" r="15875" b="19685"/>
                <wp:wrapNone/>
                <wp:docPr id="13" name="矩形标注 13"/>
                <wp:cNvGraphicFramePr/>
                <a:graphic xmlns:a="http://schemas.openxmlformats.org/drawingml/2006/main">
                  <a:graphicData uri="http://schemas.microsoft.com/office/word/2010/wordprocessingShape">
                    <wps:wsp>
                      <wps:cNvSpPr/>
                      <wps:spPr>
                        <a:xfrm>
                          <a:off x="7446010" y="2535555"/>
                          <a:ext cx="1038225" cy="333375"/>
                        </a:xfrm>
                        <a:prstGeom prst="wedgeRectCallout">
                          <a:avLst>
                            <a:gd name="adj1" fmla="val 39785"/>
                            <a:gd name="adj2" fmla="val -134571"/>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eastAsia" w:eastAsia="宋体"/>
                                <w:sz w:val="21"/>
                                <w:szCs w:val="21"/>
                                <w:lang w:val="en-US" w:eastAsia="zh-CN"/>
                              </w:rPr>
                            </w:pPr>
                            <w:r>
                              <w:rPr>
                                <w:rFonts w:hint="eastAsia"/>
                                <w:color w:val="000000" w:themeColor="text1"/>
                                <w:sz w:val="21"/>
                                <w:szCs w:val="21"/>
                                <w:lang w:val="en-US" w:eastAsia="zh-CN"/>
                                <w14:textFill>
                                  <w14:solidFill>
                                    <w14:schemeClr w14:val="tx1"/>
                                  </w14:solidFill>
                                </w14:textFill>
                              </w:rPr>
                              <w:t>本项目位置</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61" type="#_x0000_t61" style="position:absolute;left:0pt;margin-left:440.25pt;margin-top:170.25pt;height:26.25pt;width:81.75pt;z-index:251667456;v-text-anchor:middle;mso-width-relative:page;mso-height-relative:page;" fillcolor="#FFFFFF [3212]" filled="t" stroked="t" coordsize="21600,21600" o:gfxdata="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" adj="19394,0">
                <v:fill on="t" focussize="0,0"/>
                <v:stroke weight="2pt" color="#FF0000 [2404]" joinstyle="round"/>
                <v:imagedata o:title=""/>
                <o:lock v:ext="edit" aspectratio="f"/>
                <v:textbox>
                  <w:txbxContent>
                    <w:p>
                      <w:pPr>
                        <w:jc w:val="center"/>
                        <w:rPr>
                          <w:rFonts w:hint="eastAsia" w:eastAsia="宋体"/>
                          <w:sz w:val="21"/>
                          <w:szCs w:val="21"/>
                          <w:lang w:val="en-US" w:eastAsia="zh-CN"/>
                        </w:rPr>
                      </w:pPr>
                      <w:r>
                        <w:rPr>
                          <w:rFonts w:hint="eastAsia"/>
                          <w:color w:val="000000" w:themeColor="text1"/>
                          <w:sz w:val="21"/>
                          <w:szCs w:val="21"/>
                          <w:lang w:val="en-US" w:eastAsia="zh-CN"/>
                          <w14:textFill>
                            <w14:solidFill>
                              <w14:schemeClr w14:val="tx1"/>
                            </w14:solidFill>
                          </w14:textFill>
                        </w:rPr>
                        <w:t>本项目位置</w:t>
                      </w:r>
                    </w:p>
                  </w:txbxContent>
                </v:textbox>
              </v:shape>
            </w:pict>
          </mc:Fallback>
        </mc:AlternateContent>
      </w:r>
      <w:r>
        <w:rPr>
          <w:sz w:val="24"/>
          <w:highlight w:val="none"/>
        </w:rPr>
        <mc:AlternateContent>
          <mc:Choice Requires="wps">
            <w:drawing>
              <wp:anchor distT="0" distB="0" distL="114300" distR="114300" simplePos="0" relativeHeight="251668480" behindDoc="0" locked="0" layoutInCell="1" allowOverlap="1">
                <wp:simplePos x="0" y="0"/>
                <wp:positionH relativeFrom="column">
                  <wp:posOffset>6461125</wp:posOffset>
                </wp:positionH>
                <wp:positionV relativeFrom="paragraph">
                  <wp:posOffset>1715135</wp:posOffset>
                </wp:positionV>
                <wp:extent cx="257175" cy="126365"/>
                <wp:effectExtent l="27305" t="62865" r="39370" b="0"/>
                <wp:wrapNone/>
                <wp:docPr id="14" name="直角三角形 14"/>
                <wp:cNvGraphicFramePr/>
                <a:graphic xmlns:a="http://schemas.openxmlformats.org/drawingml/2006/main">
                  <a:graphicData uri="http://schemas.microsoft.com/office/word/2010/wordprocessingShape">
                    <wps:wsp>
                      <wps:cNvSpPr/>
                      <wps:spPr>
                        <a:xfrm rot="9240000">
                          <a:off x="7769860" y="3261360"/>
                          <a:ext cx="257175" cy="126365"/>
                        </a:xfrm>
                        <a:prstGeom prst="rtTriangle">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6" type="#_x0000_t6" style="position:absolute;left:0pt;margin-left:508.75pt;margin-top:135.05pt;height:9.95pt;width:20.25pt;rotation:10092544f;z-index:251668480;v-text-anchor:middle;mso-width-relative:page;mso-height-relative:page;" filled="f" stroked="t" coordsize="21600,21600" o:gfxdata="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BYAAABkcnMvUEsBAhQAFAAAAAgAh07iQEthqnnZAAAADQEAAA8A&#10;AAAAAAAAAQAgAAAAOAAAAGRycy9kb3ducmV2LnhtbFBLAQIUABQAAAAIAIdO4kC5sRGtcgIAAJ8E&#10;AAAOAAAAAAAAAAEAIAAAAD4BAABkcnMvZTJvRG9jLnhtbFBLBQYAAAAABgAGAFkBAAAiBgAAAAA=&#10;">
                <v:fill on="f" focussize="0,0"/>
                <v:stroke weight="2pt" color="#FF0000 [2404]" joinstyle="round"/>
                <v:imagedata o:title=""/>
                <o:lock v:ext="edit" aspectratio="f"/>
              </v:shape>
            </w:pict>
          </mc:Fallback>
        </mc:AlternateContent>
      </w:r>
      <w:r>
        <w:rPr>
          <w:highlight w:val="none"/>
        </w:rPr>
        <w:drawing>
          <wp:inline distT="0" distB="0" distL="114300" distR="114300">
            <wp:extent cx="7145655" cy="4574540"/>
            <wp:effectExtent l="0" t="0" r="17145" b="16510"/>
            <wp:docPr id="12" name="图片 12" descr="57555101962a82fdfac3e12befba554c"/>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 name="图片 12" descr="57555101962a82fdfac3e12befba554c"/>
                    <pic:cNvPicPr>
                      <a:picLocks noChangeAspect="true"/>
                    </pic:cNvPicPr>
                  </pic:nvPicPr>
                  <pic:blipFill>
                    <a:blip r:embed="rId82"/>
                    <a:stretch>
                      <a:fillRect/>
                    </a:stretch>
                  </pic:blipFill>
                  <pic:spPr>
                    <a:xfrm>
                      <a:off x="0" y="0"/>
                      <a:ext cx="7145655" cy="4574540"/>
                    </a:xfrm>
                    <a:prstGeom prst="rect">
                      <a:avLst/>
                    </a:prstGeom>
                  </pic:spPr>
                </pic:pic>
              </a:graphicData>
            </a:graphic>
          </wp:inline>
        </w:drawing>
      </w:r>
    </w:p>
    <w:p>
      <w:pPr>
        <w:rPr>
          <w:highlight w:val="none"/>
        </w:rPr>
      </w:pPr>
      <w:r>
        <w:rPr>
          <w:highlight w:val="none"/>
        </w:rPr>
        <w:br w:type="page"/>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黑体" w:hAnsi="黑体" w:eastAsia="黑体"/>
          <w:snapToGrid w:val="0"/>
          <w:sz w:val="32"/>
          <w:szCs w:val="32"/>
          <w:highlight w:val="none"/>
          <w:lang w:val="en-US" w:eastAsia="zh-CN"/>
        </w:rPr>
      </w:pPr>
      <w:r>
        <w:rPr>
          <w:rFonts w:hint="eastAsia" w:ascii="黑体" w:hAnsi="黑体" w:eastAsia="黑体"/>
          <w:snapToGrid w:val="0"/>
          <w:sz w:val="28"/>
          <w:szCs w:val="28"/>
          <w:highlight w:val="none"/>
          <w:lang w:val="en-US" w:eastAsia="zh-CN"/>
        </w:rPr>
        <w:t>附图8 项目分区防渗图</w:t>
      </w:r>
    </w:p>
    <w:p>
      <w:pPr>
        <w:jc w:val="center"/>
        <w:rPr>
          <w:rFonts w:hint="eastAsia" w:eastAsia="宋体"/>
          <w:highlight w:val="none"/>
          <w:lang w:val="en-US" w:eastAsia="zh-CN"/>
        </w:rPr>
      </w:pPr>
      <w:r>
        <w:rPr>
          <w:color w:val="auto"/>
          <w:highlight w:val="none"/>
        </w:rPr>
        <w:drawing>
          <wp:anchor distT="0" distB="0" distL="114300" distR="114300" simplePos="0" relativeHeight="251669504" behindDoc="0" locked="0" layoutInCell="1" allowOverlap="1">
            <wp:simplePos x="0" y="0"/>
            <wp:positionH relativeFrom="column">
              <wp:posOffset>7240270</wp:posOffset>
            </wp:positionH>
            <wp:positionV relativeFrom="paragraph">
              <wp:posOffset>431800</wp:posOffset>
            </wp:positionV>
            <wp:extent cx="495300" cy="850900"/>
            <wp:effectExtent l="154940" t="0" r="92710" b="0"/>
            <wp:wrapNone/>
            <wp:docPr id="17" name="图片 430" descr="风向标"/>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图片 430" descr="风向标"/>
                    <pic:cNvPicPr>
                      <a:picLocks noChangeAspect="true"/>
                    </pic:cNvPicPr>
                  </pic:nvPicPr>
                  <pic:blipFill>
                    <a:blip r:embed="rId74"/>
                    <a:stretch>
                      <a:fillRect/>
                    </a:stretch>
                  </pic:blipFill>
                  <pic:spPr>
                    <a:xfrm rot="2340000">
                      <a:off x="0" y="0"/>
                      <a:ext cx="495300" cy="850900"/>
                    </a:xfrm>
                    <a:prstGeom prst="rect">
                      <a:avLst/>
                    </a:prstGeom>
                    <a:noFill/>
                    <a:ln>
                      <a:noFill/>
                    </a:ln>
                    <a:effectLst/>
                  </pic:spPr>
                </pic:pic>
              </a:graphicData>
            </a:graphic>
          </wp:anchor>
        </w:drawing>
      </w:r>
      <w:r>
        <w:rPr>
          <w:rFonts w:hint="eastAsia" w:eastAsia="宋体"/>
          <w:highlight w:val="none"/>
          <w:lang w:val="en-US" w:eastAsia="zh-CN"/>
        </w:rPr>
        <w:drawing>
          <wp:inline distT="0" distB="0" distL="114300" distR="114300">
            <wp:extent cx="8102600" cy="4025265"/>
            <wp:effectExtent l="0" t="0" r="0" b="0"/>
            <wp:docPr id="63" name="图片 63" descr="945de248164c8b2a9d98f295c11f8b5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3" name="图片 63" descr="945de248164c8b2a9d98f295c11f8b5d"/>
                    <pic:cNvPicPr>
                      <a:picLocks noChangeAspect="true"/>
                    </pic:cNvPicPr>
                  </pic:nvPicPr>
                  <pic:blipFill>
                    <a:blip r:embed="rId83"/>
                    <a:srcRect l="2541" t="14303" r="2384"/>
                    <a:stretch>
                      <a:fillRect/>
                    </a:stretch>
                  </pic:blipFill>
                  <pic:spPr>
                    <a:xfrm>
                      <a:off x="0" y="0"/>
                      <a:ext cx="8102600" cy="4025265"/>
                    </a:xfrm>
                    <a:prstGeom prst="rect">
                      <a:avLst/>
                    </a:prstGeom>
                  </pic:spPr>
                </pic:pic>
              </a:graphicData>
            </a:graphic>
          </wp:inline>
        </w:drawing>
      </w:r>
    </w:p>
    <w:p>
      <w:pPr>
        <w:rPr>
          <w:highlight w:val="none"/>
        </w:rPr>
      </w:pPr>
    </w:p>
    <w:p>
      <w:pPr>
        <w:rPr>
          <w:highlight w:val="none"/>
        </w:rPr>
      </w:pPr>
    </w:p>
    <w:p>
      <w:pPr>
        <w:rPr>
          <w:highlight w:val="none"/>
        </w:rPr>
      </w:pPr>
    </w:p>
    <w:sectPr>
      <w:footerReference r:id="rId10" w:type="default"/>
      <w:pgSz w:w="16838" w:h="11906" w:orient="landscape"/>
      <w:pgMar w:top="1531" w:right="1701" w:bottom="1531" w:left="1701" w:header="680" w:footer="851"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0"/>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ˎ̥">
    <w:altName w:val="文泉驿微米黑"/>
    <w:panose1 w:val="00000000000000000000"/>
    <w:charset w:val="00"/>
    <w:family w:val="roman"/>
    <w:pitch w:val="default"/>
    <w:sig w:usb0="00000000" w:usb1="00000000" w:usb2="00000000" w:usb3="00000000" w:csb0="00040001" w:csb1="00000000"/>
  </w:font>
  <w:font w:name="仿宋_GB2312">
    <w:altName w:val="方正仿宋_GBK"/>
    <w:panose1 w:val="02010609030101010101"/>
    <w:charset w:val="86"/>
    <w:family w:val="modern"/>
    <w:pitch w:val="default"/>
    <w:sig w:usb0="00000000" w:usb1="00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华文仿宋">
    <w:altName w:val="汉仪仿宋简"/>
    <w:panose1 w:val="02010600040101010101"/>
    <w:charset w:val="86"/>
    <w:family w:val="auto"/>
    <w:pitch w:val="default"/>
    <w:sig w:usb0="00000000" w:usb1="00000000" w:usb2="00000000" w:usb3="00000000" w:csb0="0004009F" w:csb1="DFD70000"/>
  </w:font>
  <w:font w:name="仿宋">
    <w:altName w:val="方正仿宋_GBK"/>
    <w:panose1 w:val="02010609060101010101"/>
    <w:charset w:val="86"/>
    <w:family w:val="auto"/>
    <w:pitch w:val="default"/>
    <w:sig w:usb0="00000000" w:usb1="00000000" w:usb2="00000016" w:usb3="00000000" w:csb0="00040001" w:csb1="00000000"/>
  </w:font>
  <w:font w:name="Wingdings 2">
    <w:panose1 w:val="05020102010507070707"/>
    <w:charset w:val="02"/>
    <w:family w:val="roman"/>
    <w:pitch w:val="default"/>
    <w:sig w:usb0="00000000" w:usb1="00000000" w:usb2="00000000" w:usb3="00000000" w:csb0="80000000" w:csb1="00000000"/>
  </w:font>
  <w:font w:name="Segoe UI Symbol">
    <w:altName w:val="Noto Sans"/>
    <w:panose1 w:val="020B0502040204020203"/>
    <w:charset w:val="00"/>
    <w:family w:val="swiss"/>
    <w:pitch w:val="default"/>
    <w:sig w:usb0="00000000" w:usb1="00000000" w:usb2="00040000" w:usb3="04000000" w:csb0="00000001" w:csb1="40000000"/>
  </w:font>
  <w:font w:name="Cambria Math">
    <w:altName w:val="DejaVu Math TeX Gyre"/>
    <w:panose1 w:val="02040503050406030204"/>
    <w:charset w:val="00"/>
    <w:family w:val="auto"/>
    <w:pitch w:val="default"/>
    <w:sig w:usb0="00000000" w:usb1="00000000" w:usb2="02000000" w:usb3="00000000" w:csb0="2000019F" w:csb1="00000000"/>
  </w:font>
  <w:font w:name="Times New Roman Regular">
    <w:altName w:val="DejaVu Sans"/>
    <w:panose1 w:val="02020603050405020304"/>
    <w:charset w:val="00"/>
    <w:family w:val="auto"/>
    <w:pitch w:val="default"/>
    <w:sig w:usb0="00000000" w:usb1="00000000" w:usb2="00000009" w:usb3="00000000" w:csb0="400001FF" w:csb1="FFFF0000"/>
  </w:font>
  <w:font w:name="微软雅黑">
    <w:altName w:val="方正黑体_GBK"/>
    <w:panose1 w:val="020B0503020204020204"/>
    <w:charset w:val="86"/>
    <w:family w:val="auto"/>
    <w:pitch w:val="default"/>
    <w:sig w:usb0="00000000" w:usb1="00000000" w:usb2="00000016" w:usb3="00000000" w:csb0="0004001F" w:csb1="00000000"/>
  </w:font>
  <w:font w:name="等线">
    <w:altName w:val="汉仪中宋简"/>
    <w:panose1 w:val="02010600030101010101"/>
    <w:charset w:val="86"/>
    <w:family w:val="auto"/>
    <w:pitch w:val="default"/>
    <w:sig w:usb0="00000000" w:usb1="00000000" w:usb2="00000016" w:usb3="00000000" w:csb0="0004000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汉仪仿宋简">
    <w:panose1 w:val="02010600000101010101"/>
    <w:charset w:val="86"/>
    <w:family w:val="auto"/>
    <w:pitch w:val="default"/>
    <w:sig w:usb0="00000001" w:usb1="080E0800" w:usb2="00000002" w:usb3="00000000" w:csb0="00040000" w:csb1="00000000"/>
  </w:font>
  <w:font w:name="方正黑体_GBK">
    <w:panose1 w:val="02000000000000000000"/>
    <w:charset w:val="86"/>
    <w:family w:val="auto"/>
    <w:pitch w:val="default"/>
    <w:sig w:usb0="00000001" w:usb1="08000000" w:usb2="00000000" w:usb3="00000000" w:csb0="00040000" w:csb1="00000000"/>
  </w:font>
  <w:font w:name="Noto Sans">
    <w:panose1 w:val="020B0502040504020204"/>
    <w:charset w:val="00"/>
    <w:family w:val="auto"/>
    <w:pitch w:val="default"/>
    <w:sig w:usb0="E00002FF" w:usb1="4000201F" w:usb2="08000029" w:usb3="00100000" w:csb0="0000019F" w:csb1="00000000"/>
  </w:font>
  <w:font w:name="DejaVu Math TeX Gyre">
    <w:panose1 w:val="02000503000000000000"/>
    <w:charset w:val="00"/>
    <w:family w:val="auto"/>
    <w:pitch w:val="default"/>
    <w:sig w:usb0="A10000EF" w:usb1="4201F9EE" w:usb2="02000000" w:usb3="00000000" w:csb0="60000193" w:csb1="0DD40000"/>
  </w:font>
  <w:font w:name="方正宋体S-超大字符集">
    <w:panose1 w:val="02000000000000000000"/>
    <w:charset w:val="86"/>
    <w:family w:val="auto"/>
    <w:pitch w:val="default"/>
    <w:sig w:usb0="00000001" w:usb1="0800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 w:name="汉仪中宋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5"/>
      </w:rPr>
    </w:pPr>
    <w:r>
      <w:fldChar w:fldCharType="begin"/>
    </w:r>
    <w:r>
      <w:rPr>
        <w:rStyle w:val="25"/>
      </w:rPr>
      <w:instrText xml:space="preserve">PAGE  </w:instrText>
    </w:r>
    <w:r>
      <w:fldChar w:fldCharType="end"/>
    </w:r>
  </w:p>
  <w:p>
    <w:pPr>
      <w:pStyle w:val="14"/>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04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rPr>
                              <w:rFonts w:hint="default"/>
                              <w:lang w:val="en-US" w:eastAsia="zh-CN"/>
                            </w:rPr>
                          </w:pPr>
                          <w:r>
                            <w:rPr>
                              <w:rStyle w:val="25"/>
                              <w:rFonts w:hint="eastAsia" w:ascii="宋体" w:hAnsi="宋体"/>
                              <w:sz w:val="28"/>
                              <w:szCs w:val="28"/>
                            </w:rPr>
                            <w:t>—</w:t>
                          </w:r>
                          <w:r>
                            <w:rPr>
                              <w:rStyle w:val="25"/>
                              <w:rFonts w:hint="eastAsia" w:ascii="宋体" w:hAnsi="宋体"/>
                              <w:sz w:val="20"/>
                            </w:rPr>
                            <w:t xml:space="preserve">  </w:t>
                          </w:r>
                          <w:r>
                            <w:fldChar w:fldCharType="begin"/>
                          </w:r>
                          <w:r>
                            <w:instrText xml:space="preserve">PAGE  </w:instrText>
                          </w:r>
                          <w:r>
                            <w:fldChar w:fldCharType="separate"/>
                          </w:r>
                          <w:r>
                            <w:t>17</w:t>
                          </w:r>
                          <w:r>
                            <w:fldChar w:fldCharType="end"/>
                          </w:r>
                          <w:r>
                            <w:rPr>
                              <w:rFonts w:hint="eastAsia"/>
                            </w:rPr>
                            <w:t xml:space="preserve">  </w:t>
                          </w:r>
                          <w:r>
                            <w:rPr>
                              <w:rStyle w:val="25"/>
                              <w:rFonts w:hint="eastAsia" w:ascii="宋体" w:hAnsi="宋体"/>
                              <w:sz w:val="28"/>
                              <w:szCs w:val="28"/>
                            </w:rPr>
                            <w:t>—</w:t>
                          </w:r>
                        </w:p>
                      </w:txbxContent>
                    </wps:txbx>
                    <wps:bodyPr vert="horz" wrap="none" lIns="0" tIns="0" rIns="0" bIns="0" anchor="t" anchorCtr="false" upright="false">
                      <a:spAutoFit/>
                    </wps:bodyPr>
                  </wps:wsp>
                </a:graphicData>
              </a:graphic>
            </wp:anchor>
          </w:drawing>
        </mc:Choice>
        <mc:Fallback>
          <w:pict>
            <v:shape id="文本框 204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M6pebnPAAAABQEAAA8AAAAAAAAA&#10;AQAgAAAAOAAAAGRycy9kb3ducmV2LnhtbFBLAQIUABQAAAAIAIdO4kBk3MgbywEAAH4DAAAOAAAA&#10;AAAAAAEAIAAAADQBAABkcnMvZTJvRG9jLnhtbFBLBQYAAAAABgAGAFkBAABxBQAAAAA=&#10;">
              <v:fill on="f" focussize="0,0"/>
              <v:stroke on="f"/>
              <v:imagedata o:title=""/>
              <o:lock v:ext="edit" aspectratio="f"/>
              <v:textbox inset="0mm,0mm,0mm,0mm" style="mso-fit-shape-to-text:t;">
                <w:txbxContent>
                  <w:p>
                    <w:pPr>
                      <w:rPr>
                        <w:rFonts w:hint="default"/>
                        <w:lang w:val="en-US" w:eastAsia="zh-CN"/>
                      </w:rPr>
                    </w:pPr>
                    <w:r>
                      <w:rPr>
                        <w:rStyle w:val="25"/>
                        <w:rFonts w:hint="eastAsia" w:ascii="宋体" w:hAnsi="宋体"/>
                        <w:sz w:val="28"/>
                        <w:szCs w:val="28"/>
                      </w:rPr>
                      <w:t>—</w:t>
                    </w:r>
                    <w:r>
                      <w:rPr>
                        <w:rStyle w:val="25"/>
                        <w:rFonts w:hint="eastAsia" w:ascii="宋体" w:hAnsi="宋体"/>
                        <w:sz w:val="20"/>
                      </w:rPr>
                      <w:t xml:space="preserve">  </w:t>
                    </w:r>
                    <w:r>
                      <w:fldChar w:fldCharType="begin"/>
                    </w:r>
                    <w:r>
                      <w:instrText xml:space="preserve">PAGE  </w:instrText>
                    </w:r>
                    <w:r>
                      <w:fldChar w:fldCharType="separate"/>
                    </w:r>
                    <w:r>
                      <w:t>17</w:t>
                    </w:r>
                    <w:r>
                      <w:fldChar w:fldCharType="end"/>
                    </w:r>
                    <w:r>
                      <w:rPr>
                        <w:rFonts w:hint="eastAsia"/>
                      </w:rPr>
                      <w:t xml:space="preserve">  </w:t>
                    </w:r>
                    <w:r>
                      <w:rPr>
                        <w:rStyle w:val="25"/>
                        <w:rFonts w:hint="eastAsia" w:ascii="宋体" w:hAnsi="宋体"/>
                        <w:sz w:val="28"/>
                        <w:szCs w:val="28"/>
                      </w:rP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default"/>
        <w:lang w:val="en-US" w:eastAsia="zh-CN"/>
      </w:rPr>
    </w:pPr>
    <w:r>
      <w:rPr>
        <w:rStyle w:val="25"/>
        <w:rFonts w:hint="eastAsia" w:ascii="宋体" w:hAnsi="宋体"/>
        <w:sz w:val="28"/>
        <w:szCs w:val="28"/>
      </w:rPr>
      <w:t>—</w:t>
    </w:r>
    <w:r>
      <w:rPr>
        <w:rStyle w:val="25"/>
        <w:rFonts w:hint="eastAsia" w:ascii="宋体" w:hAnsi="宋体"/>
        <w:sz w:val="20"/>
      </w:rPr>
      <w:t xml:space="preserve"> </w:t>
    </w:r>
    <w:r>
      <w:rPr>
        <w:rStyle w:val="25"/>
        <w:rFonts w:hint="default" w:ascii="Times New Roman" w:hAnsi="Times New Roman" w:cs="Times New Roman"/>
        <w:sz w:val="18"/>
        <w:szCs w:val="18"/>
        <w:u w:val="none"/>
      </w:rPr>
      <w:t xml:space="preserve"> </w:t>
    </w:r>
    <w:r>
      <w:rPr>
        <w:rFonts w:hint="default"/>
      </w:rPr>
      <w:fldChar w:fldCharType="begin"/>
    </w:r>
    <w:r>
      <w:rPr>
        <w:rFonts w:hint="default"/>
      </w:rPr>
      <w:instrText xml:space="preserve">PAGE  </w:instrText>
    </w:r>
    <w:r>
      <w:rPr>
        <w:rFonts w:hint="default"/>
      </w:rPr>
      <w:fldChar w:fldCharType="separate"/>
    </w:r>
    <w:r>
      <w:rPr>
        <w:rFonts w:hint="default"/>
      </w:rPr>
      <w:t>17</w:t>
    </w:r>
    <w:r>
      <w:rPr>
        <w:rFonts w:hint="default"/>
      </w:rPr>
      <w:fldChar w:fldCharType="end"/>
    </w:r>
    <w:r>
      <w:rPr>
        <w:rStyle w:val="25"/>
        <w:rFonts w:hint="default" w:ascii="Times New Roman" w:hAnsi="Times New Roman" w:cs="Times New Roman"/>
        <w:sz w:val="24"/>
        <w:szCs w:val="24"/>
        <w:u w:val="none"/>
      </w:rPr>
      <w:t xml:space="preserve"> </w:t>
    </w:r>
    <w:r>
      <w:rPr>
        <w:rStyle w:val="25"/>
        <w:rFonts w:hint="eastAsia" w:ascii="宋体" w:hAnsi="宋体"/>
        <w:sz w:val="20"/>
        <w:u w:val="none"/>
      </w:rPr>
      <w:t xml:space="preserve"> </w:t>
    </w:r>
    <w:r>
      <w:rPr>
        <w:rStyle w:val="25"/>
        <w:rFonts w:hint="eastAsia" w:ascii="宋体" w:hAnsi="宋体"/>
        <w:sz w:val="28"/>
        <w:szCs w:val="28"/>
      </w:rPr>
      <w:t>—</w:t>
    </w:r>
  </w:p>
  <w:p>
    <w:pPr>
      <w:pStyle w:val="14"/>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800" cy="110490"/>
              <wp:effectExtent l="0" t="0" r="0" b="0"/>
              <wp:wrapNone/>
              <wp:docPr id="68" name="文本框 2050"/>
              <wp:cNvGraphicFramePr/>
              <a:graphic xmlns:a="http://schemas.openxmlformats.org/drawingml/2006/main">
                <a:graphicData uri="http://schemas.microsoft.com/office/word/2010/wordprocessingShape">
                  <wps:wsp>
                    <wps:cNvSpPr txBox="true"/>
                    <wps:spPr>
                      <a:xfrm>
                        <a:off x="0" y="0"/>
                        <a:ext cx="177800" cy="110490"/>
                      </a:xfrm>
                      <a:prstGeom prst="rect">
                        <a:avLst/>
                      </a:prstGeom>
                      <a:noFill/>
                      <a:ln>
                        <a:noFill/>
                      </a:ln>
                    </wps:spPr>
                    <wps:txbx>
                      <w:txbxContent>
                        <w:p>
                          <w:pPr>
                            <w:rPr>
                              <w:rFonts w:hint="default"/>
                              <w:lang w:val="en-US" w:eastAsia="zh-CN"/>
                            </w:rPr>
                          </w:pPr>
                          <w:r>
                            <w:rPr>
                              <w:rStyle w:val="25"/>
                              <w:rFonts w:hint="eastAsia" w:ascii="宋体" w:hAnsi="宋体"/>
                              <w:sz w:val="28"/>
                              <w:szCs w:val="28"/>
                            </w:rPr>
                            <w:t>—</w:t>
                          </w:r>
                          <w:r>
                            <w:rPr>
                              <w:rStyle w:val="25"/>
                              <w:rFonts w:hint="eastAsia" w:ascii="宋体" w:hAnsi="宋体"/>
                              <w:sz w:val="20"/>
                            </w:rPr>
                            <w:t xml:space="preserve">  </w:t>
                          </w:r>
                          <w:r>
                            <w:rPr>
                              <w:rFonts w:ascii="宋体" w:hAnsi="宋体"/>
                              <w:sz w:val="21"/>
                              <w:szCs w:val="21"/>
                            </w:rPr>
                            <w:fldChar w:fldCharType="begin"/>
                          </w:r>
                          <w:r>
                            <w:rPr>
                              <w:rStyle w:val="25"/>
                              <w:rFonts w:ascii="宋体" w:hAnsi="宋体"/>
                              <w:sz w:val="21"/>
                              <w:szCs w:val="21"/>
                            </w:rPr>
                            <w:instrText xml:space="preserve">PAGE  </w:instrText>
                          </w:r>
                          <w:r>
                            <w:rPr>
                              <w:rFonts w:ascii="宋体" w:hAnsi="宋体"/>
                              <w:sz w:val="21"/>
                              <w:szCs w:val="21"/>
                            </w:rPr>
                            <w:fldChar w:fldCharType="separate"/>
                          </w:r>
                          <w:r>
                            <w:rPr>
                              <w:rStyle w:val="25"/>
                              <w:rFonts w:ascii="宋体" w:hAnsi="宋体"/>
                              <w:sz w:val="21"/>
                              <w:szCs w:val="21"/>
                            </w:rPr>
                            <w:t>17</w:t>
                          </w:r>
                          <w:r>
                            <w:rPr>
                              <w:rFonts w:ascii="宋体" w:hAnsi="宋体"/>
                              <w:sz w:val="21"/>
                              <w:szCs w:val="21"/>
                            </w:rPr>
                            <w:fldChar w:fldCharType="end"/>
                          </w:r>
                          <w:r>
                            <w:rPr>
                              <w:rStyle w:val="25"/>
                              <w:rFonts w:hint="eastAsia" w:ascii="宋体" w:hAnsi="宋体"/>
                              <w:sz w:val="20"/>
                            </w:rPr>
                            <w:t xml:space="preserve">  </w:t>
                          </w:r>
                          <w:r>
                            <w:rPr>
                              <w:rStyle w:val="25"/>
                              <w:rFonts w:hint="eastAsia" w:ascii="宋体" w:hAnsi="宋体"/>
                              <w:sz w:val="28"/>
                              <w:szCs w:val="28"/>
                            </w:rPr>
                            <w:t>—</w:t>
                          </w:r>
                        </w:p>
                        <w:p>
                          <w:pPr>
                            <w:pStyle w:val="14"/>
                            <w:rPr>
                              <w:rFonts w:hint="eastAsia" w:eastAsia="宋体"/>
                              <w:lang w:eastAsia="zh-CN"/>
                            </w:rPr>
                          </w:pPr>
                        </w:p>
                      </w:txbxContent>
                    </wps:txbx>
                    <wps:bodyPr vert="horz" wrap="square" lIns="0" tIns="0" rIns="0" bIns="0" anchor="t" anchorCtr="false" upright="false">
                      <a:noAutofit/>
                    </wps:bodyPr>
                  </wps:wsp>
                </a:graphicData>
              </a:graphic>
            </wp:anchor>
          </w:drawing>
        </mc:Choice>
        <mc:Fallback>
          <w:pict>
            <v:shape id="文本框 2050" o:spid="_x0000_s1026" o:spt="202" type="#_x0000_t202" style="position:absolute;left:0pt;margin-top:0pt;height:8.7pt;width:14pt;mso-position-horizontal:center;mso-position-horizontal-relative:margin;z-index:251659264;mso-width-relative:page;mso-height-relative:page;" filled="f" stroked="f" coordsize="21600,21600" o:gfxdata="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WAAAAZHJzL1BLAQIUABQAAAAIAIdO4kAdXURq0wAAAAMB&#10;AAAPAAAAAAAAAAEAIAAAADgAAABkcnMvZG93bnJldi54bWxQSwECFAAUAAAACACHTuJA8/QHv9EB&#10;AAB/AwAADgAAAAAAAAABACAAAAA4AQAAZHJzL2Uyb0RvYy54bWxQSwUGAAAAAAYABgBZAQAAewUA&#10;AAAA&#10;">
              <v:fill on="f" focussize="0,0"/>
              <v:stroke on="f"/>
              <v:imagedata o:title=""/>
              <o:lock v:ext="edit" aspectratio="f"/>
              <v:textbox inset="0mm,0mm,0mm,0mm">
                <w:txbxContent>
                  <w:p>
                    <w:pPr>
                      <w:rPr>
                        <w:rFonts w:hint="default"/>
                        <w:lang w:val="en-US" w:eastAsia="zh-CN"/>
                      </w:rPr>
                    </w:pPr>
                    <w:r>
                      <w:rPr>
                        <w:rStyle w:val="25"/>
                        <w:rFonts w:hint="eastAsia" w:ascii="宋体" w:hAnsi="宋体"/>
                        <w:sz w:val="28"/>
                        <w:szCs w:val="28"/>
                      </w:rPr>
                      <w:t>—</w:t>
                    </w:r>
                    <w:r>
                      <w:rPr>
                        <w:rStyle w:val="25"/>
                        <w:rFonts w:hint="eastAsia" w:ascii="宋体" w:hAnsi="宋体"/>
                        <w:sz w:val="20"/>
                      </w:rPr>
                      <w:t xml:space="preserve">  </w:t>
                    </w:r>
                    <w:r>
                      <w:rPr>
                        <w:rFonts w:ascii="宋体" w:hAnsi="宋体"/>
                        <w:sz w:val="21"/>
                        <w:szCs w:val="21"/>
                      </w:rPr>
                      <w:fldChar w:fldCharType="begin"/>
                    </w:r>
                    <w:r>
                      <w:rPr>
                        <w:rStyle w:val="25"/>
                        <w:rFonts w:ascii="宋体" w:hAnsi="宋体"/>
                        <w:sz w:val="21"/>
                        <w:szCs w:val="21"/>
                      </w:rPr>
                      <w:instrText xml:space="preserve">PAGE  </w:instrText>
                    </w:r>
                    <w:r>
                      <w:rPr>
                        <w:rFonts w:ascii="宋体" w:hAnsi="宋体"/>
                        <w:sz w:val="21"/>
                        <w:szCs w:val="21"/>
                      </w:rPr>
                      <w:fldChar w:fldCharType="separate"/>
                    </w:r>
                    <w:r>
                      <w:rPr>
                        <w:rStyle w:val="25"/>
                        <w:rFonts w:ascii="宋体" w:hAnsi="宋体"/>
                        <w:sz w:val="21"/>
                        <w:szCs w:val="21"/>
                      </w:rPr>
                      <w:t>17</w:t>
                    </w:r>
                    <w:r>
                      <w:rPr>
                        <w:rFonts w:ascii="宋体" w:hAnsi="宋体"/>
                        <w:sz w:val="21"/>
                        <w:szCs w:val="21"/>
                      </w:rPr>
                      <w:fldChar w:fldCharType="end"/>
                    </w:r>
                    <w:r>
                      <w:rPr>
                        <w:rStyle w:val="25"/>
                        <w:rFonts w:hint="eastAsia" w:ascii="宋体" w:hAnsi="宋体"/>
                        <w:sz w:val="20"/>
                      </w:rPr>
                      <w:t xml:space="preserve">  </w:t>
                    </w:r>
                    <w:r>
                      <w:rPr>
                        <w:rStyle w:val="25"/>
                        <w:rFonts w:hint="eastAsia" w:ascii="宋体" w:hAnsi="宋体"/>
                        <w:sz w:val="28"/>
                        <w:szCs w:val="28"/>
                      </w:rPr>
                      <w:t>—</w:t>
                    </w:r>
                  </w:p>
                  <w:p>
                    <w:pPr>
                      <w:pStyle w:val="14"/>
                      <w:rPr>
                        <w:rFonts w:hint="eastAsia" w:eastAsia="宋体"/>
                        <w:lang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default"/>
        <w:lang w:val="en-US" w:eastAsia="zh-CN"/>
      </w:rPr>
    </w:pPr>
    <w:r>
      <w:rPr>
        <w:rFonts w:hint="eastAsia"/>
      </w:rPr>
      <w:t xml:space="preserve">—  </w:t>
    </w:r>
    <w:r>
      <w:fldChar w:fldCharType="begin"/>
    </w:r>
    <w:r>
      <w:instrText xml:space="preserve">PAGE  </w:instrText>
    </w:r>
    <w:r>
      <w:fldChar w:fldCharType="separate"/>
    </w:r>
    <w:r>
      <w:t>17</w:t>
    </w:r>
    <w:r>
      <w:fldChar w:fldCharType="end"/>
    </w:r>
    <w:r>
      <w:rPr>
        <w:rFonts w:hint="eastAsia"/>
      </w:rPr>
      <w:t xml:space="preserve">  —</w:t>
    </w:r>
  </w:p>
  <w:p>
    <w:pPr>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205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rPr>
                              <w:rFonts w:hint="eastAsia"/>
                              <w:lang w:eastAsia="zh-CN"/>
                            </w:rPr>
                          </w:pPr>
                          <w:r>
                            <w:rPr>
                              <w:rStyle w:val="25"/>
                              <w:rFonts w:hint="eastAsia" w:ascii="宋体" w:hAnsi="宋体"/>
                              <w:sz w:val="28"/>
                              <w:szCs w:val="28"/>
                            </w:rPr>
                            <w:t>—</w:t>
                          </w:r>
                          <w:r>
                            <w:rPr>
                              <w:rStyle w:val="25"/>
                              <w:rFonts w:hint="eastAsia" w:ascii="宋体" w:hAnsi="宋体"/>
                              <w:sz w:val="20"/>
                            </w:rPr>
                            <w:t xml:space="preserve">  </w:t>
                          </w:r>
                          <w:r>
                            <w:rPr>
                              <w:rFonts w:hint="default"/>
                            </w:rPr>
                            <w:fldChar w:fldCharType="begin"/>
                          </w:r>
                          <w:r>
                            <w:rPr>
                              <w:rFonts w:hint="default"/>
                            </w:rPr>
                            <w:instrText xml:space="preserve">PAGE  </w:instrText>
                          </w:r>
                          <w:r>
                            <w:rPr>
                              <w:rFonts w:hint="default"/>
                            </w:rPr>
                            <w:fldChar w:fldCharType="separate"/>
                          </w:r>
                          <w:r>
                            <w:rPr>
                              <w:rFonts w:hint="default"/>
                            </w:rPr>
                            <w:t>17</w:t>
                          </w:r>
                          <w:r>
                            <w:rPr>
                              <w:rFonts w:hint="default"/>
                            </w:rPr>
                            <w:fldChar w:fldCharType="end"/>
                          </w:r>
                          <w:r>
                            <w:rPr>
                              <w:rStyle w:val="25"/>
                              <w:rFonts w:hint="eastAsia" w:ascii="宋体" w:hAnsi="宋体"/>
                              <w:sz w:val="20"/>
                            </w:rPr>
                            <w:t xml:space="preserve">  </w:t>
                          </w:r>
                          <w:r>
                            <w:rPr>
                              <w:rStyle w:val="25"/>
                              <w:rFonts w:hint="eastAsia" w:ascii="宋体" w:hAnsi="宋体"/>
                              <w:sz w:val="28"/>
                              <w:szCs w:val="28"/>
                            </w:rPr>
                            <w:t>—</w:t>
                          </w:r>
                        </w:p>
                      </w:txbxContent>
                    </wps:txbx>
                    <wps:bodyPr vert="horz" wrap="none" lIns="0" tIns="0" rIns="0" bIns="0" anchor="t" anchorCtr="false" upright="false">
                      <a:spAutoFit/>
                    </wps:bodyPr>
                  </wps:wsp>
                </a:graphicData>
              </a:graphic>
            </wp:anchor>
          </w:drawing>
        </mc:Choice>
        <mc:Fallback>
          <w:pict>
            <v:shape id="文本框 205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WAAAAZHJzL1BLAQIUABQAAAAIAIdO4kDOqXm5zwAAAAUBAAAPAAAAAAAA&#10;AAEAIAAAADgAAABkcnMvZG93bnJldi54bWxQSwECFAAUAAAACACHTuJAl73pcswBAAB/AwAADgAA&#10;AAAAAAABACAAAAA0AQAAZHJzL2Uyb0RvYy54bWxQSwUGAAAAAAYABgBZAQAAcgUAAAAA&#10;">
              <v:fill on="f" focussize="0,0"/>
              <v:stroke on="f"/>
              <v:imagedata o:title=""/>
              <o:lock v:ext="edit" aspectratio="f"/>
              <v:textbox inset="0mm,0mm,0mm,0mm" style="mso-fit-shape-to-text:t;">
                <w:txbxContent>
                  <w:p>
                    <w:pPr>
                      <w:rPr>
                        <w:rFonts w:hint="eastAsia"/>
                        <w:lang w:eastAsia="zh-CN"/>
                      </w:rPr>
                    </w:pPr>
                    <w:r>
                      <w:rPr>
                        <w:rStyle w:val="25"/>
                        <w:rFonts w:hint="eastAsia" w:ascii="宋体" w:hAnsi="宋体"/>
                        <w:sz w:val="28"/>
                        <w:szCs w:val="28"/>
                      </w:rPr>
                      <w:t>—</w:t>
                    </w:r>
                    <w:r>
                      <w:rPr>
                        <w:rStyle w:val="25"/>
                        <w:rFonts w:hint="eastAsia" w:ascii="宋体" w:hAnsi="宋体"/>
                        <w:sz w:val="20"/>
                      </w:rPr>
                      <w:t xml:space="preserve">  </w:t>
                    </w:r>
                    <w:r>
                      <w:rPr>
                        <w:rFonts w:hint="default"/>
                      </w:rPr>
                      <w:fldChar w:fldCharType="begin"/>
                    </w:r>
                    <w:r>
                      <w:rPr>
                        <w:rFonts w:hint="default"/>
                      </w:rPr>
                      <w:instrText xml:space="preserve">PAGE  </w:instrText>
                    </w:r>
                    <w:r>
                      <w:rPr>
                        <w:rFonts w:hint="default"/>
                      </w:rPr>
                      <w:fldChar w:fldCharType="separate"/>
                    </w:r>
                    <w:r>
                      <w:rPr>
                        <w:rFonts w:hint="default"/>
                      </w:rPr>
                      <w:t>17</w:t>
                    </w:r>
                    <w:r>
                      <w:rPr>
                        <w:rFonts w:hint="default"/>
                      </w:rPr>
                      <w:fldChar w:fldCharType="end"/>
                    </w:r>
                    <w:r>
                      <w:rPr>
                        <w:rStyle w:val="25"/>
                        <w:rFonts w:hint="eastAsia" w:ascii="宋体" w:hAnsi="宋体"/>
                        <w:sz w:val="20"/>
                      </w:rPr>
                      <w:t xml:space="preserve">  </w:t>
                    </w:r>
                    <w:r>
                      <w:rPr>
                        <w:rStyle w:val="25"/>
                        <w:rFonts w:hint="eastAsia" w:ascii="宋体" w:hAnsi="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A08BB5"/>
    <w:multiLevelType w:val="singleLevel"/>
    <w:tmpl w:val="73A08BB5"/>
    <w:lvl w:ilvl="0" w:tentative="0">
      <w:start w:val="2"/>
      <w:numFmt w:val="decimal"/>
      <w:suff w:val="nothing"/>
      <w:lvlText w:val="%1、"/>
      <w:lvlJc w:val="left"/>
    </w:lvl>
  </w:abstractNum>
  <w:abstractNum w:abstractNumId="1">
    <w:nsid w:val="775BF41C"/>
    <w:multiLevelType w:val="singleLevel"/>
    <w:tmpl w:val="775BF41C"/>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trackedChanges" w:enforcement="0"/>
  <w:defaultTabStop w:val="420"/>
  <w:hyphenationZone w:val="360"/>
  <w:doNotHyphenateCaps/>
  <w:drawingGridVerticalSpacing w:val="156"/>
  <w:displayHorizontalDrawingGridEvery w:val="1"/>
  <w:displayVerticalDrawingGridEvery w:val="1"/>
  <w:noPunctuationKerning w:val="true"/>
  <w:characterSpacingControl w:val="compressPunctuation"/>
  <w:noLineBreaksAfter w:lang="zh-CN" w:val="([{·‘“〈《「『【〔〖（．［｛￡￥"/>
  <w:noLineBreaksBefore w:lang="zh-CN" w:val="!),.:;?]}¨·ˇˉ―‖’”…∶、。〃々〉》」』】〕〗！＂＇），．：；？］｀｜｝～￠"/>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NhZDRkNTg4ZjRlMTNlOWViNDNlZjllNWE5MGQ1MDQifQ=="/>
  </w:docVars>
  <w:rsids>
    <w:rsidRoot w:val="00A14947"/>
    <w:rsid w:val="000060B3"/>
    <w:rsid w:val="0004364B"/>
    <w:rsid w:val="00061B1F"/>
    <w:rsid w:val="000733C4"/>
    <w:rsid w:val="00074783"/>
    <w:rsid w:val="0008070B"/>
    <w:rsid w:val="000810AC"/>
    <w:rsid w:val="00081A02"/>
    <w:rsid w:val="00082231"/>
    <w:rsid w:val="00092D38"/>
    <w:rsid w:val="0009377B"/>
    <w:rsid w:val="000A20C9"/>
    <w:rsid w:val="000B058F"/>
    <w:rsid w:val="000B4467"/>
    <w:rsid w:val="000B4DB9"/>
    <w:rsid w:val="000C09AC"/>
    <w:rsid w:val="000C767F"/>
    <w:rsid w:val="000D5A44"/>
    <w:rsid w:val="000E3ED2"/>
    <w:rsid w:val="00131F42"/>
    <w:rsid w:val="001357F1"/>
    <w:rsid w:val="00140FA8"/>
    <w:rsid w:val="00142FEB"/>
    <w:rsid w:val="00143A2D"/>
    <w:rsid w:val="00145A41"/>
    <w:rsid w:val="00151675"/>
    <w:rsid w:val="00155864"/>
    <w:rsid w:val="00157435"/>
    <w:rsid w:val="0017504D"/>
    <w:rsid w:val="0017671A"/>
    <w:rsid w:val="00177422"/>
    <w:rsid w:val="00184590"/>
    <w:rsid w:val="001870D1"/>
    <w:rsid w:val="0018781E"/>
    <w:rsid w:val="0019262D"/>
    <w:rsid w:val="00194F68"/>
    <w:rsid w:val="001A1B35"/>
    <w:rsid w:val="001A48A2"/>
    <w:rsid w:val="001A6F61"/>
    <w:rsid w:val="001B72B8"/>
    <w:rsid w:val="001C69B3"/>
    <w:rsid w:val="001D5595"/>
    <w:rsid w:val="001D7874"/>
    <w:rsid w:val="001D7F22"/>
    <w:rsid w:val="001F0F17"/>
    <w:rsid w:val="001F3347"/>
    <w:rsid w:val="001F69E4"/>
    <w:rsid w:val="002125B4"/>
    <w:rsid w:val="002155B8"/>
    <w:rsid w:val="00224839"/>
    <w:rsid w:val="002249B2"/>
    <w:rsid w:val="00226574"/>
    <w:rsid w:val="002278EC"/>
    <w:rsid w:val="0023280E"/>
    <w:rsid w:val="002377D1"/>
    <w:rsid w:val="002506BC"/>
    <w:rsid w:val="00254345"/>
    <w:rsid w:val="00264557"/>
    <w:rsid w:val="002805AB"/>
    <w:rsid w:val="00284204"/>
    <w:rsid w:val="00287302"/>
    <w:rsid w:val="00291773"/>
    <w:rsid w:val="002A0B06"/>
    <w:rsid w:val="002A168C"/>
    <w:rsid w:val="002A3DC7"/>
    <w:rsid w:val="002B49E2"/>
    <w:rsid w:val="002B7B00"/>
    <w:rsid w:val="002B7C44"/>
    <w:rsid w:val="002C2B17"/>
    <w:rsid w:val="002D3DD0"/>
    <w:rsid w:val="002E1F3A"/>
    <w:rsid w:val="002E298A"/>
    <w:rsid w:val="00301978"/>
    <w:rsid w:val="0030332C"/>
    <w:rsid w:val="003051C2"/>
    <w:rsid w:val="00312296"/>
    <w:rsid w:val="00314F0E"/>
    <w:rsid w:val="00321D8E"/>
    <w:rsid w:val="00325928"/>
    <w:rsid w:val="00332863"/>
    <w:rsid w:val="0033684D"/>
    <w:rsid w:val="00337B42"/>
    <w:rsid w:val="00341B42"/>
    <w:rsid w:val="0034348F"/>
    <w:rsid w:val="00356653"/>
    <w:rsid w:val="0035743F"/>
    <w:rsid w:val="00357BE2"/>
    <w:rsid w:val="0036170C"/>
    <w:rsid w:val="003638CE"/>
    <w:rsid w:val="00366E0F"/>
    <w:rsid w:val="00381A72"/>
    <w:rsid w:val="00384676"/>
    <w:rsid w:val="00390857"/>
    <w:rsid w:val="003A4BF3"/>
    <w:rsid w:val="003B420D"/>
    <w:rsid w:val="003C6C16"/>
    <w:rsid w:val="003D2997"/>
    <w:rsid w:val="003D794D"/>
    <w:rsid w:val="003E3058"/>
    <w:rsid w:val="003E76A9"/>
    <w:rsid w:val="003F0809"/>
    <w:rsid w:val="003F6A8C"/>
    <w:rsid w:val="003F755C"/>
    <w:rsid w:val="00406F01"/>
    <w:rsid w:val="00416D50"/>
    <w:rsid w:val="00416FD5"/>
    <w:rsid w:val="00417772"/>
    <w:rsid w:val="00420E6A"/>
    <w:rsid w:val="00425A9E"/>
    <w:rsid w:val="00426D6B"/>
    <w:rsid w:val="00431E6C"/>
    <w:rsid w:val="00433CE7"/>
    <w:rsid w:val="00445D45"/>
    <w:rsid w:val="00452738"/>
    <w:rsid w:val="00456091"/>
    <w:rsid w:val="00466321"/>
    <w:rsid w:val="00484B9B"/>
    <w:rsid w:val="004855F6"/>
    <w:rsid w:val="0048661E"/>
    <w:rsid w:val="00494670"/>
    <w:rsid w:val="004A3823"/>
    <w:rsid w:val="004E6946"/>
    <w:rsid w:val="004F1AD8"/>
    <w:rsid w:val="005039CB"/>
    <w:rsid w:val="0050558F"/>
    <w:rsid w:val="00506286"/>
    <w:rsid w:val="00510813"/>
    <w:rsid w:val="00511990"/>
    <w:rsid w:val="00511DE0"/>
    <w:rsid w:val="00514870"/>
    <w:rsid w:val="00514B9B"/>
    <w:rsid w:val="00517F02"/>
    <w:rsid w:val="00524303"/>
    <w:rsid w:val="005258A2"/>
    <w:rsid w:val="00534908"/>
    <w:rsid w:val="005401AE"/>
    <w:rsid w:val="00542E07"/>
    <w:rsid w:val="00545424"/>
    <w:rsid w:val="00554A7B"/>
    <w:rsid w:val="0055572C"/>
    <w:rsid w:val="0056106A"/>
    <w:rsid w:val="005720AE"/>
    <w:rsid w:val="00594D77"/>
    <w:rsid w:val="005969E4"/>
    <w:rsid w:val="005A06B7"/>
    <w:rsid w:val="005A1759"/>
    <w:rsid w:val="005A68A7"/>
    <w:rsid w:val="005D36AB"/>
    <w:rsid w:val="00612D71"/>
    <w:rsid w:val="00617CC3"/>
    <w:rsid w:val="006377A6"/>
    <w:rsid w:val="00637A3D"/>
    <w:rsid w:val="006411EF"/>
    <w:rsid w:val="006663C0"/>
    <w:rsid w:val="006748B8"/>
    <w:rsid w:val="006775C3"/>
    <w:rsid w:val="0069290A"/>
    <w:rsid w:val="0069775A"/>
    <w:rsid w:val="00697813"/>
    <w:rsid w:val="006A3EE8"/>
    <w:rsid w:val="006A72BF"/>
    <w:rsid w:val="006B03F2"/>
    <w:rsid w:val="006B37DC"/>
    <w:rsid w:val="006B4F68"/>
    <w:rsid w:val="006C0592"/>
    <w:rsid w:val="006C272E"/>
    <w:rsid w:val="006C5479"/>
    <w:rsid w:val="006D13B5"/>
    <w:rsid w:val="006E12FF"/>
    <w:rsid w:val="006E607E"/>
    <w:rsid w:val="00706C5D"/>
    <w:rsid w:val="00732922"/>
    <w:rsid w:val="0075162E"/>
    <w:rsid w:val="00754034"/>
    <w:rsid w:val="00756556"/>
    <w:rsid w:val="007618C4"/>
    <w:rsid w:val="00767980"/>
    <w:rsid w:val="00770B19"/>
    <w:rsid w:val="0077463F"/>
    <w:rsid w:val="007836EA"/>
    <w:rsid w:val="00784CDA"/>
    <w:rsid w:val="007906C4"/>
    <w:rsid w:val="007940EA"/>
    <w:rsid w:val="007967E8"/>
    <w:rsid w:val="007A2170"/>
    <w:rsid w:val="007A22BF"/>
    <w:rsid w:val="007A3323"/>
    <w:rsid w:val="007B72B8"/>
    <w:rsid w:val="007B7A58"/>
    <w:rsid w:val="007C21B5"/>
    <w:rsid w:val="007E4BD2"/>
    <w:rsid w:val="00801393"/>
    <w:rsid w:val="00802F88"/>
    <w:rsid w:val="0081293E"/>
    <w:rsid w:val="00815465"/>
    <w:rsid w:val="00817E9A"/>
    <w:rsid w:val="008306BD"/>
    <w:rsid w:val="00831A80"/>
    <w:rsid w:val="00833743"/>
    <w:rsid w:val="008340A4"/>
    <w:rsid w:val="00870142"/>
    <w:rsid w:val="0087135F"/>
    <w:rsid w:val="00872D94"/>
    <w:rsid w:val="00880364"/>
    <w:rsid w:val="00891592"/>
    <w:rsid w:val="00891E9E"/>
    <w:rsid w:val="008A2F68"/>
    <w:rsid w:val="008B4FA6"/>
    <w:rsid w:val="008B5282"/>
    <w:rsid w:val="008B7C17"/>
    <w:rsid w:val="008C2D01"/>
    <w:rsid w:val="008C40E6"/>
    <w:rsid w:val="008D0F7A"/>
    <w:rsid w:val="008D68E4"/>
    <w:rsid w:val="008E0506"/>
    <w:rsid w:val="008E0CFF"/>
    <w:rsid w:val="008E5D6B"/>
    <w:rsid w:val="008E76F0"/>
    <w:rsid w:val="008F15FE"/>
    <w:rsid w:val="008F2D29"/>
    <w:rsid w:val="008F5187"/>
    <w:rsid w:val="008F60D8"/>
    <w:rsid w:val="00902727"/>
    <w:rsid w:val="0090312B"/>
    <w:rsid w:val="0091736D"/>
    <w:rsid w:val="0093037A"/>
    <w:rsid w:val="0094154D"/>
    <w:rsid w:val="0095155F"/>
    <w:rsid w:val="00954429"/>
    <w:rsid w:val="009563CE"/>
    <w:rsid w:val="00976328"/>
    <w:rsid w:val="0097680D"/>
    <w:rsid w:val="00982438"/>
    <w:rsid w:val="0098404C"/>
    <w:rsid w:val="00985283"/>
    <w:rsid w:val="00995992"/>
    <w:rsid w:val="009A03E5"/>
    <w:rsid w:val="009A0F3B"/>
    <w:rsid w:val="009A1BB4"/>
    <w:rsid w:val="009A2628"/>
    <w:rsid w:val="009A3200"/>
    <w:rsid w:val="009B0897"/>
    <w:rsid w:val="009B7BD9"/>
    <w:rsid w:val="009C7DD5"/>
    <w:rsid w:val="009E227D"/>
    <w:rsid w:val="009E5019"/>
    <w:rsid w:val="00A04F1B"/>
    <w:rsid w:val="00A0501B"/>
    <w:rsid w:val="00A14947"/>
    <w:rsid w:val="00A30596"/>
    <w:rsid w:val="00A32A83"/>
    <w:rsid w:val="00A368DB"/>
    <w:rsid w:val="00A423AA"/>
    <w:rsid w:val="00A53EC6"/>
    <w:rsid w:val="00A55C0F"/>
    <w:rsid w:val="00A8713F"/>
    <w:rsid w:val="00A90BA1"/>
    <w:rsid w:val="00A97A9A"/>
    <w:rsid w:val="00AA0671"/>
    <w:rsid w:val="00AA2531"/>
    <w:rsid w:val="00AB1E09"/>
    <w:rsid w:val="00AB5330"/>
    <w:rsid w:val="00AB6A98"/>
    <w:rsid w:val="00AB7747"/>
    <w:rsid w:val="00AC14CE"/>
    <w:rsid w:val="00AC2A56"/>
    <w:rsid w:val="00AC6ECF"/>
    <w:rsid w:val="00AD0418"/>
    <w:rsid w:val="00AD055E"/>
    <w:rsid w:val="00AD47A7"/>
    <w:rsid w:val="00AF0CBF"/>
    <w:rsid w:val="00AF257F"/>
    <w:rsid w:val="00AF33CF"/>
    <w:rsid w:val="00AF4D50"/>
    <w:rsid w:val="00AF6179"/>
    <w:rsid w:val="00B06028"/>
    <w:rsid w:val="00B1295A"/>
    <w:rsid w:val="00B20A45"/>
    <w:rsid w:val="00B22C5C"/>
    <w:rsid w:val="00B24F30"/>
    <w:rsid w:val="00B31ABF"/>
    <w:rsid w:val="00B33BE3"/>
    <w:rsid w:val="00B53B5D"/>
    <w:rsid w:val="00B6055E"/>
    <w:rsid w:val="00B6317D"/>
    <w:rsid w:val="00B7723F"/>
    <w:rsid w:val="00B80534"/>
    <w:rsid w:val="00B8433C"/>
    <w:rsid w:val="00B87491"/>
    <w:rsid w:val="00BA29E9"/>
    <w:rsid w:val="00BA7142"/>
    <w:rsid w:val="00BB237C"/>
    <w:rsid w:val="00BB41A3"/>
    <w:rsid w:val="00BC32DC"/>
    <w:rsid w:val="00BC35B6"/>
    <w:rsid w:val="00BD1B51"/>
    <w:rsid w:val="00BD4596"/>
    <w:rsid w:val="00BE1405"/>
    <w:rsid w:val="00BE312D"/>
    <w:rsid w:val="00BF1C20"/>
    <w:rsid w:val="00C10578"/>
    <w:rsid w:val="00C135BC"/>
    <w:rsid w:val="00C15C95"/>
    <w:rsid w:val="00C2596A"/>
    <w:rsid w:val="00C27537"/>
    <w:rsid w:val="00C328FE"/>
    <w:rsid w:val="00C33507"/>
    <w:rsid w:val="00C4409D"/>
    <w:rsid w:val="00C44E72"/>
    <w:rsid w:val="00C45A06"/>
    <w:rsid w:val="00C47E5B"/>
    <w:rsid w:val="00C61E4B"/>
    <w:rsid w:val="00C64BFF"/>
    <w:rsid w:val="00C704E9"/>
    <w:rsid w:val="00C763C9"/>
    <w:rsid w:val="00C80057"/>
    <w:rsid w:val="00C82232"/>
    <w:rsid w:val="00C82913"/>
    <w:rsid w:val="00C972B1"/>
    <w:rsid w:val="00CA2CCE"/>
    <w:rsid w:val="00CA43FD"/>
    <w:rsid w:val="00CA7EF8"/>
    <w:rsid w:val="00CC489B"/>
    <w:rsid w:val="00CD2BCD"/>
    <w:rsid w:val="00CD3A4C"/>
    <w:rsid w:val="00CE10E9"/>
    <w:rsid w:val="00CE2910"/>
    <w:rsid w:val="00CE5393"/>
    <w:rsid w:val="00CF36BE"/>
    <w:rsid w:val="00CF6000"/>
    <w:rsid w:val="00D003F3"/>
    <w:rsid w:val="00D0364F"/>
    <w:rsid w:val="00D06834"/>
    <w:rsid w:val="00D26AC2"/>
    <w:rsid w:val="00D308ED"/>
    <w:rsid w:val="00D36D86"/>
    <w:rsid w:val="00D428AA"/>
    <w:rsid w:val="00D50A34"/>
    <w:rsid w:val="00D53EFA"/>
    <w:rsid w:val="00D94A7C"/>
    <w:rsid w:val="00D95896"/>
    <w:rsid w:val="00DB2983"/>
    <w:rsid w:val="00DC1257"/>
    <w:rsid w:val="00DC3DC0"/>
    <w:rsid w:val="00DC5B2B"/>
    <w:rsid w:val="00DD318D"/>
    <w:rsid w:val="00DF2E12"/>
    <w:rsid w:val="00DF514A"/>
    <w:rsid w:val="00DF6690"/>
    <w:rsid w:val="00DF6804"/>
    <w:rsid w:val="00E0358D"/>
    <w:rsid w:val="00E04323"/>
    <w:rsid w:val="00E070A2"/>
    <w:rsid w:val="00E2656A"/>
    <w:rsid w:val="00E412D0"/>
    <w:rsid w:val="00E56322"/>
    <w:rsid w:val="00E60982"/>
    <w:rsid w:val="00E62C62"/>
    <w:rsid w:val="00E654C1"/>
    <w:rsid w:val="00E65D97"/>
    <w:rsid w:val="00E72A5A"/>
    <w:rsid w:val="00E73354"/>
    <w:rsid w:val="00E9242D"/>
    <w:rsid w:val="00EA23EA"/>
    <w:rsid w:val="00EB5255"/>
    <w:rsid w:val="00EB5C47"/>
    <w:rsid w:val="00ED0639"/>
    <w:rsid w:val="00EF4755"/>
    <w:rsid w:val="00EF7135"/>
    <w:rsid w:val="00F027DB"/>
    <w:rsid w:val="00F14A7A"/>
    <w:rsid w:val="00F22985"/>
    <w:rsid w:val="00F3383E"/>
    <w:rsid w:val="00F465A7"/>
    <w:rsid w:val="00F50B7C"/>
    <w:rsid w:val="00F550E6"/>
    <w:rsid w:val="00F74345"/>
    <w:rsid w:val="00F80A0A"/>
    <w:rsid w:val="00F82B19"/>
    <w:rsid w:val="00F9212D"/>
    <w:rsid w:val="00F965DA"/>
    <w:rsid w:val="00FA406A"/>
    <w:rsid w:val="00FB503A"/>
    <w:rsid w:val="00FB516C"/>
    <w:rsid w:val="00FD0236"/>
    <w:rsid w:val="00FD18F4"/>
    <w:rsid w:val="00FD54DB"/>
    <w:rsid w:val="00FD619F"/>
    <w:rsid w:val="010E7385"/>
    <w:rsid w:val="01212077"/>
    <w:rsid w:val="0122299A"/>
    <w:rsid w:val="01290F7E"/>
    <w:rsid w:val="012E5E55"/>
    <w:rsid w:val="013263DD"/>
    <w:rsid w:val="01417C49"/>
    <w:rsid w:val="014471AA"/>
    <w:rsid w:val="015D1E09"/>
    <w:rsid w:val="016A15F8"/>
    <w:rsid w:val="016D0EAA"/>
    <w:rsid w:val="0171156E"/>
    <w:rsid w:val="01840C5E"/>
    <w:rsid w:val="01896811"/>
    <w:rsid w:val="018F0686"/>
    <w:rsid w:val="019C1A9A"/>
    <w:rsid w:val="019F2104"/>
    <w:rsid w:val="01B52807"/>
    <w:rsid w:val="01B76BF8"/>
    <w:rsid w:val="01C10E53"/>
    <w:rsid w:val="01CE0917"/>
    <w:rsid w:val="01CF5A07"/>
    <w:rsid w:val="02007315"/>
    <w:rsid w:val="020B7C42"/>
    <w:rsid w:val="02210631"/>
    <w:rsid w:val="0236149B"/>
    <w:rsid w:val="024160E2"/>
    <w:rsid w:val="02495733"/>
    <w:rsid w:val="024C44B3"/>
    <w:rsid w:val="02511F45"/>
    <w:rsid w:val="02560B3F"/>
    <w:rsid w:val="02573584"/>
    <w:rsid w:val="02667F6F"/>
    <w:rsid w:val="026858FF"/>
    <w:rsid w:val="02697903"/>
    <w:rsid w:val="026D6FED"/>
    <w:rsid w:val="0271589A"/>
    <w:rsid w:val="02920AD2"/>
    <w:rsid w:val="0293255D"/>
    <w:rsid w:val="029B032D"/>
    <w:rsid w:val="029E2444"/>
    <w:rsid w:val="02A92A00"/>
    <w:rsid w:val="02AB1830"/>
    <w:rsid w:val="02DA2EA7"/>
    <w:rsid w:val="02DB4942"/>
    <w:rsid w:val="02E923D4"/>
    <w:rsid w:val="02F96569"/>
    <w:rsid w:val="0314369E"/>
    <w:rsid w:val="03242405"/>
    <w:rsid w:val="03365141"/>
    <w:rsid w:val="03481F9F"/>
    <w:rsid w:val="034A710C"/>
    <w:rsid w:val="034D0DF5"/>
    <w:rsid w:val="03555A65"/>
    <w:rsid w:val="035E1D38"/>
    <w:rsid w:val="037110C3"/>
    <w:rsid w:val="038B4783"/>
    <w:rsid w:val="038B6E96"/>
    <w:rsid w:val="03A153E9"/>
    <w:rsid w:val="03AA040C"/>
    <w:rsid w:val="03B6784A"/>
    <w:rsid w:val="03C316DB"/>
    <w:rsid w:val="03EA7B21"/>
    <w:rsid w:val="04111FE8"/>
    <w:rsid w:val="0424285B"/>
    <w:rsid w:val="04376BAE"/>
    <w:rsid w:val="045A2C8D"/>
    <w:rsid w:val="045E5934"/>
    <w:rsid w:val="045F787D"/>
    <w:rsid w:val="04640655"/>
    <w:rsid w:val="0466662A"/>
    <w:rsid w:val="047168B4"/>
    <w:rsid w:val="04835AE7"/>
    <w:rsid w:val="04863311"/>
    <w:rsid w:val="04874344"/>
    <w:rsid w:val="048F14A4"/>
    <w:rsid w:val="049B2565"/>
    <w:rsid w:val="04CB2CA1"/>
    <w:rsid w:val="04D0336D"/>
    <w:rsid w:val="04D77E2E"/>
    <w:rsid w:val="04DC2308"/>
    <w:rsid w:val="04E72439"/>
    <w:rsid w:val="04EC7D1D"/>
    <w:rsid w:val="04F46DB8"/>
    <w:rsid w:val="05071F55"/>
    <w:rsid w:val="050B17A5"/>
    <w:rsid w:val="05191449"/>
    <w:rsid w:val="05196815"/>
    <w:rsid w:val="05512B23"/>
    <w:rsid w:val="055836F4"/>
    <w:rsid w:val="055A55B4"/>
    <w:rsid w:val="05614ACC"/>
    <w:rsid w:val="056A1D19"/>
    <w:rsid w:val="057D7977"/>
    <w:rsid w:val="05920F7A"/>
    <w:rsid w:val="05950E2F"/>
    <w:rsid w:val="059B10F3"/>
    <w:rsid w:val="05A31C8E"/>
    <w:rsid w:val="05C11593"/>
    <w:rsid w:val="05C414D0"/>
    <w:rsid w:val="05D55ED1"/>
    <w:rsid w:val="05E04E05"/>
    <w:rsid w:val="05E428F1"/>
    <w:rsid w:val="05F83EAE"/>
    <w:rsid w:val="05F95A7E"/>
    <w:rsid w:val="060317A8"/>
    <w:rsid w:val="06055520"/>
    <w:rsid w:val="060A0D89"/>
    <w:rsid w:val="0610316A"/>
    <w:rsid w:val="06180B25"/>
    <w:rsid w:val="06226B17"/>
    <w:rsid w:val="063E7D85"/>
    <w:rsid w:val="06581AF4"/>
    <w:rsid w:val="06707FBC"/>
    <w:rsid w:val="06943B8E"/>
    <w:rsid w:val="069929DF"/>
    <w:rsid w:val="069D7EE6"/>
    <w:rsid w:val="06BB6C4F"/>
    <w:rsid w:val="06BF3C21"/>
    <w:rsid w:val="06C76C7A"/>
    <w:rsid w:val="06C97A70"/>
    <w:rsid w:val="06E372A7"/>
    <w:rsid w:val="06F57B4C"/>
    <w:rsid w:val="06FB4A0A"/>
    <w:rsid w:val="070A3F52"/>
    <w:rsid w:val="070E36FD"/>
    <w:rsid w:val="07293586"/>
    <w:rsid w:val="07295285"/>
    <w:rsid w:val="0731290C"/>
    <w:rsid w:val="07362A4D"/>
    <w:rsid w:val="0737795B"/>
    <w:rsid w:val="073E2615"/>
    <w:rsid w:val="074C4C39"/>
    <w:rsid w:val="0756045B"/>
    <w:rsid w:val="075F362B"/>
    <w:rsid w:val="07636392"/>
    <w:rsid w:val="07770C56"/>
    <w:rsid w:val="07997695"/>
    <w:rsid w:val="079B7BC1"/>
    <w:rsid w:val="07A70A65"/>
    <w:rsid w:val="07A904EA"/>
    <w:rsid w:val="07AA5E31"/>
    <w:rsid w:val="07B94051"/>
    <w:rsid w:val="07C42413"/>
    <w:rsid w:val="07E2505E"/>
    <w:rsid w:val="08017F69"/>
    <w:rsid w:val="081449CC"/>
    <w:rsid w:val="081C5B30"/>
    <w:rsid w:val="08210D91"/>
    <w:rsid w:val="082C6306"/>
    <w:rsid w:val="08370F5E"/>
    <w:rsid w:val="0849541F"/>
    <w:rsid w:val="084C1D02"/>
    <w:rsid w:val="084D1184"/>
    <w:rsid w:val="084D48E2"/>
    <w:rsid w:val="084F532E"/>
    <w:rsid w:val="08527800"/>
    <w:rsid w:val="08691283"/>
    <w:rsid w:val="086D7317"/>
    <w:rsid w:val="08716C98"/>
    <w:rsid w:val="087F53D8"/>
    <w:rsid w:val="088A0E58"/>
    <w:rsid w:val="088F5184"/>
    <w:rsid w:val="089E077E"/>
    <w:rsid w:val="08A4419B"/>
    <w:rsid w:val="08BA6EF0"/>
    <w:rsid w:val="08C56CB3"/>
    <w:rsid w:val="08D504EF"/>
    <w:rsid w:val="08E0033A"/>
    <w:rsid w:val="08E1604C"/>
    <w:rsid w:val="08E311F7"/>
    <w:rsid w:val="08E458C1"/>
    <w:rsid w:val="08E825FD"/>
    <w:rsid w:val="08EE53D5"/>
    <w:rsid w:val="08FA21C4"/>
    <w:rsid w:val="091A6D37"/>
    <w:rsid w:val="091A7E4E"/>
    <w:rsid w:val="092217DD"/>
    <w:rsid w:val="092B34F0"/>
    <w:rsid w:val="09335AEB"/>
    <w:rsid w:val="093A7294"/>
    <w:rsid w:val="094273E0"/>
    <w:rsid w:val="09524F20"/>
    <w:rsid w:val="09571982"/>
    <w:rsid w:val="0965150B"/>
    <w:rsid w:val="09702EF7"/>
    <w:rsid w:val="097E6D04"/>
    <w:rsid w:val="097F1A8E"/>
    <w:rsid w:val="0992356F"/>
    <w:rsid w:val="09952584"/>
    <w:rsid w:val="09AF4D93"/>
    <w:rsid w:val="09B257FD"/>
    <w:rsid w:val="09B90AFC"/>
    <w:rsid w:val="09D406A6"/>
    <w:rsid w:val="09D743D3"/>
    <w:rsid w:val="09EF3A44"/>
    <w:rsid w:val="0A0C088B"/>
    <w:rsid w:val="0A0C2A01"/>
    <w:rsid w:val="0A17287A"/>
    <w:rsid w:val="0A1C0642"/>
    <w:rsid w:val="0A1C29A0"/>
    <w:rsid w:val="0A263993"/>
    <w:rsid w:val="0A2D3AC2"/>
    <w:rsid w:val="0A510406"/>
    <w:rsid w:val="0A6C4F44"/>
    <w:rsid w:val="0A7927AA"/>
    <w:rsid w:val="0A91241E"/>
    <w:rsid w:val="0A9471A3"/>
    <w:rsid w:val="0AA07DF7"/>
    <w:rsid w:val="0AA755DF"/>
    <w:rsid w:val="0AAA4EB7"/>
    <w:rsid w:val="0AB13E4E"/>
    <w:rsid w:val="0AC04958"/>
    <w:rsid w:val="0AC72736"/>
    <w:rsid w:val="0ACD46BA"/>
    <w:rsid w:val="0ACF36A6"/>
    <w:rsid w:val="0ADA342A"/>
    <w:rsid w:val="0ADD5245"/>
    <w:rsid w:val="0B004F10"/>
    <w:rsid w:val="0B10714B"/>
    <w:rsid w:val="0B120D44"/>
    <w:rsid w:val="0B356225"/>
    <w:rsid w:val="0B3B1C00"/>
    <w:rsid w:val="0B451A0A"/>
    <w:rsid w:val="0B6444C7"/>
    <w:rsid w:val="0B6947A3"/>
    <w:rsid w:val="0B7B5DDC"/>
    <w:rsid w:val="0B8844CA"/>
    <w:rsid w:val="0B88479F"/>
    <w:rsid w:val="0B8B28A0"/>
    <w:rsid w:val="0BCD029F"/>
    <w:rsid w:val="0BD26EDB"/>
    <w:rsid w:val="0BD27BF6"/>
    <w:rsid w:val="0BD9726F"/>
    <w:rsid w:val="0BF978D5"/>
    <w:rsid w:val="0BFC64AB"/>
    <w:rsid w:val="0C0D5A15"/>
    <w:rsid w:val="0C123151"/>
    <w:rsid w:val="0C397A50"/>
    <w:rsid w:val="0C3B3C7D"/>
    <w:rsid w:val="0C477E2C"/>
    <w:rsid w:val="0C5D52BF"/>
    <w:rsid w:val="0C6D3223"/>
    <w:rsid w:val="0C743400"/>
    <w:rsid w:val="0C7D548A"/>
    <w:rsid w:val="0C820FCF"/>
    <w:rsid w:val="0C8917BB"/>
    <w:rsid w:val="0C8A56A7"/>
    <w:rsid w:val="0C8E68EA"/>
    <w:rsid w:val="0C9C4937"/>
    <w:rsid w:val="0CAA033F"/>
    <w:rsid w:val="0CAA2A98"/>
    <w:rsid w:val="0CAB2EAE"/>
    <w:rsid w:val="0CC936B2"/>
    <w:rsid w:val="0CD619C5"/>
    <w:rsid w:val="0CD71049"/>
    <w:rsid w:val="0CD90F6C"/>
    <w:rsid w:val="0CDA06F5"/>
    <w:rsid w:val="0CE13E9A"/>
    <w:rsid w:val="0CEC01A7"/>
    <w:rsid w:val="0CEC28EE"/>
    <w:rsid w:val="0D131D3F"/>
    <w:rsid w:val="0D1421A4"/>
    <w:rsid w:val="0D153CDD"/>
    <w:rsid w:val="0D394C5A"/>
    <w:rsid w:val="0D460B9B"/>
    <w:rsid w:val="0D4C2BAC"/>
    <w:rsid w:val="0D621C7D"/>
    <w:rsid w:val="0D671EC4"/>
    <w:rsid w:val="0D67411B"/>
    <w:rsid w:val="0D70395E"/>
    <w:rsid w:val="0D8561F0"/>
    <w:rsid w:val="0DA02D02"/>
    <w:rsid w:val="0DAE649D"/>
    <w:rsid w:val="0DBB73D5"/>
    <w:rsid w:val="0DC27F70"/>
    <w:rsid w:val="0DCA3F54"/>
    <w:rsid w:val="0DE0038F"/>
    <w:rsid w:val="0DE4405C"/>
    <w:rsid w:val="0DFA2841"/>
    <w:rsid w:val="0E0B60A4"/>
    <w:rsid w:val="0E73034D"/>
    <w:rsid w:val="0E814BEB"/>
    <w:rsid w:val="0E880A30"/>
    <w:rsid w:val="0E950300"/>
    <w:rsid w:val="0E9B6767"/>
    <w:rsid w:val="0E9C2A98"/>
    <w:rsid w:val="0E9E6393"/>
    <w:rsid w:val="0EA115D7"/>
    <w:rsid w:val="0EB94569"/>
    <w:rsid w:val="0EBF0928"/>
    <w:rsid w:val="0ECE34DA"/>
    <w:rsid w:val="0ED3540F"/>
    <w:rsid w:val="0EDD1F04"/>
    <w:rsid w:val="0EEC542B"/>
    <w:rsid w:val="0F0A7600"/>
    <w:rsid w:val="0F0F2125"/>
    <w:rsid w:val="0F13775A"/>
    <w:rsid w:val="0F1457B6"/>
    <w:rsid w:val="0F2051A5"/>
    <w:rsid w:val="0F274759"/>
    <w:rsid w:val="0F3F1AA3"/>
    <w:rsid w:val="0F56235F"/>
    <w:rsid w:val="0F5F45FE"/>
    <w:rsid w:val="0F7676B0"/>
    <w:rsid w:val="0F78144C"/>
    <w:rsid w:val="0F857740"/>
    <w:rsid w:val="0F867F80"/>
    <w:rsid w:val="0F896404"/>
    <w:rsid w:val="0F9048C0"/>
    <w:rsid w:val="0F9624FF"/>
    <w:rsid w:val="0F9A112B"/>
    <w:rsid w:val="0FA4206A"/>
    <w:rsid w:val="0FA427E8"/>
    <w:rsid w:val="0FAA2077"/>
    <w:rsid w:val="0FB2125D"/>
    <w:rsid w:val="0FB70580"/>
    <w:rsid w:val="0FB75EED"/>
    <w:rsid w:val="0FC01EAA"/>
    <w:rsid w:val="0FCB116A"/>
    <w:rsid w:val="0FFED3B1"/>
    <w:rsid w:val="1002449F"/>
    <w:rsid w:val="10026BFA"/>
    <w:rsid w:val="101349F4"/>
    <w:rsid w:val="10151A1E"/>
    <w:rsid w:val="10210FFD"/>
    <w:rsid w:val="102E6A16"/>
    <w:rsid w:val="103147A1"/>
    <w:rsid w:val="10404308"/>
    <w:rsid w:val="104E54F3"/>
    <w:rsid w:val="105B0B5E"/>
    <w:rsid w:val="105B5949"/>
    <w:rsid w:val="105E000C"/>
    <w:rsid w:val="106D2F64"/>
    <w:rsid w:val="108D4F1E"/>
    <w:rsid w:val="108E3CA6"/>
    <w:rsid w:val="108E50BE"/>
    <w:rsid w:val="10A10219"/>
    <w:rsid w:val="10B244F7"/>
    <w:rsid w:val="10B3726F"/>
    <w:rsid w:val="10B63710"/>
    <w:rsid w:val="10B67794"/>
    <w:rsid w:val="10C3592D"/>
    <w:rsid w:val="10E205EB"/>
    <w:rsid w:val="10EC0872"/>
    <w:rsid w:val="10F10820"/>
    <w:rsid w:val="11061098"/>
    <w:rsid w:val="110C542A"/>
    <w:rsid w:val="111C2F7A"/>
    <w:rsid w:val="111F5FD8"/>
    <w:rsid w:val="1130081C"/>
    <w:rsid w:val="11420D6D"/>
    <w:rsid w:val="115D5A91"/>
    <w:rsid w:val="11665CA1"/>
    <w:rsid w:val="117907F4"/>
    <w:rsid w:val="11963813"/>
    <w:rsid w:val="11992F7B"/>
    <w:rsid w:val="119D543B"/>
    <w:rsid w:val="11AF1DCB"/>
    <w:rsid w:val="11B611A1"/>
    <w:rsid w:val="11C20B24"/>
    <w:rsid w:val="11C25F3F"/>
    <w:rsid w:val="11CA47C2"/>
    <w:rsid w:val="11CA6E77"/>
    <w:rsid w:val="11CC5B64"/>
    <w:rsid w:val="11CC5D32"/>
    <w:rsid w:val="11E00DDF"/>
    <w:rsid w:val="11EB7E06"/>
    <w:rsid w:val="120629B8"/>
    <w:rsid w:val="12094974"/>
    <w:rsid w:val="120D3305"/>
    <w:rsid w:val="12137F71"/>
    <w:rsid w:val="121D58B7"/>
    <w:rsid w:val="1232355F"/>
    <w:rsid w:val="12380A2C"/>
    <w:rsid w:val="123D6008"/>
    <w:rsid w:val="124B60A2"/>
    <w:rsid w:val="12534407"/>
    <w:rsid w:val="12563336"/>
    <w:rsid w:val="12563534"/>
    <w:rsid w:val="125A0994"/>
    <w:rsid w:val="125F046F"/>
    <w:rsid w:val="125F49FB"/>
    <w:rsid w:val="127C38A5"/>
    <w:rsid w:val="12A966D1"/>
    <w:rsid w:val="12B20A94"/>
    <w:rsid w:val="12B96010"/>
    <w:rsid w:val="12D86C2C"/>
    <w:rsid w:val="12E13C74"/>
    <w:rsid w:val="12E73814"/>
    <w:rsid w:val="12EB2C3B"/>
    <w:rsid w:val="130059ED"/>
    <w:rsid w:val="13040E13"/>
    <w:rsid w:val="13111BF7"/>
    <w:rsid w:val="131A7767"/>
    <w:rsid w:val="134010F9"/>
    <w:rsid w:val="134F5B46"/>
    <w:rsid w:val="1351449B"/>
    <w:rsid w:val="13681570"/>
    <w:rsid w:val="136C1AB3"/>
    <w:rsid w:val="13796661"/>
    <w:rsid w:val="137F1493"/>
    <w:rsid w:val="138D33B9"/>
    <w:rsid w:val="1394482A"/>
    <w:rsid w:val="13951726"/>
    <w:rsid w:val="13952F75"/>
    <w:rsid w:val="13B028D2"/>
    <w:rsid w:val="13B50ED2"/>
    <w:rsid w:val="13B54A2A"/>
    <w:rsid w:val="13BD1D4A"/>
    <w:rsid w:val="13C05B8A"/>
    <w:rsid w:val="13CA1788"/>
    <w:rsid w:val="13D47791"/>
    <w:rsid w:val="13D7400E"/>
    <w:rsid w:val="13DC299E"/>
    <w:rsid w:val="13E01CA8"/>
    <w:rsid w:val="13E3124F"/>
    <w:rsid w:val="13F16BB5"/>
    <w:rsid w:val="13F50978"/>
    <w:rsid w:val="14004E57"/>
    <w:rsid w:val="142027B2"/>
    <w:rsid w:val="1423797E"/>
    <w:rsid w:val="142D4818"/>
    <w:rsid w:val="143108A0"/>
    <w:rsid w:val="14396509"/>
    <w:rsid w:val="14465B59"/>
    <w:rsid w:val="14466EC4"/>
    <w:rsid w:val="14507B7F"/>
    <w:rsid w:val="1452708C"/>
    <w:rsid w:val="145A4799"/>
    <w:rsid w:val="148024A0"/>
    <w:rsid w:val="149A5A6F"/>
    <w:rsid w:val="14A21292"/>
    <w:rsid w:val="14A872A3"/>
    <w:rsid w:val="14B4169E"/>
    <w:rsid w:val="14B7099C"/>
    <w:rsid w:val="14C6599F"/>
    <w:rsid w:val="14C96989"/>
    <w:rsid w:val="14CD4531"/>
    <w:rsid w:val="14CD7CDB"/>
    <w:rsid w:val="14DD2C3C"/>
    <w:rsid w:val="14F055ED"/>
    <w:rsid w:val="150031DB"/>
    <w:rsid w:val="15106530"/>
    <w:rsid w:val="15310B4D"/>
    <w:rsid w:val="153903CF"/>
    <w:rsid w:val="154E219A"/>
    <w:rsid w:val="15517C41"/>
    <w:rsid w:val="156008C2"/>
    <w:rsid w:val="156D0A71"/>
    <w:rsid w:val="15712BD2"/>
    <w:rsid w:val="158C17BA"/>
    <w:rsid w:val="15B54724"/>
    <w:rsid w:val="15E52C78"/>
    <w:rsid w:val="15EF6089"/>
    <w:rsid w:val="15F40BD5"/>
    <w:rsid w:val="15F47534"/>
    <w:rsid w:val="15F56DE3"/>
    <w:rsid w:val="15FA6724"/>
    <w:rsid w:val="15FB473D"/>
    <w:rsid w:val="16087E1D"/>
    <w:rsid w:val="161C64ED"/>
    <w:rsid w:val="16253C42"/>
    <w:rsid w:val="16300568"/>
    <w:rsid w:val="163805AD"/>
    <w:rsid w:val="163C760B"/>
    <w:rsid w:val="165E2373"/>
    <w:rsid w:val="169E46CC"/>
    <w:rsid w:val="16A15E0E"/>
    <w:rsid w:val="16AE27AB"/>
    <w:rsid w:val="16B014D8"/>
    <w:rsid w:val="16C805D0"/>
    <w:rsid w:val="16D725FA"/>
    <w:rsid w:val="170B68AC"/>
    <w:rsid w:val="172373BF"/>
    <w:rsid w:val="17325B3B"/>
    <w:rsid w:val="173A39F7"/>
    <w:rsid w:val="173C0FBE"/>
    <w:rsid w:val="17406A44"/>
    <w:rsid w:val="17455D66"/>
    <w:rsid w:val="17456D4A"/>
    <w:rsid w:val="174E00CB"/>
    <w:rsid w:val="175561E2"/>
    <w:rsid w:val="175C1D54"/>
    <w:rsid w:val="17701D14"/>
    <w:rsid w:val="17735226"/>
    <w:rsid w:val="17756270"/>
    <w:rsid w:val="178B3D6A"/>
    <w:rsid w:val="17AC6144"/>
    <w:rsid w:val="17AF5802"/>
    <w:rsid w:val="17B60B55"/>
    <w:rsid w:val="17D05908"/>
    <w:rsid w:val="17D1691E"/>
    <w:rsid w:val="17D24A0D"/>
    <w:rsid w:val="17D26723"/>
    <w:rsid w:val="17D82A95"/>
    <w:rsid w:val="17DE5B4F"/>
    <w:rsid w:val="17E474C9"/>
    <w:rsid w:val="17F326CF"/>
    <w:rsid w:val="17FC7011"/>
    <w:rsid w:val="17FF3BCC"/>
    <w:rsid w:val="180939C1"/>
    <w:rsid w:val="180F5B39"/>
    <w:rsid w:val="18102A4E"/>
    <w:rsid w:val="18137E8B"/>
    <w:rsid w:val="182C61CE"/>
    <w:rsid w:val="182E7B79"/>
    <w:rsid w:val="18363174"/>
    <w:rsid w:val="183713D8"/>
    <w:rsid w:val="185A794E"/>
    <w:rsid w:val="18690CE7"/>
    <w:rsid w:val="187F44D4"/>
    <w:rsid w:val="188760CD"/>
    <w:rsid w:val="188969BF"/>
    <w:rsid w:val="18900612"/>
    <w:rsid w:val="18960D61"/>
    <w:rsid w:val="189F624C"/>
    <w:rsid w:val="18A16B20"/>
    <w:rsid w:val="18A57BB2"/>
    <w:rsid w:val="18B3705E"/>
    <w:rsid w:val="18B37702"/>
    <w:rsid w:val="18C77D3A"/>
    <w:rsid w:val="18E170E2"/>
    <w:rsid w:val="18EC0E2D"/>
    <w:rsid w:val="18F52FBE"/>
    <w:rsid w:val="191105B2"/>
    <w:rsid w:val="19193D87"/>
    <w:rsid w:val="19313528"/>
    <w:rsid w:val="193208CA"/>
    <w:rsid w:val="19367070"/>
    <w:rsid w:val="19597D11"/>
    <w:rsid w:val="19611A6A"/>
    <w:rsid w:val="19616B34"/>
    <w:rsid w:val="199B781C"/>
    <w:rsid w:val="19AE7289"/>
    <w:rsid w:val="19B3301F"/>
    <w:rsid w:val="1A0A0C39"/>
    <w:rsid w:val="1A1C66C0"/>
    <w:rsid w:val="1A2531E2"/>
    <w:rsid w:val="1A266464"/>
    <w:rsid w:val="1A42393B"/>
    <w:rsid w:val="1A504835"/>
    <w:rsid w:val="1A515870"/>
    <w:rsid w:val="1A5A594D"/>
    <w:rsid w:val="1A5E4FEC"/>
    <w:rsid w:val="1A631620"/>
    <w:rsid w:val="1A67778C"/>
    <w:rsid w:val="1A6A2002"/>
    <w:rsid w:val="1A765D02"/>
    <w:rsid w:val="1A866694"/>
    <w:rsid w:val="1A8A459D"/>
    <w:rsid w:val="1A8E7C22"/>
    <w:rsid w:val="1A920759"/>
    <w:rsid w:val="1A9330CD"/>
    <w:rsid w:val="1A9371D8"/>
    <w:rsid w:val="1A9611D4"/>
    <w:rsid w:val="1AAA55D3"/>
    <w:rsid w:val="1AAD45DE"/>
    <w:rsid w:val="1AC407CB"/>
    <w:rsid w:val="1AC4583C"/>
    <w:rsid w:val="1ACD2659"/>
    <w:rsid w:val="1AD10A5C"/>
    <w:rsid w:val="1AD84EFB"/>
    <w:rsid w:val="1AF84961"/>
    <w:rsid w:val="1B046F80"/>
    <w:rsid w:val="1B1B26AB"/>
    <w:rsid w:val="1B28190C"/>
    <w:rsid w:val="1B3267B5"/>
    <w:rsid w:val="1B335993"/>
    <w:rsid w:val="1B40161D"/>
    <w:rsid w:val="1B441859"/>
    <w:rsid w:val="1B465F7F"/>
    <w:rsid w:val="1B4A78A5"/>
    <w:rsid w:val="1B4E4B85"/>
    <w:rsid w:val="1B567A4D"/>
    <w:rsid w:val="1B6606B1"/>
    <w:rsid w:val="1B66339A"/>
    <w:rsid w:val="1B804048"/>
    <w:rsid w:val="1B8740B2"/>
    <w:rsid w:val="1B8F756E"/>
    <w:rsid w:val="1B952796"/>
    <w:rsid w:val="1BA067E9"/>
    <w:rsid w:val="1BA207F6"/>
    <w:rsid w:val="1BBF3735"/>
    <w:rsid w:val="1BD76F90"/>
    <w:rsid w:val="1BDE208B"/>
    <w:rsid w:val="1C1F5136"/>
    <w:rsid w:val="1C212716"/>
    <w:rsid w:val="1C2C36C1"/>
    <w:rsid w:val="1C3513A7"/>
    <w:rsid w:val="1C3F29E3"/>
    <w:rsid w:val="1C4A040C"/>
    <w:rsid w:val="1C573BAA"/>
    <w:rsid w:val="1C5E6F87"/>
    <w:rsid w:val="1C5E7925"/>
    <w:rsid w:val="1C904F03"/>
    <w:rsid w:val="1C912DFC"/>
    <w:rsid w:val="1CCE663E"/>
    <w:rsid w:val="1CE37B56"/>
    <w:rsid w:val="1CEA0FD5"/>
    <w:rsid w:val="1CEA13D6"/>
    <w:rsid w:val="1CFB278A"/>
    <w:rsid w:val="1CFD070F"/>
    <w:rsid w:val="1CFD5461"/>
    <w:rsid w:val="1D07602E"/>
    <w:rsid w:val="1D0D63AA"/>
    <w:rsid w:val="1D201F88"/>
    <w:rsid w:val="1D271E7C"/>
    <w:rsid w:val="1D4C6C4F"/>
    <w:rsid w:val="1D545FAF"/>
    <w:rsid w:val="1D55686D"/>
    <w:rsid w:val="1D5F6196"/>
    <w:rsid w:val="1D606D93"/>
    <w:rsid w:val="1D6132A5"/>
    <w:rsid w:val="1D621E05"/>
    <w:rsid w:val="1D6C38C1"/>
    <w:rsid w:val="1D7019AF"/>
    <w:rsid w:val="1D7B7DDD"/>
    <w:rsid w:val="1D820FBF"/>
    <w:rsid w:val="1D8C6E7A"/>
    <w:rsid w:val="1D8E56D5"/>
    <w:rsid w:val="1D982311"/>
    <w:rsid w:val="1D9B1E4F"/>
    <w:rsid w:val="1DA222D5"/>
    <w:rsid w:val="1DB10050"/>
    <w:rsid w:val="1DB75384"/>
    <w:rsid w:val="1DB83859"/>
    <w:rsid w:val="1DC2495D"/>
    <w:rsid w:val="1DD87AD9"/>
    <w:rsid w:val="1DE62972"/>
    <w:rsid w:val="1DF220E0"/>
    <w:rsid w:val="1DF77D13"/>
    <w:rsid w:val="1E182C52"/>
    <w:rsid w:val="1E366D6D"/>
    <w:rsid w:val="1E3B5B2B"/>
    <w:rsid w:val="1E404863"/>
    <w:rsid w:val="1E5304F2"/>
    <w:rsid w:val="1E546239"/>
    <w:rsid w:val="1E7828DC"/>
    <w:rsid w:val="1E7A43DA"/>
    <w:rsid w:val="1EA24F12"/>
    <w:rsid w:val="1EAE0BED"/>
    <w:rsid w:val="1EB07961"/>
    <w:rsid w:val="1EB5740D"/>
    <w:rsid w:val="1EB73CF4"/>
    <w:rsid w:val="1EC353AE"/>
    <w:rsid w:val="1EC73798"/>
    <w:rsid w:val="1ED146E2"/>
    <w:rsid w:val="1ED3045A"/>
    <w:rsid w:val="1ED93FE7"/>
    <w:rsid w:val="1EE12442"/>
    <w:rsid w:val="1F0157B5"/>
    <w:rsid w:val="1F026649"/>
    <w:rsid w:val="1F16215B"/>
    <w:rsid w:val="1F3412F9"/>
    <w:rsid w:val="1F5834F5"/>
    <w:rsid w:val="1F6A0CDB"/>
    <w:rsid w:val="1F892023"/>
    <w:rsid w:val="1F8A0C84"/>
    <w:rsid w:val="1F945984"/>
    <w:rsid w:val="1F976925"/>
    <w:rsid w:val="1FA04AB8"/>
    <w:rsid w:val="1FA83E0C"/>
    <w:rsid w:val="1FA92D3B"/>
    <w:rsid w:val="1FAB4EBC"/>
    <w:rsid w:val="1FAB6ABE"/>
    <w:rsid w:val="1FC066C0"/>
    <w:rsid w:val="1FD80FBB"/>
    <w:rsid w:val="1FE7539E"/>
    <w:rsid w:val="1FE9540D"/>
    <w:rsid w:val="1FEB08E1"/>
    <w:rsid w:val="1FEF0EA6"/>
    <w:rsid w:val="1FF26EBF"/>
    <w:rsid w:val="200327E6"/>
    <w:rsid w:val="20104CD0"/>
    <w:rsid w:val="20393FC0"/>
    <w:rsid w:val="203C0852"/>
    <w:rsid w:val="20454C20"/>
    <w:rsid w:val="20462BC1"/>
    <w:rsid w:val="20524195"/>
    <w:rsid w:val="20671BE0"/>
    <w:rsid w:val="207203B2"/>
    <w:rsid w:val="20752F1F"/>
    <w:rsid w:val="20892DDE"/>
    <w:rsid w:val="208B29C1"/>
    <w:rsid w:val="20963CB8"/>
    <w:rsid w:val="2098445B"/>
    <w:rsid w:val="209C7C34"/>
    <w:rsid w:val="209E20C4"/>
    <w:rsid w:val="209E6B90"/>
    <w:rsid w:val="20A81A1B"/>
    <w:rsid w:val="20AF1106"/>
    <w:rsid w:val="20B02C81"/>
    <w:rsid w:val="20B07FB6"/>
    <w:rsid w:val="20B35E4D"/>
    <w:rsid w:val="20B646FB"/>
    <w:rsid w:val="20C80F62"/>
    <w:rsid w:val="20CE1E57"/>
    <w:rsid w:val="20D65FDF"/>
    <w:rsid w:val="20DC2F39"/>
    <w:rsid w:val="20EB1969"/>
    <w:rsid w:val="21003256"/>
    <w:rsid w:val="21156387"/>
    <w:rsid w:val="211A5FAB"/>
    <w:rsid w:val="21234574"/>
    <w:rsid w:val="213B74B1"/>
    <w:rsid w:val="21415DDB"/>
    <w:rsid w:val="215A2310"/>
    <w:rsid w:val="215D29C3"/>
    <w:rsid w:val="21607C16"/>
    <w:rsid w:val="21686FDA"/>
    <w:rsid w:val="216E2054"/>
    <w:rsid w:val="21794657"/>
    <w:rsid w:val="218B501C"/>
    <w:rsid w:val="21912995"/>
    <w:rsid w:val="21B67958"/>
    <w:rsid w:val="21DE318A"/>
    <w:rsid w:val="21EF5B80"/>
    <w:rsid w:val="21FB76F2"/>
    <w:rsid w:val="22105521"/>
    <w:rsid w:val="221248DC"/>
    <w:rsid w:val="22137BA5"/>
    <w:rsid w:val="22206B28"/>
    <w:rsid w:val="222D1BEC"/>
    <w:rsid w:val="223838C1"/>
    <w:rsid w:val="223C3C5C"/>
    <w:rsid w:val="224F6049"/>
    <w:rsid w:val="22576990"/>
    <w:rsid w:val="22596EC8"/>
    <w:rsid w:val="225A1712"/>
    <w:rsid w:val="226E3CCD"/>
    <w:rsid w:val="22781870"/>
    <w:rsid w:val="22861352"/>
    <w:rsid w:val="228801EE"/>
    <w:rsid w:val="22A515C5"/>
    <w:rsid w:val="22AF226A"/>
    <w:rsid w:val="22AF6AE8"/>
    <w:rsid w:val="22B12354"/>
    <w:rsid w:val="22BA3014"/>
    <w:rsid w:val="22C32F63"/>
    <w:rsid w:val="22CE71A1"/>
    <w:rsid w:val="22D50DF9"/>
    <w:rsid w:val="22E03739"/>
    <w:rsid w:val="22E12118"/>
    <w:rsid w:val="22E21CB2"/>
    <w:rsid w:val="22E346A5"/>
    <w:rsid w:val="22E63D11"/>
    <w:rsid w:val="22F47480"/>
    <w:rsid w:val="22F51355"/>
    <w:rsid w:val="230560CF"/>
    <w:rsid w:val="23187980"/>
    <w:rsid w:val="231C0BDD"/>
    <w:rsid w:val="233053B1"/>
    <w:rsid w:val="23342B68"/>
    <w:rsid w:val="233C15DB"/>
    <w:rsid w:val="233D2B7D"/>
    <w:rsid w:val="23405992"/>
    <w:rsid w:val="23457001"/>
    <w:rsid w:val="234B3A90"/>
    <w:rsid w:val="23537EFF"/>
    <w:rsid w:val="2356302D"/>
    <w:rsid w:val="236062B9"/>
    <w:rsid w:val="23662275"/>
    <w:rsid w:val="237221D0"/>
    <w:rsid w:val="23784362"/>
    <w:rsid w:val="2399634B"/>
    <w:rsid w:val="23B77BA7"/>
    <w:rsid w:val="23C319C8"/>
    <w:rsid w:val="23C54623"/>
    <w:rsid w:val="23C81960"/>
    <w:rsid w:val="23CA428B"/>
    <w:rsid w:val="23DE1C48"/>
    <w:rsid w:val="23E21091"/>
    <w:rsid w:val="23FE033B"/>
    <w:rsid w:val="240210CD"/>
    <w:rsid w:val="24333BE3"/>
    <w:rsid w:val="24384FCB"/>
    <w:rsid w:val="243C1AF8"/>
    <w:rsid w:val="24435E97"/>
    <w:rsid w:val="244734E8"/>
    <w:rsid w:val="24500991"/>
    <w:rsid w:val="246556D1"/>
    <w:rsid w:val="247146F4"/>
    <w:rsid w:val="248565BD"/>
    <w:rsid w:val="24884199"/>
    <w:rsid w:val="248E1F8B"/>
    <w:rsid w:val="2494531E"/>
    <w:rsid w:val="24BF09F7"/>
    <w:rsid w:val="24C534A1"/>
    <w:rsid w:val="24C91094"/>
    <w:rsid w:val="24CA6D27"/>
    <w:rsid w:val="24D308C1"/>
    <w:rsid w:val="24DC6242"/>
    <w:rsid w:val="24E62445"/>
    <w:rsid w:val="24F60975"/>
    <w:rsid w:val="24F73D71"/>
    <w:rsid w:val="25063D80"/>
    <w:rsid w:val="250731D0"/>
    <w:rsid w:val="250D7AF6"/>
    <w:rsid w:val="2513660B"/>
    <w:rsid w:val="252D53FE"/>
    <w:rsid w:val="25676125"/>
    <w:rsid w:val="257F348F"/>
    <w:rsid w:val="25933588"/>
    <w:rsid w:val="2593449F"/>
    <w:rsid w:val="259A5FF9"/>
    <w:rsid w:val="259E5BC4"/>
    <w:rsid w:val="25C72C15"/>
    <w:rsid w:val="25D17D82"/>
    <w:rsid w:val="25EC2D81"/>
    <w:rsid w:val="25EF6AF4"/>
    <w:rsid w:val="25FA62AC"/>
    <w:rsid w:val="25FE7027"/>
    <w:rsid w:val="262B443E"/>
    <w:rsid w:val="26331035"/>
    <w:rsid w:val="268221CF"/>
    <w:rsid w:val="26962499"/>
    <w:rsid w:val="26A526DC"/>
    <w:rsid w:val="26AE17C5"/>
    <w:rsid w:val="26B91E68"/>
    <w:rsid w:val="26C22897"/>
    <w:rsid w:val="26C97AB9"/>
    <w:rsid w:val="26D63CCD"/>
    <w:rsid w:val="26E50D2A"/>
    <w:rsid w:val="26E92ADB"/>
    <w:rsid w:val="26F11611"/>
    <w:rsid w:val="26F77C67"/>
    <w:rsid w:val="270323A4"/>
    <w:rsid w:val="27147861"/>
    <w:rsid w:val="27165471"/>
    <w:rsid w:val="271F2B32"/>
    <w:rsid w:val="2720533D"/>
    <w:rsid w:val="274343D4"/>
    <w:rsid w:val="274A7E3A"/>
    <w:rsid w:val="274B7CAE"/>
    <w:rsid w:val="277057A2"/>
    <w:rsid w:val="278A5312"/>
    <w:rsid w:val="279177EC"/>
    <w:rsid w:val="27A578D6"/>
    <w:rsid w:val="27D10A86"/>
    <w:rsid w:val="27D64360"/>
    <w:rsid w:val="27E15E9B"/>
    <w:rsid w:val="281175FB"/>
    <w:rsid w:val="281742EE"/>
    <w:rsid w:val="282704AA"/>
    <w:rsid w:val="282A3BAA"/>
    <w:rsid w:val="28444083"/>
    <w:rsid w:val="28674794"/>
    <w:rsid w:val="287F7F20"/>
    <w:rsid w:val="28832BDB"/>
    <w:rsid w:val="28912FCD"/>
    <w:rsid w:val="28A271D5"/>
    <w:rsid w:val="28A349F9"/>
    <w:rsid w:val="28AE5727"/>
    <w:rsid w:val="28B27642"/>
    <w:rsid w:val="28C003AF"/>
    <w:rsid w:val="28CC654F"/>
    <w:rsid w:val="28F12E95"/>
    <w:rsid w:val="28F67734"/>
    <w:rsid w:val="28F73908"/>
    <w:rsid w:val="290C6625"/>
    <w:rsid w:val="29206EB8"/>
    <w:rsid w:val="29357B63"/>
    <w:rsid w:val="293A257D"/>
    <w:rsid w:val="29433254"/>
    <w:rsid w:val="29595666"/>
    <w:rsid w:val="295F5795"/>
    <w:rsid w:val="297A3D07"/>
    <w:rsid w:val="29834860"/>
    <w:rsid w:val="29874881"/>
    <w:rsid w:val="29975D0D"/>
    <w:rsid w:val="29984B18"/>
    <w:rsid w:val="299F6868"/>
    <w:rsid w:val="29BA4CC3"/>
    <w:rsid w:val="29CA2D2E"/>
    <w:rsid w:val="29D42F66"/>
    <w:rsid w:val="29E325E0"/>
    <w:rsid w:val="29E47171"/>
    <w:rsid w:val="29E77E24"/>
    <w:rsid w:val="29EF7F66"/>
    <w:rsid w:val="2A016C72"/>
    <w:rsid w:val="2A0D02E0"/>
    <w:rsid w:val="2A213857"/>
    <w:rsid w:val="2A452503"/>
    <w:rsid w:val="2A4D0562"/>
    <w:rsid w:val="2A4F114B"/>
    <w:rsid w:val="2A5741BF"/>
    <w:rsid w:val="2A602AAD"/>
    <w:rsid w:val="2A676C6C"/>
    <w:rsid w:val="2A686983"/>
    <w:rsid w:val="2A7A4543"/>
    <w:rsid w:val="2A8D5484"/>
    <w:rsid w:val="2A8E05C0"/>
    <w:rsid w:val="2A9150B7"/>
    <w:rsid w:val="2AA077A9"/>
    <w:rsid w:val="2AA1140C"/>
    <w:rsid w:val="2AB244CE"/>
    <w:rsid w:val="2AB51BC5"/>
    <w:rsid w:val="2AC00479"/>
    <w:rsid w:val="2ACD09F0"/>
    <w:rsid w:val="2AD52E64"/>
    <w:rsid w:val="2AE72035"/>
    <w:rsid w:val="2AEA4B61"/>
    <w:rsid w:val="2AEF152E"/>
    <w:rsid w:val="2AF3024D"/>
    <w:rsid w:val="2B011EAB"/>
    <w:rsid w:val="2B0C0D0D"/>
    <w:rsid w:val="2B0F2199"/>
    <w:rsid w:val="2B0F3680"/>
    <w:rsid w:val="2B107330"/>
    <w:rsid w:val="2B134F80"/>
    <w:rsid w:val="2B137A58"/>
    <w:rsid w:val="2B3109E2"/>
    <w:rsid w:val="2B3E199F"/>
    <w:rsid w:val="2B4E5C9C"/>
    <w:rsid w:val="2B5563E9"/>
    <w:rsid w:val="2B56179C"/>
    <w:rsid w:val="2B8A42ED"/>
    <w:rsid w:val="2BA936A8"/>
    <w:rsid w:val="2BB33634"/>
    <w:rsid w:val="2BB92785"/>
    <w:rsid w:val="2BCA3A28"/>
    <w:rsid w:val="2BD21920"/>
    <w:rsid w:val="2BD30539"/>
    <w:rsid w:val="2BDC2C34"/>
    <w:rsid w:val="2BE41DB4"/>
    <w:rsid w:val="2BF073CB"/>
    <w:rsid w:val="2BF75779"/>
    <w:rsid w:val="2C175C50"/>
    <w:rsid w:val="2C1C00DA"/>
    <w:rsid w:val="2C243213"/>
    <w:rsid w:val="2C2E618B"/>
    <w:rsid w:val="2C315A5A"/>
    <w:rsid w:val="2C4B1C25"/>
    <w:rsid w:val="2C541A25"/>
    <w:rsid w:val="2C5C3261"/>
    <w:rsid w:val="2C813895"/>
    <w:rsid w:val="2C8C088A"/>
    <w:rsid w:val="2C9B4857"/>
    <w:rsid w:val="2CBD7829"/>
    <w:rsid w:val="2CEB4BC0"/>
    <w:rsid w:val="2CF01E08"/>
    <w:rsid w:val="2CF511D3"/>
    <w:rsid w:val="2D17253C"/>
    <w:rsid w:val="2D235376"/>
    <w:rsid w:val="2D2B3CB0"/>
    <w:rsid w:val="2D2F3A8B"/>
    <w:rsid w:val="2D340F7C"/>
    <w:rsid w:val="2D344474"/>
    <w:rsid w:val="2D502B77"/>
    <w:rsid w:val="2D560F91"/>
    <w:rsid w:val="2D5911CE"/>
    <w:rsid w:val="2D6744D8"/>
    <w:rsid w:val="2D67674A"/>
    <w:rsid w:val="2D6E26D1"/>
    <w:rsid w:val="2D714463"/>
    <w:rsid w:val="2D7158B8"/>
    <w:rsid w:val="2D742437"/>
    <w:rsid w:val="2D8B2683"/>
    <w:rsid w:val="2D9E56F5"/>
    <w:rsid w:val="2DA01FC8"/>
    <w:rsid w:val="2DA90D03"/>
    <w:rsid w:val="2DB33930"/>
    <w:rsid w:val="2DB4564F"/>
    <w:rsid w:val="2DCC67A0"/>
    <w:rsid w:val="2DD61054"/>
    <w:rsid w:val="2DE23CAD"/>
    <w:rsid w:val="2DF50C94"/>
    <w:rsid w:val="2E063C32"/>
    <w:rsid w:val="2E0D487C"/>
    <w:rsid w:val="2E0F14C6"/>
    <w:rsid w:val="2E236395"/>
    <w:rsid w:val="2E3619B3"/>
    <w:rsid w:val="2E3A5933"/>
    <w:rsid w:val="2E4D5BF1"/>
    <w:rsid w:val="2E4E02B2"/>
    <w:rsid w:val="2E667F96"/>
    <w:rsid w:val="2E782106"/>
    <w:rsid w:val="2E8226AB"/>
    <w:rsid w:val="2E8348E8"/>
    <w:rsid w:val="2E8413AA"/>
    <w:rsid w:val="2E905A1F"/>
    <w:rsid w:val="2E9342DF"/>
    <w:rsid w:val="2EA227FA"/>
    <w:rsid w:val="2EA6182F"/>
    <w:rsid w:val="2EA65DB6"/>
    <w:rsid w:val="2EBA16D4"/>
    <w:rsid w:val="2EBE6F1A"/>
    <w:rsid w:val="2ED41413"/>
    <w:rsid w:val="2ED718A0"/>
    <w:rsid w:val="2ED9728F"/>
    <w:rsid w:val="2EE03404"/>
    <w:rsid w:val="2F0B154A"/>
    <w:rsid w:val="2F1877C3"/>
    <w:rsid w:val="2F3663EB"/>
    <w:rsid w:val="2F387518"/>
    <w:rsid w:val="2F3B64BD"/>
    <w:rsid w:val="2F555247"/>
    <w:rsid w:val="2F7D4E7A"/>
    <w:rsid w:val="2F883265"/>
    <w:rsid w:val="2F8C090A"/>
    <w:rsid w:val="2F8D435F"/>
    <w:rsid w:val="2F97329B"/>
    <w:rsid w:val="2F9C6646"/>
    <w:rsid w:val="2FA512B6"/>
    <w:rsid w:val="2FA554FB"/>
    <w:rsid w:val="2FB3473C"/>
    <w:rsid w:val="2FBB4F3E"/>
    <w:rsid w:val="2FBC204B"/>
    <w:rsid w:val="2FBD0E21"/>
    <w:rsid w:val="2FC1720E"/>
    <w:rsid w:val="2FD065E6"/>
    <w:rsid w:val="2FD96870"/>
    <w:rsid w:val="2FE5189C"/>
    <w:rsid w:val="2FEA115F"/>
    <w:rsid w:val="2FF87FDA"/>
    <w:rsid w:val="2FFE0820"/>
    <w:rsid w:val="30105BDC"/>
    <w:rsid w:val="30204603"/>
    <w:rsid w:val="30230B30"/>
    <w:rsid w:val="30243D11"/>
    <w:rsid w:val="302E1B06"/>
    <w:rsid w:val="30573E36"/>
    <w:rsid w:val="30580BC9"/>
    <w:rsid w:val="305C5B71"/>
    <w:rsid w:val="30657A42"/>
    <w:rsid w:val="308D0303"/>
    <w:rsid w:val="308D596E"/>
    <w:rsid w:val="3096186D"/>
    <w:rsid w:val="30AC735B"/>
    <w:rsid w:val="30B179FB"/>
    <w:rsid w:val="30B33FB8"/>
    <w:rsid w:val="30B654E5"/>
    <w:rsid w:val="30C55FD3"/>
    <w:rsid w:val="30D71629"/>
    <w:rsid w:val="30E82555"/>
    <w:rsid w:val="30EA2C07"/>
    <w:rsid w:val="30F12161"/>
    <w:rsid w:val="30F6554E"/>
    <w:rsid w:val="31130D6B"/>
    <w:rsid w:val="311E2ED7"/>
    <w:rsid w:val="3121011D"/>
    <w:rsid w:val="313905F0"/>
    <w:rsid w:val="314C5B36"/>
    <w:rsid w:val="314E24ED"/>
    <w:rsid w:val="31553488"/>
    <w:rsid w:val="315619EE"/>
    <w:rsid w:val="315C449C"/>
    <w:rsid w:val="31716A86"/>
    <w:rsid w:val="317A0883"/>
    <w:rsid w:val="318042E0"/>
    <w:rsid w:val="31A46A1A"/>
    <w:rsid w:val="31AA561D"/>
    <w:rsid w:val="31B1173A"/>
    <w:rsid w:val="31B4038F"/>
    <w:rsid w:val="31B408E0"/>
    <w:rsid w:val="31B73461"/>
    <w:rsid w:val="31B82709"/>
    <w:rsid w:val="31BE6C8E"/>
    <w:rsid w:val="31C3610C"/>
    <w:rsid w:val="31CE5752"/>
    <w:rsid w:val="31D05482"/>
    <w:rsid w:val="31D47D0E"/>
    <w:rsid w:val="31E27109"/>
    <w:rsid w:val="31E46520"/>
    <w:rsid w:val="31E55E87"/>
    <w:rsid w:val="31F14A98"/>
    <w:rsid w:val="31F7442B"/>
    <w:rsid w:val="32043F63"/>
    <w:rsid w:val="322070BA"/>
    <w:rsid w:val="32236BAB"/>
    <w:rsid w:val="322412F4"/>
    <w:rsid w:val="32323DF3"/>
    <w:rsid w:val="323C34E1"/>
    <w:rsid w:val="32400B34"/>
    <w:rsid w:val="32403000"/>
    <w:rsid w:val="324658DE"/>
    <w:rsid w:val="3247654D"/>
    <w:rsid w:val="324B6189"/>
    <w:rsid w:val="326854BA"/>
    <w:rsid w:val="326B2698"/>
    <w:rsid w:val="326C68E9"/>
    <w:rsid w:val="327326C8"/>
    <w:rsid w:val="327F2984"/>
    <w:rsid w:val="327F64D7"/>
    <w:rsid w:val="32876B7E"/>
    <w:rsid w:val="329070F4"/>
    <w:rsid w:val="329C24C2"/>
    <w:rsid w:val="329E6876"/>
    <w:rsid w:val="32A30644"/>
    <w:rsid w:val="32DF0D23"/>
    <w:rsid w:val="32F17294"/>
    <w:rsid w:val="330501EB"/>
    <w:rsid w:val="331309CD"/>
    <w:rsid w:val="33172588"/>
    <w:rsid w:val="331824F9"/>
    <w:rsid w:val="331A6157"/>
    <w:rsid w:val="333015F2"/>
    <w:rsid w:val="334B6320"/>
    <w:rsid w:val="334D1E72"/>
    <w:rsid w:val="336E1834"/>
    <w:rsid w:val="337309C8"/>
    <w:rsid w:val="33791704"/>
    <w:rsid w:val="33A842C4"/>
    <w:rsid w:val="33B34C52"/>
    <w:rsid w:val="33BA52ED"/>
    <w:rsid w:val="33BA699C"/>
    <w:rsid w:val="33C11422"/>
    <w:rsid w:val="33CD5E9A"/>
    <w:rsid w:val="33D411B3"/>
    <w:rsid w:val="33D934D4"/>
    <w:rsid w:val="33EB505C"/>
    <w:rsid w:val="33F03227"/>
    <w:rsid w:val="33F23E13"/>
    <w:rsid w:val="33FE2F6A"/>
    <w:rsid w:val="340116DE"/>
    <w:rsid w:val="340E07E5"/>
    <w:rsid w:val="3417254D"/>
    <w:rsid w:val="34235BF7"/>
    <w:rsid w:val="342E1618"/>
    <w:rsid w:val="3434488A"/>
    <w:rsid w:val="34387AB1"/>
    <w:rsid w:val="343A07F8"/>
    <w:rsid w:val="343C5373"/>
    <w:rsid w:val="346331B5"/>
    <w:rsid w:val="346437B6"/>
    <w:rsid w:val="3473669A"/>
    <w:rsid w:val="34AE4142"/>
    <w:rsid w:val="34BC3CC4"/>
    <w:rsid w:val="34BC410A"/>
    <w:rsid w:val="34CA5B6B"/>
    <w:rsid w:val="34FD1F15"/>
    <w:rsid w:val="35282711"/>
    <w:rsid w:val="353428E9"/>
    <w:rsid w:val="353C245D"/>
    <w:rsid w:val="353E4E8E"/>
    <w:rsid w:val="354856A5"/>
    <w:rsid w:val="35505F08"/>
    <w:rsid w:val="355B10C9"/>
    <w:rsid w:val="35651B53"/>
    <w:rsid w:val="35775F4C"/>
    <w:rsid w:val="357D0642"/>
    <w:rsid w:val="35836C13"/>
    <w:rsid w:val="358C5D4A"/>
    <w:rsid w:val="358C5FA8"/>
    <w:rsid w:val="358E5B04"/>
    <w:rsid w:val="359027A9"/>
    <w:rsid w:val="359B179F"/>
    <w:rsid w:val="35A67859"/>
    <w:rsid w:val="35B0239B"/>
    <w:rsid w:val="35BA1894"/>
    <w:rsid w:val="35C15DF1"/>
    <w:rsid w:val="35CE14CA"/>
    <w:rsid w:val="35E36460"/>
    <w:rsid w:val="35F2561E"/>
    <w:rsid w:val="35F34A9B"/>
    <w:rsid w:val="35F45D08"/>
    <w:rsid w:val="35FB3AD0"/>
    <w:rsid w:val="3603145D"/>
    <w:rsid w:val="36074A7F"/>
    <w:rsid w:val="361F4BB1"/>
    <w:rsid w:val="36223127"/>
    <w:rsid w:val="362D5AA0"/>
    <w:rsid w:val="363C00FB"/>
    <w:rsid w:val="36444E9D"/>
    <w:rsid w:val="3656390A"/>
    <w:rsid w:val="365B13A4"/>
    <w:rsid w:val="366636C0"/>
    <w:rsid w:val="36803A44"/>
    <w:rsid w:val="36923549"/>
    <w:rsid w:val="369826E1"/>
    <w:rsid w:val="369A4D1E"/>
    <w:rsid w:val="369E0BC5"/>
    <w:rsid w:val="36A84762"/>
    <w:rsid w:val="36B37ED8"/>
    <w:rsid w:val="36B75FBF"/>
    <w:rsid w:val="36B86992"/>
    <w:rsid w:val="36BD0C45"/>
    <w:rsid w:val="36C9506B"/>
    <w:rsid w:val="36CA2C48"/>
    <w:rsid w:val="36DEC89E"/>
    <w:rsid w:val="36E140AA"/>
    <w:rsid w:val="36EC7002"/>
    <w:rsid w:val="36F27B19"/>
    <w:rsid w:val="36F61D22"/>
    <w:rsid w:val="36FA345A"/>
    <w:rsid w:val="36FF0359"/>
    <w:rsid w:val="370074BA"/>
    <w:rsid w:val="373449C2"/>
    <w:rsid w:val="37390009"/>
    <w:rsid w:val="37621F23"/>
    <w:rsid w:val="376578FE"/>
    <w:rsid w:val="37757E2E"/>
    <w:rsid w:val="377A1F28"/>
    <w:rsid w:val="377F1F9A"/>
    <w:rsid w:val="378770E7"/>
    <w:rsid w:val="378E34C2"/>
    <w:rsid w:val="379B57C2"/>
    <w:rsid w:val="37B90C25"/>
    <w:rsid w:val="37B954DA"/>
    <w:rsid w:val="37CD1E8F"/>
    <w:rsid w:val="37CF574E"/>
    <w:rsid w:val="37E00298"/>
    <w:rsid w:val="37F269D3"/>
    <w:rsid w:val="380D1A79"/>
    <w:rsid w:val="382113AB"/>
    <w:rsid w:val="382C4963"/>
    <w:rsid w:val="382F4E40"/>
    <w:rsid w:val="383472AF"/>
    <w:rsid w:val="38460846"/>
    <w:rsid w:val="3847564A"/>
    <w:rsid w:val="38686FB6"/>
    <w:rsid w:val="38770746"/>
    <w:rsid w:val="388210B5"/>
    <w:rsid w:val="38911CE0"/>
    <w:rsid w:val="38997BC6"/>
    <w:rsid w:val="38B302F9"/>
    <w:rsid w:val="38B640AC"/>
    <w:rsid w:val="38B810AA"/>
    <w:rsid w:val="38B95488"/>
    <w:rsid w:val="38C06F01"/>
    <w:rsid w:val="38C641BE"/>
    <w:rsid w:val="38DF6743"/>
    <w:rsid w:val="38E65F46"/>
    <w:rsid w:val="38F12CD3"/>
    <w:rsid w:val="38F51F89"/>
    <w:rsid w:val="38F94775"/>
    <w:rsid w:val="38FE7A29"/>
    <w:rsid w:val="39122D4A"/>
    <w:rsid w:val="3918005F"/>
    <w:rsid w:val="391B3AC6"/>
    <w:rsid w:val="39243851"/>
    <w:rsid w:val="392971ED"/>
    <w:rsid w:val="39325651"/>
    <w:rsid w:val="394851AD"/>
    <w:rsid w:val="39535404"/>
    <w:rsid w:val="3959676F"/>
    <w:rsid w:val="395E15CB"/>
    <w:rsid w:val="396106E4"/>
    <w:rsid w:val="39677CC5"/>
    <w:rsid w:val="398337EE"/>
    <w:rsid w:val="398D1C2E"/>
    <w:rsid w:val="39965104"/>
    <w:rsid w:val="39984A55"/>
    <w:rsid w:val="399E12AE"/>
    <w:rsid w:val="399F712A"/>
    <w:rsid w:val="39AA0D3F"/>
    <w:rsid w:val="39AE3D69"/>
    <w:rsid w:val="39BC3B6C"/>
    <w:rsid w:val="39C224FD"/>
    <w:rsid w:val="39CC05D5"/>
    <w:rsid w:val="39D74CAC"/>
    <w:rsid w:val="39D85BB0"/>
    <w:rsid w:val="39EF7C09"/>
    <w:rsid w:val="3A007358"/>
    <w:rsid w:val="3A126679"/>
    <w:rsid w:val="3A172D7C"/>
    <w:rsid w:val="3A257F2F"/>
    <w:rsid w:val="3A37679D"/>
    <w:rsid w:val="3A3D22EA"/>
    <w:rsid w:val="3A421054"/>
    <w:rsid w:val="3A4416DE"/>
    <w:rsid w:val="3A5B4738"/>
    <w:rsid w:val="3A6366DE"/>
    <w:rsid w:val="3A6467EB"/>
    <w:rsid w:val="3A7F516A"/>
    <w:rsid w:val="3A8365C8"/>
    <w:rsid w:val="3A872856"/>
    <w:rsid w:val="3A9C1174"/>
    <w:rsid w:val="3AA644E5"/>
    <w:rsid w:val="3ABC2E9A"/>
    <w:rsid w:val="3ACE7A54"/>
    <w:rsid w:val="3AD244A1"/>
    <w:rsid w:val="3AD92A1A"/>
    <w:rsid w:val="3AE52F78"/>
    <w:rsid w:val="3AEB2564"/>
    <w:rsid w:val="3AF77119"/>
    <w:rsid w:val="3B02114C"/>
    <w:rsid w:val="3B2A404C"/>
    <w:rsid w:val="3B3763D1"/>
    <w:rsid w:val="3B3E3A70"/>
    <w:rsid w:val="3B523A6F"/>
    <w:rsid w:val="3B562E52"/>
    <w:rsid w:val="3B5B08E6"/>
    <w:rsid w:val="3B5F2CC0"/>
    <w:rsid w:val="3B650F52"/>
    <w:rsid w:val="3B936592"/>
    <w:rsid w:val="3BAB20EB"/>
    <w:rsid w:val="3BC721C4"/>
    <w:rsid w:val="3BD639CA"/>
    <w:rsid w:val="3BD72D79"/>
    <w:rsid w:val="3BEB698B"/>
    <w:rsid w:val="3BF13F92"/>
    <w:rsid w:val="3BFF1F4A"/>
    <w:rsid w:val="3C065EFA"/>
    <w:rsid w:val="3C066CE9"/>
    <w:rsid w:val="3C2F6E1E"/>
    <w:rsid w:val="3C467C97"/>
    <w:rsid w:val="3C4F64BA"/>
    <w:rsid w:val="3C5D029D"/>
    <w:rsid w:val="3C7613D4"/>
    <w:rsid w:val="3C791192"/>
    <w:rsid w:val="3C797AF3"/>
    <w:rsid w:val="3C80298E"/>
    <w:rsid w:val="3C951707"/>
    <w:rsid w:val="3CA204E2"/>
    <w:rsid w:val="3CBE1F83"/>
    <w:rsid w:val="3CC132D9"/>
    <w:rsid w:val="3CDA245A"/>
    <w:rsid w:val="3CDB07AE"/>
    <w:rsid w:val="3CDB1582"/>
    <w:rsid w:val="3CDE1550"/>
    <w:rsid w:val="3CE04016"/>
    <w:rsid w:val="3CE478B1"/>
    <w:rsid w:val="3CE6069F"/>
    <w:rsid w:val="3CE64718"/>
    <w:rsid w:val="3CE75344"/>
    <w:rsid w:val="3CEA0FC2"/>
    <w:rsid w:val="3CEE0080"/>
    <w:rsid w:val="3CF01E02"/>
    <w:rsid w:val="3D0433A8"/>
    <w:rsid w:val="3D1E06B7"/>
    <w:rsid w:val="3D3D2FA0"/>
    <w:rsid w:val="3D8E5E70"/>
    <w:rsid w:val="3D91300D"/>
    <w:rsid w:val="3DE41DD3"/>
    <w:rsid w:val="3DEC68DB"/>
    <w:rsid w:val="3DEF45F4"/>
    <w:rsid w:val="3DF22EBD"/>
    <w:rsid w:val="3E2A014F"/>
    <w:rsid w:val="3E2A085F"/>
    <w:rsid w:val="3E3816FC"/>
    <w:rsid w:val="3E391C30"/>
    <w:rsid w:val="3E3B37D8"/>
    <w:rsid w:val="3E3C10E1"/>
    <w:rsid w:val="3E417350"/>
    <w:rsid w:val="3E59192C"/>
    <w:rsid w:val="3E604405"/>
    <w:rsid w:val="3E6E5D23"/>
    <w:rsid w:val="3E78695F"/>
    <w:rsid w:val="3E7E539E"/>
    <w:rsid w:val="3E93416F"/>
    <w:rsid w:val="3EA54369"/>
    <w:rsid w:val="3EA66FE4"/>
    <w:rsid w:val="3EB32090"/>
    <w:rsid w:val="3EB808E4"/>
    <w:rsid w:val="3EBF51A6"/>
    <w:rsid w:val="3ECE5187"/>
    <w:rsid w:val="3EDA0523"/>
    <w:rsid w:val="3EDD4449"/>
    <w:rsid w:val="3EDE7186"/>
    <w:rsid w:val="3EF0693F"/>
    <w:rsid w:val="3EF57861"/>
    <w:rsid w:val="3F1224A5"/>
    <w:rsid w:val="3F212082"/>
    <w:rsid w:val="3F236570"/>
    <w:rsid w:val="3F2472F5"/>
    <w:rsid w:val="3F4B4158"/>
    <w:rsid w:val="3F4DA52C"/>
    <w:rsid w:val="3F5308DF"/>
    <w:rsid w:val="3F58631A"/>
    <w:rsid w:val="3F740FFD"/>
    <w:rsid w:val="3F94266D"/>
    <w:rsid w:val="3FBB63C0"/>
    <w:rsid w:val="3FCC76E3"/>
    <w:rsid w:val="40061230"/>
    <w:rsid w:val="400E0E9A"/>
    <w:rsid w:val="40167FE3"/>
    <w:rsid w:val="401E6514"/>
    <w:rsid w:val="40257363"/>
    <w:rsid w:val="40390BAE"/>
    <w:rsid w:val="404461EF"/>
    <w:rsid w:val="404C539D"/>
    <w:rsid w:val="407A6407"/>
    <w:rsid w:val="409E6198"/>
    <w:rsid w:val="409F5910"/>
    <w:rsid w:val="40A13BE1"/>
    <w:rsid w:val="40BC1219"/>
    <w:rsid w:val="40BC43AF"/>
    <w:rsid w:val="40D42B1E"/>
    <w:rsid w:val="40EE0DF1"/>
    <w:rsid w:val="40FF0B35"/>
    <w:rsid w:val="411C1376"/>
    <w:rsid w:val="41224B51"/>
    <w:rsid w:val="41256050"/>
    <w:rsid w:val="412A771D"/>
    <w:rsid w:val="412D535D"/>
    <w:rsid w:val="412E44CF"/>
    <w:rsid w:val="412E74C9"/>
    <w:rsid w:val="41427650"/>
    <w:rsid w:val="414B22EF"/>
    <w:rsid w:val="415143FE"/>
    <w:rsid w:val="41794C46"/>
    <w:rsid w:val="41A67BA9"/>
    <w:rsid w:val="41A97FEA"/>
    <w:rsid w:val="41B617E9"/>
    <w:rsid w:val="41B664F4"/>
    <w:rsid w:val="41B74C51"/>
    <w:rsid w:val="41BE6C54"/>
    <w:rsid w:val="41C237E9"/>
    <w:rsid w:val="41DD2A99"/>
    <w:rsid w:val="41DD6B4C"/>
    <w:rsid w:val="41E240A6"/>
    <w:rsid w:val="41E719A2"/>
    <w:rsid w:val="41EC3E87"/>
    <w:rsid w:val="41F10FE6"/>
    <w:rsid w:val="4200449D"/>
    <w:rsid w:val="420472CA"/>
    <w:rsid w:val="42061712"/>
    <w:rsid w:val="420A7EAB"/>
    <w:rsid w:val="423A3BCC"/>
    <w:rsid w:val="423A7ECC"/>
    <w:rsid w:val="42493EAD"/>
    <w:rsid w:val="424E57D2"/>
    <w:rsid w:val="4253528A"/>
    <w:rsid w:val="425B4185"/>
    <w:rsid w:val="425D5868"/>
    <w:rsid w:val="426B7D04"/>
    <w:rsid w:val="426E27E1"/>
    <w:rsid w:val="4271053C"/>
    <w:rsid w:val="4280537A"/>
    <w:rsid w:val="42887CDD"/>
    <w:rsid w:val="42B26C49"/>
    <w:rsid w:val="42B46232"/>
    <w:rsid w:val="42B86E9B"/>
    <w:rsid w:val="42BB612C"/>
    <w:rsid w:val="42C6434B"/>
    <w:rsid w:val="42E06BC9"/>
    <w:rsid w:val="42F33C74"/>
    <w:rsid w:val="42F725B5"/>
    <w:rsid w:val="43042003"/>
    <w:rsid w:val="431516CF"/>
    <w:rsid w:val="431D7A23"/>
    <w:rsid w:val="431E0259"/>
    <w:rsid w:val="433230F1"/>
    <w:rsid w:val="433A6FE6"/>
    <w:rsid w:val="43433068"/>
    <w:rsid w:val="43446BD2"/>
    <w:rsid w:val="43480868"/>
    <w:rsid w:val="4350713C"/>
    <w:rsid w:val="4352292C"/>
    <w:rsid w:val="4358496C"/>
    <w:rsid w:val="435A322E"/>
    <w:rsid w:val="436653E0"/>
    <w:rsid w:val="43687C72"/>
    <w:rsid w:val="437236B4"/>
    <w:rsid w:val="437A4C52"/>
    <w:rsid w:val="437E6FFE"/>
    <w:rsid w:val="43892764"/>
    <w:rsid w:val="43903857"/>
    <w:rsid w:val="43925DDE"/>
    <w:rsid w:val="43981884"/>
    <w:rsid w:val="43985A5B"/>
    <w:rsid w:val="439C3E62"/>
    <w:rsid w:val="43BC7E6E"/>
    <w:rsid w:val="43C333C6"/>
    <w:rsid w:val="43C408DB"/>
    <w:rsid w:val="43C4431A"/>
    <w:rsid w:val="43C6227B"/>
    <w:rsid w:val="43CC6086"/>
    <w:rsid w:val="43DE553A"/>
    <w:rsid w:val="43DF0495"/>
    <w:rsid w:val="44027F18"/>
    <w:rsid w:val="44062105"/>
    <w:rsid w:val="440E6F86"/>
    <w:rsid w:val="441E1DDA"/>
    <w:rsid w:val="44230847"/>
    <w:rsid w:val="44376E98"/>
    <w:rsid w:val="44390965"/>
    <w:rsid w:val="44557873"/>
    <w:rsid w:val="445A2A29"/>
    <w:rsid w:val="445D2CC5"/>
    <w:rsid w:val="44661A8A"/>
    <w:rsid w:val="44685614"/>
    <w:rsid w:val="448C62A7"/>
    <w:rsid w:val="44A76AE0"/>
    <w:rsid w:val="44A92B4F"/>
    <w:rsid w:val="44AA094B"/>
    <w:rsid w:val="44B50FE7"/>
    <w:rsid w:val="44B951CC"/>
    <w:rsid w:val="44BB37D0"/>
    <w:rsid w:val="44C61D43"/>
    <w:rsid w:val="44C676EA"/>
    <w:rsid w:val="44CD14E0"/>
    <w:rsid w:val="44D34172"/>
    <w:rsid w:val="44E728B5"/>
    <w:rsid w:val="44F20B0B"/>
    <w:rsid w:val="451C7579"/>
    <w:rsid w:val="452D1CF7"/>
    <w:rsid w:val="452E5F4C"/>
    <w:rsid w:val="45314BE0"/>
    <w:rsid w:val="45350212"/>
    <w:rsid w:val="45435142"/>
    <w:rsid w:val="4546791B"/>
    <w:rsid w:val="455E3EDA"/>
    <w:rsid w:val="45612018"/>
    <w:rsid w:val="45647DBB"/>
    <w:rsid w:val="4574370D"/>
    <w:rsid w:val="457B62C7"/>
    <w:rsid w:val="458946E9"/>
    <w:rsid w:val="459B0A67"/>
    <w:rsid w:val="459B2DE6"/>
    <w:rsid w:val="459D194C"/>
    <w:rsid w:val="459E1E59"/>
    <w:rsid w:val="45A47C0E"/>
    <w:rsid w:val="45A65EE7"/>
    <w:rsid w:val="45B826FF"/>
    <w:rsid w:val="45BF7BDD"/>
    <w:rsid w:val="45CC138F"/>
    <w:rsid w:val="45E06E35"/>
    <w:rsid w:val="45E523F9"/>
    <w:rsid w:val="45EF38A1"/>
    <w:rsid w:val="45FD4EFC"/>
    <w:rsid w:val="46082C04"/>
    <w:rsid w:val="460A73C4"/>
    <w:rsid w:val="460E5138"/>
    <w:rsid w:val="4628552D"/>
    <w:rsid w:val="4645232A"/>
    <w:rsid w:val="465619E2"/>
    <w:rsid w:val="4657082C"/>
    <w:rsid w:val="46577FD6"/>
    <w:rsid w:val="466E61EE"/>
    <w:rsid w:val="46774102"/>
    <w:rsid w:val="46875502"/>
    <w:rsid w:val="46987301"/>
    <w:rsid w:val="46AB6A12"/>
    <w:rsid w:val="46CB282B"/>
    <w:rsid w:val="46CB2979"/>
    <w:rsid w:val="46D955A7"/>
    <w:rsid w:val="46E36ECE"/>
    <w:rsid w:val="46E47C51"/>
    <w:rsid w:val="46EB0323"/>
    <w:rsid w:val="46F21B22"/>
    <w:rsid w:val="46F22E11"/>
    <w:rsid w:val="46F85632"/>
    <w:rsid w:val="46FC4BD8"/>
    <w:rsid w:val="47110D5F"/>
    <w:rsid w:val="47133957"/>
    <w:rsid w:val="471A73B1"/>
    <w:rsid w:val="47396EEA"/>
    <w:rsid w:val="47623709"/>
    <w:rsid w:val="477B67BA"/>
    <w:rsid w:val="477D50B9"/>
    <w:rsid w:val="477F241B"/>
    <w:rsid w:val="478C4619"/>
    <w:rsid w:val="478D3573"/>
    <w:rsid w:val="478E172E"/>
    <w:rsid w:val="47990C52"/>
    <w:rsid w:val="479C0F51"/>
    <w:rsid w:val="47A07E0C"/>
    <w:rsid w:val="47B42327"/>
    <w:rsid w:val="47B55128"/>
    <w:rsid w:val="47C71FF9"/>
    <w:rsid w:val="47D10BD1"/>
    <w:rsid w:val="47D84DBA"/>
    <w:rsid w:val="47E349BA"/>
    <w:rsid w:val="47F32AAD"/>
    <w:rsid w:val="480F755D"/>
    <w:rsid w:val="48107834"/>
    <w:rsid w:val="48157F55"/>
    <w:rsid w:val="48306F9A"/>
    <w:rsid w:val="48377308"/>
    <w:rsid w:val="485E6FCA"/>
    <w:rsid w:val="48674239"/>
    <w:rsid w:val="4870272E"/>
    <w:rsid w:val="48836CC1"/>
    <w:rsid w:val="489F334A"/>
    <w:rsid w:val="48C6170B"/>
    <w:rsid w:val="48D21EE2"/>
    <w:rsid w:val="48D81E4C"/>
    <w:rsid w:val="48D97DAF"/>
    <w:rsid w:val="48E81725"/>
    <w:rsid w:val="48E96DE5"/>
    <w:rsid w:val="48EE3617"/>
    <w:rsid w:val="48F80B98"/>
    <w:rsid w:val="490A2527"/>
    <w:rsid w:val="49201F37"/>
    <w:rsid w:val="492D1E17"/>
    <w:rsid w:val="49380CEB"/>
    <w:rsid w:val="493B1641"/>
    <w:rsid w:val="494076D6"/>
    <w:rsid w:val="49423962"/>
    <w:rsid w:val="494B4DA2"/>
    <w:rsid w:val="49632E2B"/>
    <w:rsid w:val="497F451D"/>
    <w:rsid w:val="498B627D"/>
    <w:rsid w:val="498D749D"/>
    <w:rsid w:val="49AD623F"/>
    <w:rsid w:val="49AE7FE3"/>
    <w:rsid w:val="49B65FD2"/>
    <w:rsid w:val="49BA5822"/>
    <w:rsid w:val="49BD11F5"/>
    <w:rsid w:val="49D16755"/>
    <w:rsid w:val="49D40A5E"/>
    <w:rsid w:val="49DC7715"/>
    <w:rsid w:val="49E9665D"/>
    <w:rsid w:val="49F95B1A"/>
    <w:rsid w:val="4A023139"/>
    <w:rsid w:val="4A0A26D2"/>
    <w:rsid w:val="4A146DC9"/>
    <w:rsid w:val="4A4123FD"/>
    <w:rsid w:val="4A4B233A"/>
    <w:rsid w:val="4A5C2247"/>
    <w:rsid w:val="4A732E3C"/>
    <w:rsid w:val="4A7B576F"/>
    <w:rsid w:val="4A801DE8"/>
    <w:rsid w:val="4A853846"/>
    <w:rsid w:val="4A895CED"/>
    <w:rsid w:val="4AB13EA7"/>
    <w:rsid w:val="4AB222A7"/>
    <w:rsid w:val="4AB8064A"/>
    <w:rsid w:val="4ADA0A66"/>
    <w:rsid w:val="4ADF3B5F"/>
    <w:rsid w:val="4AF561A9"/>
    <w:rsid w:val="4B007634"/>
    <w:rsid w:val="4B033A6C"/>
    <w:rsid w:val="4B0A1345"/>
    <w:rsid w:val="4B365D50"/>
    <w:rsid w:val="4B39556B"/>
    <w:rsid w:val="4B3D3F04"/>
    <w:rsid w:val="4B3E707F"/>
    <w:rsid w:val="4B4553AB"/>
    <w:rsid w:val="4B4B64D1"/>
    <w:rsid w:val="4B4E28EA"/>
    <w:rsid w:val="4B5E4661"/>
    <w:rsid w:val="4B704149"/>
    <w:rsid w:val="4B7365F8"/>
    <w:rsid w:val="4B7A6C95"/>
    <w:rsid w:val="4B8A1F13"/>
    <w:rsid w:val="4B952888"/>
    <w:rsid w:val="4BAD5A0B"/>
    <w:rsid w:val="4BB507B0"/>
    <w:rsid w:val="4BD87EE6"/>
    <w:rsid w:val="4BD9373F"/>
    <w:rsid w:val="4BE00B27"/>
    <w:rsid w:val="4BE2466A"/>
    <w:rsid w:val="4BEC1315"/>
    <w:rsid w:val="4BEC2D00"/>
    <w:rsid w:val="4BF869D1"/>
    <w:rsid w:val="4BF92839"/>
    <w:rsid w:val="4BF94BE9"/>
    <w:rsid w:val="4C03788F"/>
    <w:rsid w:val="4C0F3FD0"/>
    <w:rsid w:val="4C1512A4"/>
    <w:rsid w:val="4C310EB0"/>
    <w:rsid w:val="4C35151E"/>
    <w:rsid w:val="4C4A0649"/>
    <w:rsid w:val="4C626A58"/>
    <w:rsid w:val="4C794F3C"/>
    <w:rsid w:val="4C7E5ECA"/>
    <w:rsid w:val="4C876AA5"/>
    <w:rsid w:val="4CA7245A"/>
    <w:rsid w:val="4CAB7478"/>
    <w:rsid w:val="4CB10C20"/>
    <w:rsid w:val="4CB330C4"/>
    <w:rsid w:val="4CB76F06"/>
    <w:rsid w:val="4CD62D3F"/>
    <w:rsid w:val="4D017983"/>
    <w:rsid w:val="4D0C49B3"/>
    <w:rsid w:val="4D0E00FB"/>
    <w:rsid w:val="4D176606"/>
    <w:rsid w:val="4D1C64D9"/>
    <w:rsid w:val="4D1E600B"/>
    <w:rsid w:val="4D235D8B"/>
    <w:rsid w:val="4D393287"/>
    <w:rsid w:val="4D447DDF"/>
    <w:rsid w:val="4D473E5E"/>
    <w:rsid w:val="4D4759EB"/>
    <w:rsid w:val="4D497613"/>
    <w:rsid w:val="4D522F26"/>
    <w:rsid w:val="4D5A74CD"/>
    <w:rsid w:val="4D6157C2"/>
    <w:rsid w:val="4D65642A"/>
    <w:rsid w:val="4D694045"/>
    <w:rsid w:val="4D694231"/>
    <w:rsid w:val="4D7A3604"/>
    <w:rsid w:val="4D7A3BB4"/>
    <w:rsid w:val="4D8305B5"/>
    <w:rsid w:val="4D8D3041"/>
    <w:rsid w:val="4D8E2910"/>
    <w:rsid w:val="4D95093B"/>
    <w:rsid w:val="4D9B3EA0"/>
    <w:rsid w:val="4DA316F9"/>
    <w:rsid w:val="4DA51819"/>
    <w:rsid w:val="4DB93E37"/>
    <w:rsid w:val="4DBF1C83"/>
    <w:rsid w:val="4DC07D86"/>
    <w:rsid w:val="4DC818F1"/>
    <w:rsid w:val="4DCA1BB7"/>
    <w:rsid w:val="4DD454D1"/>
    <w:rsid w:val="4DE66B08"/>
    <w:rsid w:val="4DEA4CF4"/>
    <w:rsid w:val="4DEC4FB0"/>
    <w:rsid w:val="4DF5462E"/>
    <w:rsid w:val="4DF97E04"/>
    <w:rsid w:val="4E07531B"/>
    <w:rsid w:val="4E075D8A"/>
    <w:rsid w:val="4E1020A6"/>
    <w:rsid w:val="4E182BCC"/>
    <w:rsid w:val="4E3162AA"/>
    <w:rsid w:val="4E4A6FED"/>
    <w:rsid w:val="4E5325FF"/>
    <w:rsid w:val="4E5D35AC"/>
    <w:rsid w:val="4E692E63"/>
    <w:rsid w:val="4E6F3FBF"/>
    <w:rsid w:val="4E8B1908"/>
    <w:rsid w:val="4EBB1AD9"/>
    <w:rsid w:val="4EBC405D"/>
    <w:rsid w:val="4EBD1813"/>
    <w:rsid w:val="4EC00FAD"/>
    <w:rsid w:val="4EC12DEC"/>
    <w:rsid w:val="4ECE6429"/>
    <w:rsid w:val="4ED84E87"/>
    <w:rsid w:val="4F0277CC"/>
    <w:rsid w:val="4F073077"/>
    <w:rsid w:val="4F126C5F"/>
    <w:rsid w:val="4F1E1A11"/>
    <w:rsid w:val="4F1E5A43"/>
    <w:rsid w:val="4F3065D7"/>
    <w:rsid w:val="4F310514"/>
    <w:rsid w:val="4F367AC5"/>
    <w:rsid w:val="4F3D7D3F"/>
    <w:rsid w:val="4F473E7E"/>
    <w:rsid w:val="4F55619D"/>
    <w:rsid w:val="4F62701A"/>
    <w:rsid w:val="4F64785F"/>
    <w:rsid w:val="4F7E3B05"/>
    <w:rsid w:val="4F8A1215"/>
    <w:rsid w:val="4F9843DC"/>
    <w:rsid w:val="4FBE1D9B"/>
    <w:rsid w:val="4FC62A8C"/>
    <w:rsid w:val="4FCE3F9C"/>
    <w:rsid w:val="4FD941E1"/>
    <w:rsid w:val="4FE20F0D"/>
    <w:rsid w:val="4FE51552"/>
    <w:rsid w:val="4FF56F59"/>
    <w:rsid w:val="4FF83F0C"/>
    <w:rsid w:val="50050448"/>
    <w:rsid w:val="500623C5"/>
    <w:rsid w:val="501C436D"/>
    <w:rsid w:val="501E3A9B"/>
    <w:rsid w:val="50286F6B"/>
    <w:rsid w:val="503835BA"/>
    <w:rsid w:val="503C4335"/>
    <w:rsid w:val="50504C4B"/>
    <w:rsid w:val="5052092F"/>
    <w:rsid w:val="5054753C"/>
    <w:rsid w:val="50636F9A"/>
    <w:rsid w:val="506D30AD"/>
    <w:rsid w:val="50856DE7"/>
    <w:rsid w:val="50867174"/>
    <w:rsid w:val="50943330"/>
    <w:rsid w:val="509C6E7C"/>
    <w:rsid w:val="50B2154A"/>
    <w:rsid w:val="50C17480"/>
    <w:rsid w:val="50D15D77"/>
    <w:rsid w:val="50D715FA"/>
    <w:rsid w:val="50D905A5"/>
    <w:rsid w:val="51135264"/>
    <w:rsid w:val="51155050"/>
    <w:rsid w:val="512C4CB8"/>
    <w:rsid w:val="513A2D0A"/>
    <w:rsid w:val="513B19FE"/>
    <w:rsid w:val="51552CF3"/>
    <w:rsid w:val="51553383"/>
    <w:rsid w:val="5162104E"/>
    <w:rsid w:val="51666389"/>
    <w:rsid w:val="516C0D62"/>
    <w:rsid w:val="517149B3"/>
    <w:rsid w:val="517752A3"/>
    <w:rsid w:val="518B4647"/>
    <w:rsid w:val="518E6258"/>
    <w:rsid w:val="51972CF4"/>
    <w:rsid w:val="51BB19F0"/>
    <w:rsid w:val="51C43CD9"/>
    <w:rsid w:val="51D236CF"/>
    <w:rsid w:val="51DF0B85"/>
    <w:rsid w:val="521E495E"/>
    <w:rsid w:val="522452DF"/>
    <w:rsid w:val="524173BF"/>
    <w:rsid w:val="52426421"/>
    <w:rsid w:val="527E2418"/>
    <w:rsid w:val="528C17A1"/>
    <w:rsid w:val="528F15C5"/>
    <w:rsid w:val="52934EE6"/>
    <w:rsid w:val="52983887"/>
    <w:rsid w:val="52C805F3"/>
    <w:rsid w:val="52D03C5E"/>
    <w:rsid w:val="52D25D57"/>
    <w:rsid w:val="52D56034"/>
    <w:rsid w:val="52D6720E"/>
    <w:rsid w:val="52D747A4"/>
    <w:rsid w:val="52DE57FE"/>
    <w:rsid w:val="52DE64AA"/>
    <w:rsid w:val="52FC3CFE"/>
    <w:rsid w:val="53034162"/>
    <w:rsid w:val="53063F38"/>
    <w:rsid w:val="531E0E2E"/>
    <w:rsid w:val="53206C05"/>
    <w:rsid w:val="53240DAD"/>
    <w:rsid w:val="532928E0"/>
    <w:rsid w:val="536312CF"/>
    <w:rsid w:val="536B3E91"/>
    <w:rsid w:val="53705DAD"/>
    <w:rsid w:val="53803A92"/>
    <w:rsid w:val="53813EDF"/>
    <w:rsid w:val="538B493C"/>
    <w:rsid w:val="5395352A"/>
    <w:rsid w:val="53A039CC"/>
    <w:rsid w:val="53A1505A"/>
    <w:rsid w:val="53AF4485"/>
    <w:rsid w:val="53B418B1"/>
    <w:rsid w:val="53D03299"/>
    <w:rsid w:val="53D16C41"/>
    <w:rsid w:val="53D8472D"/>
    <w:rsid w:val="53F66AE2"/>
    <w:rsid w:val="53FB08A0"/>
    <w:rsid w:val="54063E08"/>
    <w:rsid w:val="540661EF"/>
    <w:rsid w:val="54200522"/>
    <w:rsid w:val="54247D5E"/>
    <w:rsid w:val="543437E8"/>
    <w:rsid w:val="543C03B6"/>
    <w:rsid w:val="543C0CAC"/>
    <w:rsid w:val="54406639"/>
    <w:rsid w:val="544E06CE"/>
    <w:rsid w:val="545E71C5"/>
    <w:rsid w:val="5495703C"/>
    <w:rsid w:val="54A87049"/>
    <w:rsid w:val="54AD082A"/>
    <w:rsid w:val="54B708BE"/>
    <w:rsid w:val="54B716A8"/>
    <w:rsid w:val="54BC009D"/>
    <w:rsid w:val="54BC26CC"/>
    <w:rsid w:val="54CC61CD"/>
    <w:rsid w:val="54D717BD"/>
    <w:rsid w:val="54DE09E3"/>
    <w:rsid w:val="54E970AC"/>
    <w:rsid w:val="54F30607"/>
    <w:rsid w:val="54F73313"/>
    <w:rsid w:val="54F80955"/>
    <w:rsid w:val="5526223B"/>
    <w:rsid w:val="552A1DE9"/>
    <w:rsid w:val="55346C1A"/>
    <w:rsid w:val="55374AB4"/>
    <w:rsid w:val="5547249B"/>
    <w:rsid w:val="554A0159"/>
    <w:rsid w:val="555170A7"/>
    <w:rsid w:val="5561069E"/>
    <w:rsid w:val="556E1CDF"/>
    <w:rsid w:val="558015A9"/>
    <w:rsid w:val="55863699"/>
    <w:rsid w:val="5587536D"/>
    <w:rsid w:val="55997EE5"/>
    <w:rsid w:val="559B174B"/>
    <w:rsid w:val="55A04D10"/>
    <w:rsid w:val="55B41744"/>
    <w:rsid w:val="55C054B8"/>
    <w:rsid w:val="55C233CD"/>
    <w:rsid w:val="55C56815"/>
    <w:rsid w:val="55CE0CF4"/>
    <w:rsid w:val="55D832D6"/>
    <w:rsid w:val="55FD5D43"/>
    <w:rsid w:val="55FD6DF6"/>
    <w:rsid w:val="56027728"/>
    <w:rsid w:val="561072C2"/>
    <w:rsid w:val="564A60E3"/>
    <w:rsid w:val="566A73AF"/>
    <w:rsid w:val="56780F70"/>
    <w:rsid w:val="568B3577"/>
    <w:rsid w:val="5692414F"/>
    <w:rsid w:val="56952E7B"/>
    <w:rsid w:val="56B22A9C"/>
    <w:rsid w:val="56B368F8"/>
    <w:rsid w:val="56B40F0E"/>
    <w:rsid w:val="56C14CAF"/>
    <w:rsid w:val="56C32DB5"/>
    <w:rsid w:val="56E101F7"/>
    <w:rsid w:val="56E311D5"/>
    <w:rsid w:val="56F01C7D"/>
    <w:rsid w:val="56F566CE"/>
    <w:rsid w:val="56FF102B"/>
    <w:rsid w:val="57087F99"/>
    <w:rsid w:val="570C580A"/>
    <w:rsid w:val="571A616D"/>
    <w:rsid w:val="572321E0"/>
    <w:rsid w:val="57435475"/>
    <w:rsid w:val="574454EB"/>
    <w:rsid w:val="57536F5A"/>
    <w:rsid w:val="57541431"/>
    <w:rsid w:val="57740901"/>
    <w:rsid w:val="577959FD"/>
    <w:rsid w:val="57906273"/>
    <w:rsid w:val="57921595"/>
    <w:rsid w:val="579521FD"/>
    <w:rsid w:val="579C719C"/>
    <w:rsid w:val="57A978F0"/>
    <w:rsid w:val="57AF5A64"/>
    <w:rsid w:val="57B0458F"/>
    <w:rsid w:val="57B10631"/>
    <w:rsid w:val="57B24E56"/>
    <w:rsid w:val="57B72A76"/>
    <w:rsid w:val="57BD7692"/>
    <w:rsid w:val="57C3426C"/>
    <w:rsid w:val="57CE1F93"/>
    <w:rsid w:val="58097637"/>
    <w:rsid w:val="580B00DA"/>
    <w:rsid w:val="5818554A"/>
    <w:rsid w:val="58335A8D"/>
    <w:rsid w:val="58443A5A"/>
    <w:rsid w:val="584F606C"/>
    <w:rsid w:val="585003E9"/>
    <w:rsid w:val="5855006D"/>
    <w:rsid w:val="587D6693"/>
    <w:rsid w:val="588743D1"/>
    <w:rsid w:val="5887701A"/>
    <w:rsid w:val="588F31B4"/>
    <w:rsid w:val="58925AAF"/>
    <w:rsid w:val="58AE2DC2"/>
    <w:rsid w:val="58B118EB"/>
    <w:rsid w:val="58B26433"/>
    <w:rsid w:val="58C31AC2"/>
    <w:rsid w:val="58C42B4B"/>
    <w:rsid w:val="58C53034"/>
    <w:rsid w:val="58C71D60"/>
    <w:rsid w:val="58D177D6"/>
    <w:rsid w:val="58E40BD4"/>
    <w:rsid w:val="58EE4E1F"/>
    <w:rsid w:val="58FE524B"/>
    <w:rsid w:val="592A53E3"/>
    <w:rsid w:val="5931015A"/>
    <w:rsid w:val="59326CFB"/>
    <w:rsid w:val="59334BB4"/>
    <w:rsid w:val="594A2AEB"/>
    <w:rsid w:val="59550700"/>
    <w:rsid w:val="59617897"/>
    <w:rsid w:val="596412E6"/>
    <w:rsid w:val="597901A5"/>
    <w:rsid w:val="59836C94"/>
    <w:rsid w:val="598B6F3C"/>
    <w:rsid w:val="598F1619"/>
    <w:rsid w:val="599009D0"/>
    <w:rsid w:val="59A07D9A"/>
    <w:rsid w:val="59A13B87"/>
    <w:rsid w:val="59A37495"/>
    <w:rsid w:val="59AF13D7"/>
    <w:rsid w:val="59AF2C5E"/>
    <w:rsid w:val="59AF63A7"/>
    <w:rsid w:val="59C0439F"/>
    <w:rsid w:val="59C0502F"/>
    <w:rsid w:val="59CD0ED5"/>
    <w:rsid w:val="59D35843"/>
    <w:rsid w:val="59D86349"/>
    <w:rsid w:val="59F42EDC"/>
    <w:rsid w:val="5A0C3A55"/>
    <w:rsid w:val="5A12625C"/>
    <w:rsid w:val="5A4D5FBA"/>
    <w:rsid w:val="5A581413"/>
    <w:rsid w:val="5A5F19FA"/>
    <w:rsid w:val="5A777A6E"/>
    <w:rsid w:val="5A7D2A4C"/>
    <w:rsid w:val="5A956502"/>
    <w:rsid w:val="5AB0409B"/>
    <w:rsid w:val="5AB6101F"/>
    <w:rsid w:val="5ABE2233"/>
    <w:rsid w:val="5ABF6998"/>
    <w:rsid w:val="5ADA7A7C"/>
    <w:rsid w:val="5ADF3408"/>
    <w:rsid w:val="5AE12FDB"/>
    <w:rsid w:val="5AE26053"/>
    <w:rsid w:val="5AE86628"/>
    <w:rsid w:val="5AF02B76"/>
    <w:rsid w:val="5AF75E34"/>
    <w:rsid w:val="5AFE5440"/>
    <w:rsid w:val="5B2A131C"/>
    <w:rsid w:val="5B394BC5"/>
    <w:rsid w:val="5B627FC5"/>
    <w:rsid w:val="5B716BAD"/>
    <w:rsid w:val="5B791466"/>
    <w:rsid w:val="5B82491B"/>
    <w:rsid w:val="5B85620A"/>
    <w:rsid w:val="5B8D5C1A"/>
    <w:rsid w:val="5B913241"/>
    <w:rsid w:val="5B9902CC"/>
    <w:rsid w:val="5BA069F2"/>
    <w:rsid w:val="5BAC6B90"/>
    <w:rsid w:val="5BB1192A"/>
    <w:rsid w:val="5BDF36BE"/>
    <w:rsid w:val="5BDF5D95"/>
    <w:rsid w:val="5BEF4371"/>
    <w:rsid w:val="5BFE7528"/>
    <w:rsid w:val="5C02145B"/>
    <w:rsid w:val="5C0B765A"/>
    <w:rsid w:val="5C166526"/>
    <w:rsid w:val="5C1D56A4"/>
    <w:rsid w:val="5C2F0079"/>
    <w:rsid w:val="5C3F603C"/>
    <w:rsid w:val="5C5C708D"/>
    <w:rsid w:val="5C6013B8"/>
    <w:rsid w:val="5C7643B7"/>
    <w:rsid w:val="5C836EB6"/>
    <w:rsid w:val="5C9A272D"/>
    <w:rsid w:val="5CBD64D1"/>
    <w:rsid w:val="5CCD4C82"/>
    <w:rsid w:val="5CCD707A"/>
    <w:rsid w:val="5CE15514"/>
    <w:rsid w:val="5CF93499"/>
    <w:rsid w:val="5CFD4A18"/>
    <w:rsid w:val="5D1C19EA"/>
    <w:rsid w:val="5D240657"/>
    <w:rsid w:val="5D2D1A5A"/>
    <w:rsid w:val="5D437164"/>
    <w:rsid w:val="5D567C41"/>
    <w:rsid w:val="5D5D18E5"/>
    <w:rsid w:val="5D6E31EE"/>
    <w:rsid w:val="5D913727"/>
    <w:rsid w:val="5DA67E04"/>
    <w:rsid w:val="5DBF3AD3"/>
    <w:rsid w:val="5DD4719E"/>
    <w:rsid w:val="5DE40B10"/>
    <w:rsid w:val="5E031308"/>
    <w:rsid w:val="5E0D0629"/>
    <w:rsid w:val="5E1318E0"/>
    <w:rsid w:val="5E146639"/>
    <w:rsid w:val="5E2467F1"/>
    <w:rsid w:val="5E2B2110"/>
    <w:rsid w:val="5E2B3590"/>
    <w:rsid w:val="5E30357F"/>
    <w:rsid w:val="5E3265CF"/>
    <w:rsid w:val="5E3E24F3"/>
    <w:rsid w:val="5E466BCC"/>
    <w:rsid w:val="5E4A363D"/>
    <w:rsid w:val="5E5601F6"/>
    <w:rsid w:val="5E5D60FE"/>
    <w:rsid w:val="5E677C9B"/>
    <w:rsid w:val="5E6B16EE"/>
    <w:rsid w:val="5E6F08FE"/>
    <w:rsid w:val="5E74564A"/>
    <w:rsid w:val="5E7C652B"/>
    <w:rsid w:val="5E7E78C9"/>
    <w:rsid w:val="5E845EA9"/>
    <w:rsid w:val="5E891418"/>
    <w:rsid w:val="5E8928A0"/>
    <w:rsid w:val="5E8F69CE"/>
    <w:rsid w:val="5E920ABA"/>
    <w:rsid w:val="5EAB2F2F"/>
    <w:rsid w:val="5EB8703A"/>
    <w:rsid w:val="5ECD76AC"/>
    <w:rsid w:val="5ED03452"/>
    <w:rsid w:val="5EE50007"/>
    <w:rsid w:val="5EE7052C"/>
    <w:rsid w:val="5EED76C1"/>
    <w:rsid w:val="5EFC7ECA"/>
    <w:rsid w:val="5EFF2E4B"/>
    <w:rsid w:val="5F013C44"/>
    <w:rsid w:val="5F01692F"/>
    <w:rsid w:val="5F0E6969"/>
    <w:rsid w:val="5F1A0F1F"/>
    <w:rsid w:val="5F1A2B43"/>
    <w:rsid w:val="5F2D2C93"/>
    <w:rsid w:val="5F3F2E89"/>
    <w:rsid w:val="5F4324C3"/>
    <w:rsid w:val="5F455537"/>
    <w:rsid w:val="5F6034FA"/>
    <w:rsid w:val="5F7408C2"/>
    <w:rsid w:val="5F744410"/>
    <w:rsid w:val="5F971902"/>
    <w:rsid w:val="5F9B7A5B"/>
    <w:rsid w:val="5FA76FC4"/>
    <w:rsid w:val="5FA95474"/>
    <w:rsid w:val="5FAD6FBC"/>
    <w:rsid w:val="5FB074AD"/>
    <w:rsid w:val="5FB837BB"/>
    <w:rsid w:val="5FBF7C7C"/>
    <w:rsid w:val="5FDC48B5"/>
    <w:rsid w:val="5FEA0142"/>
    <w:rsid w:val="5FFF40DC"/>
    <w:rsid w:val="60036017"/>
    <w:rsid w:val="6009141B"/>
    <w:rsid w:val="6009197C"/>
    <w:rsid w:val="6013683B"/>
    <w:rsid w:val="60205D9F"/>
    <w:rsid w:val="606C75E0"/>
    <w:rsid w:val="60720D76"/>
    <w:rsid w:val="60895F76"/>
    <w:rsid w:val="60905C41"/>
    <w:rsid w:val="60AB216F"/>
    <w:rsid w:val="60B02239"/>
    <w:rsid w:val="60C814A7"/>
    <w:rsid w:val="60CC2038"/>
    <w:rsid w:val="60CC405A"/>
    <w:rsid w:val="60E00187"/>
    <w:rsid w:val="60EA0710"/>
    <w:rsid w:val="60F844C9"/>
    <w:rsid w:val="6120265D"/>
    <w:rsid w:val="61340297"/>
    <w:rsid w:val="613704C5"/>
    <w:rsid w:val="61445BBD"/>
    <w:rsid w:val="614B7400"/>
    <w:rsid w:val="61506293"/>
    <w:rsid w:val="616B481F"/>
    <w:rsid w:val="616D2647"/>
    <w:rsid w:val="61712209"/>
    <w:rsid w:val="61726B4D"/>
    <w:rsid w:val="61807983"/>
    <w:rsid w:val="61851071"/>
    <w:rsid w:val="61995A39"/>
    <w:rsid w:val="61B47536"/>
    <w:rsid w:val="61BE0D38"/>
    <w:rsid w:val="61CC0243"/>
    <w:rsid w:val="61E215D8"/>
    <w:rsid w:val="61F127D3"/>
    <w:rsid w:val="61F50F1C"/>
    <w:rsid w:val="61F87DC3"/>
    <w:rsid w:val="621B3775"/>
    <w:rsid w:val="621E4B15"/>
    <w:rsid w:val="6221239C"/>
    <w:rsid w:val="622E3B5B"/>
    <w:rsid w:val="62364782"/>
    <w:rsid w:val="624C1682"/>
    <w:rsid w:val="62520A5E"/>
    <w:rsid w:val="62896DB9"/>
    <w:rsid w:val="62C10A41"/>
    <w:rsid w:val="62CA5728"/>
    <w:rsid w:val="62E03C26"/>
    <w:rsid w:val="62F13CDC"/>
    <w:rsid w:val="62FD41E2"/>
    <w:rsid w:val="62FE0807"/>
    <w:rsid w:val="63084EA6"/>
    <w:rsid w:val="631D3D2C"/>
    <w:rsid w:val="63260AD7"/>
    <w:rsid w:val="632700DD"/>
    <w:rsid w:val="632A1297"/>
    <w:rsid w:val="632F537C"/>
    <w:rsid w:val="633304B9"/>
    <w:rsid w:val="63346BA7"/>
    <w:rsid w:val="633607EE"/>
    <w:rsid w:val="633858A7"/>
    <w:rsid w:val="634109CF"/>
    <w:rsid w:val="636724EC"/>
    <w:rsid w:val="63881FB9"/>
    <w:rsid w:val="638A2E94"/>
    <w:rsid w:val="63900980"/>
    <w:rsid w:val="6394356A"/>
    <w:rsid w:val="63A86D8C"/>
    <w:rsid w:val="63BC5627"/>
    <w:rsid w:val="63C61B2C"/>
    <w:rsid w:val="63CE6EB9"/>
    <w:rsid w:val="63D40BE9"/>
    <w:rsid w:val="63DA4CBD"/>
    <w:rsid w:val="63E37DC4"/>
    <w:rsid w:val="63EE51A7"/>
    <w:rsid w:val="63F17544"/>
    <w:rsid w:val="63FE639F"/>
    <w:rsid w:val="64010B31"/>
    <w:rsid w:val="64102431"/>
    <w:rsid w:val="641A6117"/>
    <w:rsid w:val="641B1206"/>
    <w:rsid w:val="641D44A1"/>
    <w:rsid w:val="64460353"/>
    <w:rsid w:val="644609D8"/>
    <w:rsid w:val="64541E86"/>
    <w:rsid w:val="646168A0"/>
    <w:rsid w:val="64734F52"/>
    <w:rsid w:val="64770E7A"/>
    <w:rsid w:val="64861B8D"/>
    <w:rsid w:val="64A5243A"/>
    <w:rsid w:val="64B03212"/>
    <w:rsid w:val="64B13A1E"/>
    <w:rsid w:val="64B601B2"/>
    <w:rsid w:val="64BB0036"/>
    <w:rsid w:val="64BD0615"/>
    <w:rsid w:val="64D50944"/>
    <w:rsid w:val="64D768FC"/>
    <w:rsid w:val="64F22414"/>
    <w:rsid w:val="64F531DE"/>
    <w:rsid w:val="64FC4198"/>
    <w:rsid w:val="65330EA8"/>
    <w:rsid w:val="65373578"/>
    <w:rsid w:val="654C356F"/>
    <w:rsid w:val="655A5E64"/>
    <w:rsid w:val="6582725C"/>
    <w:rsid w:val="65841AC2"/>
    <w:rsid w:val="658F0AA0"/>
    <w:rsid w:val="65AB20F2"/>
    <w:rsid w:val="65B40F7D"/>
    <w:rsid w:val="65C14054"/>
    <w:rsid w:val="65D15DEB"/>
    <w:rsid w:val="65E132F7"/>
    <w:rsid w:val="65F00576"/>
    <w:rsid w:val="65F13B59"/>
    <w:rsid w:val="65FF7DBB"/>
    <w:rsid w:val="66046533"/>
    <w:rsid w:val="662F4DED"/>
    <w:rsid w:val="66342A71"/>
    <w:rsid w:val="66394FE2"/>
    <w:rsid w:val="66397A46"/>
    <w:rsid w:val="6641028B"/>
    <w:rsid w:val="66482160"/>
    <w:rsid w:val="664F45A2"/>
    <w:rsid w:val="666B1F5C"/>
    <w:rsid w:val="667E5305"/>
    <w:rsid w:val="66833125"/>
    <w:rsid w:val="668A2779"/>
    <w:rsid w:val="668C6134"/>
    <w:rsid w:val="66902AEC"/>
    <w:rsid w:val="669F4100"/>
    <w:rsid w:val="66A023ED"/>
    <w:rsid w:val="66AD1C42"/>
    <w:rsid w:val="66B631BE"/>
    <w:rsid w:val="66B753D3"/>
    <w:rsid w:val="66B82E29"/>
    <w:rsid w:val="66BD2E6A"/>
    <w:rsid w:val="66DC1A68"/>
    <w:rsid w:val="66DC5B17"/>
    <w:rsid w:val="66E06604"/>
    <w:rsid w:val="66E54D77"/>
    <w:rsid w:val="671F124A"/>
    <w:rsid w:val="6723092D"/>
    <w:rsid w:val="67252149"/>
    <w:rsid w:val="672521D3"/>
    <w:rsid w:val="672601FE"/>
    <w:rsid w:val="672616D5"/>
    <w:rsid w:val="67347A7A"/>
    <w:rsid w:val="67376C31"/>
    <w:rsid w:val="674F4411"/>
    <w:rsid w:val="675863D3"/>
    <w:rsid w:val="675B47FA"/>
    <w:rsid w:val="676A056D"/>
    <w:rsid w:val="676A7F74"/>
    <w:rsid w:val="677A33C6"/>
    <w:rsid w:val="6787315C"/>
    <w:rsid w:val="678E24D7"/>
    <w:rsid w:val="67B22C7C"/>
    <w:rsid w:val="67B44A12"/>
    <w:rsid w:val="67BC2CA6"/>
    <w:rsid w:val="67C27D51"/>
    <w:rsid w:val="67D860F4"/>
    <w:rsid w:val="67DE0504"/>
    <w:rsid w:val="680545FB"/>
    <w:rsid w:val="68160210"/>
    <w:rsid w:val="68192216"/>
    <w:rsid w:val="681F6961"/>
    <w:rsid w:val="682A7955"/>
    <w:rsid w:val="682B16BF"/>
    <w:rsid w:val="6843185F"/>
    <w:rsid w:val="68535A53"/>
    <w:rsid w:val="68610A2F"/>
    <w:rsid w:val="687E1273"/>
    <w:rsid w:val="687F1899"/>
    <w:rsid w:val="68805514"/>
    <w:rsid w:val="68836387"/>
    <w:rsid w:val="688E0E3E"/>
    <w:rsid w:val="68977EE9"/>
    <w:rsid w:val="68A17177"/>
    <w:rsid w:val="68A90204"/>
    <w:rsid w:val="68BC5208"/>
    <w:rsid w:val="68C44BB6"/>
    <w:rsid w:val="68C62820"/>
    <w:rsid w:val="68D10D8F"/>
    <w:rsid w:val="69075638"/>
    <w:rsid w:val="692B0B42"/>
    <w:rsid w:val="692D7489"/>
    <w:rsid w:val="69316E2F"/>
    <w:rsid w:val="6935173E"/>
    <w:rsid w:val="69390111"/>
    <w:rsid w:val="693A2744"/>
    <w:rsid w:val="694B4288"/>
    <w:rsid w:val="694E2071"/>
    <w:rsid w:val="69532EB2"/>
    <w:rsid w:val="695F66FA"/>
    <w:rsid w:val="69766163"/>
    <w:rsid w:val="697A3B33"/>
    <w:rsid w:val="697A4FE9"/>
    <w:rsid w:val="698043A2"/>
    <w:rsid w:val="699053FD"/>
    <w:rsid w:val="6995232A"/>
    <w:rsid w:val="69A84CE9"/>
    <w:rsid w:val="69B71A45"/>
    <w:rsid w:val="69BB6CF5"/>
    <w:rsid w:val="69C47F78"/>
    <w:rsid w:val="69C87D4A"/>
    <w:rsid w:val="69D03AFF"/>
    <w:rsid w:val="69D31E9F"/>
    <w:rsid w:val="69D44760"/>
    <w:rsid w:val="69D60F32"/>
    <w:rsid w:val="69D64DC7"/>
    <w:rsid w:val="69DA5917"/>
    <w:rsid w:val="6A11735A"/>
    <w:rsid w:val="6A184540"/>
    <w:rsid w:val="6A1F6286"/>
    <w:rsid w:val="6A244DA3"/>
    <w:rsid w:val="6A520EC7"/>
    <w:rsid w:val="6AA65680"/>
    <w:rsid w:val="6AC347CA"/>
    <w:rsid w:val="6AD30215"/>
    <w:rsid w:val="6AD30E33"/>
    <w:rsid w:val="6AF87E20"/>
    <w:rsid w:val="6AFC148C"/>
    <w:rsid w:val="6B054217"/>
    <w:rsid w:val="6B2667E8"/>
    <w:rsid w:val="6B315A3D"/>
    <w:rsid w:val="6B322639"/>
    <w:rsid w:val="6B4B06B6"/>
    <w:rsid w:val="6B54424A"/>
    <w:rsid w:val="6B54799F"/>
    <w:rsid w:val="6B5B46E4"/>
    <w:rsid w:val="6B6A2B79"/>
    <w:rsid w:val="6B6E08BB"/>
    <w:rsid w:val="6B8E2BCD"/>
    <w:rsid w:val="6BA40D59"/>
    <w:rsid w:val="6BB1742F"/>
    <w:rsid w:val="6BB569DB"/>
    <w:rsid w:val="6BB77FE6"/>
    <w:rsid w:val="6BC32289"/>
    <w:rsid w:val="6BCB194A"/>
    <w:rsid w:val="6BD73A66"/>
    <w:rsid w:val="6BDF3567"/>
    <w:rsid w:val="6BE55A40"/>
    <w:rsid w:val="6BEA10B3"/>
    <w:rsid w:val="6C0177C5"/>
    <w:rsid w:val="6C1A70D2"/>
    <w:rsid w:val="6C2D1D7A"/>
    <w:rsid w:val="6C4B5BF9"/>
    <w:rsid w:val="6C575377"/>
    <w:rsid w:val="6C602C92"/>
    <w:rsid w:val="6C636C38"/>
    <w:rsid w:val="6C64709B"/>
    <w:rsid w:val="6C686112"/>
    <w:rsid w:val="6C7371C9"/>
    <w:rsid w:val="6C77554D"/>
    <w:rsid w:val="6C783074"/>
    <w:rsid w:val="6C7F1885"/>
    <w:rsid w:val="6C8573C9"/>
    <w:rsid w:val="6C893563"/>
    <w:rsid w:val="6C907C6A"/>
    <w:rsid w:val="6C9F7131"/>
    <w:rsid w:val="6CAD676D"/>
    <w:rsid w:val="6CD20769"/>
    <w:rsid w:val="6CF1474A"/>
    <w:rsid w:val="6D093E66"/>
    <w:rsid w:val="6D116EA6"/>
    <w:rsid w:val="6D1C3D73"/>
    <w:rsid w:val="6D1C4347"/>
    <w:rsid w:val="6D2B6338"/>
    <w:rsid w:val="6D2F7BD6"/>
    <w:rsid w:val="6D3E622D"/>
    <w:rsid w:val="6D410600"/>
    <w:rsid w:val="6D501083"/>
    <w:rsid w:val="6D534174"/>
    <w:rsid w:val="6D556E33"/>
    <w:rsid w:val="6D7351EF"/>
    <w:rsid w:val="6D83187C"/>
    <w:rsid w:val="6DA05A7A"/>
    <w:rsid w:val="6DA35DD4"/>
    <w:rsid w:val="6DA40ECD"/>
    <w:rsid w:val="6DA94248"/>
    <w:rsid w:val="6DB34098"/>
    <w:rsid w:val="6DB545B6"/>
    <w:rsid w:val="6DB82591"/>
    <w:rsid w:val="6DCB1C1D"/>
    <w:rsid w:val="6DD95C8D"/>
    <w:rsid w:val="6DDF0F06"/>
    <w:rsid w:val="6DE02FB4"/>
    <w:rsid w:val="6DE57D58"/>
    <w:rsid w:val="6DE9675B"/>
    <w:rsid w:val="6DEE0E4D"/>
    <w:rsid w:val="6DF34CA3"/>
    <w:rsid w:val="6E015EDC"/>
    <w:rsid w:val="6E0B28B8"/>
    <w:rsid w:val="6E1A612F"/>
    <w:rsid w:val="6E207C9E"/>
    <w:rsid w:val="6E3270EC"/>
    <w:rsid w:val="6E3B53C5"/>
    <w:rsid w:val="6E3E38EE"/>
    <w:rsid w:val="6E501F35"/>
    <w:rsid w:val="6E514CED"/>
    <w:rsid w:val="6E7A62B3"/>
    <w:rsid w:val="6E7C49AB"/>
    <w:rsid w:val="6E8166B9"/>
    <w:rsid w:val="6E843F52"/>
    <w:rsid w:val="6E904435"/>
    <w:rsid w:val="6E9507EB"/>
    <w:rsid w:val="6EA9747B"/>
    <w:rsid w:val="6EB30F1C"/>
    <w:rsid w:val="6EB563D5"/>
    <w:rsid w:val="6EB71B8F"/>
    <w:rsid w:val="6EBD2B14"/>
    <w:rsid w:val="6EC359EA"/>
    <w:rsid w:val="6EC922AC"/>
    <w:rsid w:val="6ED83CBA"/>
    <w:rsid w:val="6ED92677"/>
    <w:rsid w:val="6EE20E46"/>
    <w:rsid w:val="6EF14E60"/>
    <w:rsid w:val="6F1B604D"/>
    <w:rsid w:val="6F225983"/>
    <w:rsid w:val="6F2F13BF"/>
    <w:rsid w:val="6F327E52"/>
    <w:rsid w:val="6F471E7F"/>
    <w:rsid w:val="6F6826D1"/>
    <w:rsid w:val="6F7737AD"/>
    <w:rsid w:val="6FD77469"/>
    <w:rsid w:val="6FD864EB"/>
    <w:rsid w:val="6FDA18DB"/>
    <w:rsid w:val="6FE179B4"/>
    <w:rsid w:val="6FE979CD"/>
    <w:rsid w:val="6FFC5590"/>
    <w:rsid w:val="70071257"/>
    <w:rsid w:val="700B62EC"/>
    <w:rsid w:val="701C5559"/>
    <w:rsid w:val="70226132"/>
    <w:rsid w:val="703642C8"/>
    <w:rsid w:val="70391DD3"/>
    <w:rsid w:val="70545B8F"/>
    <w:rsid w:val="70644124"/>
    <w:rsid w:val="706A7F03"/>
    <w:rsid w:val="706D1DD0"/>
    <w:rsid w:val="7073098E"/>
    <w:rsid w:val="70856B87"/>
    <w:rsid w:val="70887E33"/>
    <w:rsid w:val="708B3EFA"/>
    <w:rsid w:val="70952446"/>
    <w:rsid w:val="70A320D1"/>
    <w:rsid w:val="70AB3FED"/>
    <w:rsid w:val="70AB790A"/>
    <w:rsid w:val="70AE122E"/>
    <w:rsid w:val="70B67268"/>
    <w:rsid w:val="70B72EF0"/>
    <w:rsid w:val="70C66A35"/>
    <w:rsid w:val="70D527EE"/>
    <w:rsid w:val="70DC5D47"/>
    <w:rsid w:val="70DC660B"/>
    <w:rsid w:val="70DF4F5F"/>
    <w:rsid w:val="70F829D5"/>
    <w:rsid w:val="70FC02D9"/>
    <w:rsid w:val="70FD46F3"/>
    <w:rsid w:val="710609F1"/>
    <w:rsid w:val="710D0F39"/>
    <w:rsid w:val="711377D7"/>
    <w:rsid w:val="7120722F"/>
    <w:rsid w:val="7138489B"/>
    <w:rsid w:val="71481F26"/>
    <w:rsid w:val="715A1EE5"/>
    <w:rsid w:val="715B389C"/>
    <w:rsid w:val="715B5300"/>
    <w:rsid w:val="71861BFB"/>
    <w:rsid w:val="718B14C3"/>
    <w:rsid w:val="719B60F3"/>
    <w:rsid w:val="71B53049"/>
    <w:rsid w:val="71C10F79"/>
    <w:rsid w:val="71D10935"/>
    <w:rsid w:val="71D27F8A"/>
    <w:rsid w:val="71D61008"/>
    <w:rsid w:val="71DA79B5"/>
    <w:rsid w:val="720527A2"/>
    <w:rsid w:val="72112E87"/>
    <w:rsid w:val="721167D5"/>
    <w:rsid w:val="72167D6C"/>
    <w:rsid w:val="724108AB"/>
    <w:rsid w:val="724F031B"/>
    <w:rsid w:val="724F22A3"/>
    <w:rsid w:val="724F41B6"/>
    <w:rsid w:val="72553024"/>
    <w:rsid w:val="72553254"/>
    <w:rsid w:val="72B92405"/>
    <w:rsid w:val="72CB72AA"/>
    <w:rsid w:val="72DA2AA9"/>
    <w:rsid w:val="72EC0DD7"/>
    <w:rsid w:val="72ED0504"/>
    <w:rsid w:val="72FC070A"/>
    <w:rsid w:val="72FF6A84"/>
    <w:rsid w:val="73041A45"/>
    <w:rsid w:val="730D35C6"/>
    <w:rsid w:val="73122968"/>
    <w:rsid w:val="731F5D5E"/>
    <w:rsid w:val="73305461"/>
    <w:rsid w:val="73415620"/>
    <w:rsid w:val="7348106F"/>
    <w:rsid w:val="735F20B4"/>
    <w:rsid w:val="736E6F7E"/>
    <w:rsid w:val="737547B1"/>
    <w:rsid w:val="73841E82"/>
    <w:rsid w:val="73966AB0"/>
    <w:rsid w:val="739966EC"/>
    <w:rsid w:val="73A26A77"/>
    <w:rsid w:val="73AA614C"/>
    <w:rsid w:val="73B34DFA"/>
    <w:rsid w:val="73C51AD5"/>
    <w:rsid w:val="73C545B9"/>
    <w:rsid w:val="73CA18F0"/>
    <w:rsid w:val="73CC3546"/>
    <w:rsid w:val="73D8658A"/>
    <w:rsid w:val="73DD583E"/>
    <w:rsid w:val="73E223A7"/>
    <w:rsid w:val="73F934C8"/>
    <w:rsid w:val="74127BF2"/>
    <w:rsid w:val="741E793C"/>
    <w:rsid w:val="74441AE5"/>
    <w:rsid w:val="74457E3C"/>
    <w:rsid w:val="7447227F"/>
    <w:rsid w:val="74511B34"/>
    <w:rsid w:val="745E3944"/>
    <w:rsid w:val="745F5C2E"/>
    <w:rsid w:val="74634609"/>
    <w:rsid w:val="74681E54"/>
    <w:rsid w:val="746A1449"/>
    <w:rsid w:val="746F0BFB"/>
    <w:rsid w:val="74784714"/>
    <w:rsid w:val="748415B3"/>
    <w:rsid w:val="748F4B8F"/>
    <w:rsid w:val="749D1F66"/>
    <w:rsid w:val="74B762EF"/>
    <w:rsid w:val="74D02D4F"/>
    <w:rsid w:val="74E55413"/>
    <w:rsid w:val="74F96D57"/>
    <w:rsid w:val="74FE298B"/>
    <w:rsid w:val="7502029D"/>
    <w:rsid w:val="75022074"/>
    <w:rsid w:val="7511512C"/>
    <w:rsid w:val="751A6601"/>
    <w:rsid w:val="751D358B"/>
    <w:rsid w:val="751D3C3E"/>
    <w:rsid w:val="751E714A"/>
    <w:rsid w:val="752244C4"/>
    <w:rsid w:val="752946CB"/>
    <w:rsid w:val="75483F2B"/>
    <w:rsid w:val="754D5AA2"/>
    <w:rsid w:val="755818B2"/>
    <w:rsid w:val="75645B82"/>
    <w:rsid w:val="75656A7A"/>
    <w:rsid w:val="757C5E0D"/>
    <w:rsid w:val="758A36D8"/>
    <w:rsid w:val="759379FD"/>
    <w:rsid w:val="759C4ECC"/>
    <w:rsid w:val="75A87BD5"/>
    <w:rsid w:val="75B82DBB"/>
    <w:rsid w:val="75BA5BDF"/>
    <w:rsid w:val="75CB2083"/>
    <w:rsid w:val="75D0428A"/>
    <w:rsid w:val="75D457BF"/>
    <w:rsid w:val="75D732ED"/>
    <w:rsid w:val="75E04434"/>
    <w:rsid w:val="7620789B"/>
    <w:rsid w:val="7635099D"/>
    <w:rsid w:val="763E06FB"/>
    <w:rsid w:val="76672CD6"/>
    <w:rsid w:val="766C71C3"/>
    <w:rsid w:val="7673062D"/>
    <w:rsid w:val="76845500"/>
    <w:rsid w:val="76887F66"/>
    <w:rsid w:val="7692179F"/>
    <w:rsid w:val="7694389D"/>
    <w:rsid w:val="769E5DCD"/>
    <w:rsid w:val="76A0359D"/>
    <w:rsid w:val="76AE0960"/>
    <w:rsid w:val="76AE2166"/>
    <w:rsid w:val="76CA6BC2"/>
    <w:rsid w:val="76CE5EC8"/>
    <w:rsid w:val="76D06A37"/>
    <w:rsid w:val="76D472DC"/>
    <w:rsid w:val="76D47AC0"/>
    <w:rsid w:val="76D53219"/>
    <w:rsid w:val="76D87DA0"/>
    <w:rsid w:val="76DA002C"/>
    <w:rsid w:val="76EF393F"/>
    <w:rsid w:val="76F13C39"/>
    <w:rsid w:val="76F85BCE"/>
    <w:rsid w:val="76FF686B"/>
    <w:rsid w:val="77013605"/>
    <w:rsid w:val="770C6617"/>
    <w:rsid w:val="77147A79"/>
    <w:rsid w:val="774015AF"/>
    <w:rsid w:val="77406395"/>
    <w:rsid w:val="775C6D97"/>
    <w:rsid w:val="776C230C"/>
    <w:rsid w:val="77762421"/>
    <w:rsid w:val="77786308"/>
    <w:rsid w:val="777B0657"/>
    <w:rsid w:val="77866F8C"/>
    <w:rsid w:val="7786793E"/>
    <w:rsid w:val="778C2F47"/>
    <w:rsid w:val="778F0FE9"/>
    <w:rsid w:val="77A747F9"/>
    <w:rsid w:val="77A75A39"/>
    <w:rsid w:val="77B001F1"/>
    <w:rsid w:val="77B56B1F"/>
    <w:rsid w:val="77B941E4"/>
    <w:rsid w:val="77CF0E01"/>
    <w:rsid w:val="77D17B08"/>
    <w:rsid w:val="77D900E5"/>
    <w:rsid w:val="77E50D7C"/>
    <w:rsid w:val="77F263D0"/>
    <w:rsid w:val="780F09F4"/>
    <w:rsid w:val="78180820"/>
    <w:rsid w:val="781C169F"/>
    <w:rsid w:val="782318E1"/>
    <w:rsid w:val="782C4089"/>
    <w:rsid w:val="782C7B34"/>
    <w:rsid w:val="782F2F09"/>
    <w:rsid w:val="78301757"/>
    <w:rsid w:val="783C6288"/>
    <w:rsid w:val="78460399"/>
    <w:rsid w:val="788A63D7"/>
    <w:rsid w:val="788B4052"/>
    <w:rsid w:val="78A90480"/>
    <w:rsid w:val="78AA2B2E"/>
    <w:rsid w:val="78B0112C"/>
    <w:rsid w:val="78CA38D2"/>
    <w:rsid w:val="78E635E0"/>
    <w:rsid w:val="78E808C5"/>
    <w:rsid w:val="78EF46BD"/>
    <w:rsid w:val="78F64FE8"/>
    <w:rsid w:val="790005D4"/>
    <w:rsid w:val="79312F4D"/>
    <w:rsid w:val="793C6F10"/>
    <w:rsid w:val="795749FD"/>
    <w:rsid w:val="79594081"/>
    <w:rsid w:val="795B11E6"/>
    <w:rsid w:val="795E3DCE"/>
    <w:rsid w:val="796230E1"/>
    <w:rsid w:val="79675240"/>
    <w:rsid w:val="796A66A1"/>
    <w:rsid w:val="796E7792"/>
    <w:rsid w:val="7970545C"/>
    <w:rsid w:val="79932D5A"/>
    <w:rsid w:val="79984D55"/>
    <w:rsid w:val="79A67792"/>
    <w:rsid w:val="79AD58A0"/>
    <w:rsid w:val="79AE27CB"/>
    <w:rsid w:val="79BF0E99"/>
    <w:rsid w:val="79CA36A0"/>
    <w:rsid w:val="79CE3234"/>
    <w:rsid w:val="79F712C6"/>
    <w:rsid w:val="7A020C70"/>
    <w:rsid w:val="7A1C14E2"/>
    <w:rsid w:val="7A236F90"/>
    <w:rsid w:val="7A2E1A80"/>
    <w:rsid w:val="7A301431"/>
    <w:rsid w:val="7A364017"/>
    <w:rsid w:val="7A3A07DF"/>
    <w:rsid w:val="7A8265E1"/>
    <w:rsid w:val="7A956B26"/>
    <w:rsid w:val="7AAA59F4"/>
    <w:rsid w:val="7AB952FC"/>
    <w:rsid w:val="7AC10ADF"/>
    <w:rsid w:val="7ACF2CC9"/>
    <w:rsid w:val="7AE36705"/>
    <w:rsid w:val="7AE57C6E"/>
    <w:rsid w:val="7B0A1A68"/>
    <w:rsid w:val="7B0A5E94"/>
    <w:rsid w:val="7B157300"/>
    <w:rsid w:val="7B1875C8"/>
    <w:rsid w:val="7B3E21A8"/>
    <w:rsid w:val="7B5C3C80"/>
    <w:rsid w:val="7B613E82"/>
    <w:rsid w:val="7B6319CE"/>
    <w:rsid w:val="7B686D42"/>
    <w:rsid w:val="7B731600"/>
    <w:rsid w:val="7B746E0D"/>
    <w:rsid w:val="7B841746"/>
    <w:rsid w:val="7BA17582"/>
    <w:rsid w:val="7BA86290"/>
    <w:rsid w:val="7BC04D1F"/>
    <w:rsid w:val="7BC805F8"/>
    <w:rsid w:val="7BCD249C"/>
    <w:rsid w:val="7BD735A7"/>
    <w:rsid w:val="7BF62BC3"/>
    <w:rsid w:val="7BF7070F"/>
    <w:rsid w:val="7C090879"/>
    <w:rsid w:val="7C0941C4"/>
    <w:rsid w:val="7C10780F"/>
    <w:rsid w:val="7C18045A"/>
    <w:rsid w:val="7C223310"/>
    <w:rsid w:val="7C224C44"/>
    <w:rsid w:val="7C27172D"/>
    <w:rsid w:val="7C341126"/>
    <w:rsid w:val="7C375C42"/>
    <w:rsid w:val="7C437924"/>
    <w:rsid w:val="7C6B09E4"/>
    <w:rsid w:val="7C6C5AC7"/>
    <w:rsid w:val="7C865CEF"/>
    <w:rsid w:val="7C94538C"/>
    <w:rsid w:val="7C9E2682"/>
    <w:rsid w:val="7CAA7279"/>
    <w:rsid w:val="7CB21BB3"/>
    <w:rsid w:val="7CB8238E"/>
    <w:rsid w:val="7CC10D44"/>
    <w:rsid w:val="7CC6544B"/>
    <w:rsid w:val="7CDA4160"/>
    <w:rsid w:val="7CEE0F87"/>
    <w:rsid w:val="7D0239FF"/>
    <w:rsid w:val="7D05396C"/>
    <w:rsid w:val="7D0A5F6A"/>
    <w:rsid w:val="7D1110A6"/>
    <w:rsid w:val="7D192B3F"/>
    <w:rsid w:val="7D1D37CD"/>
    <w:rsid w:val="7D244E6E"/>
    <w:rsid w:val="7D4974B4"/>
    <w:rsid w:val="7D5360DD"/>
    <w:rsid w:val="7D5E40CD"/>
    <w:rsid w:val="7D607C29"/>
    <w:rsid w:val="7D690F4F"/>
    <w:rsid w:val="7D7A5F89"/>
    <w:rsid w:val="7D7F14D7"/>
    <w:rsid w:val="7D812755"/>
    <w:rsid w:val="7D8515D1"/>
    <w:rsid w:val="7D8D4DB5"/>
    <w:rsid w:val="7D943785"/>
    <w:rsid w:val="7D9A574A"/>
    <w:rsid w:val="7D9C45B7"/>
    <w:rsid w:val="7DA24E43"/>
    <w:rsid w:val="7DAE718C"/>
    <w:rsid w:val="7DBF4367"/>
    <w:rsid w:val="7DCD56F2"/>
    <w:rsid w:val="7DD77341"/>
    <w:rsid w:val="7DE277CD"/>
    <w:rsid w:val="7DFA7E3F"/>
    <w:rsid w:val="7E18722F"/>
    <w:rsid w:val="7E194A0A"/>
    <w:rsid w:val="7E44248C"/>
    <w:rsid w:val="7E534E65"/>
    <w:rsid w:val="7E543940"/>
    <w:rsid w:val="7E604FDA"/>
    <w:rsid w:val="7E6ECA7F"/>
    <w:rsid w:val="7E80646A"/>
    <w:rsid w:val="7E951672"/>
    <w:rsid w:val="7E95264C"/>
    <w:rsid w:val="7E9D1D85"/>
    <w:rsid w:val="7EA94726"/>
    <w:rsid w:val="7EB776DC"/>
    <w:rsid w:val="7ECA3C59"/>
    <w:rsid w:val="7ED35CAE"/>
    <w:rsid w:val="7ED97862"/>
    <w:rsid w:val="7EED08E2"/>
    <w:rsid w:val="7EF71157"/>
    <w:rsid w:val="7EF90415"/>
    <w:rsid w:val="7EFC5E66"/>
    <w:rsid w:val="7F001CE7"/>
    <w:rsid w:val="7F197C0D"/>
    <w:rsid w:val="7F297817"/>
    <w:rsid w:val="7F2E1EFC"/>
    <w:rsid w:val="7F3203E0"/>
    <w:rsid w:val="7F347699"/>
    <w:rsid w:val="7F372A6A"/>
    <w:rsid w:val="7F385EB2"/>
    <w:rsid w:val="7F401A7F"/>
    <w:rsid w:val="7F411079"/>
    <w:rsid w:val="7F4250F2"/>
    <w:rsid w:val="7F4B065F"/>
    <w:rsid w:val="7F4F4108"/>
    <w:rsid w:val="7F5651CD"/>
    <w:rsid w:val="7F60169B"/>
    <w:rsid w:val="7F6479F9"/>
    <w:rsid w:val="7F7D4D7F"/>
    <w:rsid w:val="7F841D29"/>
    <w:rsid w:val="7FA70B84"/>
    <w:rsid w:val="7FD460FF"/>
    <w:rsid w:val="7FE47E50"/>
    <w:rsid w:val="7FEF2CB9"/>
    <w:rsid w:val="9AFBDA86"/>
    <w:rsid w:val="C3FF243E"/>
    <w:rsid w:val="E8BED32A"/>
    <w:rsid w:val="EFFD4AA5"/>
    <w:rsid w:val="F3FF392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iPriority="99"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4">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before="120" w:beforeLines="0"/>
      <w:ind w:right="113" w:firstLine="570"/>
    </w:pPr>
    <w:rPr>
      <w:kern w:val="24"/>
      <w:sz w:val="28"/>
      <w:szCs w:val="20"/>
    </w:rPr>
  </w:style>
  <w:style w:type="paragraph" w:styleId="5">
    <w:name w:val="Normal Indent"/>
    <w:basedOn w:val="1"/>
    <w:next w:val="4"/>
    <w:qFormat/>
    <w:uiPriority w:val="0"/>
    <w:pPr>
      <w:spacing w:line="360" w:lineRule="auto"/>
      <w:ind w:firstLine="420"/>
    </w:pPr>
    <w:rPr>
      <w:rFonts w:ascii="Times New Roman" w:hAnsi="Times New Roman" w:eastAsia="宋体"/>
      <w:sz w:val="24"/>
    </w:rPr>
  </w:style>
  <w:style w:type="paragraph" w:styleId="6">
    <w:name w:val="annotation text"/>
    <w:basedOn w:val="1"/>
    <w:link w:val="29"/>
    <w:qFormat/>
    <w:uiPriority w:val="0"/>
    <w:pPr>
      <w:jc w:val="left"/>
    </w:pPr>
    <w:rPr>
      <w:kern w:val="0"/>
      <w:sz w:val="24"/>
      <w:szCs w:val="20"/>
    </w:rPr>
  </w:style>
  <w:style w:type="paragraph" w:styleId="7">
    <w:name w:val="Body Text"/>
    <w:basedOn w:val="1"/>
    <w:next w:val="1"/>
    <w:link w:val="30"/>
    <w:qFormat/>
    <w:uiPriority w:val="0"/>
    <w:pPr>
      <w:widowControl/>
      <w:snapToGrid w:val="0"/>
      <w:spacing w:before="60" w:after="160" w:line="259" w:lineRule="auto"/>
      <w:ind w:right="113"/>
    </w:pPr>
    <w:rPr>
      <w:kern w:val="0"/>
      <w:sz w:val="18"/>
      <w:szCs w:val="20"/>
    </w:rPr>
  </w:style>
  <w:style w:type="paragraph" w:styleId="8">
    <w:name w:val="Body Text Indent"/>
    <w:basedOn w:val="1"/>
    <w:link w:val="31"/>
    <w:qFormat/>
    <w:uiPriority w:val="0"/>
    <w:pPr>
      <w:spacing w:after="120"/>
      <w:ind w:left="420" w:leftChars="200"/>
    </w:pPr>
    <w:rPr>
      <w:kern w:val="0"/>
      <w:sz w:val="24"/>
      <w:szCs w:val="20"/>
    </w:rPr>
  </w:style>
  <w:style w:type="paragraph" w:styleId="9">
    <w:name w:val="List 2"/>
    <w:basedOn w:val="1"/>
    <w:qFormat/>
    <w:uiPriority w:val="0"/>
    <w:pPr>
      <w:jc w:val="center"/>
    </w:pPr>
    <w:rPr>
      <w:bCs/>
      <w:kern w:val="10"/>
      <w:sz w:val="24"/>
    </w:rPr>
  </w:style>
  <w:style w:type="paragraph" w:styleId="10">
    <w:name w:val="HTML Address"/>
    <w:basedOn w:val="1"/>
    <w:semiHidden/>
    <w:unhideWhenUsed/>
    <w:qFormat/>
    <w:uiPriority w:val="99"/>
    <w:rPr>
      <w:i/>
    </w:rPr>
  </w:style>
  <w:style w:type="paragraph" w:styleId="11">
    <w:name w:val="Plain Text"/>
    <w:basedOn w:val="1"/>
    <w:qFormat/>
    <w:uiPriority w:val="0"/>
    <w:pPr>
      <w:widowControl/>
      <w:spacing w:before="100" w:beforeAutospacing="1" w:after="100" w:afterAutospacing="1"/>
      <w:jc w:val="left"/>
    </w:pPr>
    <w:rPr>
      <w:rFonts w:ascii="ˎ̥" w:hAnsi="ˎ̥"/>
      <w:kern w:val="0"/>
      <w:sz w:val="18"/>
      <w:szCs w:val="18"/>
    </w:rPr>
  </w:style>
  <w:style w:type="paragraph" w:styleId="12">
    <w:name w:val="Date"/>
    <w:basedOn w:val="1"/>
    <w:next w:val="1"/>
    <w:link w:val="32"/>
    <w:qFormat/>
    <w:uiPriority w:val="0"/>
    <w:pPr>
      <w:ind w:left="100" w:leftChars="2500"/>
    </w:pPr>
    <w:rPr>
      <w:kern w:val="0"/>
      <w:sz w:val="24"/>
      <w:szCs w:val="20"/>
    </w:rPr>
  </w:style>
  <w:style w:type="paragraph" w:styleId="13">
    <w:name w:val="Balloon Text"/>
    <w:basedOn w:val="1"/>
    <w:link w:val="33"/>
    <w:semiHidden/>
    <w:qFormat/>
    <w:uiPriority w:val="0"/>
    <w:rPr>
      <w:kern w:val="0"/>
      <w:sz w:val="18"/>
      <w:szCs w:val="20"/>
    </w:rPr>
  </w:style>
  <w:style w:type="paragraph" w:styleId="14">
    <w:name w:val="footer"/>
    <w:basedOn w:val="1"/>
    <w:next w:val="1"/>
    <w:link w:val="34"/>
    <w:qFormat/>
    <w:uiPriority w:val="99"/>
    <w:pPr>
      <w:tabs>
        <w:tab w:val="center" w:pos="4153"/>
        <w:tab w:val="right" w:pos="8306"/>
      </w:tabs>
      <w:snapToGrid w:val="0"/>
      <w:jc w:val="left"/>
    </w:pPr>
    <w:rPr>
      <w:kern w:val="0"/>
      <w:sz w:val="18"/>
      <w:szCs w:val="20"/>
    </w:rPr>
  </w:style>
  <w:style w:type="paragraph" w:styleId="15">
    <w:name w:val="header"/>
    <w:basedOn w:val="1"/>
    <w:link w:val="35"/>
    <w:qFormat/>
    <w:uiPriority w:val="0"/>
    <w:pPr>
      <w:pBdr>
        <w:bottom w:val="single" w:color="auto" w:sz="6" w:space="1"/>
      </w:pBdr>
      <w:tabs>
        <w:tab w:val="center" w:pos="4153"/>
        <w:tab w:val="right" w:pos="8306"/>
      </w:tabs>
      <w:snapToGrid w:val="0"/>
      <w:jc w:val="center"/>
    </w:pPr>
    <w:rPr>
      <w:kern w:val="0"/>
      <w:sz w:val="18"/>
      <w:szCs w:val="20"/>
    </w:rPr>
  </w:style>
  <w:style w:type="paragraph" w:styleId="16">
    <w:name w:val="Body Text Indent 3"/>
    <w:basedOn w:val="1"/>
    <w:qFormat/>
    <w:uiPriority w:val="0"/>
    <w:pPr>
      <w:ind w:firstLine="560" w:firstLineChars="200"/>
    </w:pPr>
    <w:rPr>
      <w:rFonts w:ascii="宋体" w:hAnsi="宋体"/>
      <w:sz w:val="28"/>
    </w:rPr>
  </w:style>
  <w:style w:type="paragraph" w:styleId="1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8">
    <w:name w:val="Normal (Web)"/>
    <w:basedOn w:val="1"/>
    <w:link w:val="36"/>
    <w:qFormat/>
    <w:uiPriority w:val="0"/>
    <w:pPr>
      <w:widowControl/>
      <w:spacing w:before="100" w:beforeAutospacing="1" w:after="100" w:afterAutospacing="1"/>
      <w:jc w:val="left"/>
    </w:pPr>
    <w:rPr>
      <w:rFonts w:ascii="宋体" w:hAnsi="宋体"/>
      <w:kern w:val="0"/>
      <w:sz w:val="24"/>
      <w:szCs w:val="20"/>
    </w:rPr>
  </w:style>
  <w:style w:type="paragraph" w:styleId="19">
    <w:name w:val="annotation subject"/>
    <w:basedOn w:val="6"/>
    <w:next w:val="6"/>
    <w:link w:val="37"/>
    <w:semiHidden/>
    <w:qFormat/>
    <w:uiPriority w:val="0"/>
    <w:rPr>
      <w:b/>
      <w:sz w:val="24"/>
      <w:szCs w:val="20"/>
    </w:rPr>
  </w:style>
  <w:style w:type="paragraph" w:styleId="20">
    <w:name w:val="Body Text First Indent"/>
    <w:basedOn w:val="7"/>
    <w:unhideWhenUsed/>
    <w:qFormat/>
    <w:uiPriority w:val="99"/>
    <w:pPr>
      <w:ind w:firstLine="420" w:firstLineChars="100"/>
    </w:pPr>
  </w:style>
  <w:style w:type="table" w:styleId="22">
    <w:name w:val="Table Grid"/>
    <w:basedOn w:val="21"/>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character" w:styleId="25">
    <w:name w:val="page number"/>
    <w:basedOn w:val="23"/>
    <w:qFormat/>
    <w:uiPriority w:val="0"/>
  </w:style>
  <w:style w:type="character" w:styleId="26">
    <w:name w:val="Hyperlink"/>
    <w:basedOn w:val="23"/>
    <w:qFormat/>
    <w:uiPriority w:val="0"/>
    <w:rPr>
      <w:color w:val="0000FF"/>
      <w:u w:val="single"/>
    </w:rPr>
  </w:style>
  <w:style w:type="character" w:styleId="27">
    <w:name w:val="annotation reference"/>
    <w:semiHidden/>
    <w:qFormat/>
    <w:uiPriority w:val="0"/>
    <w:rPr>
      <w:sz w:val="21"/>
    </w:rPr>
  </w:style>
  <w:style w:type="paragraph" w:customStyle="1" w:styleId="28">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character" w:customStyle="1" w:styleId="29">
    <w:name w:val="批注文字 Char"/>
    <w:link w:val="6"/>
    <w:qFormat/>
    <w:uiPriority w:val="0"/>
    <w:rPr>
      <w:rFonts w:ascii="Times New Roman" w:hAnsi="Times New Roman" w:eastAsia="宋体"/>
      <w:sz w:val="24"/>
    </w:rPr>
  </w:style>
  <w:style w:type="character" w:customStyle="1" w:styleId="30">
    <w:name w:val="正文文本 Char"/>
    <w:link w:val="7"/>
    <w:qFormat/>
    <w:uiPriority w:val="0"/>
    <w:rPr>
      <w:sz w:val="18"/>
    </w:rPr>
  </w:style>
  <w:style w:type="character" w:customStyle="1" w:styleId="31">
    <w:name w:val="正文文本缩进 Char"/>
    <w:link w:val="8"/>
    <w:semiHidden/>
    <w:qFormat/>
    <w:uiPriority w:val="0"/>
    <w:rPr>
      <w:rFonts w:ascii="Times New Roman" w:hAnsi="Times New Roman" w:eastAsia="宋体"/>
      <w:sz w:val="24"/>
    </w:rPr>
  </w:style>
  <w:style w:type="character" w:customStyle="1" w:styleId="32">
    <w:name w:val="日期 Char"/>
    <w:link w:val="12"/>
    <w:qFormat/>
    <w:uiPriority w:val="0"/>
    <w:rPr>
      <w:rFonts w:ascii="Times New Roman" w:hAnsi="Times New Roman" w:eastAsia="宋体"/>
      <w:sz w:val="24"/>
    </w:rPr>
  </w:style>
  <w:style w:type="character" w:customStyle="1" w:styleId="33">
    <w:name w:val="批注框文本 Char"/>
    <w:link w:val="13"/>
    <w:semiHidden/>
    <w:qFormat/>
    <w:uiPriority w:val="0"/>
    <w:rPr>
      <w:rFonts w:ascii="Times New Roman" w:hAnsi="Times New Roman" w:eastAsia="宋体"/>
      <w:sz w:val="18"/>
    </w:rPr>
  </w:style>
  <w:style w:type="character" w:customStyle="1" w:styleId="34">
    <w:name w:val="页脚 Char"/>
    <w:link w:val="14"/>
    <w:qFormat/>
    <w:uiPriority w:val="99"/>
    <w:rPr>
      <w:sz w:val="18"/>
    </w:rPr>
  </w:style>
  <w:style w:type="character" w:customStyle="1" w:styleId="35">
    <w:name w:val="页眉 Char"/>
    <w:link w:val="15"/>
    <w:qFormat/>
    <w:uiPriority w:val="0"/>
    <w:rPr>
      <w:sz w:val="18"/>
    </w:rPr>
  </w:style>
  <w:style w:type="character" w:customStyle="1" w:styleId="36">
    <w:name w:val="普通(网站) Char"/>
    <w:link w:val="18"/>
    <w:qFormat/>
    <w:uiPriority w:val="0"/>
    <w:rPr>
      <w:rFonts w:ascii="宋体" w:hAnsi="宋体" w:eastAsia="宋体"/>
      <w:sz w:val="24"/>
    </w:rPr>
  </w:style>
  <w:style w:type="character" w:customStyle="1" w:styleId="37">
    <w:name w:val="批注主题 Char"/>
    <w:link w:val="19"/>
    <w:semiHidden/>
    <w:qFormat/>
    <w:uiPriority w:val="0"/>
    <w:rPr>
      <w:rFonts w:ascii="Times New Roman" w:hAnsi="Times New Roman" w:eastAsia="宋体"/>
      <w:b/>
      <w:kern w:val="2"/>
      <w:sz w:val="24"/>
    </w:rPr>
  </w:style>
  <w:style w:type="paragraph" w:customStyle="1" w:styleId="38">
    <w:name w:val="toc 75"/>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39">
    <w:name w:val="_Style 4"/>
    <w:next w:val="1"/>
    <w:qFormat/>
    <w:uiPriority w:val="1"/>
    <w:pPr>
      <w:widowControl w:val="0"/>
      <w:jc w:val="both"/>
    </w:pPr>
    <w:rPr>
      <w:rFonts w:ascii="Times New Roman" w:hAnsi="Times New Roman" w:eastAsia="仿宋_GB2312" w:cs="Times New Roman"/>
      <w:kern w:val="2"/>
      <w:sz w:val="24"/>
      <w:szCs w:val="22"/>
      <w:lang w:val="en-US" w:eastAsia="zh-CN" w:bidi="ar-SA"/>
    </w:rPr>
  </w:style>
  <w:style w:type="character" w:customStyle="1" w:styleId="40">
    <w:name w:val="批注文字 字符1"/>
    <w:semiHidden/>
    <w:qFormat/>
    <w:uiPriority w:val="0"/>
    <w:rPr>
      <w:rFonts w:ascii="Times New Roman" w:hAnsi="Times New Roman" w:eastAsia="宋体"/>
      <w:sz w:val="24"/>
    </w:rPr>
  </w:style>
  <w:style w:type="character" w:customStyle="1" w:styleId="41">
    <w:name w:val="日期 字符"/>
    <w:semiHidden/>
    <w:qFormat/>
    <w:uiPriority w:val="0"/>
    <w:rPr>
      <w:rFonts w:ascii="Times New Roman" w:hAnsi="Times New Roman" w:eastAsia="宋体"/>
      <w:sz w:val="24"/>
    </w:rPr>
  </w:style>
  <w:style w:type="character" w:customStyle="1" w:styleId="42">
    <w:name w:val="正文文本 字符1"/>
    <w:semiHidden/>
    <w:qFormat/>
    <w:uiPriority w:val="0"/>
    <w:rPr>
      <w:rFonts w:ascii="Times New Roman" w:hAnsi="Times New Roman" w:eastAsia="宋体"/>
      <w:sz w:val="24"/>
    </w:rPr>
  </w:style>
  <w:style w:type="character" w:customStyle="1" w:styleId="43">
    <w:name w:val="表格 Char"/>
    <w:link w:val="44"/>
    <w:qFormat/>
    <w:uiPriority w:val="0"/>
    <w:rPr>
      <w:rFonts w:ascii="宋体"/>
      <w:sz w:val="21"/>
    </w:rPr>
  </w:style>
  <w:style w:type="paragraph" w:customStyle="1" w:styleId="44">
    <w:name w:val="表格"/>
    <w:basedOn w:val="1"/>
    <w:next w:val="1"/>
    <w:link w:val="43"/>
    <w:qFormat/>
    <w:uiPriority w:val="0"/>
    <w:pPr>
      <w:adjustRightInd w:val="0"/>
      <w:snapToGrid w:val="0"/>
      <w:spacing w:beforeLines="10" w:afterLines="10" w:line="259" w:lineRule="auto"/>
      <w:jc w:val="center"/>
    </w:pPr>
    <w:rPr>
      <w:rFonts w:ascii="宋体"/>
      <w:kern w:val="0"/>
      <w:szCs w:val="20"/>
    </w:rPr>
  </w:style>
  <w:style w:type="character" w:customStyle="1" w:styleId="45">
    <w:name w:val="页脚 字符"/>
    <w:basedOn w:val="23"/>
    <w:qFormat/>
    <w:uiPriority w:val="99"/>
  </w:style>
  <w:style w:type="paragraph" w:customStyle="1" w:styleId="46">
    <w:name w:val="普通(网站)2"/>
    <w:basedOn w:val="1"/>
    <w:qFormat/>
    <w:uiPriority w:val="0"/>
    <w:pPr>
      <w:widowControl/>
      <w:spacing w:before="100" w:beforeAutospacing="1" w:after="100" w:afterAutospacing="1"/>
      <w:jc w:val="left"/>
    </w:pPr>
    <w:rPr>
      <w:rFonts w:ascii="宋体" w:hAnsi="宋体"/>
      <w:sz w:val="24"/>
      <w:szCs w:val="20"/>
    </w:rPr>
  </w:style>
  <w:style w:type="paragraph" w:customStyle="1" w:styleId="47">
    <w:name w:val="报告书正文"/>
    <w:basedOn w:val="1"/>
    <w:qFormat/>
    <w:uiPriority w:val="0"/>
    <w:pPr>
      <w:spacing w:line="440" w:lineRule="exact"/>
      <w:ind w:firstLine="200" w:firstLineChars="200"/>
    </w:pPr>
    <w:rPr>
      <w:rFonts w:eastAsia="仿宋_GB2312"/>
      <w:sz w:val="28"/>
    </w:rPr>
  </w:style>
  <w:style w:type="paragraph" w:customStyle="1" w:styleId="48">
    <w:name w:val="正文_1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9">
    <w:name w:val="Table Text"/>
    <w:basedOn w:val="1"/>
    <w:semiHidden/>
    <w:qFormat/>
    <w:uiPriority w:val="0"/>
    <w:rPr>
      <w:rFonts w:ascii="Times New Roman" w:hAnsi="Times New Roman" w:eastAsia="Times New Roman" w:cs="Times New Roman"/>
      <w:sz w:val="21"/>
      <w:szCs w:val="21"/>
      <w:lang w:val="en-US" w:eastAsia="en-US" w:bidi="ar-SA"/>
    </w:rPr>
  </w:style>
  <w:style w:type="table" w:customStyle="1" w:styleId="50">
    <w:name w:val="Table Normal"/>
    <w:unhideWhenUsed/>
    <w:qFormat/>
    <w:uiPriority w:val="0"/>
    <w:tblPr>
      <w:tblCellMar>
        <w:top w:w="0" w:type="dxa"/>
        <w:left w:w="0" w:type="dxa"/>
        <w:bottom w:w="0" w:type="dxa"/>
        <w:right w:w="0" w:type="dxa"/>
      </w:tblCellMar>
    </w:tblPr>
  </w:style>
  <w:style w:type="paragraph" w:customStyle="1" w:styleId="51">
    <w:name w:val="Normal (Web)1"/>
    <w:basedOn w:val="1"/>
    <w:next w:val="52"/>
    <w:qFormat/>
    <w:uiPriority w:val="0"/>
    <w:pPr>
      <w:widowControl/>
      <w:jc w:val="left"/>
    </w:pPr>
    <w:rPr>
      <w:rFonts w:ascii="宋体" w:eastAsia="宋体" w:cs="Times New Roman"/>
      <w:kern w:val="0"/>
      <w:sz w:val="24"/>
      <w:szCs w:val="21"/>
    </w:rPr>
  </w:style>
  <w:style w:type="paragraph" w:customStyle="1" w:styleId="52">
    <w:name w:val="Date1"/>
    <w:basedOn w:val="1"/>
    <w:next w:val="1"/>
    <w:qFormat/>
    <w:uiPriority w:val="0"/>
    <w:pPr>
      <w:ind w:left="2500" w:leftChars="2500"/>
    </w:pPr>
  </w:style>
  <w:style w:type="paragraph" w:customStyle="1" w:styleId="53">
    <w:name w:val="表格文字"/>
    <w:basedOn w:val="5"/>
    <w:next w:val="7"/>
    <w:qFormat/>
    <w:uiPriority w:val="0"/>
    <w:pPr>
      <w:adjustRightInd w:val="0"/>
      <w:snapToGrid w:val="0"/>
      <w:spacing w:line="400" w:lineRule="exact"/>
      <w:jc w:val="center"/>
    </w:pPr>
    <w:rPr>
      <w:color w:val="000000"/>
      <w:kern w:val="32"/>
      <w:szCs w:val="20"/>
    </w:rPr>
  </w:style>
  <w:style w:type="character" w:customStyle="1" w:styleId="54">
    <w:name w:val="font11"/>
    <w:basedOn w:val="23"/>
    <w:qFormat/>
    <w:uiPriority w:val="0"/>
    <w:rPr>
      <w:rFonts w:hint="eastAsia" w:ascii="宋体" w:hAnsi="宋体" w:eastAsia="宋体" w:cs="宋体"/>
      <w:b/>
      <w:bCs/>
      <w:color w:val="000000"/>
      <w:sz w:val="21"/>
      <w:szCs w:val="21"/>
      <w:u w:val="none"/>
    </w:rPr>
  </w:style>
  <w:style w:type="character" w:customStyle="1" w:styleId="55">
    <w:name w:val="font41"/>
    <w:basedOn w:val="23"/>
    <w:qFormat/>
    <w:uiPriority w:val="0"/>
    <w:rPr>
      <w:rFonts w:hint="default" w:ascii="Times New Roman" w:hAnsi="Times New Roman" w:cs="Times New Roman"/>
      <w:b/>
      <w:bCs/>
      <w:color w:val="000000"/>
      <w:sz w:val="21"/>
      <w:szCs w:val="21"/>
      <w:u w:val="none"/>
    </w:rPr>
  </w:style>
  <w:style w:type="character" w:customStyle="1" w:styleId="56">
    <w:name w:val="font21"/>
    <w:basedOn w:val="23"/>
    <w:qFormat/>
    <w:uiPriority w:val="0"/>
    <w:rPr>
      <w:rFonts w:hint="default" w:ascii="Times New Roman" w:hAnsi="Times New Roman" w:cs="Times New Roman"/>
      <w:color w:val="000000"/>
      <w:sz w:val="21"/>
      <w:szCs w:val="21"/>
      <w:u w:val="none"/>
    </w:rPr>
  </w:style>
  <w:style w:type="character" w:customStyle="1" w:styleId="57">
    <w:name w:val="font31"/>
    <w:basedOn w:val="23"/>
    <w:qFormat/>
    <w:uiPriority w:val="0"/>
    <w:rPr>
      <w:rFonts w:hint="eastAsia" w:ascii="宋体" w:hAnsi="宋体" w:eastAsia="宋体" w:cs="宋体"/>
      <w:color w:val="000000"/>
      <w:sz w:val="21"/>
      <w:szCs w:val="21"/>
      <w:u w:val="none"/>
    </w:rPr>
  </w:style>
  <w:style w:type="paragraph" w:customStyle="1" w:styleId="58">
    <w:name w:val="表内容"/>
    <w:next w:val="1"/>
    <w:qFormat/>
    <w:uiPriority w:val="0"/>
    <w:pPr>
      <w:jc w:val="center"/>
    </w:pPr>
    <w:rPr>
      <w:rFonts w:ascii="Times New Roman" w:hAnsi="Times New Roman" w:eastAsia="宋体" w:cs="Times New Roman"/>
      <w:sz w:val="21"/>
      <w:szCs w:val="21"/>
      <w:lang w:val="en-US" w:eastAsia="zh-CN" w:bidi="ar-SA"/>
    </w:rPr>
  </w:style>
  <w:style w:type="paragraph" w:customStyle="1" w:styleId="59">
    <w:name w:val="养猪报告表格文字"/>
    <w:basedOn w:val="1"/>
    <w:qFormat/>
    <w:uiPriority w:val="0"/>
    <w:pPr>
      <w:adjustRightInd w:val="0"/>
      <w:snapToGrid w:val="0"/>
      <w:jc w:val="center"/>
    </w:pPr>
    <w:rPr>
      <w:kern w:val="44"/>
      <w:szCs w:val="21"/>
    </w:rPr>
  </w:style>
  <w:style w:type="paragraph" w:customStyle="1" w:styleId="60">
    <w:name w:val="表头图名"/>
    <w:basedOn w:val="61"/>
    <w:next w:val="61"/>
    <w:qFormat/>
    <w:uiPriority w:val="0"/>
    <w:rPr>
      <w:b/>
    </w:rPr>
  </w:style>
  <w:style w:type="paragraph" w:customStyle="1" w:styleId="61">
    <w:name w:val="表内正文"/>
    <w:basedOn w:val="1"/>
    <w:qFormat/>
    <w:uiPriority w:val="0"/>
    <w:pPr>
      <w:spacing w:line="240" w:lineRule="auto"/>
      <w:jc w:val="center"/>
    </w:pPr>
    <w:rPr>
      <w:sz w:val="21"/>
    </w:rPr>
  </w:style>
  <w:style w:type="paragraph" w:customStyle="1" w:styleId="62">
    <w:name w:val="表内 字体"/>
    <w:basedOn w:val="7"/>
    <w:next w:val="1"/>
    <w:qFormat/>
    <w:uiPriority w:val="0"/>
    <w:pPr>
      <w:jc w:val="left"/>
    </w:pPr>
    <w:rPr>
      <w:rFonts w:ascii="Times New Roman"/>
      <w:sz w:val="21"/>
    </w:rPr>
  </w:style>
  <w:style w:type="paragraph" w:customStyle="1" w:styleId="63">
    <w:name w:val="表头22"/>
    <w:qFormat/>
    <w:uiPriority w:val="0"/>
    <w:pPr>
      <w:jc w:val="center"/>
    </w:pPr>
    <w:rPr>
      <w:rFonts w:ascii="Times New Roman" w:hAnsi="Times New Roman" w:eastAsia="宋体" w:cs="Times New Roman"/>
      <w:b/>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6" Type="http://schemas.openxmlformats.org/officeDocument/2006/relationships/fontTable" Target="fontTable.xml"/><Relationship Id="rId85" Type="http://schemas.openxmlformats.org/officeDocument/2006/relationships/numbering" Target="numbering.xml"/><Relationship Id="rId84" Type="http://schemas.openxmlformats.org/officeDocument/2006/relationships/customXml" Target="../customXml/item1.xml"/><Relationship Id="rId83" Type="http://schemas.openxmlformats.org/officeDocument/2006/relationships/image" Target="media/image67.png"/><Relationship Id="rId82" Type="http://schemas.openxmlformats.org/officeDocument/2006/relationships/image" Target="media/image66.png"/><Relationship Id="rId81" Type="http://schemas.openxmlformats.org/officeDocument/2006/relationships/image" Target="media/image65.png"/><Relationship Id="rId80" Type="http://schemas.openxmlformats.org/officeDocument/2006/relationships/image" Target="media/image64.png"/><Relationship Id="rId8" Type="http://schemas.openxmlformats.org/officeDocument/2006/relationships/footer" Target="footer5.xml"/><Relationship Id="rId79" Type="http://schemas.openxmlformats.org/officeDocument/2006/relationships/image" Target="media/image63.png"/><Relationship Id="rId78" Type="http://schemas.openxmlformats.org/officeDocument/2006/relationships/image" Target="media/image62.jpeg"/><Relationship Id="rId77" Type="http://schemas.openxmlformats.org/officeDocument/2006/relationships/image" Target="media/image61.png"/><Relationship Id="rId76" Type="http://schemas.openxmlformats.org/officeDocument/2006/relationships/image" Target="media/image60.png"/><Relationship Id="rId75" Type="http://schemas.openxmlformats.org/officeDocument/2006/relationships/image" Target="media/image59.jpeg"/><Relationship Id="rId74" Type="http://schemas.openxmlformats.org/officeDocument/2006/relationships/image" Target="media/image58.png"/><Relationship Id="rId73" Type="http://schemas.openxmlformats.org/officeDocument/2006/relationships/image" Target="media/image57.png"/><Relationship Id="rId72" Type="http://schemas.openxmlformats.org/officeDocument/2006/relationships/image" Target="media/image56.png"/><Relationship Id="rId71" Type="http://schemas.openxmlformats.org/officeDocument/2006/relationships/image" Target="media/image55.png"/><Relationship Id="rId70" Type="http://schemas.openxmlformats.org/officeDocument/2006/relationships/image" Target="media/image54.png"/><Relationship Id="rId7" Type="http://schemas.openxmlformats.org/officeDocument/2006/relationships/footer" Target="footer4.xml"/><Relationship Id="rId69" Type="http://schemas.openxmlformats.org/officeDocument/2006/relationships/image" Target="media/image53.png"/><Relationship Id="rId68" Type="http://schemas.openxmlformats.org/officeDocument/2006/relationships/image" Target="media/image52.jpeg"/><Relationship Id="rId67" Type="http://schemas.openxmlformats.org/officeDocument/2006/relationships/image" Target="media/image51.jpeg"/><Relationship Id="rId66" Type="http://schemas.openxmlformats.org/officeDocument/2006/relationships/image" Target="media/image50.jpeg"/><Relationship Id="rId65" Type="http://schemas.openxmlformats.org/officeDocument/2006/relationships/image" Target="media/image49.jpeg"/><Relationship Id="rId64" Type="http://schemas.openxmlformats.org/officeDocument/2006/relationships/image" Target="media/image48.jpeg"/><Relationship Id="rId63" Type="http://schemas.openxmlformats.org/officeDocument/2006/relationships/image" Target="media/image47.jpeg"/><Relationship Id="rId62" Type="http://schemas.openxmlformats.org/officeDocument/2006/relationships/image" Target="media/image46.jpeg"/><Relationship Id="rId61" Type="http://schemas.openxmlformats.org/officeDocument/2006/relationships/image" Target="media/image45.jpeg"/><Relationship Id="rId60" Type="http://schemas.openxmlformats.org/officeDocument/2006/relationships/image" Target="media/image44.png"/><Relationship Id="rId6" Type="http://schemas.openxmlformats.org/officeDocument/2006/relationships/footer" Target="footer3.xml"/><Relationship Id="rId59" Type="http://schemas.openxmlformats.org/officeDocument/2006/relationships/image" Target="media/image43.png"/><Relationship Id="rId58" Type="http://schemas.openxmlformats.org/officeDocument/2006/relationships/image" Target="media/image42.png"/><Relationship Id="rId57" Type="http://schemas.openxmlformats.org/officeDocument/2006/relationships/image" Target="media/image41.png"/><Relationship Id="rId56" Type="http://schemas.openxmlformats.org/officeDocument/2006/relationships/image" Target="media/image40.png"/><Relationship Id="rId55" Type="http://schemas.openxmlformats.org/officeDocument/2006/relationships/image" Target="media/image39.png"/><Relationship Id="rId54" Type="http://schemas.openxmlformats.org/officeDocument/2006/relationships/image" Target="media/image38.png"/><Relationship Id="rId53" Type="http://schemas.openxmlformats.org/officeDocument/2006/relationships/image" Target="media/image37.png"/><Relationship Id="rId52" Type="http://schemas.openxmlformats.org/officeDocument/2006/relationships/image" Target="media/image36.png"/><Relationship Id="rId51" Type="http://schemas.openxmlformats.org/officeDocument/2006/relationships/image" Target="media/image35.png"/><Relationship Id="rId50" Type="http://schemas.openxmlformats.org/officeDocument/2006/relationships/image" Target="media/image34.jpeg"/><Relationship Id="rId5" Type="http://schemas.openxmlformats.org/officeDocument/2006/relationships/footer" Target="footer2.xml"/><Relationship Id="rId49" Type="http://schemas.openxmlformats.org/officeDocument/2006/relationships/image" Target="media/image33.jpeg"/><Relationship Id="rId48" Type="http://schemas.openxmlformats.org/officeDocument/2006/relationships/image" Target="media/image32.jpeg"/><Relationship Id="rId47" Type="http://schemas.openxmlformats.org/officeDocument/2006/relationships/image" Target="media/image31.png"/><Relationship Id="rId46" Type="http://schemas.openxmlformats.org/officeDocument/2006/relationships/image" Target="media/image30.png"/><Relationship Id="rId45" Type="http://schemas.openxmlformats.org/officeDocument/2006/relationships/image" Target="media/image29.png"/><Relationship Id="rId44" Type="http://schemas.openxmlformats.org/officeDocument/2006/relationships/image" Target="media/image28.png"/><Relationship Id="rId43" Type="http://schemas.openxmlformats.org/officeDocument/2006/relationships/image" Target="media/image27.png"/><Relationship Id="rId42" Type="http://schemas.openxmlformats.org/officeDocument/2006/relationships/image" Target="media/image26.png"/><Relationship Id="rId41" Type="http://schemas.openxmlformats.org/officeDocument/2006/relationships/image" Target="media/image25.jpeg"/><Relationship Id="rId40" Type="http://schemas.openxmlformats.org/officeDocument/2006/relationships/image" Target="media/image24.jpeg"/><Relationship Id="rId4" Type="http://schemas.openxmlformats.org/officeDocument/2006/relationships/footer" Target="footer1.xml"/><Relationship Id="rId39" Type="http://schemas.openxmlformats.org/officeDocument/2006/relationships/image" Target="media/image23.jpeg"/><Relationship Id="rId38" Type="http://schemas.openxmlformats.org/officeDocument/2006/relationships/image" Target="media/image22.jpeg"/><Relationship Id="rId37" Type="http://schemas.openxmlformats.org/officeDocument/2006/relationships/image" Target="media/image21.jpeg"/><Relationship Id="rId36" Type="http://schemas.openxmlformats.org/officeDocument/2006/relationships/image" Target="media/image20.png"/><Relationship Id="rId35" Type="http://schemas.openxmlformats.org/officeDocument/2006/relationships/image" Target="media/image19.png"/><Relationship Id="rId34" Type="http://schemas.openxmlformats.org/officeDocument/2006/relationships/image" Target="media/image18.wmf"/><Relationship Id="rId33" Type="http://schemas.openxmlformats.org/officeDocument/2006/relationships/oleObject" Target="embeddings/oleObject5.bin"/><Relationship Id="rId32" Type="http://schemas.openxmlformats.org/officeDocument/2006/relationships/image" Target="media/image17.wmf"/><Relationship Id="rId31" Type="http://schemas.openxmlformats.org/officeDocument/2006/relationships/oleObject" Target="embeddings/oleObject4.bin"/><Relationship Id="rId30" Type="http://schemas.openxmlformats.org/officeDocument/2006/relationships/image" Target="media/image16.wmf"/><Relationship Id="rId3" Type="http://schemas.openxmlformats.org/officeDocument/2006/relationships/header" Target="header1.xml"/><Relationship Id="rId29" Type="http://schemas.openxmlformats.org/officeDocument/2006/relationships/oleObject" Target="embeddings/oleObject3.bin"/><Relationship Id="rId28" Type="http://schemas.openxmlformats.org/officeDocument/2006/relationships/image" Target="media/image15.png"/><Relationship Id="rId27" Type="http://schemas.openxmlformats.org/officeDocument/2006/relationships/image" Target="media/image14.png"/><Relationship Id="rId26" Type="http://schemas.openxmlformats.org/officeDocument/2006/relationships/image" Target="media/image13.png"/><Relationship Id="rId25" Type="http://schemas.openxmlformats.org/officeDocument/2006/relationships/image" Target="media/image12.png"/><Relationship Id="rId24" Type="http://schemas.openxmlformats.org/officeDocument/2006/relationships/image" Target="media/image11.png"/><Relationship Id="rId23" Type="http://schemas.openxmlformats.org/officeDocument/2006/relationships/image" Target="media/image10.png"/><Relationship Id="rId22" Type="http://schemas.openxmlformats.org/officeDocument/2006/relationships/image" Target="media/image9.png"/><Relationship Id="rId21" Type="http://schemas.openxmlformats.org/officeDocument/2006/relationships/image" Target="media/image8.png"/><Relationship Id="rId20" Type="http://schemas.openxmlformats.org/officeDocument/2006/relationships/image" Target="media/image7.wmf"/><Relationship Id="rId2" Type="http://schemas.openxmlformats.org/officeDocument/2006/relationships/settings" Target="settings.xml"/><Relationship Id="rId19" Type="http://schemas.openxmlformats.org/officeDocument/2006/relationships/oleObject" Target="embeddings/oleObject2.bin"/><Relationship Id="rId18" Type="http://schemas.openxmlformats.org/officeDocument/2006/relationships/image" Target="media/image6.wmf"/><Relationship Id="rId17" Type="http://schemas.openxmlformats.org/officeDocument/2006/relationships/oleObject" Target="embeddings/oleObject1.bin"/><Relationship Id="rId16" Type="http://schemas.openxmlformats.org/officeDocument/2006/relationships/image" Target="media/image5.jpe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user/C:\Users\lwy\Library\Containers\com.kingsoft.wpsoffice.mac\Data\c:\dsoa\wdzx97.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extobjs>
    <extobj name="E657119C-6982-421D-8BA7-E74DEB70A7D9-1">
      <extobjdata type="E657119C-6982-421D-8BA7-E74DEB70A7D9" data="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rUVVGWldYQlNSSGxyTlRjek9EVXpKVEl5SlROQkpUZENKVEl5YVdRbE1qSWxNMEVsTWpKa1FVRlpXWEJTUkhsck5UY3pPRFV6SlRJeUpUSkRKVEl5Ym1GdFpTVXlNaVV6UVNVeU1uSmxZM1JoYm1kc1pTVXlNaVV5UXlVeU1uUnBkR3hsSlRJeUpUTkJKVEl5SlVVM0pUbEdKVUU1SlVVMUpVSkVKVUV5SlRJeUpUSkRKVEl5WTJGMFpXZHZjbmtsTWpJbE0wRWxNakppWVhOcFl5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xaS1dubENTMU51UTFBeU5EWTBPRGdsTWpJbE0wRWxOMElsTWpKcFpDVXlNaVV6UVNVeU1sWktXbmxDUzFOdVExQXlORFkwT0RnbE1qSWxNa01sTWpKdVlXMWxKVEl5SlROQkpUSXljbVZqZEdGdVoyeGxKVEl5SlRKREpUSXlkR2wwYkdVbE1qSWxNMEVsTWp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WWxoblUyNU9aMk4xVWpZM09EazFNU1V5TWlVM1JDVXlReVUzUWlVeU1tNWhiV1VsTWpJbE0wRWxNaklsUlRVbE9UQWxPRVFsUlRjbFFUY2xRakFsTWpJbE1rTWxNakowZVhCbEpUSXlKVE5CSlRJeWMzUnlhVzVuSlRJeUpUSkRKVEl5ZG1Gc2RXVWxNaklsTTBFbE1qSWxNaklsTWtNbE1qSmpZWFJsWjI5eWVTVXlNaVV6UVNVeU1tUmxabUYxYkhRbE1qSWxNa01sTWpKcFpDVXlNaVV6UVNVeU1uVlhUSE5QUjFaNFZuVTFORGMxTnpB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"/>
    </extobj>
    <extobj name="F360BE8B-6686-4F3D-AEAF-501FE73E4058-2">
      <extobjdata type="F360BE8B-6686-4F3D-AEAF-501FE73E4058" data="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"/>
    </extobj>
    <extobj name="E657119C-6982-421D-8BA7-E74DEB70A7D9-3">
      <extobjdata type="E657119C-6982-421D-8BA7-E74DEB70A7D9" data="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WjBwS1VXeHJkMFoyVFRrNE1qQTBPQ1V5TWlVM1JDVXlReVUzUWlVeU1tNWhiV1VsTWpJbE0wRWxNaklsUlRVbE9UQWxPRVFsUlRjbFFUY2xRakFsTWpJbE1rTWxNakowZVhCbEpUSXlKVE5CSlRJeWMzUnlhVzVuSlRJeUpUSkRKVEl5ZG1Gc2RXVWxNaklsTTBFbE1qSWxNaklsTWtNbE1qSmpZWFJsWjI5eWVTVXlNaVV6UVNVeU1tUmxabUYxYkhRbE1qSWxNa01sTWpKcFpDVXlNaVV6UVNVeU1rNXphR2xLV1dSSVNsUXdNRFUxTmpr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NQ1UzUkNVeVF5VXlNblJsZUhSQ2JHOWpheVV5TWlVelFTVTFRaVUzUWlVeU1uQnZjMmwwYVc5dUpUSXlKVE5CSlRkQ0pUSXllQ1V5TWlVelFURXdKVEpESlRJeWVTVXlNaVV6UVRBbE1rTWxNakozSlRJeUpUTkJKVEl5ZHkweU1DVXlNaVV5UXlVeU1tZ2xNaklsTTBFbE1qSm9KVEl5SlRkRUpUSkRKVEl5ZEdWNGRDVXlNaVV6UVNVeU1pVkZPQ1ZDUmlVNVFpVkZOU1U0UlNVNE1p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UNVM1JDVXlReVV5TW5SbGVIUkNiRzlqYXlVeU1pVXpRU1UxUWlVM1FpVXlNbkJ2YzJsMGFXOXVKVEl5SlROQkpUZENKVEl5ZUNVeU1pVXpRVEV3SlRKREpUSXllU1V5TWlVelFUQWxNa01sTWpKM0pUSXlKVE5CSlRJeWR5MHlNQ1V5TWlVeVF5VXlNbWdsTWpJbE0wRWxNakpvSlRJeUpUZEVKVEpESlRJeWRHVjRkQ1V5TWlVelFTVXlNaVZGTlNVNE1pVkJPQ1ZGTlNWQlJDVTVPQ1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NQ1UzUkNVeVF5VXlNblJsZUhSQ2JHOWpheVV5TWlVelFTVTFRaVUzUWlVeU1uQnZjMmwwYVc5dUpUSXlKVE5CSlRkQ0pUSXllQ1V5TWlVelFURXdKVEpESlRJeWVTVXlNaVV6UVRBbE1rTWxNakozSlRJeUpUTkJKVEl5ZHkweU1DVXlNaVV5UXlVeU1tZ2xNaklsTTBFbE1qSm9KVEl5SlRkRUpUSkRKVEl5ZEdWNGRDVXlNaVV6UVNVeU1pVkZPQ1ZCTXlVNE5TVkZPQ1ZDUkNWQk5p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VptOXVkRVpoYldsc2VTVXlNaVV6UVNVeU1sUnBiV1Z6SlRJeUpUSkRKVEl5YzJsNlpTVXlNaVV6UVRFNEpUZEVKVEpESlRJeWRHVjRkRUpzYjJOckpUSXlKVE5CSlRWQ0pUZENKVEl5Y0c5emFYUnBiMjRsTWpJbE0wRWxOMElsTWpKNEpUSXlKVE5CTVRBbE1rTWxNako1SlRJeUpUTkJNQ1V5UXlVeU1uY2xNaklsTTBFbE1qSjNMVEl3SlRJeUpUSkRKVEl5YUNVeU1pVXpRU1V5TW1nbE1qSWxOMFFsTWtNbE1qSjBaWGgwSlRJeUpUTkJKVEl5UnpFbFJUTWxPREFsT0RGT01pVXpRMlJwZGlVelJTVXpReVV5Um1ScGRpVXpSU1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tWnZiblJHWVcxcGJIa2xNaklsTTBFbE1qSlVhVzFsY3lVeU1pVXlReVV5TW5OcGVtVWxNaklsTTBFeE9DVTNSQ1V5UXlVeU1uUmxlSFJDYkc5amF5VXlNaVV6UVNVMVFpVTNRaVV5TW5CdmMybDBhVzl1SlRJeUpUTkJKVGRDSlRJeWVDVXlNaVV6UVRFd0pUSkRKVEl5ZVNVeU1pVXpRVEFsTWtNbE1qSjNKVEl5SlROQkpUSXlkeTB5TUNVeU1pVXlReVV5TW1nbE1qSWxNMEVsTWpKb0pUSXlKVGRFSlRKREpUSXlkR1Y0ZENVeU1pVXpRU1V5TWtjekpVVXpKVGd3SlRneFRqU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cmIxRjViRkZqVW0xMU9EQXhNVFEySlRJeUpUTkJKVGRDSlRJeWFXUWxNaklsTTBFbE1qSnJiMUY1YkZGalVtMTFPREF4TVRRMkpUSXlKVEpESlRJeWJtRnRaU1V5TWlVelFTVXlNbkp2ZFc1a1VtVmpkR0Z1WjJ4bEpUSXlKVEpESlRJeWRHbDBiR1VsTWpJbE0wRWxNaklsUlRVbE9VTWxPRFlsUlRnbFFUY2xPVElsUlRjbE9VWWxRVGtsUlRVbFFrUWxRVElsTWpJbE1rTWxNakpqWVhSbFoyOXllU1V5TWlVelFTVXlNbUpoYzJsak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VptOXVkRVpoYldsc2VTVXlNaVV6UVNVeU1sUnBiV1Z6SlRJeUpUSkRKVEl5YzJsNlpTVXlNaVV6UVRFNEpUZEVKVEpESlRJeWRHVjRkRUpzYjJOckpUSXlKVE5CSlRWQ0pUZENKVEl5Y0c5emFYUnBiMjRsTWpJbE0wRWxOMElsTWpKNEpUSXlKVE5CTVRBbE1rTWxNako1SlRJeUpUTkJNQ1V5UXlVeU1uY2xNaklsTTBFbE1qSjNMVEl3SlRJeUpUSkRKVEl5YUNVeU1pVXpRU1V5TW1nbE1qSWxOMFFsTWtNbE1qSjBaWGgwSlRJeUpUTkJKVEl5UnpRbFJUTWxPREFsT0RGT05TVXpRMlJwZGlVelJWY3hKVVV6SlRnd0pUZ3hVekVsTTBNbE1rWmthWFlsTTBV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Template>
  <Company>微软中国</Company>
  <Pages>98</Pages>
  <Words>9932</Words>
  <Characters>10283</Characters>
  <Lines>13</Lines>
  <Paragraphs>3</Paragraphs>
  <TotalTime>46</TotalTime>
  <ScaleCrop>false</ScaleCrop>
  <LinksUpToDate>false</LinksUpToDate>
  <CharactersWithSpaces>10418</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2020-12-25T17:29:00Z</dcterms:created>
  <dc:creator>lhj</dc:creator>
  <cp:lastModifiedBy>user</cp:lastModifiedBy>
  <cp:lastPrinted>2026-09-02T15:34:00Z</cp:lastPrinted>
  <dcterms:modified xsi:type="dcterms:W3CDTF">2026-10-12T14:34:11Z</dcterms:modified>
  <dc:title>附件2</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8C880C9114A34A78BF3A7E6F544C3B2D_13</vt:lpwstr>
  </property>
  <property fmtid="{D5CDD505-2E9C-101B-9397-08002B2CF9AE}" pid="4" name="KSOTemplateDocerSaveRecord">
    <vt:lpwstr>eyJoZGlkIjoiMDMzOTgxNGNhNzIwYzdkMDE0OTFjNTg3YmEwNzMxYjciLCJ1c2VySWQiOiI4NDI4NDY3NjcifQ==</vt:lpwstr>
  </property>
</Properties>
</file>