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bCs/>
          <w:color w:val="000000"/>
          <w:kern w:val="0"/>
          <w:sz w:val="36"/>
          <w:szCs w:val="36"/>
          <w:lang w:val="en-US" w:eastAsia="zh-CN" w:bidi="ar"/>
        </w:rPr>
      </w:pPr>
      <w:r>
        <w:rPr>
          <w:rFonts w:hint="eastAsia" w:ascii="宋体" w:hAnsi="宋体" w:eastAsia="宋体" w:cs="宋体"/>
          <w:b/>
          <w:bCs/>
          <w:color w:val="000000"/>
          <w:kern w:val="0"/>
          <w:sz w:val="36"/>
          <w:szCs w:val="36"/>
          <w:lang w:val="en-US" w:eastAsia="zh-CN" w:bidi="ar"/>
        </w:rPr>
        <w:t>对</w:t>
      </w:r>
      <w:r>
        <w:rPr>
          <w:rFonts w:hint="default" w:ascii="宋体" w:hAnsi="宋体" w:eastAsia="宋体" w:cs="宋体"/>
          <w:b/>
          <w:bCs/>
          <w:color w:val="000000"/>
          <w:kern w:val="0"/>
          <w:sz w:val="36"/>
          <w:szCs w:val="36"/>
          <w:lang w:val="en-US" w:eastAsia="zh-CN" w:bidi="ar"/>
        </w:rPr>
        <w:t>阜新科源机械制造有限公司</w:t>
      </w:r>
      <w:r>
        <w:rPr>
          <w:rFonts w:hint="eastAsia" w:ascii="宋体" w:hAnsi="宋体" w:eastAsia="宋体" w:cs="宋体"/>
          <w:b/>
          <w:bCs/>
          <w:color w:val="000000"/>
          <w:kern w:val="0"/>
          <w:sz w:val="36"/>
          <w:szCs w:val="36"/>
          <w:lang w:val="en-US" w:eastAsia="zh-CN" w:bidi="ar"/>
        </w:rPr>
        <w:t>《</w:t>
      </w:r>
      <w:r>
        <w:rPr>
          <w:rFonts w:hint="default" w:ascii="宋体" w:hAnsi="宋体" w:eastAsia="宋体" w:cs="宋体"/>
          <w:b/>
          <w:bCs/>
          <w:color w:val="000000"/>
          <w:kern w:val="0"/>
          <w:sz w:val="36"/>
          <w:szCs w:val="36"/>
          <w:lang w:val="en-US" w:eastAsia="zh-CN" w:bidi="ar"/>
        </w:rPr>
        <w:t>阜新科源机械制造有限公司改扩建项目</w:t>
      </w:r>
      <w:r>
        <w:rPr>
          <w:rFonts w:hint="eastAsia" w:ascii="宋体" w:hAnsi="宋体" w:eastAsia="宋体" w:cs="宋体"/>
          <w:b/>
          <w:bCs/>
          <w:color w:val="000000"/>
          <w:kern w:val="0"/>
          <w:sz w:val="36"/>
          <w:szCs w:val="36"/>
          <w:lang w:val="en-US" w:eastAsia="zh-CN" w:bidi="ar"/>
        </w:rPr>
        <w:t>环境影响报告表》的批复</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firstLine="6240" w:firstLineChars="26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阜环审(2026)806号</w:t>
      </w:r>
    </w:p>
    <w:p>
      <w:pPr>
        <w:keepNext w:val="0"/>
        <w:keepLines w:val="0"/>
        <w:pageBreakBefore w:val="0"/>
        <w:widowControl/>
        <w:suppressLineNumbers w:val="0"/>
        <w:kinsoku/>
        <w:wordWrap/>
        <w:overflowPunct/>
        <w:topLinePunct w:val="0"/>
        <w:autoSpaceDE/>
        <w:autoSpaceDN/>
        <w:bidi w:val="0"/>
        <w:adjustRightInd/>
        <w:snapToGrid/>
        <w:spacing w:after="0" w:line="400" w:lineRule="exact"/>
        <w:jc w:val="left"/>
        <w:textAlignment w:val="auto"/>
        <w:rPr>
          <w:rFonts w:hint="eastAsia" w:ascii="仿宋" w:hAnsi="仿宋" w:eastAsia="仿宋" w:cs="仿宋"/>
          <w:b w:val="0"/>
          <w:bCs w:val="0"/>
          <w:color w:val="000000"/>
          <w:kern w:val="0"/>
          <w:sz w:val="24"/>
          <w:szCs w:val="24"/>
          <w:lang w:val="en-US" w:eastAsia="zh-CN" w:bidi="ar"/>
        </w:rPr>
      </w:pPr>
      <w:r>
        <w:rPr>
          <w:rFonts w:hint="default" w:ascii="仿宋" w:hAnsi="仿宋" w:eastAsia="仿宋" w:cs="仿宋"/>
          <w:b w:val="0"/>
          <w:bCs w:val="0"/>
          <w:color w:val="000000"/>
          <w:kern w:val="0"/>
          <w:sz w:val="24"/>
          <w:szCs w:val="24"/>
          <w:lang w:val="en-US" w:eastAsia="zh-CN" w:bidi="ar"/>
        </w:rPr>
        <w:t>阜新科源机械制造有限公司</w:t>
      </w:r>
      <w:r>
        <w:rPr>
          <w:rFonts w:hint="eastAsia" w:ascii="仿宋" w:hAnsi="仿宋" w:eastAsia="仿宋" w:cs="仿宋"/>
          <w:b w:val="0"/>
          <w:bCs w:val="0"/>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你单位报送的《</w:t>
      </w:r>
      <w:r>
        <w:rPr>
          <w:rFonts w:hint="default" w:ascii="仿宋" w:hAnsi="仿宋" w:eastAsia="仿宋" w:cs="仿宋"/>
          <w:b w:val="0"/>
          <w:bCs w:val="0"/>
          <w:color w:val="000000"/>
          <w:kern w:val="0"/>
          <w:sz w:val="24"/>
          <w:szCs w:val="24"/>
          <w:lang w:val="en-US" w:eastAsia="zh-CN" w:bidi="ar"/>
        </w:rPr>
        <w:t>阜新科源机械制造有限公司改扩建项目</w:t>
      </w:r>
      <w:r>
        <w:rPr>
          <w:rFonts w:hint="eastAsia" w:ascii="仿宋" w:hAnsi="仿宋" w:eastAsia="仿宋" w:cs="仿宋"/>
          <w:b w:val="0"/>
          <w:bCs w:val="0"/>
          <w:color w:val="000000"/>
          <w:kern w:val="0"/>
          <w:sz w:val="24"/>
          <w:szCs w:val="24"/>
          <w:lang w:val="en-US" w:eastAsia="zh-CN" w:bidi="ar"/>
        </w:rPr>
        <w:t>环境影响报告表》及报批申请收悉。经研究，批复如下：</w:t>
      </w:r>
    </w:p>
    <w:p>
      <w:pPr>
        <w:keepNext w:val="0"/>
        <w:keepLines w:val="0"/>
        <w:pageBreakBefore w:val="0"/>
        <w:widowControl/>
        <w:suppressLineNumbers w:val="0"/>
        <w:kinsoku/>
        <w:wordWrap/>
        <w:overflowPunct/>
        <w:topLinePunct w:val="0"/>
        <w:autoSpaceDE/>
        <w:autoSpaceDN/>
        <w:bidi w:val="0"/>
        <w:adjustRightInd/>
        <w:snapToGrid/>
        <w:spacing w:after="0" w:line="4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一、项目主要建设内容</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本项目为改扩建项目，</w:t>
      </w:r>
      <w:bookmarkStart w:id="0" w:name="_GoBack"/>
      <w:bookmarkEnd w:id="0"/>
      <w:r>
        <w:rPr>
          <w:rFonts w:hint="default" w:ascii="仿宋" w:hAnsi="仿宋" w:eastAsia="仿宋" w:cs="仿宋"/>
          <w:b w:val="0"/>
          <w:bCs w:val="0"/>
          <w:color w:val="000000"/>
          <w:kern w:val="0"/>
          <w:sz w:val="24"/>
          <w:szCs w:val="24"/>
          <w:lang w:val="en-US" w:eastAsia="zh-CN" w:bidi="ar"/>
        </w:rPr>
        <w:t>位于高新技术产业园区东新大街58号</w:t>
      </w:r>
      <w:r>
        <w:rPr>
          <w:rFonts w:hint="eastAsia" w:ascii="仿宋" w:hAnsi="仿宋" w:eastAsia="仿宋" w:cs="仿宋"/>
          <w:b w:val="0"/>
          <w:bCs w:val="0"/>
          <w:color w:val="000000"/>
          <w:kern w:val="0"/>
          <w:sz w:val="24"/>
          <w:szCs w:val="24"/>
          <w:lang w:val="en-US" w:eastAsia="zh-CN" w:bidi="ar"/>
        </w:rPr>
        <w:t>。</w:t>
      </w:r>
      <w:r>
        <w:rPr>
          <w:rFonts w:hint="default" w:ascii="仿宋" w:hAnsi="仿宋" w:eastAsia="仿宋" w:cs="仿宋"/>
          <w:b w:val="0"/>
          <w:bCs w:val="0"/>
          <w:color w:val="000000"/>
          <w:kern w:val="0"/>
          <w:sz w:val="24"/>
          <w:szCs w:val="24"/>
          <w:lang w:val="en-US" w:eastAsia="zh-CN" w:bidi="ar"/>
        </w:rPr>
        <w:t>科源公司拟投资182万元，扩建清洗工序，增设油性漆涂装工艺以提升涂装规模，同时对涂装废气处理设施升级改造。本次改扩建项目建成后可实现年加工液压齿轮泵18000件/a。</w:t>
      </w:r>
    </w:p>
    <w:p>
      <w:pPr>
        <w:keepNext w:val="0"/>
        <w:keepLines w:val="0"/>
        <w:pageBreakBefore w:val="0"/>
        <w:widowControl/>
        <w:suppressLineNumbers w:val="0"/>
        <w:kinsoku/>
        <w:wordWrap/>
        <w:overflowPunct/>
        <w:topLinePunct w:val="0"/>
        <w:autoSpaceDE/>
        <w:autoSpaceDN/>
        <w:bidi w:val="0"/>
        <w:adjustRightInd/>
        <w:snapToGrid/>
        <w:spacing w:after="0" w:line="4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二、建设项目主要环境影响</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 废气：本项目</w:t>
      </w:r>
      <w:r>
        <w:rPr>
          <w:rFonts w:hint="default" w:ascii="仿宋" w:hAnsi="仿宋" w:eastAsia="仿宋" w:cs="仿宋"/>
          <w:b w:val="0"/>
          <w:bCs w:val="0"/>
          <w:color w:val="000000"/>
          <w:kern w:val="0"/>
          <w:sz w:val="24"/>
          <w:szCs w:val="24"/>
          <w:lang w:val="en-US" w:eastAsia="zh-CN" w:bidi="ar"/>
        </w:rPr>
        <w:t>产生的废气主要为</w:t>
      </w:r>
      <w:r>
        <w:rPr>
          <w:rFonts w:hint="eastAsia" w:ascii="仿宋" w:hAnsi="仿宋" w:eastAsia="仿宋" w:cs="仿宋"/>
          <w:b w:val="0"/>
          <w:bCs w:val="0"/>
          <w:color w:val="000000"/>
          <w:kern w:val="0"/>
          <w:sz w:val="24"/>
          <w:szCs w:val="24"/>
          <w:lang w:val="en-US" w:eastAsia="zh-CN" w:bidi="ar"/>
        </w:rPr>
        <w:t>涂装工序运行产生的废气和液体石蜡燃烧产生的废气等。</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2. 废水：</w:t>
      </w:r>
      <w:r>
        <w:rPr>
          <w:rFonts w:hint="default" w:ascii="仿宋" w:hAnsi="仿宋" w:eastAsia="仿宋" w:cs="仿宋"/>
          <w:b w:val="0"/>
          <w:bCs w:val="0"/>
          <w:color w:val="000000"/>
          <w:kern w:val="0"/>
          <w:sz w:val="24"/>
          <w:szCs w:val="24"/>
          <w:lang w:val="en-US" w:eastAsia="zh-CN" w:bidi="ar"/>
        </w:rPr>
        <w:t>本项目产生的废水主要为生活污水、</w:t>
      </w:r>
      <w:r>
        <w:rPr>
          <w:rFonts w:hint="eastAsia" w:ascii="仿宋" w:hAnsi="仿宋" w:eastAsia="仿宋" w:cs="仿宋"/>
          <w:b w:val="0"/>
          <w:bCs w:val="0"/>
          <w:color w:val="000000"/>
          <w:kern w:val="0"/>
          <w:sz w:val="24"/>
          <w:szCs w:val="24"/>
          <w:lang w:val="en-US" w:eastAsia="zh-CN" w:bidi="ar"/>
        </w:rPr>
        <w:t>废气治理措施排污水以及锅炉房排污水等</w:t>
      </w:r>
      <w:r>
        <w:rPr>
          <w:rFonts w:hint="default" w:ascii="仿宋" w:hAnsi="仿宋" w:eastAsia="仿宋" w:cs="仿宋"/>
          <w:b w:val="0"/>
          <w:bCs w:val="0"/>
          <w:color w:val="000000"/>
          <w:kern w:val="0"/>
          <w:sz w:val="24"/>
          <w:szCs w:val="24"/>
          <w:lang w:val="en-US" w:eastAsia="zh-CN" w:bidi="ar"/>
        </w:rPr>
        <w:t>。</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3. 噪声：本项目噪声源</w:t>
      </w:r>
      <w:r>
        <w:rPr>
          <w:rFonts w:hint="default" w:ascii="仿宋" w:hAnsi="仿宋" w:eastAsia="仿宋" w:cs="仿宋"/>
          <w:b w:val="0"/>
          <w:bCs w:val="0"/>
          <w:color w:val="000000"/>
          <w:kern w:val="0"/>
          <w:sz w:val="24"/>
          <w:szCs w:val="24"/>
          <w:lang w:val="en-US" w:eastAsia="zh-CN" w:bidi="ar"/>
        </w:rPr>
        <w:t>主要来自各类</w:t>
      </w:r>
      <w:r>
        <w:rPr>
          <w:rFonts w:hint="eastAsia" w:ascii="仿宋" w:hAnsi="仿宋" w:eastAsia="仿宋" w:cs="仿宋"/>
          <w:b w:val="0"/>
          <w:bCs w:val="0"/>
          <w:color w:val="000000"/>
          <w:kern w:val="0"/>
          <w:sz w:val="24"/>
          <w:szCs w:val="24"/>
          <w:lang w:val="en-US" w:eastAsia="zh-CN" w:bidi="ar"/>
        </w:rPr>
        <w:t>生产</w:t>
      </w:r>
      <w:r>
        <w:rPr>
          <w:rFonts w:hint="default" w:ascii="仿宋" w:hAnsi="仿宋" w:eastAsia="仿宋" w:cs="仿宋"/>
          <w:b w:val="0"/>
          <w:bCs w:val="0"/>
          <w:color w:val="000000"/>
          <w:kern w:val="0"/>
          <w:sz w:val="24"/>
          <w:szCs w:val="24"/>
          <w:lang w:val="en-US" w:eastAsia="zh-CN" w:bidi="ar"/>
        </w:rPr>
        <w:t>设备</w:t>
      </w:r>
      <w:r>
        <w:rPr>
          <w:rFonts w:hint="eastAsia" w:ascii="仿宋" w:hAnsi="仿宋" w:eastAsia="仿宋" w:cs="仿宋"/>
          <w:b w:val="0"/>
          <w:bCs w:val="0"/>
          <w:color w:val="000000"/>
          <w:kern w:val="0"/>
          <w:sz w:val="24"/>
          <w:szCs w:val="24"/>
          <w:lang w:val="en-US" w:eastAsia="zh-CN" w:bidi="ar"/>
        </w:rPr>
        <w:t>。</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4. 固废：</w:t>
      </w:r>
      <w:r>
        <w:rPr>
          <w:rFonts w:hint="default" w:ascii="仿宋" w:hAnsi="仿宋" w:eastAsia="仿宋" w:cs="仿宋"/>
          <w:b w:val="0"/>
          <w:bCs w:val="0"/>
          <w:color w:val="000000"/>
          <w:kern w:val="0"/>
          <w:sz w:val="24"/>
          <w:szCs w:val="24"/>
          <w:lang w:val="en-US" w:eastAsia="zh-CN" w:bidi="ar"/>
        </w:rPr>
        <w:t>本项目产生的固体废物主要为</w:t>
      </w:r>
      <w:r>
        <w:rPr>
          <w:rFonts w:hint="eastAsia" w:ascii="仿宋" w:hAnsi="仿宋" w:eastAsia="仿宋" w:cs="仿宋"/>
          <w:b w:val="0"/>
          <w:bCs w:val="0"/>
          <w:color w:val="000000"/>
          <w:kern w:val="0"/>
          <w:sz w:val="24"/>
          <w:szCs w:val="24"/>
          <w:lang w:val="en-US" w:eastAsia="zh-CN" w:bidi="ar"/>
        </w:rPr>
        <w:t>涂装工序产生的废漆渣、废包装桶等；废水治理产生的蒸馏残液等；废气治理产生的废活性炭、废贵金属催化剂以及废过滤棉和新增职工生活垃圾等。</w:t>
      </w:r>
    </w:p>
    <w:p>
      <w:pPr>
        <w:keepNext w:val="0"/>
        <w:keepLines w:val="0"/>
        <w:pageBreakBefore w:val="0"/>
        <w:widowControl/>
        <w:suppressLineNumbers w:val="0"/>
        <w:kinsoku/>
        <w:wordWrap/>
        <w:overflowPunct/>
        <w:topLinePunct w:val="0"/>
        <w:autoSpaceDE/>
        <w:autoSpaceDN/>
        <w:bidi w:val="0"/>
        <w:adjustRightInd/>
        <w:snapToGrid/>
        <w:spacing w:after="0" w:line="4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三、执行的主要环境标准（工业类）</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 大气污染物排放标准：</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本项目涂装工序产生的颗粒物执行《大气污染物综合排放标准》（GB16297－1996）中表2相关限值；涂装工序产生的苯系物、非甲烷总烃均执行《工业涂装工序挥发性有机物排放标准》（DB21/3160-2019）相关浓度限值；热水锅炉和热风交换机烟气中颗粒物、二氧化硫、氮氧化物以及林格曼黑度参照执行</w:t>
      </w:r>
      <w:r>
        <w:rPr>
          <w:rFonts w:hint="default" w:ascii="仿宋" w:hAnsi="仿宋" w:eastAsia="仿宋" w:cs="仿宋"/>
          <w:b w:val="0"/>
          <w:bCs w:val="0"/>
          <w:color w:val="000000"/>
          <w:kern w:val="0"/>
          <w:sz w:val="24"/>
          <w:szCs w:val="24"/>
          <w:lang w:val="en-US" w:eastAsia="zh-CN" w:bidi="ar"/>
        </w:rPr>
        <w:t>《锅炉大气污染物排放标准》（GB13271-2014）中表</w:t>
      </w:r>
      <w:r>
        <w:rPr>
          <w:rFonts w:hint="eastAsia" w:ascii="仿宋" w:hAnsi="仿宋" w:eastAsia="仿宋" w:cs="仿宋"/>
          <w:b w:val="0"/>
          <w:bCs w:val="0"/>
          <w:color w:val="000000"/>
          <w:kern w:val="0"/>
          <w:sz w:val="24"/>
          <w:szCs w:val="24"/>
          <w:lang w:val="en-US" w:eastAsia="zh-CN" w:bidi="ar"/>
        </w:rPr>
        <w:t>3</w:t>
      </w:r>
      <w:r>
        <w:rPr>
          <w:rFonts w:hint="default" w:ascii="仿宋" w:hAnsi="仿宋" w:eastAsia="仿宋" w:cs="仿宋"/>
          <w:b w:val="0"/>
          <w:bCs w:val="0"/>
          <w:color w:val="000000"/>
          <w:kern w:val="0"/>
          <w:sz w:val="24"/>
          <w:szCs w:val="24"/>
          <w:lang w:val="en-US" w:eastAsia="zh-CN" w:bidi="ar"/>
        </w:rPr>
        <w:t>大气污染物</w:t>
      </w:r>
      <w:r>
        <w:rPr>
          <w:rFonts w:hint="eastAsia" w:ascii="仿宋" w:hAnsi="仿宋" w:eastAsia="仿宋" w:cs="仿宋"/>
          <w:b w:val="0"/>
          <w:bCs w:val="0"/>
          <w:color w:val="000000"/>
          <w:kern w:val="0"/>
          <w:sz w:val="24"/>
          <w:szCs w:val="24"/>
          <w:lang w:val="en-US" w:eastAsia="zh-CN" w:bidi="ar"/>
        </w:rPr>
        <w:t>特别</w:t>
      </w:r>
      <w:r>
        <w:rPr>
          <w:rFonts w:hint="default" w:ascii="仿宋" w:hAnsi="仿宋" w:eastAsia="仿宋" w:cs="仿宋"/>
          <w:b w:val="0"/>
          <w:bCs w:val="0"/>
          <w:color w:val="000000"/>
          <w:kern w:val="0"/>
          <w:sz w:val="24"/>
          <w:szCs w:val="24"/>
          <w:lang w:val="en-US" w:eastAsia="zh-CN" w:bidi="ar"/>
        </w:rPr>
        <w:t>排放限值</w:t>
      </w:r>
      <w:r>
        <w:rPr>
          <w:rFonts w:hint="eastAsia" w:ascii="仿宋" w:hAnsi="仿宋" w:eastAsia="仿宋" w:cs="仿宋"/>
          <w:b w:val="0"/>
          <w:bCs w:val="0"/>
          <w:color w:val="000000"/>
          <w:kern w:val="0"/>
          <w:sz w:val="24"/>
          <w:szCs w:val="24"/>
          <w:lang w:val="en-US" w:eastAsia="zh-CN" w:bidi="ar"/>
        </w:rPr>
        <w:t>中燃油</w:t>
      </w:r>
      <w:r>
        <w:rPr>
          <w:rFonts w:hint="default" w:ascii="仿宋" w:hAnsi="仿宋" w:eastAsia="仿宋" w:cs="仿宋"/>
          <w:b w:val="0"/>
          <w:bCs w:val="0"/>
          <w:color w:val="000000"/>
          <w:kern w:val="0"/>
          <w:sz w:val="24"/>
          <w:szCs w:val="24"/>
          <w:lang w:val="en-US" w:eastAsia="zh-CN" w:bidi="ar"/>
        </w:rPr>
        <w:t>要求</w:t>
      </w:r>
      <w:r>
        <w:rPr>
          <w:rFonts w:hint="eastAsia" w:ascii="仿宋" w:hAnsi="仿宋" w:eastAsia="仿宋" w:cs="仿宋"/>
          <w:b w:val="0"/>
          <w:bCs w:val="0"/>
          <w:color w:val="000000"/>
          <w:kern w:val="0"/>
          <w:sz w:val="24"/>
          <w:szCs w:val="24"/>
          <w:lang w:val="en-US" w:eastAsia="zh-CN" w:bidi="ar"/>
        </w:rPr>
        <w:t>；厂界四周颗粒物执行《大气污染物综合排放标准》（GB16297－1996）中表2厂界处无组织排放监控浓度限值；厂界四周和车间外非甲烷总烃、苯系物执行《工业涂装工序挥发性有机物排放标准》（DB21/3160-2019）中表3无组织排放监控浓度限值。</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2. 废水排放标准：</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本项目废水其中pH值执行《污水综合排放标准》（GB8978-1996）表2中三级标准限值要求；其他污染因子执行《辽宁省污水综合排放标准》（DB21/1627-2008）中表2排放限值要求。</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3. 噪声排放标准：</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施工期噪声执行《建筑施工场界环境噪声排放标准》（GB12523-2011）。运营期厂界噪声</w:t>
      </w:r>
      <w:r>
        <w:rPr>
          <w:rFonts w:hint="default" w:ascii="仿宋" w:hAnsi="仿宋" w:eastAsia="仿宋" w:cs="仿宋"/>
          <w:b w:val="0"/>
          <w:bCs w:val="0"/>
          <w:color w:val="000000"/>
          <w:kern w:val="0"/>
          <w:sz w:val="24"/>
          <w:szCs w:val="24"/>
          <w:lang w:val="en-US" w:eastAsia="zh-CN" w:bidi="ar"/>
        </w:rPr>
        <w:t>执行《工业企业厂界环境噪声排放标准》（GB12348-2008）3类标准</w:t>
      </w:r>
      <w:r>
        <w:rPr>
          <w:rFonts w:hint="eastAsia" w:ascii="仿宋" w:hAnsi="仿宋" w:eastAsia="仿宋" w:cs="仿宋"/>
          <w:b w:val="0"/>
          <w:bCs w:val="0"/>
          <w:color w:val="000000"/>
          <w:kern w:val="0"/>
          <w:sz w:val="24"/>
          <w:szCs w:val="24"/>
          <w:lang w:val="en-US" w:eastAsia="zh-CN" w:bidi="ar"/>
        </w:rPr>
        <w:t>；厂界南侧的金色家园小区处噪声执行《声环境质量标准》（GB3096-2008）1</w:t>
      </w:r>
      <w:r>
        <w:rPr>
          <w:rFonts w:hint="default" w:ascii="仿宋" w:hAnsi="仿宋" w:eastAsia="仿宋" w:cs="仿宋"/>
          <w:b w:val="0"/>
          <w:bCs w:val="0"/>
          <w:color w:val="000000"/>
          <w:kern w:val="0"/>
          <w:sz w:val="24"/>
          <w:szCs w:val="24"/>
          <w:lang w:val="en-US" w:eastAsia="zh-CN" w:bidi="ar"/>
        </w:rPr>
        <w:t>类标准</w:t>
      </w:r>
      <w:r>
        <w:rPr>
          <w:rFonts w:hint="eastAsia" w:ascii="仿宋" w:hAnsi="仿宋" w:eastAsia="仿宋" w:cs="仿宋"/>
          <w:b w:val="0"/>
          <w:bCs w:val="0"/>
          <w:color w:val="000000"/>
          <w:kern w:val="0"/>
          <w:sz w:val="24"/>
          <w:szCs w:val="24"/>
          <w:lang w:val="en-US" w:eastAsia="zh-CN" w:bidi="ar"/>
        </w:rPr>
        <w:t>。</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4. 固废排放标准：</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一般工业固体废物管理执行《中华人民共和国固体废物污染环境防治法》相关要求。危险废物贮存执行《危险废物贮存污染控制标准》（GB18597-2023）。</w:t>
      </w:r>
    </w:p>
    <w:p>
      <w:pPr>
        <w:keepNext w:val="0"/>
        <w:keepLines w:val="0"/>
        <w:pageBreakBefore w:val="0"/>
        <w:widowControl/>
        <w:suppressLineNumbers w:val="0"/>
        <w:kinsoku/>
        <w:wordWrap/>
        <w:overflowPunct/>
        <w:topLinePunct w:val="0"/>
        <w:autoSpaceDE/>
        <w:autoSpaceDN/>
        <w:bidi w:val="0"/>
        <w:adjustRightInd/>
        <w:snapToGrid/>
        <w:spacing w:after="0" w:line="4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四、减缓建设项目环境影响的主要措施</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left="480" w:leftChars="218" w:firstLine="0" w:firstLineChars="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施工期：</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建设单位必须加强施工期环境管理，夜间（22:00~次日6:00）不进行高噪声施工作业。施工期生活污水依托厂区现有化粪池处理。建筑垃圾分类处置，可利用部分回收，不可利用部分清运至指定场所；生活垃圾由环卫部门统一清运。</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营运期：</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1. 废气：锅炉燃烧废气主要污染物为颗粒物、二氧化硫和氮氧化物，采用低氮燃烧机燃烧后通过</w:t>
      </w:r>
      <w:r>
        <w:rPr>
          <w:rFonts w:hint="default" w:ascii="仿宋" w:hAnsi="仿宋" w:eastAsia="仿宋" w:cs="仿宋"/>
          <w:b w:val="0"/>
          <w:bCs w:val="0"/>
          <w:color w:val="000000"/>
          <w:kern w:val="0"/>
          <w:sz w:val="24"/>
          <w:szCs w:val="24"/>
          <w:lang w:val="en-US" w:eastAsia="zh-CN" w:bidi="ar"/>
        </w:rPr>
        <w:t>1根</w:t>
      </w:r>
      <w:r>
        <w:rPr>
          <w:rFonts w:hint="eastAsia" w:ascii="仿宋" w:hAnsi="仿宋" w:eastAsia="仿宋" w:cs="仿宋"/>
          <w:b w:val="0"/>
          <w:bCs w:val="0"/>
          <w:color w:val="000000"/>
          <w:kern w:val="0"/>
          <w:sz w:val="24"/>
          <w:szCs w:val="24"/>
          <w:lang w:val="en-US" w:eastAsia="zh-CN" w:bidi="ar"/>
        </w:rPr>
        <w:t>15</w:t>
      </w:r>
      <w:r>
        <w:rPr>
          <w:rFonts w:hint="default" w:ascii="仿宋" w:hAnsi="仿宋" w:eastAsia="仿宋" w:cs="仿宋"/>
          <w:b w:val="0"/>
          <w:bCs w:val="0"/>
          <w:color w:val="000000"/>
          <w:kern w:val="0"/>
          <w:sz w:val="24"/>
          <w:szCs w:val="24"/>
          <w:lang w:val="en-US" w:eastAsia="zh-CN" w:bidi="ar"/>
        </w:rPr>
        <w:t>m高排气筒（</w:t>
      </w:r>
      <w:r>
        <w:rPr>
          <w:rFonts w:hint="eastAsia" w:ascii="仿宋" w:hAnsi="仿宋" w:eastAsia="仿宋" w:cs="仿宋"/>
          <w:b w:val="0"/>
          <w:bCs w:val="0"/>
          <w:color w:val="000000"/>
          <w:kern w:val="0"/>
          <w:sz w:val="24"/>
          <w:szCs w:val="24"/>
          <w:lang w:val="en-US" w:eastAsia="zh-CN" w:bidi="ar"/>
        </w:rPr>
        <w:t>DA001</w:t>
      </w:r>
      <w:r>
        <w:rPr>
          <w:rFonts w:hint="default" w:ascii="仿宋" w:hAnsi="仿宋" w:eastAsia="仿宋" w:cs="仿宋"/>
          <w:b w:val="0"/>
          <w:bCs w:val="0"/>
          <w:color w:val="000000"/>
          <w:kern w:val="0"/>
          <w:sz w:val="24"/>
          <w:szCs w:val="24"/>
          <w:lang w:val="en-US" w:eastAsia="zh-CN" w:bidi="ar"/>
        </w:rPr>
        <w:t>）排放</w:t>
      </w:r>
      <w:r>
        <w:rPr>
          <w:rFonts w:hint="eastAsia" w:ascii="仿宋" w:hAnsi="仿宋" w:eastAsia="仿宋" w:cs="仿宋"/>
          <w:b w:val="0"/>
          <w:bCs w:val="0"/>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本项目涂装烘干工序配置热风交换机，将热风内胆中燃烧机燃烧热量交换到内胆外由风机吹入烘干件上进行烘干，燃烧机使用液体石蜡作为燃料，主要污染物为颗粒物、二氧化硫和氮氧化物。采用低氮燃烧机燃烧后通过</w:t>
      </w:r>
      <w:r>
        <w:rPr>
          <w:rFonts w:hint="default" w:ascii="仿宋" w:hAnsi="仿宋" w:eastAsia="仿宋" w:cs="仿宋"/>
          <w:b w:val="0"/>
          <w:bCs w:val="0"/>
          <w:color w:val="000000"/>
          <w:kern w:val="0"/>
          <w:sz w:val="24"/>
          <w:szCs w:val="24"/>
          <w:lang w:val="en-US" w:eastAsia="zh-CN" w:bidi="ar"/>
        </w:rPr>
        <w:t>1根1</w:t>
      </w:r>
      <w:r>
        <w:rPr>
          <w:rFonts w:hint="eastAsia" w:ascii="仿宋" w:hAnsi="仿宋" w:eastAsia="仿宋" w:cs="仿宋"/>
          <w:b w:val="0"/>
          <w:bCs w:val="0"/>
          <w:color w:val="000000"/>
          <w:kern w:val="0"/>
          <w:sz w:val="24"/>
          <w:szCs w:val="24"/>
          <w:lang w:val="en-US" w:eastAsia="zh-CN" w:bidi="ar"/>
        </w:rPr>
        <w:t>5</w:t>
      </w:r>
      <w:r>
        <w:rPr>
          <w:rFonts w:hint="default" w:ascii="仿宋" w:hAnsi="仿宋" w:eastAsia="仿宋" w:cs="仿宋"/>
          <w:b w:val="0"/>
          <w:bCs w:val="0"/>
          <w:color w:val="000000"/>
          <w:kern w:val="0"/>
          <w:sz w:val="24"/>
          <w:szCs w:val="24"/>
          <w:lang w:val="en-US" w:eastAsia="zh-CN" w:bidi="ar"/>
        </w:rPr>
        <w:t>m高排气筒（</w:t>
      </w:r>
      <w:r>
        <w:rPr>
          <w:rFonts w:hint="eastAsia" w:ascii="仿宋" w:hAnsi="仿宋" w:eastAsia="仿宋" w:cs="仿宋"/>
          <w:b w:val="0"/>
          <w:bCs w:val="0"/>
          <w:color w:val="000000"/>
          <w:kern w:val="0"/>
          <w:sz w:val="24"/>
          <w:szCs w:val="24"/>
          <w:lang w:val="en-US" w:eastAsia="zh-CN" w:bidi="ar"/>
        </w:rPr>
        <w:t>DA002</w:t>
      </w:r>
      <w:r>
        <w:rPr>
          <w:rFonts w:hint="default" w:ascii="仿宋" w:hAnsi="仿宋" w:eastAsia="仿宋" w:cs="仿宋"/>
          <w:b w:val="0"/>
          <w:bCs w:val="0"/>
          <w:color w:val="000000"/>
          <w:kern w:val="0"/>
          <w:sz w:val="24"/>
          <w:szCs w:val="24"/>
          <w:lang w:val="en-US" w:eastAsia="zh-CN" w:bidi="ar"/>
        </w:rPr>
        <w:t>）排放</w:t>
      </w:r>
      <w:r>
        <w:rPr>
          <w:rFonts w:hint="eastAsia" w:ascii="仿宋" w:hAnsi="仿宋" w:eastAsia="仿宋" w:cs="仿宋"/>
          <w:b w:val="0"/>
          <w:bCs w:val="0"/>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涂装工序废气主要是水性漆和油性漆的喷涂、烘干工序，污染物为颗粒物、非甲烷总烃和苯系物，由集气罩收集（收集效率70%），经过滤棉处理后，再经活性炭吸附+催化燃烧装置处理（处理效率77%），处理后通过15m排气筒（DA003）排放。</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2. 废水：废水主要为清洗废水、锅炉循环排污水和生活污水，清洗废水通过管道进入收集池后，再进入低温蒸馏机进行蒸发处理，蒸发过程中会产生冷凝水排入再生水桶中后回用于清洗工序，废水蒸发残留物交由有资质单位进行处置。锅炉循环排污水和生活污水经厂区化粪池处理后通过市政管网进入阜新北控水务有限公司污水处理厂。</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3. 噪声：优先选用低噪声设备，对喷漆线、空压泵、风机等主要噪声源采取基础减振、厂房隔声等降噪措施，确保厂界噪声达标。</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4. 固废：本项目产生的固体废物主要为危险废物，包括废漆渣、废包装桶、</w:t>
      </w:r>
      <w:r>
        <w:rPr>
          <w:rFonts w:hint="default" w:ascii="仿宋" w:hAnsi="仿宋" w:eastAsia="仿宋" w:cs="仿宋"/>
          <w:b w:val="0"/>
          <w:bCs w:val="0"/>
          <w:color w:val="000000"/>
          <w:kern w:val="0"/>
          <w:sz w:val="24"/>
          <w:szCs w:val="24"/>
          <w:lang w:val="en-US" w:eastAsia="zh-CN" w:bidi="ar"/>
        </w:rPr>
        <w:t>废活性炭</w:t>
      </w:r>
      <w:r>
        <w:rPr>
          <w:rFonts w:hint="eastAsia" w:ascii="仿宋" w:hAnsi="仿宋" w:eastAsia="仿宋" w:cs="仿宋"/>
          <w:b w:val="0"/>
          <w:bCs w:val="0"/>
          <w:color w:val="000000"/>
          <w:kern w:val="0"/>
          <w:sz w:val="24"/>
          <w:szCs w:val="24"/>
          <w:lang w:val="en-US" w:eastAsia="zh-CN" w:bidi="ar"/>
        </w:rPr>
        <w:t>、废贵金属催化剂、废过滤棉和蒸馏残液，危险废物产生量为6.7361t/a，分类暂存于现有危废暂存点，定期交由有资质单位处置。项目依托厂区现有危废贮存点1座，位于机加操作间东侧，建筑面积为15m2，满足暂存需要。</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5. 项目采取分区防渗措施，设置重点防渗区、一般防渗区和简单防渗区。危废贮存点、涂装操作间、清洗操作间以及液体物料间为重点防渗区；库房、生产车间和化粪池为一般防渗区；办公区为简单防渗区。</w:t>
      </w:r>
    </w:p>
    <w:p>
      <w:pPr>
        <w:keepNext w:val="0"/>
        <w:keepLines w:val="0"/>
        <w:pageBreakBefore w:val="0"/>
        <w:widowControl/>
        <w:suppressLineNumbers w:val="0"/>
        <w:kinsoku/>
        <w:wordWrap/>
        <w:overflowPunct/>
        <w:topLinePunct w:val="0"/>
        <w:autoSpaceDE/>
        <w:autoSpaceDN/>
        <w:bidi w:val="0"/>
        <w:adjustRightInd/>
        <w:snapToGrid/>
        <w:spacing w:after="0" w:line="4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五、建设单位应执行的相关要求</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firstLine="48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严格落实环保设施安全生产工作要求，建立健全内部污染防治设施稳定运行和管理责任制度，定期开展环保设备设施安全风险辨识评估和隐患排查治理。</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项目性质、规模、地点、生产工艺或污染防治措施等发生重大变动时，必须重新报批环境影响评价文件。</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建设单位是建设项目竣工环境保护验收的责任主体，应按规定程序、标准和内容，组织对配套建设的环境保护设施进行验收，编制验收报告，并依法向社会公开。项目验收合格后，方可正式投入生产。</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项目投产前，应按照《固定污染源排污许可分类管理名录》规定，在全国排污许可证管理信息平台上申报排污许可证变更事项。</w:t>
      </w:r>
    </w:p>
    <w:p>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default" w:ascii="仿宋" w:hAnsi="仿宋" w:eastAsia="仿宋" w:cs="仿宋"/>
          <w:b w:val="0"/>
          <w:bCs w:val="0"/>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项目污染物排放总量指标核定，本项目污染物总量控制指标为CODcr、总磷、NOx和挥发性有机物（以</w:t>
      </w:r>
      <w:r>
        <w:rPr>
          <w:rFonts w:hint="default" w:ascii="仿宋" w:hAnsi="仿宋" w:eastAsia="仿宋" w:cs="仿宋"/>
          <w:color w:val="000000"/>
          <w:kern w:val="0"/>
          <w:sz w:val="24"/>
          <w:szCs w:val="24"/>
          <w:lang w:val="en-US" w:eastAsia="zh-CN" w:bidi="ar"/>
        </w:rPr>
        <w:t>VOCs</w:t>
      </w:r>
      <w:r>
        <w:rPr>
          <w:rFonts w:hint="eastAsia" w:ascii="仿宋" w:hAnsi="仿宋" w:eastAsia="仿宋" w:cs="仿宋"/>
          <w:color w:val="000000"/>
          <w:kern w:val="0"/>
          <w:sz w:val="24"/>
          <w:szCs w:val="24"/>
          <w:lang w:val="en-US" w:eastAsia="zh-CN" w:bidi="ar"/>
        </w:rPr>
        <w:t>计），NOx0.032t/a和</w:t>
      </w:r>
      <w:r>
        <w:rPr>
          <w:rFonts w:hint="default" w:ascii="仿宋" w:hAnsi="仿宋" w:eastAsia="仿宋" w:cs="仿宋"/>
          <w:color w:val="000000"/>
          <w:kern w:val="0"/>
          <w:sz w:val="24"/>
          <w:szCs w:val="24"/>
          <w:lang w:val="en-US" w:eastAsia="zh-CN" w:bidi="ar"/>
        </w:rPr>
        <w:t>VOCs</w:t>
      </w:r>
      <w:r>
        <w:rPr>
          <w:rFonts w:hint="eastAsia" w:ascii="仿宋" w:hAnsi="仿宋" w:eastAsia="仿宋" w:cs="仿宋"/>
          <w:color w:val="000000"/>
          <w:kern w:val="0"/>
          <w:sz w:val="24"/>
          <w:szCs w:val="24"/>
          <w:lang w:val="en-US" w:eastAsia="zh-CN" w:bidi="ar"/>
        </w:rPr>
        <w:t>0.04277t/a。</w:t>
      </w:r>
    </w:p>
    <w:p>
      <w:pPr>
        <w:keepNext w:val="0"/>
        <w:keepLines w:val="0"/>
        <w:pageBreakBefore w:val="0"/>
        <w:widowControl/>
        <w:suppressLineNumbers w:val="0"/>
        <w:kinsoku/>
        <w:wordWrap/>
        <w:overflowPunct/>
        <w:topLinePunct w:val="0"/>
        <w:autoSpaceDE/>
        <w:autoSpaceDN/>
        <w:bidi w:val="0"/>
        <w:adjustRightInd/>
        <w:snapToGrid/>
        <w:spacing w:after="0" w:line="4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六、阜新市生态环境局高新技术产业开发区分局负责该项目的环境保护“三同时”监督检查及日常环境管理工作。</w:t>
      </w:r>
    </w:p>
    <w:p>
      <w:pPr>
        <w:keepNext w:val="0"/>
        <w:keepLines w:val="0"/>
        <w:pageBreakBefore w:val="0"/>
        <w:widowControl/>
        <w:suppressLineNumbers w:val="0"/>
        <w:kinsoku/>
        <w:wordWrap/>
        <w:overflowPunct/>
        <w:topLinePunct w:val="0"/>
        <w:autoSpaceDE/>
        <w:autoSpaceDN/>
        <w:bidi w:val="0"/>
        <w:adjustRightInd/>
        <w:snapToGrid/>
        <w:spacing w:after="0" w:line="400" w:lineRule="exact"/>
        <w:ind w:left="5760" w:hanging="5760" w:hangingChars="240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阜新市生态环境局</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2026年9月9日</w:t>
      </w:r>
    </w:p>
    <w:p>
      <w:pPr>
        <w:keepNext w:val="0"/>
        <w:keepLines w:val="0"/>
        <w:pageBreakBefore w:val="0"/>
        <w:widowControl/>
        <w:kinsoku/>
        <w:wordWrap/>
        <w:overflowPunct/>
        <w:topLinePunct w:val="0"/>
        <w:autoSpaceDE/>
        <w:autoSpaceDN/>
        <w:bidi w:val="0"/>
        <w:adjustRightInd/>
        <w:snapToGrid/>
        <w:spacing w:line="400" w:lineRule="exact"/>
        <w:textAlignment w:val="auto"/>
      </w:pPr>
    </w:p>
    <w:p>
      <w:pPr>
        <w:jc w:val="right"/>
      </w:pP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81"/>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Cambria">
    <w:altName w:val="Noto Sans Syriac Eastern"/>
    <w:panose1 w:val="02040503050406030204"/>
    <w:charset w:val="00"/>
    <w:family w:val="auto"/>
    <w:pitch w:val="default"/>
    <w:sig w:usb0="00000000" w:usb1="00000000" w:usb2="02000000" w:usb3="00000000" w:csb0="2000019F" w:csb1="00000000"/>
  </w:font>
  <w:font w:name="ＭＳ 明朝">
    <w:altName w:val="文泉驿微米黑"/>
    <w:panose1 w:val="00000000000000000000"/>
    <w:charset w:val="80"/>
    <w:family w:val="roman"/>
    <w:pitch w:val="default"/>
    <w:sig w:usb0="00000000" w:usb1="00000000" w:usb2="00000010" w:usb3="00000000" w:csb0="00020000" w:csb1="00000000"/>
  </w:font>
  <w:font w:name="ＭＳ 明朝">
    <w:altName w:val="文泉驿微米黑"/>
    <w:panose1 w:val="00000000000000000000"/>
    <w:charset w:val="86"/>
    <w:family w:val="auto"/>
    <w:pitch w:val="default"/>
    <w:sig w:usb0="00000000" w:usb1="00000000" w:usb2="00000000" w:usb3="00000000" w:csb0="00000000" w:csb1="00000000"/>
  </w:font>
  <w:font w:name="ＭＳ ゴシック">
    <w:altName w:val="文泉驿微米黑"/>
    <w:panose1 w:val="00000000000000000000"/>
    <w:charset w:val="00"/>
    <w:family w:val="auto"/>
    <w:pitch w:val="default"/>
    <w:sig w:usb0="00000000" w:usb1="00000000" w:usb2="00000000" w:usb3="00000000" w:csb0="00000000" w:csb1="00000000"/>
  </w:font>
  <w:font w:name="Courier">
    <w:altName w:val="DejaVu Math TeX Gyre"/>
    <w:panose1 w:val="02000500000000000000"/>
    <w:charset w:val="00"/>
    <w:family w:val="auto"/>
    <w:pitch w:val="default"/>
    <w:sig w:usb0="00000000" w:usb1="00000000" w:usb2="00000000" w:usb3="00000000" w:csb0="00000001" w:csb1="00000000"/>
  </w:font>
  <w:font w:name="仿宋">
    <w:altName w:val="方正仿宋_GBK"/>
    <w:panose1 w:val="02010609060101010101"/>
    <w:charset w:val="86"/>
    <w:family w:val="auto"/>
    <w:pitch w:val="default"/>
    <w:sig w:usb0="00000000" w:usb1="00000000" w:usb2="00000016" w:usb3="00000000" w:csb0="00040001" w:csb1="00000000"/>
  </w:font>
  <w:font w:name="ＭＳ 明朝">
    <w:altName w:val="文泉驿微米黑"/>
    <w:panose1 w:val="00000000000000000000"/>
    <w:charset w:val="00"/>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DejaVu Math TeX Gyre">
    <w:panose1 w:val="02000503000000000000"/>
    <w:charset w:val="00"/>
    <w:family w:val="auto"/>
    <w:pitch w:val="default"/>
    <w:sig w:usb0="A10000EF" w:usb1="4201F9EE" w:usb2="02000000" w:usb3="00000000" w:csb0="60000193" w:csb1="0DD4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2"/>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6"/>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1"/>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5"/>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7"/>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9"/>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9D541B8"/>
    <w:rsid w:val="2D5A79F5"/>
    <w:rsid w:val="34D4053C"/>
    <w:rsid w:val="3F191BA7"/>
    <w:rsid w:val="53CF096C"/>
    <w:rsid w:val="665A1FAB"/>
    <w:rsid w:val="66B43A07"/>
    <w:rsid w:val="BF9F96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6">
    <w:name w:val="heading 1"/>
    <w:basedOn w:val="1"/>
    <w:next w:val="1"/>
    <w:link w:val="1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7">
    <w:name w:val="heading 2"/>
    <w:basedOn w:val="1"/>
    <w:next w:val="1"/>
    <w:link w:val="1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8">
    <w:name w:val="heading 3"/>
    <w:basedOn w:val="1"/>
    <w:next w:val="1"/>
    <w:link w:val="1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9">
    <w:name w:val="heading 4"/>
    <w:basedOn w:val="1"/>
    <w:next w:val="1"/>
    <w:link w:val="1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10">
    <w:name w:val="heading 5"/>
    <w:basedOn w:val="1"/>
    <w:next w:val="1"/>
    <w:link w:val="1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11">
    <w:name w:val="heading 6"/>
    <w:basedOn w:val="1"/>
    <w:next w:val="1"/>
    <w:link w:val="1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12">
    <w:name w:val="heading 7"/>
    <w:basedOn w:val="1"/>
    <w:next w:val="1"/>
    <w:link w:val="1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3">
    <w:name w:val="heading 8"/>
    <w:basedOn w:val="1"/>
    <w:next w:val="1"/>
    <w:link w:val="1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4">
    <w:name w:val="heading 9"/>
    <w:basedOn w:val="1"/>
    <w:next w:val="1"/>
    <w:link w:val="1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4">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3"/>
    <w:qFormat/>
    <w:uiPriority w:val="0"/>
    <w:pPr>
      <w:spacing w:after="120" w:line="480" w:lineRule="auto"/>
      <w:ind w:left="420" w:leftChars="200"/>
    </w:pPr>
  </w:style>
  <w:style w:type="paragraph" w:styleId="3">
    <w:name w:val="Body Text First Indent"/>
    <w:basedOn w:val="4"/>
    <w:unhideWhenUsed/>
    <w:qFormat/>
    <w:uiPriority w:val="0"/>
    <w:pPr>
      <w:ind w:firstLine="420" w:firstLineChars="100"/>
    </w:pPr>
  </w:style>
  <w:style w:type="paragraph" w:styleId="4">
    <w:name w:val="Body Text"/>
    <w:basedOn w:val="1"/>
    <w:link w:val="146"/>
    <w:unhideWhenUsed/>
    <w:qFormat/>
    <w:uiPriority w:val="99"/>
    <w:pPr>
      <w:spacing w:after="120"/>
    </w:pPr>
  </w:style>
  <w:style w:type="paragraph" w:styleId="5">
    <w:name w:val="macro"/>
    <w:link w:val="1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5">
    <w:name w:val="List 3"/>
    <w:basedOn w:val="1"/>
    <w:unhideWhenUsed/>
    <w:qFormat/>
    <w:uiPriority w:val="99"/>
    <w:pPr>
      <w:ind w:left="1080" w:hanging="360"/>
      <w:contextualSpacing/>
    </w:pPr>
  </w:style>
  <w:style w:type="paragraph" w:styleId="16">
    <w:name w:val="List Number 2"/>
    <w:basedOn w:val="1"/>
    <w:unhideWhenUsed/>
    <w:qFormat/>
    <w:uiPriority w:val="99"/>
    <w:pPr>
      <w:numPr>
        <w:ilvl w:val="0"/>
        <w:numId w:val="1"/>
      </w:numPr>
      <w:contextualSpacing/>
    </w:pPr>
  </w:style>
  <w:style w:type="paragraph" w:styleId="17">
    <w:name w:val="List Number"/>
    <w:basedOn w:val="1"/>
    <w:unhideWhenUsed/>
    <w:qFormat/>
    <w:uiPriority w:val="99"/>
    <w:pPr>
      <w:numPr>
        <w:ilvl w:val="0"/>
        <w:numId w:val="2"/>
      </w:numPr>
      <w:contextualSpacing/>
    </w:pPr>
  </w:style>
  <w:style w:type="paragraph" w:styleId="18">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9">
    <w:name w:val="List Bullet"/>
    <w:basedOn w:val="1"/>
    <w:unhideWhenUsed/>
    <w:qFormat/>
    <w:uiPriority w:val="99"/>
    <w:pPr>
      <w:numPr>
        <w:ilvl w:val="0"/>
        <w:numId w:val="3"/>
      </w:numPr>
      <w:contextualSpacing/>
    </w:pPr>
  </w:style>
  <w:style w:type="paragraph" w:styleId="20">
    <w:name w:val="Body Text 3"/>
    <w:basedOn w:val="1"/>
    <w:link w:val="148"/>
    <w:unhideWhenUsed/>
    <w:qFormat/>
    <w:uiPriority w:val="99"/>
    <w:pPr>
      <w:spacing w:after="120"/>
    </w:pPr>
    <w:rPr>
      <w:sz w:val="16"/>
      <w:szCs w:val="16"/>
    </w:rPr>
  </w:style>
  <w:style w:type="paragraph" w:styleId="21">
    <w:name w:val="List Bullet 3"/>
    <w:basedOn w:val="1"/>
    <w:unhideWhenUsed/>
    <w:qFormat/>
    <w:uiPriority w:val="99"/>
    <w:pPr>
      <w:numPr>
        <w:ilvl w:val="0"/>
        <w:numId w:val="4"/>
      </w:numPr>
      <w:contextualSpacing/>
    </w:pPr>
  </w:style>
  <w:style w:type="paragraph" w:styleId="22">
    <w:name w:val="List Number 3"/>
    <w:basedOn w:val="1"/>
    <w:unhideWhenUsed/>
    <w:qFormat/>
    <w:uiPriority w:val="99"/>
    <w:pPr>
      <w:numPr>
        <w:ilvl w:val="0"/>
        <w:numId w:val="5"/>
      </w:numPr>
      <w:contextualSpacing/>
    </w:pPr>
  </w:style>
  <w:style w:type="paragraph" w:styleId="23">
    <w:name w:val="List 2"/>
    <w:basedOn w:val="1"/>
    <w:unhideWhenUsed/>
    <w:qFormat/>
    <w:uiPriority w:val="99"/>
    <w:pPr>
      <w:ind w:left="720" w:hanging="360"/>
      <w:contextualSpacing/>
    </w:pPr>
  </w:style>
  <w:style w:type="paragraph" w:styleId="24">
    <w:name w:val="List Continue"/>
    <w:basedOn w:val="1"/>
    <w:unhideWhenUsed/>
    <w:qFormat/>
    <w:uiPriority w:val="99"/>
    <w:pPr>
      <w:spacing w:after="120"/>
      <w:ind w:left="360"/>
      <w:contextualSpacing/>
    </w:pPr>
  </w:style>
  <w:style w:type="paragraph" w:styleId="25">
    <w:name w:val="List Bullet 2"/>
    <w:basedOn w:val="1"/>
    <w:unhideWhenUsed/>
    <w:qFormat/>
    <w:uiPriority w:val="99"/>
    <w:pPr>
      <w:numPr>
        <w:ilvl w:val="0"/>
        <w:numId w:val="6"/>
      </w:numPr>
      <w:contextualSpacing/>
    </w:pPr>
  </w:style>
  <w:style w:type="paragraph" w:styleId="26">
    <w:name w:val="footer"/>
    <w:basedOn w:val="1"/>
    <w:link w:val="138"/>
    <w:unhideWhenUsed/>
    <w:qFormat/>
    <w:uiPriority w:val="99"/>
    <w:pPr>
      <w:tabs>
        <w:tab w:val="center" w:pos="4680"/>
        <w:tab w:val="right" w:pos="9360"/>
      </w:tabs>
      <w:spacing w:after="0" w:line="240" w:lineRule="auto"/>
    </w:pPr>
  </w:style>
  <w:style w:type="paragraph" w:styleId="27">
    <w:name w:val="header"/>
    <w:basedOn w:val="1"/>
    <w:link w:val="137"/>
    <w:unhideWhenUsed/>
    <w:qFormat/>
    <w:uiPriority w:val="99"/>
    <w:pPr>
      <w:tabs>
        <w:tab w:val="center" w:pos="4680"/>
        <w:tab w:val="right" w:pos="9360"/>
      </w:tabs>
      <w:spacing w:after="0" w:line="240" w:lineRule="auto"/>
    </w:pPr>
  </w:style>
  <w:style w:type="paragraph" w:styleId="28">
    <w:name w:val="Subtitle"/>
    <w:basedOn w:val="1"/>
    <w:next w:val="1"/>
    <w:link w:val="1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9">
    <w:name w:val="List"/>
    <w:basedOn w:val="1"/>
    <w:unhideWhenUsed/>
    <w:qFormat/>
    <w:uiPriority w:val="99"/>
    <w:pPr>
      <w:ind w:left="360" w:hanging="360"/>
      <w:contextualSpacing/>
    </w:pPr>
  </w:style>
  <w:style w:type="paragraph" w:styleId="30">
    <w:name w:val="Body Text 2"/>
    <w:basedOn w:val="1"/>
    <w:link w:val="147"/>
    <w:unhideWhenUsed/>
    <w:qFormat/>
    <w:uiPriority w:val="99"/>
    <w:pPr>
      <w:spacing w:after="120" w:line="480" w:lineRule="auto"/>
    </w:pPr>
  </w:style>
  <w:style w:type="paragraph" w:styleId="31">
    <w:name w:val="List Continue 2"/>
    <w:basedOn w:val="1"/>
    <w:unhideWhenUsed/>
    <w:qFormat/>
    <w:uiPriority w:val="99"/>
    <w:pPr>
      <w:spacing w:after="120"/>
      <w:ind w:left="720"/>
      <w:contextualSpacing/>
    </w:pPr>
  </w:style>
  <w:style w:type="paragraph" w:styleId="32">
    <w:name w:val="List Continue 3"/>
    <w:basedOn w:val="1"/>
    <w:unhideWhenUsed/>
    <w:qFormat/>
    <w:uiPriority w:val="99"/>
    <w:pPr>
      <w:spacing w:after="120"/>
      <w:ind w:left="1080"/>
      <w:contextualSpacing/>
    </w:pPr>
  </w:style>
  <w:style w:type="paragraph" w:styleId="33">
    <w:name w:val="Title"/>
    <w:basedOn w:val="1"/>
    <w:next w:val="1"/>
    <w:link w:val="1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5">
    <w:name w:val="Table Grid"/>
    <w:basedOn w:val="3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6">
    <w:name w:val="Light Shading"/>
    <w:basedOn w:val="34"/>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7">
    <w:name w:val="Light Shading Accent 1"/>
    <w:basedOn w:val="34"/>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8">
    <w:name w:val="Light Shading Accent 2"/>
    <w:basedOn w:val="34"/>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9">
    <w:name w:val="Light Shading Accent 3"/>
    <w:basedOn w:val="34"/>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0">
    <w:name w:val="Light Shading Accent 4"/>
    <w:basedOn w:val="34"/>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1">
    <w:name w:val="Light Shading Accent 5"/>
    <w:basedOn w:val="34"/>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2">
    <w:name w:val="Light Shading Accent 6"/>
    <w:basedOn w:val="34"/>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3">
    <w:name w:val="Light List"/>
    <w:basedOn w:val="34"/>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4">
    <w:name w:val="Light List Accent 1"/>
    <w:basedOn w:val="34"/>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5">
    <w:name w:val="Light List Accent 2"/>
    <w:basedOn w:val="34"/>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6">
    <w:name w:val="Light List Accent 3"/>
    <w:basedOn w:val="34"/>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7">
    <w:name w:val="Light List Accent 4"/>
    <w:basedOn w:val="34"/>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8">
    <w:name w:val="Light List Accent 5"/>
    <w:basedOn w:val="34"/>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9">
    <w:name w:val="Light List Accent 6"/>
    <w:basedOn w:val="34"/>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0">
    <w:name w:val="Light Grid"/>
    <w:basedOn w:val="34"/>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1">
    <w:name w:val="Light Grid Accent 1"/>
    <w:basedOn w:val="34"/>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2">
    <w:name w:val="Light Grid Accent 2"/>
    <w:basedOn w:val="34"/>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3">
    <w:name w:val="Light Grid Accent 3"/>
    <w:basedOn w:val="34"/>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4">
    <w:name w:val="Light Grid Accent 4"/>
    <w:basedOn w:val="34"/>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5">
    <w:name w:val="Light Grid Accent 5"/>
    <w:basedOn w:val="34"/>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6">
    <w:name w:val="Light Grid Accent 6"/>
    <w:basedOn w:val="34"/>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7">
    <w:name w:val="Medium Shading 1"/>
    <w:basedOn w:val="34"/>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8">
    <w:name w:val="Medium Shading 1 Accent 1"/>
    <w:basedOn w:val="34"/>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9">
    <w:name w:val="Medium Shading 1 Accent 2"/>
    <w:basedOn w:val="34"/>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0">
    <w:name w:val="Medium Shading 1 Accent 3"/>
    <w:basedOn w:val="34"/>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1">
    <w:name w:val="Medium Shading 1 Accent 4"/>
    <w:basedOn w:val="34"/>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2">
    <w:name w:val="Medium Shading 1 Accent 5"/>
    <w:basedOn w:val="34"/>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3">
    <w:name w:val="Medium Shading 1 Accent 6"/>
    <w:basedOn w:val="34"/>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4">
    <w:name w:val="Medium Shading 2"/>
    <w:basedOn w:val="34"/>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1"/>
    <w:basedOn w:val="34"/>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2"/>
    <w:basedOn w:val="34"/>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3"/>
    <w:basedOn w:val="34"/>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4"/>
    <w:basedOn w:val="34"/>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5"/>
    <w:basedOn w:val="34"/>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6"/>
    <w:basedOn w:val="34"/>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List 1"/>
    <w:basedOn w:val="34"/>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2">
    <w:name w:val="Medium List 1 Accent 1"/>
    <w:basedOn w:val="34"/>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3">
    <w:name w:val="Medium List 1 Accent 2"/>
    <w:basedOn w:val="34"/>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4">
    <w:name w:val="Medium List 1 Accent 3"/>
    <w:basedOn w:val="34"/>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5">
    <w:name w:val="Medium List 1 Accent 4"/>
    <w:basedOn w:val="34"/>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6">
    <w:name w:val="Medium List 1 Accent 5"/>
    <w:basedOn w:val="34"/>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7">
    <w:name w:val="Medium List 1 Accent 6"/>
    <w:basedOn w:val="34"/>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8">
    <w:name w:val="Medium List 2"/>
    <w:basedOn w:val="34"/>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1"/>
    <w:basedOn w:val="34"/>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2"/>
    <w:basedOn w:val="34"/>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3"/>
    <w:basedOn w:val="34"/>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4"/>
    <w:basedOn w:val="34"/>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5"/>
    <w:basedOn w:val="34"/>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6"/>
    <w:basedOn w:val="34"/>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Grid 1"/>
    <w:basedOn w:val="34"/>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6">
    <w:name w:val="Medium Grid 1 Accent 1"/>
    <w:basedOn w:val="34"/>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7">
    <w:name w:val="Medium Grid 1 Accent 2"/>
    <w:basedOn w:val="34"/>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8">
    <w:name w:val="Medium Grid 1 Accent 3"/>
    <w:basedOn w:val="34"/>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9">
    <w:name w:val="Medium Grid 1 Accent 4"/>
    <w:basedOn w:val="34"/>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0">
    <w:name w:val="Medium Grid 1 Accent 5"/>
    <w:basedOn w:val="34"/>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1">
    <w:name w:val="Medium Grid 1 Accent 6"/>
    <w:basedOn w:val="34"/>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2">
    <w:name w:val="Medium Grid 2"/>
    <w:basedOn w:val="34"/>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3">
    <w:name w:val="Medium Grid 2 Accent 1"/>
    <w:basedOn w:val="34"/>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4">
    <w:name w:val="Medium Grid 2 Accent 2"/>
    <w:basedOn w:val="34"/>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5">
    <w:name w:val="Medium Grid 2 Accent 3"/>
    <w:basedOn w:val="34"/>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6">
    <w:name w:val="Medium Grid 2 Accent 4"/>
    <w:basedOn w:val="34"/>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7">
    <w:name w:val="Medium Grid 2 Accent 5"/>
    <w:basedOn w:val="34"/>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8">
    <w:name w:val="Medium Grid 2 Accent 6"/>
    <w:basedOn w:val="34"/>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9">
    <w:name w:val="Medium Grid 3"/>
    <w:basedOn w:val="34"/>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0">
    <w:name w:val="Medium Grid 3 Accent 1"/>
    <w:basedOn w:val="34"/>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1">
    <w:name w:val="Medium Grid 3 Accent 2"/>
    <w:basedOn w:val="34"/>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2">
    <w:name w:val="Medium Grid 3 Accent 3"/>
    <w:basedOn w:val="34"/>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3">
    <w:name w:val="Medium Grid 3 Accent 4"/>
    <w:basedOn w:val="34"/>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4">
    <w:name w:val="Medium Grid 3 Accent 5"/>
    <w:basedOn w:val="34"/>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5">
    <w:name w:val="Medium Grid 3 Accent 6"/>
    <w:basedOn w:val="34"/>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6">
    <w:name w:val="Dark List"/>
    <w:basedOn w:val="34"/>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7">
    <w:name w:val="Dark List Accent 1"/>
    <w:basedOn w:val="34"/>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8">
    <w:name w:val="Dark List Accent 2"/>
    <w:basedOn w:val="34"/>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9">
    <w:name w:val="Dark List Accent 3"/>
    <w:basedOn w:val="34"/>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0">
    <w:name w:val="Dark List Accent 4"/>
    <w:basedOn w:val="34"/>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1">
    <w:name w:val="Dark List Accent 5"/>
    <w:basedOn w:val="34"/>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2">
    <w:name w:val="Dark List Accent 6"/>
    <w:basedOn w:val="34"/>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3">
    <w:name w:val="Colorful Shading"/>
    <w:basedOn w:val="34"/>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1"/>
    <w:basedOn w:val="34"/>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2"/>
    <w:basedOn w:val="34"/>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3"/>
    <w:basedOn w:val="34"/>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7">
    <w:name w:val="Colorful Shading Accent 4"/>
    <w:basedOn w:val="34"/>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5"/>
    <w:basedOn w:val="34"/>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6"/>
    <w:basedOn w:val="34"/>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List"/>
    <w:basedOn w:val="34"/>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1">
    <w:name w:val="Colorful List Accent 1"/>
    <w:basedOn w:val="34"/>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2">
    <w:name w:val="Colorful List Accent 2"/>
    <w:basedOn w:val="34"/>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3">
    <w:name w:val="Colorful List Accent 3"/>
    <w:basedOn w:val="34"/>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4">
    <w:name w:val="Colorful List Accent 4"/>
    <w:basedOn w:val="34"/>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5">
    <w:name w:val="Colorful List Accent 5"/>
    <w:basedOn w:val="34"/>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6">
    <w:name w:val="Colorful List Accent 6"/>
    <w:basedOn w:val="34"/>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7">
    <w:name w:val="Colorful Grid"/>
    <w:basedOn w:val="34"/>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8">
    <w:name w:val="Colorful Grid Accent 1"/>
    <w:basedOn w:val="34"/>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9">
    <w:name w:val="Colorful Grid Accent 2"/>
    <w:basedOn w:val="34"/>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0">
    <w:name w:val="Colorful Grid Accent 3"/>
    <w:basedOn w:val="34"/>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1">
    <w:name w:val="Colorful Grid Accent 4"/>
    <w:basedOn w:val="34"/>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2">
    <w:name w:val="Colorful Grid Accent 5"/>
    <w:basedOn w:val="34"/>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3">
    <w:name w:val="Colorful Grid Accent 6"/>
    <w:basedOn w:val="34"/>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5">
    <w:name w:val="Strong"/>
    <w:basedOn w:val="134"/>
    <w:qFormat/>
    <w:uiPriority w:val="22"/>
    <w:rPr>
      <w:b/>
      <w:bCs/>
    </w:rPr>
  </w:style>
  <w:style w:type="character" w:styleId="136">
    <w:name w:val="Emphasis"/>
    <w:basedOn w:val="134"/>
    <w:qFormat/>
    <w:uiPriority w:val="20"/>
    <w:rPr>
      <w:i/>
      <w:iCs/>
    </w:rPr>
  </w:style>
  <w:style w:type="character" w:customStyle="1" w:styleId="137">
    <w:name w:val="Header Char"/>
    <w:basedOn w:val="134"/>
    <w:link w:val="27"/>
    <w:qFormat/>
    <w:uiPriority w:val="99"/>
  </w:style>
  <w:style w:type="character" w:customStyle="1" w:styleId="138">
    <w:name w:val="Footer Char"/>
    <w:basedOn w:val="134"/>
    <w:link w:val="26"/>
    <w:qFormat/>
    <w:uiPriority w:val="99"/>
  </w:style>
  <w:style w:type="paragraph" w:styleId="1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0">
    <w:name w:val="Heading 1 Char"/>
    <w:basedOn w:val="134"/>
    <w:link w:val="6"/>
    <w:qFormat/>
    <w:uiPriority w:val="9"/>
    <w:rPr>
      <w:rFonts w:asciiTheme="majorHAnsi" w:hAnsiTheme="majorHAnsi" w:eastAsiaTheme="majorEastAsia" w:cstheme="majorBidi"/>
      <w:b/>
      <w:bCs/>
      <w:color w:val="376092" w:themeColor="accent1" w:themeShade="BF"/>
      <w:sz w:val="28"/>
      <w:szCs w:val="28"/>
    </w:rPr>
  </w:style>
  <w:style w:type="character" w:customStyle="1" w:styleId="141">
    <w:name w:val="Heading 2 Char"/>
    <w:basedOn w:val="134"/>
    <w:link w:val="7"/>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2">
    <w:name w:val="Heading 3 Char"/>
    <w:basedOn w:val="134"/>
    <w:link w:val="8"/>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3">
    <w:name w:val="Title Char"/>
    <w:basedOn w:val="134"/>
    <w:link w:val="33"/>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4">
    <w:name w:val="Subtitle Char"/>
    <w:basedOn w:val="134"/>
    <w:link w:val="28"/>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5">
    <w:name w:val="List Paragraph"/>
    <w:basedOn w:val="1"/>
    <w:qFormat/>
    <w:uiPriority w:val="34"/>
    <w:pPr>
      <w:ind w:left="720"/>
      <w:contextualSpacing/>
    </w:pPr>
  </w:style>
  <w:style w:type="character" w:customStyle="1" w:styleId="146">
    <w:name w:val="Body Text Char"/>
    <w:basedOn w:val="134"/>
    <w:link w:val="4"/>
    <w:qFormat/>
    <w:uiPriority w:val="99"/>
  </w:style>
  <w:style w:type="character" w:customStyle="1" w:styleId="147">
    <w:name w:val="Body Text 2 Char"/>
    <w:basedOn w:val="134"/>
    <w:link w:val="30"/>
    <w:qFormat/>
    <w:uiPriority w:val="99"/>
  </w:style>
  <w:style w:type="character" w:customStyle="1" w:styleId="148">
    <w:name w:val="Body Text 3 Char"/>
    <w:basedOn w:val="134"/>
    <w:link w:val="20"/>
    <w:qFormat/>
    <w:uiPriority w:val="99"/>
    <w:rPr>
      <w:sz w:val="16"/>
      <w:szCs w:val="16"/>
    </w:rPr>
  </w:style>
  <w:style w:type="character" w:customStyle="1" w:styleId="149">
    <w:name w:val="Macro Text Char"/>
    <w:basedOn w:val="134"/>
    <w:link w:val="5"/>
    <w:qFormat/>
    <w:uiPriority w:val="99"/>
    <w:rPr>
      <w:rFonts w:ascii="Courier" w:hAnsi="Courier"/>
      <w:sz w:val="20"/>
      <w:szCs w:val="20"/>
    </w:rPr>
  </w:style>
  <w:style w:type="paragraph" w:styleId="150">
    <w:name w:val="Quote"/>
    <w:basedOn w:val="1"/>
    <w:next w:val="1"/>
    <w:link w:val="151"/>
    <w:qFormat/>
    <w:uiPriority w:val="29"/>
    <w:rPr>
      <w:i/>
      <w:iCs/>
      <w:color w:val="000000" w:themeColor="text1"/>
      <w14:textFill>
        <w14:solidFill>
          <w14:schemeClr w14:val="tx1"/>
        </w14:solidFill>
      </w14:textFill>
    </w:rPr>
  </w:style>
  <w:style w:type="character" w:customStyle="1" w:styleId="151">
    <w:name w:val="Quote Char"/>
    <w:basedOn w:val="134"/>
    <w:link w:val="150"/>
    <w:qFormat/>
    <w:uiPriority w:val="29"/>
    <w:rPr>
      <w:i/>
      <w:iCs/>
      <w:color w:val="000000" w:themeColor="text1"/>
      <w14:textFill>
        <w14:solidFill>
          <w14:schemeClr w14:val="tx1"/>
        </w14:solidFill>
      </w14:textFill>
    </w:rPr>
  </w:style>
  <w:style w:type="character" w:customStyle="1" w:styleId="152">
    <w:name w:val="Heading 4 Char"/>
    <w:basedOn w:val="134"/>
    <w:link w:val="9"/>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3">
    <w:name w:val="Heading 5 Char"/>
    <w:basedOn w:val="134"/>
    <w:link w:val="10"/>
    <w:semiHidden/>
    <w:qFormat/>
    <w:uiPriority w:val="9"/>
    <w:rPr>
      <w:rFonts w:asciiTheme="majorHAnsi" w:hAnsiTheme="majorHAnsi" w:eastAsiaTheme="majorEastAsia" w:cstheme="majorBidi"/>
      <w:color w:val="254061" w:themeColor="accent1" w:themeShade="80"/>
    </w:rPr>
  </w:style>
  <w:style w:type="character" w:customStyle="1" w:styleId="154">
    <w:name w:val="Heading 6 Char"/>
    <w:basedOn w:val="134"/>
    <w:link w:val="11"/>
    <w:semiHidden/>
    <w:qFormat/>
    <w:uiPriority w:val="9"/>
    <w:rPr>
      <w:rFonts w:asciiTheme="majorHAnsi" w:hAnsiTheme="majorHAnsi" w:eastAsiaTheme="majorEastAsia" w:cstheme="majorBidi"/>
      <w:i/>
      <w:iCs/>
      <w:color w:val="254061" w:themeColor="accent1" w:themeShade="80"/>
    </w:rPr>
  </w:style>
  <w:style w:type="character" w:customStyle="1" w:styleId="155">
    <w:name w:val="Heading 7 Char"/>
    <w:basedOn w:val="134"/>
    <w:link w:val="12"/>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6">
    <w:name w:val="Heading 8 Char"/>
    <w:basedOn w:val="134"/>
    <w:link w:val="13"/>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7">
    <w:name w:val="Heading 9 Char"/>
    <w:basedOn w:val="134"/>
    <w:link w:val="14"/>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8">
    <w:name w:val="Intense Quote"/>
    <w:basedOn w:val="1"/>
    <w:next w:val="1"/>
    <w:link w:val="1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9">
    <w:name w:val="Intense Quote Char"/>
    <w:basedOn w:val="134"/>
    <w:link w:val="158"/>
    <w:qFormat/>
    <w:uiPriority w:val="30"/>
    <w:rPr>
      <w:b/>
      <w:bCs/>
      <w:i/>
      <w:iCs/>
      <w:color w:val="4F81BD" w:themeColor="accent1"/>
      <w14:textFill>
        <w14:solidFill>
          <w14:schemeClr w14:val="accent1"/>
        </w14:solidFill>
      </w14:textFill>
    </w:rPr>
  </w:style>
  <w:style w:type="character" w:customStyle="1" w:styleId="160">
    <w:name w:val="Subtle Emphasis"/>
    <w:basedOn w:val="134"/>
    <w:qFormat/>
    <w:uiPriority w:val="19"/>
    <w:rPr>
      <w:i/>
      <w:iCs/>
      <w:color w:val="808080" w:themeColor="text1" w:themeTint="80"/>
      <w14:textFill>
        <w14:solidFill>
          <w14:schemeClr w14:val="tx1">
            <w14:lumMod w14:val="50000"/>
            <w14:lumOff w14:val="50000"/>
          </w14:schemeClr>
        </w14:solidFill>
      </w14:textFill>
    </w:rPr>
  </w:style>
  <w:style w:type="character" w:customStyle="1" w:styleId="161">
    <w:name w:val="Intense Emphasis"/>
    <w:basedOn w:val="134"/>
    <w:qFormat/>
    <w:uiPriority w:val="21"/>
    <w:rPr>
      <w:b/>
      <w:bCs/>
      <w:i/>
      <w:iCs/>
      <w:color w:val="4F81BD" w:themeColor="accent1"/>
      <w14:textFill>
        <w14:solidFill>
          <w14:schemeClr w14:val="accent1"/>
        </w14:solidFill>
      </w14:textFill>
    </w:rPr>
  </w:style>
  <w:style w:type="character" w:customStyle="1" w:styleId="162">
    <w:name w:val="Subtle Reference"/>
    <w:basedOn w:val="134"/>
    <w:qFormat/>
    <w:uiPriority w:val="31"/>
    <w:rPr>
      <w:smallCaps/>
      <w:color w:val="C0504D" w:themeColor="accent2"/>
      <w:u w:val="single"/>
      <w14:textFill>
        <w14:solidFill>
          <w14:schemeClr w14:val="accent2"/>
        </w14:solidFill>
      </w14:textFill>
    </w:rPr>
  </w:style>
  <w:style w:type="character" w:customStyle="1" w:styleId="163">
    <w:name w:val="Intense Reference"/>
    <w:basedOn w:val="134"/>
    <w:qFormat/>
    <w:uiPriority w:val="32"/>
    <w:rPr>
      <w:b/>
      <w:bCs/>
      <w:smallCaps/>
      <w:color w:val="C0504D" w:themeColor="accent2"/>
      <w:spacing w:val="5"/>
      <w:u w:val="single"/>
      <w14:textFill>
        <w14:solidFill>
          <w14:schemeClr w14:val="accent2"/>
        </w14:solidFill>
      </w14:textFill>
    </w:rPr>
  </w:style>
  <w:style w:type="character" w:customStyle="1" w:styleId="164">
    <w:name w:val="Book Title"/>
    <w:basedOn w:val="134"/>
    <w:qFormat/>
    <w:uiPriority w:val="33"/>
    <w:rPr>
      <w:b/>
      <w:bCs/>
      <w:smallCaps/>
      <w:spacing w:val="5"/>
    </w:rPr>
  </w:style>
  <w:style w:type="paragraph" w:customStyle="1" w:styleId="165">
    <w:name w:val="TOC Heading"/>
    <w:basedOn w:val="6"/>
    <w:next w:val="1"/>
    <w:semiHidden/>
    <w:unhideWhenUsed/>
    <w:qFormat/>
    <w:uiPriority w:val="39"/>
    <w:pPr>
      <w:outlineLvl w:val="9"/>
    </w:pPr>
  </w:style>
  <w:style w:type="paragraph" w:customStyle="1" w:styleId="166">
    <w:name w:val="迪正文"/>
    <w:basedOn w:val="1"/>
    <w:next w:val="1"/>
    <w:qFormat/>
    <w:uiPriority w:val="0"/>
    <w:pPr>
      <w:spacing w:line="360" w:lineRule="auto"/>
      <w:ind w:firstLine="560" w:firstLineChars="200"/>
    </w:pPr>
    <w:rPr>
      <w:snapToGrid/>
      <w:spacing w:val="0"/>
      <w:sz w:val="20"/>
      <w:szCs w:val="20"/>
    </w:rPr>
  </w:style>
  <w:style w:type="paragraph" w:customStyle="1" w:styleId="167">
    <w:name w:val="1正文段落"/>
    <w:basedOn w:val="1"/>
    <w:qFormat/>
    <w:uiPriority w:val="0"/>
    <w:pPr>
      <w:spacing w:line="360" w:lineRule="auto"/>
      <w:ind w:firstLine="200" w:firstLineChars="200"/>
    </w:pPr>
    <w:rPr>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tint val="100000"/>
                <a:shade val="100000"/>
                <a:satMod val="130000"/>
              </a:schemeClr>
            </a:gs>
            <a:gs pos="100000">
              <a:schemeClr val="phClr">
                <a:tint val="50000"/>
                <a:shade val="100000"/>
                <a:satMod val="350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1940</Words>
  <Characters>2129</Characters>
  <Lines>0</Lines>
  <Paragraphs>0</Paragraphs>
  <TotalTime>2</TotalTime>
  <ScaleCrop>false</ScaleCrop>
  <LinksUpToDate>false</LinksUpToDate>
  <CharactersWithSpaces>2203</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2013-12-24T07:15:00Z</dcterms:created>
  <dc:creator>python-docx</dc:creator>
  <dc:description>generated by python-docx</dc:description>
  <cp:lastModifiedBy>user</cp:lastModifiedBy>
  <dcterms:modified xsi:type="dcterms:W3CDTF">2026-10-08T16:34:12Z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{"Label":"1","ContentProducer":"001191440300708461136T1IVWN","ProduceID":"c4248445816919e31fb729576e8cc918-c5bbf04a6b9282eabc880a3bc4886fc9ae693aeb","ReservedCode1":"{\"Type\":\" TC260PG\",\"Version\":1,\"Bindings\":[{\"Type\":\"soft\",\"AlgID\":\"sm3\",\"Value\":\"de7591af0e39a8b7d4809c5fce4aa5e7b54797d35c75bacb75c39706f67d560c\"},{\"Type\":\"hash\",\"AlgID\":\"sm3\",\"Value\":\"bb516b92a065738462374d9c440084b7dfe69c185ef19e2fe10cb016d8659523\"}],\"PubSD\":[{\"Type\":\"DS\",\"AlgID\":\"sm2\",\"TBSData\":{\"Type\":\"Binding\",\"BType\":\"hash\"},\"Signature\":\"3046022100afebfe872466944375eb26235326c9d6923a5671f96572fc7bab5b339a990b20022100e14738a5ea0bd3747439924ab2d667577d37698690d8f5c1b08bc0dd6ae54812\"},{\"Type\":\"PubKey\",\"AlgID\":\"sm2\",\"KeyValue\":\"0407f79b28a17a752b3aae4305c98b48978213832729a2571850b1310b2bc9fe8fee039ccf25ebfeac27502414d9fcef792d777183c98893d226171c2f7a3289a2\"}],\"Extension\":{\"Timestamp\":1773710436,\"KeyVersion\":\"v1-Owd2uMESYLo311\"}}","ContentPropagator":"001191440300708461136T1IVWN","PropagateID":"c4248445816919e31fb729576e8cc918-c5bbf04a6b9282eabc880a3bc4886fc9ae693aeb","ReservedCode2":"{\"Type\":\" TC260PG\",\"Version\":1,\"Bindings\":[{\"Type\":\"soft\",\"AlgID\":\"sm3\",\"Value\":\"de7591af0e39a8b7d4809c5fce4aa5e7b54797d35c75bacb75c39706f67d560c\"},{\"Type\":\"hash\",\"AlgID\":\"sm3\",\"Value\":\"bb516b92a065738462374d9c440084b7dfe69c185ef19e2fe10cb016d8659523\"}],\"PubSD\":[{\"Type\":\"DS\",\"AlgID\":\"sm2\",\"TBSData\":{\"Type\":\"Binding\",\"BType\":\"hash\"},\"Signature\":\"304402201543c106660e98e676f27afb8ddd89f1c17d3bcced8847b9760a57ec9202ad03022038695c68e387cecd2e0ec26eee938b20c75c57e1a13c208eb3232c7d82e124b4\"},{\"Type\":\"PubKey\",\"AlgID\":\"sm2\",\"KeyValue\":\"0407f79b28a17a752b3aae4305c98b48978213832729a2571850b1310b2bc9fe8fee039ccf25ebfeac27502414d9fcef792d777183c98893d226171c2f7a3289a2\"}],\"Extension\":{\"Timestamp\":1773710436,\"KeyVersion\":\"v1-Owd2uMESYLo311\"}}"}</vt:lpwstr>
  </property>
  <property fmtid="{D5CDD505-2E9C-101B-9397-08002B2CF9AE}" pid="3" name="KSOTemplateDocerSaveRecord">
    <vt:lpwstr>eyJoZGlkIjoiMjgxYzU0NDJlNDI1YWI5NjI1MjM4NzM4OTJjMzZiMDIiLCJ1c2VySWQiOiIxMTQyNjcxNTM1In0=</vt:lpwstr>
  </property>
  <property fmtid="{D5CDD505-2E9C-101B-9397-08002B2CF9AE}" pid="4" name="KSOProductBuildVer">
    <vt:lpwstr>2052-11.8.2.10337</vt:lpwstr>
  </property>
  <property fmtid="{D5CDD505-2E9C-101B-9397-08002B2CF9AE}" pid="5" name="ICV">
    <vt:lpwstr>EBD806AA50DB41EA813F05D9E2AEAD30_12</vt:lpwstr>
  </property>
</Properties>
</file>