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14C04">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14:paraId="0130EF48">
      <w:pPr>
        <w:rPr>
          <w:rFonts w:ascii="仿宋_GB2312" w:hAnsi="仿宋_GB2312" w:eastAsia="仿宋_GB2312" w:cs="仿宋_GB2312"/>
          <w:sz w:val="52"/>
          <w:szCs w:val="52"/>
        </w:rPr>
      </w:pPr>
    </w:p>
    <w:p w14:paraId="6B6E2C94">
      <w:pPr>
        <w:jc w:val="center"/>
        <w:rPr>
          <w:rFonts w:hint="eastAsia" w:ascii="仿宋_GB2312" w:hAnsi="仿宋_GB2312" w:eastAsia="仿宋_GB2312" w:cs="仿宋_GB2312"/>
          <w:color w:val="000000"/>
          <w:sz w:val="32"/>
        </w:rPr>
      </w:pPr>
      <w:r>
        <w:rPr>
          <w:rFonts w:hint="eastAsia" w:ascii="仿宋_GB2312" w:hAnsi="仿宋_GB2312" w:eastAsia="仿宋_GB2312" w:cs="仿宋_GB2312"/>
          <w:sz w:val="32"/>
        </w:rPr>
        <w:t xml:space="preserve">                            阜环审〔</w:t>
      </w:r>
      <w:r>
        <w:rPr>
          <w:rFonts w:hint="eastAsia" w:ascii="仿宋_GB2312" w:hAnsi="仿宋_GB2312" w:eastAsia="仿宋_GB2312" w:cs="仿宋_GB2312"/>
          <w:spacing w:val="-10"/>
          <w:sz w:val="32"/>
          <w:szCs w:val="32"/>
          <w:lang w:val="en-US" w:eastAsia="zh-CN"/>
        </w:rPr>
        <w:t>2026</w:t>
      </w:r>
      <w:r>
        <w:rPr>
          <w:rFonts w:hint="eastAsia" w:ascii="仿宋_GB2312" w:hAnsi="仿宋_GB2312" w:eastAsia="仿宋_GB2312" w:cs="仿宋_GB2312"/>
          <w:sz w:val="32"/>
        </w:rPr>
        <w:t>〕</w:t>
      </w:r>
      <w:r>
        <w:rPr>
          <w:rFonts w:hint="eastAsia" w:ascii="仿宋_GB2312" w:hAnsi="仿宋_GB2312" w:eastAsia="仿宋_GB2312" w:cs="仿宋_GB2312"/>
          <w:sz w:val="32"/>
          <w:lang w:val="en-US" w:eastAsia="zh-CN"/>
        </w:rPr>
        <w:t>25</w:t>
      </w:r>
      <w:r>
        <w:rPr>
          <w:rFonts w:hint="eastAsia" w:ascii="仿宋_GB2312" w:hAnsi="仿宋_GB2312" w:eastAsia="仿宋_GB2312" w:cs="仿宋_GB2312"/>
          <w:color w:val="000000"/>
          <w:sz w:val="32"/>
        </w:rPr>
        <w:t>号</w:t>
      </w:r>
    </w:p>
    <w:p w14:paraId="33E53A1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rPr>
        <w:t>关于《</w:t>
      </w:r>
      <w:r>
        <w:rPr>
          <w:rFonts w:hint="eastAsia" w:ascii="方正小标宋简体" w:hAnsi="方正小标宋简体" w:eastAsia="方正小标宋简体" w:cs="方正小标宋简体"/>
          <w:color w:val="000000"/>
          <w:sz w:val="44"/>
          <w:szCs w:val="44"/>
          <w:lang w:eastAsia="zh-CN"/>
        </w:rPr>
        <w:t>阜新广通皮革鞣制加工有限公司年</w:t>
      </w:r>
    </w:p>
    <w:p w14:paraId="539BA0B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加工40万标张牛皮、300万标张羊皮</w:t>
      </w:r>
    </w:p>
    <w:p w14:paraId="2F3B953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鞣制及后续整理加工项目环境</w:t>
      </w:r>
    </w:p>
    <w:p w14:paraId="2BF3B44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影响报告书</w:t>
      </w:r>
      <w:r>
        <w:rPr>
          <w:rFonts w:hint="eastAsia" w:ascii="方正小标宋简体" w:hAnsi="方正小标宋简体" w:eastAsia="方正小标宋简体" w:cs="方正小标宋简体"/>
          <w:color w:val="000000"/>
          <w:sz w:val="44"/>
          <w:szCs w:val="44"/>
        </w:rPr>
        <w:t>》的批复</w:t>
      </w:r>
    </w:p>
    <w:p w14:paraId="72D943E1">
      <w:pPr>
        <w:jc w:val="center"/>
        <w:rPr>
          <w:rFonts w:ascii="宋体" w:hAnsi="宋体" w:eastAsia="宋体" w:cs="宋体"/>
          <w:sz w:val="32"/>
          <w:szCs w:val="32"/>
        </w:rPr>
      </w:pPr>
    </w:p>
    <w:p w14:paraId="3346EE1E">
      <w:pPr>
        <w:keepNext w:val="0"/>
        <w:keepLines w:val="0"/>
        <w:pageBreakBefore w:val="0"/>
        <w:kinsoku/>
        <w:wordWrap/>
        <w:overflowPunct/>
        <w:topLinePunct w:val="0"/>
        <w:autoSpaceDE/>
        <w:autoSpaceDN/>
        <w:bidi w:val="0"/>
        <w:spacing w:line="576" w:lineRule="exact"/>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阜新广通皮革鞣制加工有限公司：</w:t>
      </w:r>
    </w:p>
    <w:p w14:paraId="224730B9">
      <w:pPr>
        <w:keepNext w:val="0"/>
        <w:keepLines w:val="0"/>
        <w:pageBreakBefore w:val="0"/>
        <w:tabs>
          <w:tab w:val="left" w:pos="3500"/>
        </w:tabs>
        <w:kinsoku/>
        <w:wordWrap/>
        <w:overflowPunct/>
        <w:topLinePunct w:val="0"/>
        <w:autoSpaceDE/>
        <w:autoSpaceDN/>
        <w:bidi w:val="0"/>
        <w:spacing w:line="576"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你单位报送的《阜新广通皮革鞣制加工有限公司年加工40万标张牛皮、300万标张羊皮鞣制及后续整理加工项目环境影响报告书》（以下简称《报告</w:t>
      </w:r>
      <w:r>
        <w:rPr>
          <w:rFonts w:hint="eastAsia" w:ascii="仿宋_GB2312" w:hAnsi="仿宋_GB2312" w:eastAsia="仿宋_GB2312" w:cs="仿宋_GB2312"/>
          <w:color w:val="auto"/>
          <w:spacing w:val="-10"/>
          <w:sz w:val="32"/>
          <w:szCs w:val="32"/>
          <w:lang w:eastAsia="zh-CN"/>
        </w:rPr>
        <w:t>书</w:t>
      </w:r>
      <w:r>
        <w:rPr>
          <w:rFonts w:hint="eastAsia" w:ascii="仿宋_GB2312" w:hAnsi="仿宋_GB2312" w:eastAsia="仿宋_GB2312" w:cs="仿宋_GB2312"/>
          <w:color w:val="auto"/>
          <w:spacing w:val="-10"/>
          <w:sz w:val="32"/>
          <w:szCs w:val="32"/>
        </w:rPr>
        <w:t>》）及申请收悉，经我局建设项目审查委员会研究，批复如下：</w:t>
      </w:r>
    </w:p>
    <w:p w14:paraId="43490968">
      <w:pPr>
        <w:keepNext w:val="0"/>
        <w:keepLines w:val="0"/>
        <w:pageBreakBefore w:val="0"/>
        <w:numPr>
          <w:ilvl w:val="0"/>
          <w:numId w:val="1"/>
        </w:numPr>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本项目位于阜新市</w:t>
      </w:r>
      <w:r>
        <w:rPr>
          <w:rFonts w:hint="eastAsia" w:ascii="仿宋_GB2312" w:hAnsi="仿宋_GB2312" w:eastAsia="仿宋_GB2312" w:cs="仿宋_GB2312"/>
          <w:color w:val="auto"/>
          <w:spacing w:val="-10"/>
          <w:sz w:val="32"/>
          <w:szCs w:val="32"/>
          <w:lang w:eastAsia="zh-CN"/>
        </w:rPr>
        <w:t>清河门区</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总占地面积19591.7平方米。项目租用富国（德裕）厂区内牛皮水厂车间和牛皮整理车间进行内部分区改造，共建设四条生产线，生产工艺包括准备阶段（浸水、浸灰、脱灰软化）鞣制工段（浸酸-鞣制）、整饰阶段（包括干整饰和湿整饰工序）等工序，同步建设配套储运及环保工程等。项目建成后年加工牛皮4</w:t>
      </w:r>
      <w:r>
        <w:rPr>
          <w:rFonts w:hint="eastAsia" w:ascii="仿宋_GB2312" w:hAnsi="仿宋_GB2312" w:eastAsia="仿宋_GB2312" w:cs="仿宋_GB2312"/>
          <w:color w:val="auto"/>
          <w:spacing w:val="-10"/>
          <w:sz w:val="32"/>
          <w:szCs w:val="32"/>
          <w:lang w:val="en-US" w:eastAsia="zh-CN"/>
        </w:rPr>
        <w:t>0</w:t>
      </w:r>
      <w:r>
        <w:rPr>
          <w:rFonts w:hint="eastAsia" w:ascii="仿宋_GB2312" w:hAnsi="仿宋_GB2312" w:eastAsia="仿宋_GB2312" w:cs="仿宋_GB2312"/>
          <w:color w:val="auto"/>
          <w:spacing w:val="-10"/>
          <w:sz w:val="32"/>
          <w:szCs w:val="32"/>
          <w:lang w:eastAsia="zh-CN"/>
        </w:rPr>
        <w:t>万标张、羊皮300万标张。项目总投资</w:t>
      </w:r>
      <w:r>
        <w:rPr>
          <w:rFonts w:hint="eastAsia" w:ascii="仿宋_GB2312" w:hAnsi="仿宋_GB2312" w:eastAsia="仿宋_GB2312" w:cs="仿宋_GB2312"/>
          <w:color w:val="auto"/>
          <w:spacing w:val="-10"/>
          <w:sz w:val="32"/>
          <w:szCs w:val="32"/>
          <w:lang w:val="en-US" w:eastAsia="zh-CN"/>
        </w:rPr>
        <w:t>2800万元，其中环保投资475.7万元。</w:t>
      </w:r>
    </w:p>
    <w:p w14:paraId="2EDEA259">
      <w:pPr>
        <w:keepNext w:val="0"/>
        <w:keepLines w:val="0"/>
        <w:pageBreakBefore w:val="0"/>
        <w:numPr>
          <w:ilvl w:val="0"/>
          <w:numId w:val="0"/>
        </w:numPr>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10"/>
          <w:sz w:val="32"/>
          <w:szCs w:val="32"/>
        </w:rPr>
        <w:t>二、阜新市生态环境保护服务中心以《关于阜新广通皮革鞣制加工有限公司年加工40万标张牛皮、300万标张羊皮鞣制及后续整理加工项目环境影响报告书的评估意见》（阜环评估</w:t>
      </w:r>
      <w:r>
        <w:rPr>
          <w:rFonts w:hint="eastAsia" w:ascii="仿宋_GB2312" w:hAnsi="仿宋_GB2312" w:eastAsia="仿宋_GB2312" w:cs="仿宋_GB2312"/>
          <w:color w:val="auto"/>
          <w:spacing w:val="-10"/>
          <w:sz w:val="32"/>
          <w:szCs w:val="32"/>
          <w:lang w:eastAsia="zh-CN"/>
        </w:rPr>
        <w:t>〔2026〕80号</w:t>
      </w:r>
      <w:r>
        <w:rPr>
          <w:rFonts w:hint="eastAsia" w:ascii="仿宋_GB2312" w:hAnsi="仿宋_GB2312" w:eastAsia="仿宋_GB2312" w:cs="仿宋_GB2312"/>
          <w:color w:val="auto"/>
          <w:spacing w:val="-10"/>
          <w:sz w:val="32"/>
          <w:szCs w:val="32"/>
        </w:rPr>
        <w:t>）出具项目建设可行意见。</w:t>
      </w:r>
      <w:r>
        <w:rPr>
          <w:rFonts w:hint="eastAsia" w:ascii="仿宋_GB2312" w:hAnsi="仿宋_GB2312" w:eastAsia="仿宋_GB2312" w:cs="仿宋_GB2312"/>
          <w:color w:val="auto"/>
          <w:sz w:val="32"/>
          <w:szCs w:val="32"/>
        </w:rPr>
        <w:t>项目符合国家产业政策，符合</w:t>
      </w:r>
      <w:r>
        <w:rPr>
          <w:rFonts w:hint="eastAsia" w:ascii="仿宋_GB2312" w:hAnsi="仿宋_GB2312" w:eastAsia="仿宋_GB2312" w:cs="仿宋_GB2312"/>
          <w:color w:val="auto"/>
          <w:sz w:val="32"/>
          <w:szCs w:val="32"/>
          <w:lang w:eastAsia="zh-CN"/>
        </w:rPr>
        <w:t>相关</w:t>
      </w:r>
      <w:r>
        <w:rPr>
          <w:rFonts w:hint="eastAsia" w:ascii="仿宋_GB2312" w:hAnsi="仿宋_GB2312" w:eastAsia="仿宋_GB2312" w:cs="仿宋_GB2312"/>
          <w:color w:val="auto"/>
          <w:sz w:val="32"/>
          <w:szCs w:val="32"/>
        </w:rPr>
        <w:t>规划。在严格落实各项环境保护措施，做到污染物达标排放、有效防控生态破坏的条件下，项目在环境保护方面是可行的。</w:t>
      </w:r>
    </w:p>
    <w:p w14:paraId="6017ECD8">
      <w:pPr>
        <w:keepNext w:val="0"/>
        <w:keepLines w:val="0"/>
        <w:pageBreakBefore w:val="0"/>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三、本项目应严格按照《报告</w:t>
      </w:r>
      <w:r>
        <w:rPr>
          <w:rFonts w:hint="eastAsia" w:ascii="仿宋_GB2312" w:hAnsi="仿宋_GB2312" w:eastAsia="仿宋_GB2312" w:cs="仿宋_GB2312"/>
          <w:color w:val="auto"/>
          <w:spacing w:val="-10"/>
          <w:sz w:val="32"/>
          <w:szCs w:val="32"/>
          <w:lang w:eastAsia="zh-CN"/>
        </w:rPr>
        <w:t>书</w:t>
      </w:r>
      <w:r>
        <w:rPr>
          <w:rFonts w:hint="eastAsia" w:ascii="仿宋_GB2312" w:hAnsi="仿宋_GB2312" w:eastAsia="仿宋_GB2312" w:cs="仿宋_GB2312"/>
          <w:color w:val="auto"/>
          <w:spacing w:val="-10"/>
          <w:sz w:val="32"/>
          <w:szCs w:val="32"/>
        </w:rPr>
        <w:t>》提出的各项污染防治措施进行工程设计、建设与管理，严格执行环境保护“三同时”，应重点做好以下工作：</w:t>
      </w:r>
    </w:p>
    <w:p w14:paraId="683FDE28">
      <w:pPr>
        <w:keepNext w:val="0"/>
        <w:keepLines w:val="0"/>
        <w:pageBreakBefore w:val="0"/>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color w:val="auto"/>
          <w:spacing w:val="-10"/>
          <w:sz w:val="32"/>
          <w:szCs w:val="32"/>
        </w:rPr>
      </w:pPr>
      <w:r>
        <w:rPr>
          <w:rFonts w:hint="eastAsia" w:ascii="仿宋_GB2312" w:hAnsi="仿宋" w:eastAsia="仿宋_GB2312" w:cs="仿宋_GB2312"/>
          <w:sz w:val="32"/>
          <w:szCs w:val="32"/>
        </w:rPr>
        <w:t>（一）严格落实项目施工期的废气、废水、噪声、固废污染防治措施，保证各类污染物达标排放。</w:t>
      </w:r>
      <w:r>
        <w:rPr>
          <w:rFonts w:hint="eastAsia" w:ascii="仿宋_GB2312" w:hAnsi="仿宋_GB2312" w:eastAsia="仿宋_GB2312" w:cs="仿宋_GB2312"/>
          <w:color w:val="auto"/>
          <w:spacing w:val="-10"/>
          <w:sz w:val="32"/>
          <w:szCs w:val="32"/>
        </w:rPr>
        <w:t xml:space="preserve"> </w:t>
      </w:r>
    </w:p>
    <w:p w14:paraId="2E5BBA62">
      <w:pPr>
        <w:keepNext w:val="0"/>
        <w:keepLines w:val="0"/>
        <w:pageBreakBefore w:val="0"/>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严格落实大气污染防治措施。项目磨革废气采取封闭车间，产生颗粒物经集气罩收集，由布袋除尘器处理后通过一根17米高排气筒（DA001）有组织排放，确保满足《大气污染物综合排放标准》（GB16297-1996</w:t>
      </w:r>
      <w:bookmarkStart w:id="0" w:name="_GoBack"/>
      <w:bookmarkEnd w:id="0"/>
      <w:r>
        <w:rPr>
          <w:rFonts w:hint="eastAsia" w:ascii="仿宋_GB2312" w:hAnsi="仿宋_GB2312" w:eastAsia="仿宋_GB2312" w:cs="仿宋_GB2312"/>
          <w:color w:val="auto"/>
          <w:sz w:val="32"/>
          <w:szCs w:val="32"/>
          <w:lang w:eastAsia="zh-CN"/>
        </w:rPr>
        <w:t>）中表2要求；喷浆废气产生的颗粒物及非甲烷总烃收集进入过滤棉+二级活性炭吸附装置，处理后通过一根17米高排气筒（DA002）有组织排放，确保颗粒物满足《大气污染物综合排放标准》（GB16297-1996）中表2</w:t>
      </w:r>
      <w:r>
        <w:rPr>
          <w:rFonts w:hint="eastAsia" w:ascii="仿宋_GB2312" w:hAnsi="仿宋_GB2312" w:eastAsia="仿宋_GB2312" w:cs="仿宋_GB2312"/>
          <w:color w:val="auto"/>
          <w:sz w:val="32"/>
          <w:szCs w:val="32"/>
          <w:lang w:val="en-US" w:eastAsia="zh-CN"/>
        </w:rPr>
        <w:t>标准</w:t>
      </w:r>
      <w:r>
        <w:rPr>
          <w:rFonts w:hint="eastAsia" w:ascii="仿宋_GB2312" w:hAnsi="仿宋_GB2312" w:eastAsia="仿宋_GB2312" w:cs="仿宋_GB2312"/>
          <w:color w:val="auto"/>
          <w:sz w:val="32"/>
          <w:szCs w:val="32"/>
          <w:lang w:eastAsia="zh-CN"/>
        </w:rPr>
        <w:t>要求；非甲烷总烃满足《工业涂装工序挥发性有机物排放标准》（DB21/3160-2019）中表1及表2</w:t>
      </w:r>
      <w:r>
        <w:rPr>
          <w:rFonts w:hint="eastAsia" w:ascii="仿宋_GB2312" w:hAnsi="仿宋_GB2312" w:eastAsia="仿宋_GB2312" w:cs="仿宋_GB2312"/>
          <w:color w:val="auto"/>
          <w:sz w:val="32"/>
          <w:szCs w:val="32"/>
          <w:lang w:val="en-US" w:eastAsia="zh-CN"/>
        </w:rPr>
        <w:t>标准</w:t>
      </w:r>
      <w:r>
        <w:rPr>
          <w:rFonts w:hint="eastAsia" w:ascii="仿宋_GB2312" w:hAnsi="仿宋_GB2312" w:eastAsia="仿宋_GB2312" w:cs="仿宋_GB2312"/>
          <w:color w:val="auto"/>
          <w:sz w:val="32"/>
          <w:szCs w:val="32"/>
          <w:lang w:eastAsia="zh-CN"/>
        </w:rPr>
        <w:t>要求；污水处理站、危废贮存库和一般固废库产生的恶臭气体由引风机引出进入洗涤塔内，由碱液吸收喷淋，通过15米高排气筒排放（DA003），确保氨、硫化氢、臭气浓度满足《恶臭污染物排放标准》（GB14554-93）中表</w:t>
      </w:r>
      <w:r>
        <w:rPr>
          <w:rFonts w:hint="eastAsia" w:ascii="仿宋_GB2312" w:hAnsi="仿宋_GB2312" w:eastAsia="仿宋_GB2312" w:cs="仿宋_GB2312"/>
          <w:color w:val="auto"/>
          <w:sz w:val="32"/>
          <w:szCs w:val="32"/>
          <w:lang w:val="en-US" w:eastAsia="zh-CN"/>
        </w:rPr>
        <w:t>2标准</w:t>
      </w:r>
      <w:r>
        <w:rPr>
          <w:rFonts w:hint="eastAsia" w:ascii="仿宋_GB2312" w:hAnsi="仿宋_GB2312" w:eastAsia="仿宋_GB2312" w:cs="仿宋_GB2312"/>
          <w:color w:val="auto"/>
          <w:sz w:val="32"/>
          <w:szCs w:val="32"/>
          <w:lang w:eastAsia="zh-CN"/>
        </w:rPr>
        <w:t>要求。</w:t>
      </w:r>
    </w:p>
    <w:p w14:paraId="0839BD2D">
      <w:pPr>
        <w:keepNext w:val="0"/>
        <w:keepLines w:val="0"/>
        <w:pageBreakBefore w:val="0"/>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要求生产过程中加强维护管理，确保厂界无组织废气中颗粒物浓度满足《大气污染物综合排放标准》（GB 16297-1996）中表</w:t>
      </w:r>
      <w:r>
        <w:rPr>
          <w:rFonts w:hint="eastAsia" w:ascii="仿宋_GB2312" w:hAnsi="仿宋_GB2312" w:eastAsia="仿宋_GB2312" w:cs="仿宋_GB2312"/>
          <w:color w:val="auto"/>
          <w:sz w:val="32"/>
          <w:szCs w:val="32"/>
          <w:lang w:val="en-US" w:eastAsia="zh-CN"/>
        </w:rPr>
        <w:t>2标准</w:t>
      </w:r>
      <w:r>
        <w:rPr>
          <w:rFonts w:hint="eastAsia" w:ascii="仿宋_GB2312" w:hAnsi="仿宋_GB2312" w:eastAsia="仿宋_GB2312" w:cs="仿宋_GB2312"/>
          <w:color w:val="auto"/>
          <w:sz w:val="32"/>
          <w:szCs w:val="32"/>
          <w:lang w:eastAsia="zh-CN"/>
        </w:rPr>
        <w:t>要求，氨、硫化氢和臭气浓度满足《恶臭污染物排放标准》（GB14554-93）相关标准要求，厂界无组织非甲烷总烃浓度满足《工业涂装工序挥发性有机物排放标准》（DB21/3160-2019）中表</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标准要求。</w:t>
      </w:r>
    </w:p>
    <w:p w14:paraId="682B3A84">
      <w:pPr>
        <w:keepNext w:val="0"/>
        <w:keepLines w:val="0"/>
        <w:pageBreakBefore w:val="0"/>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三</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严格落实水污染防治措施。含铬废水由厂房内含铬废水预处理系统处理，确保满足《制革及毛皮加工工业污染物排放标准》（GB30486-2013）中的车间排口排放标准要求。含硫废水由含硫废水预处理系统处理后与综合废水、处理后的含铬废水共同进入厂区综合废水处理站，经处理达到皮革产业开发区第一污水处理厂纳管标准后排放；生活污水经厂区化粪池处理后，排入清河门区津源污水处理厂。</w:t>
      </w:r>
    </w:p>
    <w:p w14:paraId="2071B303">
      <w:pPr>
        <w:keepNext w:val="0"/>
        <w:keepLines w:val="0"/>
        <w:pageBreakBefore w:val="0"/>
        <w:kinsoku/>
        <w:wordWrap/>
        <w:overflowPunct/>
        <w:topLinePunct w:val="0"/>
        <w:autoSpaceDE/>
        <w:autoSpaceDN/>
        <w:bidi w:val="0"/>
        <w:spacing w:line="576" w:lineRule="exact"/>
        <w:ind w:firstLine="600" w:firstLineChars="200"/>
        <w:textAlignment w:val="auto"/>
        <w:rPr>
          <w:rFonts w:hint="eastAsia" w:ascii="Times New Roman" w:hAnsi="Times New Roman" w:eastAsia="仿宋_GB2312" w:cs="Times New Roman"/>
          <w:spacing w:val="-10"/>
          <w:sz w:val="32"/>
          <w:szCs w:val="32"/>
          <w:lang w:val="en-US" w:eastAsia="zh-CN"/>
        </w:rPr>
      </w:pPr>
      <w:r>
        <w:rPr>
          <w:rFonts w:hint="eastAsia" w:ascii="Times New Roman" w:hAnsi="Times New Roman" w:eastAsia="仿宋_GB2312" w:cs="Times New Roman"/>
          <w:spacing w:val="-10"/>
          <w:sz w:val="32"/>
          <w:szCs w:val="32"/>
          <w:lang w:val="en-US" w:eastAsia="zh-CN"/>
        </w:rPr>
        <w:t>结合厂区平面布置采取分区防渗措施，严格防控地下水污染。</w:t>
      </w:r>
    </w:p>
    <w:p w14:paraId="5B7D3DFF">
      <w:pPr>
        <w:keepNext w:val="0"/>
        <w:keepLines w:val="0"/>
        <w:pageBreakBefore w:val="0"/>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四</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严格落实噪声污染防治措施。选用低噪设备、对高噪声设备采取隔声、减振、优化布局等措施减少噪声对外环境的影响，确保厂界噪声满足《工业企业厂界环境噪声排放标准》（GB12348-2008）中的</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类标准要求。</w:t>
      </w:r>
    </w:p>
    <w:p w14:paraId="0A2973A3">
      <w:pPr>
        <w:keepNext w:val="0"/>
        <w:keepLines w:val="0"/>
        <w:pageBreakBefore w:val="0"/>
        <w:kinsoku/>
        <w:wordWrap/>
        <w:overflowPunct/>
        <w:topLinePunct w:val="0"/>
        <w:autoSpaceDE/>
        <w:autoSpaceDN/>
        <w:bidi w:val="0"/>
        <w:spacing w:line="576" w:lineRule="exact"/>
        <w:ind w:firstLine="64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五</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严格落实固体废物污染防治措施。对固体废物实施分类处置处理，实现“减量化、资源化和无害化”。本项目产生的综合污泥应按《报告书》确定的频次委托有资质单位进行鉴别，若鉴定为一般固体废物，按照一般固体废物进行暂存与处置；鉴定为危险废物，按照危险废物进行暂存与处置，未进行鉴定前按照危险废物管理；含铬废削匀渣、含铬废料、含铬污泥、沾染毒性的废包装物、废过滤棉、废活性炭、废布袋、除尘灰、废机油及其包装桶、在线监测废液为危险废物，应严格按照《危险废物贮存污染控制标准》（GB18597-2023）管理项目产生的危险废物，建设满足要求的危废贮存设施，委托有资质的单位妥善处理危险废物，按规定程序办理转移手续，做好危险废物出入库记录，填写危险废物转运联单，安全转移。避免危险废物贮存、转移过程中污染环境。</w:t>
      </w:r>
    </w:p>
    <w:p w14:paraId="6E70F98D">
      <w:pPr>
        <w:keepNext w:val="0"/>
        <w:keepLines w:val="0"/>
        <w:pageBreakBefore w:val="0"/>
        <w:kinsoku/>
        <w:wordWrap/>
        <w:overflowPunct/>
        <w:topLinePunct w:val="0"/>
        <w:autoSpaceDE/>
        <w:autoSpaceDN/>
        <w:bidi w:val="0"/>
        <w:spacing w:line="576" w:lineRule="exact"/>
        <w:ind w:firstLine="640"/>
        <w:textAlignment w:val="auto"/>
        <w:rPr>
          <w:rFonts w:hint="eastAsia" w:ascii="仿宋_GB2312" w:hAnsi="仿宋" w:eastAsia="仿宋_GB2312" w:cs="仿宋_GB2312"/>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六</w:t>
      </w:r>
      <w:r>
        <w:rPr>
          <w:rFonts w:hint="eastAsia" w:ascii="仿宋_GB2312" w:hAnsi="仿宋_GB2312" w:eastAsia="仿宋_GB2312" w:cs="仿宋_GB2312"/>
          <w:color w:val="auto"/>
          <w:sz w:val="32"/>
          <w:szCs w:val="32"/>
        </w:rPr>
        <w:t>）</w:t>
      </w:r>
      <w:r>
        <w:rPr>
          <w:rFonts w:hint="eastAsia" w:ascii="仿宋_GB2312" w:hAnsi="仿宋" w:eastAsia="仿宋_GB2312" w:cs="仿宋_GB2312"/>
          <w:sz w:val="32"/>
          <w:szCs w:val="32"/>
        </w:rPr>
        <w:t>落实环境监测措施。你单位须按照国家污染源管理相关要求规范设置排污口及标识。按照《报告</w:t>
      </w:r>
      <w:r>
        <w:rPr>
          <w:rFonts w:hint="eastAsia" w:ascii="仿宋_GB2312" w:hAnsi="仿宋" w:eastAsia="仿宋_GB2312" w:cs="仿宋_GB2312"/>
          <w:sz w:val="32"/>
          <w:szCs w:val="32"/>
          <w:lang w:eastAsia="zh-CN"/>
        </w:rPr>
        <w:t>书</w:t>
      </w:r>
      <w:r>
        <w:rPr>
          <w:rFonts w:hint="eastAsia" w:ascii="仿宋_GB2312" w:hAnsi="仿宋" w:eastAsia="仿宋_GB2312" w:cs="仿宋_GB2312"/>
          <w:sz w:val="32"/>
          <w:szCs w:val="32"/>
        </w:rPr>
        <w:t>》提出的环境监测计划，委托有资质单位定期进行监测。</w:t>
      </w:r>
    </w:p>
    <w:p w14:paraId="2B32A4F2">
      <w:pPr>
        <w:keepNext w:val="0"/>
        <w:keepLines w:val="0"/>
        <w:pageBreakBefore w:val="0"/>
        <w:kinsoku/>
        <w:wordWrap/>
        <w:overflowPunct/>
        <w:topLinePunct w:val="0"/>
        <w:autoSpaceDE/>
        <w:autoSpaceDN/>
        <w:bidi w:val="0"/>
        <w:spacing w:line="576" w:lineRule="exact"/>
        <w:ind w:firstLine="600" w:firstLineChars="200"/>
        <w:textAlignment w:val="auto"/>
        <w:rPr>
          <w:rFonts w:hint="eastAsia" w:ascii="Times New Roman" w:hAnsi="Times New Roman" w:eastAsia="仿宋_GB2312" w:cs="Times New Roman"/>
          <w:spacing w:val="-10"/>
          <w:sz w:val="32"/>
          <w:szCs w:val="32"/>
          <w:lang w:eastAsia="zh-CN"/>
        </w:rPr>
      </w:pPr>
      <w:r>
        <w:rPr>
          <w:rFonts w:hint="eastAsia" w:ascii="Times New Roman" w:hAnsi="Times New Roman" w:eastAsia="仿宋_GB2312" w:cs="Times New Roman"/>
          <w:spacing w:val="-10"/>
          <w:sz w:val="32"/>
          <w:szCs w:val="32"/>
        </w:rPr>
        <w:t>（七）</w:t>
      </w:r>
      <w:r>
        <w:rPr>
          <w:rFonts w:hint="eastAsia" w:ascii="Times New Roman" w:hAnsi="Times New Roman" w:eastAsia="仿宋_GB2312" w:cs="Times New Roman"/>
          <w:spacing w:val="-10"/>
          <w:sz w:val="32"/>
          <w:szCs w:val="32"/>
          <w:lang w:eastAsia="zh-CN"/>
        </w:rPr>
        <w:t>强化环境风险防范和环保设施安全生产。</w:t>
      </w:r>
      <w:r>
        <w:rPr>
          <w:rFonts w:hint="eastAsia" w:ascii="Times New Roman" w:hAnsi="Times New Roman" w:eastAsia="仿宋_GB2312" w:cs="Times New Roman"/>
          <w:spacing w:val="-10"/>
          <w:sz w:val="32"/>
          <w:szCs w:val="32"/>
        </w:rPr>
        <w:t>应做好应急物资储备，</w:t>
      </w:r>
      <w:r>
        <w:rPr>
          <w:rFonts w:hint="eastAsia" w:ascii="Times New Roman" w:hAnsi="Times New Roman" w:eastAsia="仿宋_GB2312" w:cs="Times New Roman"/>
          <w:spacing w:val="-10"/>
          <w:sz w:val="32"/>
          <w:szCs w:val="32"/>
          <w:lang w:eastAsia="zh-CN"/>
        </w:rPr>
        <w:t>按</w:t>
      </w:r>
      <w:r>
        <w:rPr>
          <w:rFonts w:hint="eastAsia" w:ascii="Times New Roman" w:hAnsi="Times New Roman" w:eastAsia="仿宋_GB2312" w:cs="Times New Roman"/>
          <w:spacing w:val="-10"/>
          <w:sz w:val="32"/>
          <w:szCs w:val="32"/>
        </w:rPr>
        <w:t>照相关规定编制和备案突发环境事件应急预案，并与当地政府及相关部门应急预案做好衔接，定期进行环境应急培训和演练，有效防范和应对突发环境事件。严格按照《中华人民共和国安全生产</w:t>
      </w:r>
      <w:r>
        <w:rPr>
          <w:rFonts w:hint="eastAsia" w:ascii="Times New Roman" w:hAnsi="Times New Roman" w:eastAsia="仿宋_GB2312" w:cs="Times New Roman"/>
          <w:spacing w:val="-10"/>
          <w:sz w:val="32"/>
          <w:szCs w:val="32"/>
          <w:lang w:eastAsia="zh-CN"/>
        </w:rPr>
        <w:t>法》和《建设工程安全</w:t>
      </w:r>
      <w:r>
        <w:rPr>
          <w:rFonts w:hint="eastAsia" w:ascii="Times New Roman" w:hAnsi="Times New Roman" w:eastAsia="仿宋_GB2312" w:cs="Times New Roman"/>
          <w:spacing w:val="-10"/>
          <w:sz w:val="32"/>
          <w:szCs w:val="32"/>
        </w:rPr>
        <w:t>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14:paraId="0266397B">
      <w:pPr>
        <w:keepNext w:val="0"/>
        <w:keepLines w:val="0"/>
        <w:pageBreakBefore w:val="0"/>
        <w:kinsoku/>
        <w:wordWrap/>
        <w:overflowPunct/>
        <w:topLinePunct w:val="0"/>
        <w:autoSpaceDE/>
        <w:autoSpaceDN/>
        <w:bidi w:val="0"/>
        <w:spacing w:line="576"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四、其他相关要求</w:t>
      </w:r>
    </w:p>
    <w:p w14:paraId="1C3AD2D7">
      <w:pPr>
        <w:keepNext w:val="0"/>
        <w:keepLines w:val="0"/>
        <w:pageBreakBefore w:val="0"/>
        <w:kinsoku/>
        <w:wordWrap/>
        <w:overflowPunct/>
        <w:topLinePunct w:val="0"/>
        <w:autoSpaceDE/>
        <w:autoSpaceDN/>
        <w:bidi w:val="0"/>
        <w:spacing w:line="576"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z w:val="32"/>
          <w:szCs w:val="32"/>
        </w:rPr>
        <w:t>（一）严格按照《报告</w:t>
      </w:r>
      <w:r>
        <w:rPr>
          <w:rFonts w:hint="eastAsia" w:ascii="仿宋_GB2312" w:hAnsi="仿宋_GB2312" w:eastAsia="仿宋_GB2312" w:cs="仿宋_GB2312"/>
          <w:color w:val="auto"/>
          <w:sz w:val="32"/>
          <w:szCs w:val="32"/>
          <w:lang w:eastAsia="zh-CN"/>
        </w:rPr>
        <w:t>书</w:t>
      </w:r>
      <w:r>
        <w:rPr>
          <w:rFonts w:hint="eastAsia" w:ascii="仿宋_GB2312" w:hAnsi="仿宋_GB2312" w:eastAsia="仿宋_GB2312" w:cs="仿宋_GB2312"/>
          <w:color w:val="auto"/>
          <w:sz w:val="32"/>
          <w:szCs w:val="32"/>
        </w:rPr>
        <w:t>》所列建设内容进行建设，在建设地点、性质、规模、工艺、污染防治和生态保护等措施发生重大变动时需重新进行环境影响评价。</w:t>
      </w:r>
    </w:p>
    <w:p w14:paraId="2495DA64">
      <w:pPr>
        <w:keepNext w:val="0"/>
        <w:keepLines w:val="0"/>
        <w:pageBreakBefore w:val="0"/>
        <w:kinsoku/>
        <w:wordWrap/>
        <w:overflowPunct/>
        <w:topLinePunct w:val="0"/>
        <w:autoSpaceDE/>
        <w:autoSpaceDN/>
        <w:bidi w:val="0"/>
        <w:spacing w:line="576"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（二）在工程施工和运行过程中，需建立畅通的公众参与平台，及时解决公众担忧的环境问题，满足公众合理的环境诉求。定期发布环境信息，并主动接受社会监督。建设期和运营期若发生环境扰民投诉案件，你</w:t>
      </w:r>
      <w:r>
        <w:rPr>
          <w:rFonts w:hint="eastAsia" w:ascii="仿宋_GB2312" w:hAnsi="仿宋_GB2312" w:eastAsia="仿宋_GB2312" w:cs="仿宋_GB2312"/>
          <w:color w:val="auto"/>
          <w:spacing w:val="-10"/>
          <w:sz w:val="32"/>
          <w:szCs w:val="32"/>
          <w:lang w:eastAsia="zh-CN"/>
        </w:rPr>
        <w:t>单位</w:t>
      </w:r>
      <w:r>
        <w:rPr>
          <w:rFonts w:hint="eastAsia" w:ascii="仿宋_GB2312" w:hAnsi="仿宋_GB2312" w:eastAsia="仿宋_GB2312" w:cs="仿宋_GB2312"/>
          <w:color w:val="auto"/>
          <w:spacing w:val="-10"/>
          <w:sz w:val="32"/>
          <w:szCs w:val="32"/>
        </w:rPr>
        <w:t>须积极配合地方政府妥善解决。</w:t>
      </w:r>
    </w:p>
    <w:p w14:paraId="36865159">
      <w:pPr>
        <w:keepNext w:val="0"/>
        <w:keepLines w:val="0"/>
        <w:pageBreakBefore w:val="0"/>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z w:val="32"/>
          <w:szCs w:val="32"/>
          <w:shd w:val="clear" w:color="auto" w:fill="FFFFFF"/>
          <w:lang w:eastAsia="zh-CN"/>
        </w:rPr>
      </w:pPr>
      <w:r>
        <w:rPr>
          <w:rFonts w:hint="eastAsia" w:ascii="仿宋_GB2312" w:hAnsi="仿宋_GB2312" w:eastAsia="仿宋_GB2312" w:cs="仿宋_GB2312"/>
          <w:color w:val="auto"/>
          <w:spacing w:val="-10"/>
          <w:sz w:val="32"/>
          <w:szCs w:val="32"/>
        </w:rPr>
        <w:t>（三）</w:t>
      </w:r>
      <w:r>
        <w:rPr>
          <w:rFonts w:hint="eastAsia" w:ascii="仿宋_GB2312" w:hAnsi="仿宋_GB2312" w:eastAsia="仿宋_GB2312" w:cs="仿宋_GB2312"/>
          <w:color w:val="auto"/>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r>
        <w:rPr>
          <w:rFonts w:hint="eastAsia" w:ascii="仿宋_GB2312" w:hAnsi="仿宋_GB2312" w:eastAsia="仿宋_GB2312" w:cs="仿宋_GB2312"/>
          <w:color w:val="auto"/>
          <w:sz w:val="32"/>
          <w:szCs w:val="32"/>
          <w:shd w:val="clear" w:color="auto" w:fill="FFFFFF"/>
          <w:lang w:eastAsia="zh-CN"/>
        </w:rPr>
        <w:t>。</w:t>
      </w:r>
    </w:p>
    <w:p w14:paraId="2AEFF4B5">
      <w:pPr>
        <w:keepNext w:val="0"/>
        <w:keepLines w:val="0"/>
        <w:pageBreakBefore w:val="0"/>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四</w:t>
      </w:r>
      <w:r>
        <w:rPr>
          <w:rFonts w:hint="eastAsia" w:ascii="仿宋_GB2312" w:hAnsi="仿宋_GB2312" w:eastAsia="仿宋_GB2312" w:cs="仿宋_GB2312"/>
          <w:color w:val="auto"/>
          <w:spacing w:val="-10"/>
          <w:sz w:val="32"/>
          <w:szCs w:val="32"/>
        </w:rPr>
        <w:t>）在启动生产设施或者发生实际排污之前，按照相关要求</w:t>
      </w:r>
      <w:r>
        <w:rPr>
          <w:rFonts w:hint="eastAsia" w:ascii="仿宋_GB2312" w:hAnsi="仿宋_GB2312" w:eastAsia="仿宋_GB2312" w:cs="仿宋_GB2312"/>
          <w:color w:val="auto"/>
          <w:spacing w:val="-10"/>
          <w:sz w:val="32"/>
          <w:szCs w:val="32"/>
          <w:lang w:eastAsia="zh-CN"/>
        </w:rPr>
        <w:t>办理</w:t>
      </w:r>
      <w:r>
        <w:rPr>
          <w:rFonts w:hint="eastAsia" w:ascii="仿宋_GB2312" w:hAnsi="仿宋_GB2312" w:eastAsia="仿宋_GB2312" w:cs="仿宋_GB2312"/>
          <w:color w:val="auto"/>
          <w:spacing w:val="-10"/>
          <w:sz w:val="32"/>
          <w:szCs w:val="32"/>
        </w:rPr>
        <w:t>排污许可</w:t>
      </w:r>
      <w:r>
        <w:rPr>
          <w:rFonts w:hint="eastAsia" w:ascii="仿宋_GB2312" w:hAnsi="仿宋_GB2312" w:eastAsia="仿宋_GB2312" w:cs="仿宋_GB2312"/>
          <w:color w:val="auto"/>
          <w:spacing w:val="-10"/>
          <w:sz w:val="32"/>
          <w:szCs w:val="32"/>
          <w:lang w:eastAsia="zh-CN"/>
        </w:rPr>
        <w:t>手续</w:t>
      </w:r>
      <w:r>
        <w:rPr>
          <w:rFonts w:hint="eastAsia" w:ascii="仿宋_GB2312" w:hAnsi="仿宋_GB2312" w:eastAsia="仿宋_GB2312" w:cs="仿宋_GB2312"/>
          <w:color w:val="auto"/>
          <w:spacing w:val="-10"/>
          <w:sz w:val="32"/>
          <w:szCs w:val="32"/>
        </w:rPr>
        <w:t>。</w:t>
      </w:r>
    </w:p>
    <w:p w14:paraId="3A804EA5">
      <w:pPr>
        <w:pStyle w:val="6"/>
        <w:keepNext w:val="0"/>
        <w:keepLines w:val="0"/>
        <w:pageBreakBefore w:val="0"/>
        <w:widowControl/>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五、阜新市生态环境保护综合行政执法队负责该项目的环境保护“三同时”监督检查及管理工作。</w:t>
      </w:r>
    </w:p>
    <w:p w14:paraId="7833483B">
      <w:pPr>
        <w:pStyle w:val="6"/>
        <w:keepNext w:val="0"/>
        <w:keepLines w:val="0"/>
        <w:pageBreakBefore w:val="0"/>
        <w:widowControl/>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rPr>
      </w:pPr>
    </w:p>
    <w:p w14:paraId="2893D2E7">
      <w:pPr>
        <w:pStyle w:val="6"/>
        <w:keepNext w:val="0"/>
        <w:keepLines w:val="0"/>
        <w:pageBreakBefore w:val="0"/>
        <w:widowControl/>
        <w:kinsoku/>
        <w:wordWrap/>
        <w:overflowPunct/>
        <w:topLinePunct w:val="0"/>
        <w:autoSpaceDE/>
        <w:autoSpaceDN/>
        <w:bidi w:val="0"/>
        <w:spacing w:line="576" w:lineRule="exact"/>
        <w:ind w:firstLine="600" w:firstLineChars="200"/>
        <w:textAlignment w:val="auto"/>
        <w:rPr>
          <w:rFonts w:hint="eastAsia" w:ascii="仿宋_GB2312" w:hAnsi="仿宋_GB2312" w:eastAsia="仿宋_GB2312" w:cs="仿宋_GB2312"/>
          <w:color w:val="auto"/>
          <w:spacing w:val="-10"/>
          <w:sz w:val="32"/>
          <w:szCs w:val="32"/>
        </w:rPr>
      </w:pPr>
    </w:p>
    <w:p w14:paraId="1AA1C08C">
      <w:pPr>
        <w:keepNext w:val="0"/>
        <w:keepLines w:val="0"/>
        <w:pageBreakBefore w:val="0"/>
        <w:kinsoku/>
        <w:wordWrap/>
        <w:overflowPunct/>
        <w:topLinePunct w:val="0"/>
        <w:autoSpaceDE/>
        <w:autoSpaceDN/>
        <w:bidi w:val="0"/>
        <w:spacing w:line="576" w:lineRule="exact"/>
        <w:jc w:val="right"/>
        <w:textAlignment w:val="auto"/>
        <w:rPr>
          <w:rFonts w:hint="eastAsia" w:ascii="仿宋_GB2312" w:hAnsi="仿宋_GB2312" w:eastAsia="仿宋_GB2312" w:cs="仿宋_GB2312"/>
          <w:color w:val="FFFFFF" w:themeColor="background1"/>
          <w:spacing w:val="-10"/>
          <w:sz w:val="32"/>
          <w:szCs w:val="32"/>
          <w14:textFill>
            <w14:solidFill>
              <w14:schemeClr w14:val="bg1"/>
            </w14:solidFill>
          </w14:textFill>
        </w:rPr>
      </w:pPr>
      <w:r>
        <w:rPr>
          <w:rFonts w:hint="eastAsia" w:ascii="仿宋_GB2312" w:hAnsi="仿宋_GB2312" w:eastAsia="仿宋_GB2312" w:cs="仿宋_GB2312"/>
          <w:color w:val="auto"/>
          <w:spacing w:val="-10"/>
          <w:sz w:val="32"/>
          <w:szCs w:val="32"/>
        </w:rPr>
        <w:t>阜新市生态环境局</w:t>
      </w:r>
      <w:r>
        <w:rPr>
          <w:rFonts w:hint="eastAsia" w:ascii="仿宋_GB2312" w:hAnsi="仿宋_GB2312" w:eastAsia="仿宋_GB2312" w:cs="仿宋_GB2312"/>
          <w:color w:val="FFFFFF" w:themeColor="background1"/>
          <w:spacing w:val="-10"/>
          <w:sz w:val="32"/>
          <w:szCs w:val="32"/>
          <w14:textFill>
            <w14:solidFill>
              <w14:schemeClr w14:val="bg1"/>
            </w14:solidFill>
          </w14:textFill>
        </w:rPr>
        <w:t>空空空空</w:t>
      </w:r>
    </w:p>
    <w:p w14:paraId="4CC29E8B">
      <w:pPr>
        <w:keepNext w:val="0"/>
        <w:keepLines w:val="0"/>
        <w:pageBreakBefore w:val="0"/>
        <w:kinsoku/>
        <w:wordWrap/>
        <w:overflowPunct/>
        <w:topLinePunct w:val="0"/>
        <w:autoSpaceDE/>
        <w:autoSpaceDN/>
        <w:bidi w:val="0"/>
        <w:spacing w:line="576" w:lineRule="exact"/>
        <w:textAlignment w:val="auto"/>
        <w:rPr>
          <w:rFonts w:hint="eastAsia" w:ascii="仿宋_GB2312" w:hAnsi="仿宋_GB2312" w:eastAsia="仿宋_GB2312" w:cs="仿宋_GB2312"/>
          <w:color w:val="auto"/>
          <w:spacing w:val="-10"/>
          <w:sz w:val="32"/>
          <w:szCs w:val="32"/>
          <w:lang w:val="en-US" w:eastAsia="zh-CN"/>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0"/>
          <w:sz w:val="32"/>
          <w:szCs w:val="32"/>
          <w:lang w:val="en-US" w:eastAsia="zh-CN"/>
        </w:rPr>
        <w:t>2026年9月 18日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7268A">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7EDA35">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47EDA35">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7BE78"/>
    <w:multiLevelType w:val="singleLevel"/>
    <w:tmpl w:val="F7F7BE7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0ZGYwMDJmYWY5ZjNiMjUwZmZiNzg3MTEwMGM2OTIifQ=="/>
  </w:docVars>
  <w:rsids>
    <w:rsidRoot w:val="380F54D5"/>
    <w:rsid w:val="000062D9"/>
    <w:rsid w:val="00043BA5"/>
    <w:rsid w:val="0005407F"/>
    <w:rsid w:val="000772DF"/>
    <w:rsid w:val="00077DE7"/>
    <w:rsid w:val="0009609B"/>
    <w:rsid w:val="000B72A8"/>
    <w:rsid w:val="000E2BE0"/>
    <w:rsid w:val="000F41D6"/>
    <w:rsid w:val="000F53C5"/>
    <w:rsid w:val="0010758B"/>
    <w:rsid w:val="00111C6F"/>
    <w:rsid w:val="00136E39"/>
    <w:rsid w:val="00140916"/>
    <w:rsid w:val="0014796A"/>
    <w:rsid w:val="00155F05"/>
    <w:rsid w:val="00171391"/>
    <w:rsid w:val="001731AA"/>
    <w:rsid w:val="0018776B"/>
    <w:rsid w:val="00191FDF"/>
    <w:rsid w:val="00194074"/>
    <w:rsid w:val="001A6C6B"/>
    <w:rsid w:val="001C2CCB"/>
    <w:rsid w:val="001C50A0"/>
    <w:rsid w:val="001E3942"/>
    <w:rsid w:val="00225D8D"/>
    <w:rsid w:val="00241147"/>
    <w:rsid w:val="002456ED"/>
    <w:rsid w:val="00261BD0"/>
    <w:rsid w:val="002653A2"/>
    <w:rsid w:val="00274C2A"/>
    <w:rsid w:val="002940A1"/>
    <w:rsid w:val="00294F26"/>
    <w:rsid w:val="002A0C67"/>
    <w:rsid w:val="002A47E0"/>
    <w:rsid w:val="002E7EE1"/>
    <w:rsid w:val="002F78E6"/>
    <w:rsid w:val="0034667A"/>
    <w:rsid w:val="0038131F"/>
    <w:rsid w:val="003817C2"/>
    <w:rsid w:val="003A1ABB"/>
    <w:rsid w:val="003E2C10"/>
    <w:rsid w:val="003F5744"/>
    <w:rsid w:val="004020CD"/>
    <w:rsid w:val="00451962"/>
    <w:rsid w:val="004936A2"/>
    <w:rsid w:val="004A1B68"/>
    <w:rsid w:val="004C0B50"/>
    <w:rsid w:val="004D0431"/>
    <w:rsid w:val="004E1A1D"/>
    <w:rsid w:val="00532829"/>
    <w:rsid w:val="0053649A"/>
    <w:rsid w:val="00575605"/>
    <w:rsid w:val="005A1518"/>
    <w:rsid w:val="005D0479"/>
    <w:rsid w:val="005F21FA"/>
    <w:rsid w:val="006037D7"/>
    <w:rsid w:val="00615B33"/>
    <w:rsid w:val="006310D1"/>
    <w:rsid w:val="00671F04"/>
    <w:rsid w:val="00682423"/>
    <w:rsid w:val="0069697F"/>
    <w:rsid w:val="006A35C1"/>
    <w:rsid w:val="006C6436"/>
    <w:rsid w:val="006C753A"/>
    <w:rsid w:val="006E16EB"/>
    <w:rsid w:val="0072384C"/>
    <w:rsid w:val="00755A13"/>
    <w:rsid w:val="0076595C"/>
    <w:rsid w:val="0076661D"/>
    <w:rsid w:val="00791A8D"/>
    <w:rsid w:val="0079373D"/>
    <w:rsid w:val="007A75A6"/>
    <w:rsid w:val="007B7BE4"/>
    <w:rsid w:val="007D2FB7"/>
    <w:rsid w:val="00820031"/>
    <w:rsid w:val="00831141"/>
    <w:rsid w:val="00892B01"/>
    <w:rsid w:val="008932AC"/>
    <w:rsid w:val="008A4530"/>
    <w:rsid w:val="008D6311"/>
    <w:rsid w:val="008E2169"/>
    <w:rsid w:val="008F4787"/>
    <w:rsid w:val="00904FA0"/>
    <w:rsid w:val="009144D4"/>
    <w:rsid w:val="00944C05"/>
    <w:rsid w:val="0095289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5305E"/>
    <w:rsid w:val="00A740DA"/>
    <w:rsid w:val="00AB1E2F"/>
    <w:rsid w:val="00AF3C50"/>
    <w:rsid w:val="00B04E5E"/>
    <w:rsid w:val="00B06557"/>
    <w:rsid w:val="00B155B3"/>
    <w:rsid w:val="00B37380"/>
    <w:rsid w:val="00B45AE3"/>
    <w:rsid w:val="00B74C9F"/>
    <w:rsid w:val="00B8261A"/>
    <w:rsid w:val="00BB64DD"/>
    <w:rsid w:val="00BC2061"/>
    <w:rsid w:val="00C00DAF"/>
    <w:rsid w:val="00C11786"/>
    <w:rsid w:val="00C36D6C"/>
    <w:rsid w:val="00C422EA"/>
    <w:rsid w:val="00C50E21"/>
    <w:rsid w:val="00C56CCC"/>
    <w:rsid w:val="00C64E75"/>
    <w:rsid w:val="00C751B7"/>
    <w:rsid w:val="00C838C5"/>
    <w:rsid w:val="00C93F4B"/>
    <w:rsid w:val="00CA44E1"/>
    <w:rsid w:val="00CB7BED"/>
    <w:rsid w:val="00CC64E4"/>
    <w:rsid w:val="00D14EC1"/>
    <w:rsid w:val="00D96AA6"/>
    <w:rsid w:val="00DA4D1A"/>
    <w:rsid w:val="00DB3A0C"/>
    <w:rsid w:val="00DC7288"/>
    <w:rsid w:val="00DE4724"/>
    <w:rsid w:val="00DF31E8"/>
    <w:rsid w:val="00E00AF7"/>
    <w:rsid w:val="00E01AC0"/>
    <w:rsid w:val="00E31E6E"/>
    <w:rsid w:val="00E3480C"/>
    <w:rsid w:val="00E419CF"/>
    <w:rsid w:val="00E43392"/>
    <w:rsid w:val="00E52B86"/>
    <w:rsid w:val="00E74EEA"/>
    <w:rsid w:val="00E801DF"/>
    <w:rsid w:val="00E87BDD"/>
    <w:rsid w:val="00EA2FDC"/>
    <w:rsid w:val="00EC40BD"/>
    <w:rsid w:val="00EE1422"/>
    <w:rsid w:val="00F21730"/>
    <w:rsid w:val="00F23B21"/>
    <w:rsid w:val="00F559CA"/>
    <w:rsid w:val="00F629DD"/>
    <w:rsid w:val="00F872D2"/>
    <w:rsid w:val="00FA7471"/>
    <w:rsid w:val="00FB459C"/>
    <w:rsid w:val="00FB7EC7"/>
    <w:rsid w:val="00FC1639"/>
    <w:rsid w:val="00FD76A4"/>
    <w:rsid w:val="00FF642D"/>
    <w:rsid w:val="044811AB"/>
    <w:rsid w:val="04A33FB0"/>
    <w:rsid w:val="083B3CA3"/>
    <w:rsid w:val="14C95D71"/>
    <w:rsid w:val="15DA7390"/>
    <w:rsid w:val="17567C80"/>
    <w:rsid w:val="1A8D294F"/>
    <w:rsid w:val="1F6A1B24"/>
    <w:rsid w:val="1F6C46FC"/>
    <w:rsid w:val="24B5094F"/>
    <w:rsid w:val="25CE1675"/>
    <w:rsid w:val="29974297"/>
    <w:rsid w:val="2AE5275E"/>
    <w:rsid w:val="2B9D5011"/>
    <w:rsid w:val="2DF903D1"/>
    <w:rsid w:val="2F9A5356"/>
    <w:rsid w:val="311331FC"/>
    <w:rsid w:val="315E75B2"/>
    <w:rsid w:val="33731620"/>
    <w:rsid w:val="37FF555C"/>
    <w:rsid w:val="380F54D5"/>
    <w:rsid w:val="3B6F58C6"/>
    <w:rsid w:val="3C9E707B"/>
    <w:rsid w:val="3E8FAC4A"/>
    <w:rsid w:val="3F7F8F7F"/>
    <w:rsid w:val="42BB1FD9"/>
    <w:rsid w:val="45BCE8ED"/>
    <w:rsid w:val="45C67A8C"/>
    <w:rsid w:val="490F5D2A"/>
    <w:rsid w:val="4C9F6EE7"/>
    <w:rsid w:val="51E72905"/>
    <w:rsid w:val="56E27C51"/>
    <w:rsid w:val="57D634BD"/>
    <w:rsid w:val="5B157129"/>
    <w:rsid w:val="5CEA5C1C"/>
    <w:rsid w:val="5D463024"/>
    <w:rsid w:val="5F5D649F"/>
    <w:rsid w:val="5FD6357D"/>
    <w:rsid w:val="5FFD3CE8"/>
    <w:rsid w:val="61E64934"/>
    <w:rsid w:val="64A35F68"/>
    <w:rsid w:val="64F26DFF"/>
    <w:rsid w:val="654F577C"/>
    <w:rsid w:val="6A4D3FA6"/>
    <w:rsid w:val="6BFA183B"/>
    <w:rsid w:val="6CF95D08"/>
    <w:rsid w:val="6FFFBA5A"/>
    <w:rsid w:val="732172ED"/>
    <w:rsid w:val="739754C2"/>
    <w:rsid w:val="73EE2B1A"/>
    <w:rsid w:val="75FE1E08"/>
    <w:rsid w:val="76314207"/>
    <w:rsid w:val="76BF1E6B"/>
    <w:rsid w:val="79974DA2"/>
    <w:rsid w:val="79DFE3CF"/>
    <w:rsid w:val="7B612E8D"/>
    <w:rsid w:val="7B6969A9"/>
    <w:rsid w:val="7D9F390B"/>
    <w:rsid w:val="7EAE9A31"/>
    <w:rsid w:val="7EDFF1A0"/>
    <w:rsid w:val="7EFF1DC7"/>
    <w:rsid w:val="7FF5A618"/>
    <w:rsid w:val="93FDC570"/>
    <w:rsid w:val="BDF99917"/>
    <w:rsid w:val="BF9F5DB1"/>
    <w:rsid w:val="CF2E7032"/>
    <w:rsid w:val="D1BFA29E"/>
    <w:rsid w:val="D7BF597C"/>
    <w:rsid w:val="E91F7F57"/>
    <w:rsid w:val="EF7D2B7D"/>
    <w:rsid w:val="EFB74942"/>
    <w:rsid w:val="EFFB0BAE"/>
    <w:rsid w:val="F9FF1666"/>
    <w:rsid w:val="FD1ECD47"/>
    <w:rsid w:val="FDFA9816"/>
    <w:rsid w:val="FECF8AD5"/>
    <w:rsid w:val="FEF7ACA3"/>
    <w:rsid w:val="FEFF3147"/>
    <w:rsid w:val="FFBF7622"/>
    <w:rsid w:val="FFFE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paragraph" w:customStyle="1" w:styleId="10">
    <w:name w:val="_Style 4"/>
    <w:next w:val="1"/>
    <w:qFormat/>
    <w:uiPriority w:val="0"/>
    <w:pPr>
      <w:widowControl w:val="0"/>
      <w:jc w:val="both"/>
    </w:pPr>
    <w:rPr>
      <w:rFonts w:ascii="Times New Roman" w:hAnsi="Times New Roman" w:eastAsia="仿宋_GB2312" w:cs="Times New Roman"/>
      <w:kern w:val="2"/>
      <w:sz w:val="24"/>
      <w:szCs w:val="22"/>
      <w:lang w:val="en-US" w:eastAsia="zh-CN" w:bidi="ar-SA"/>
    </w:rPr>
  </w:style>
  <w:style w:type="character" w:customStyle="1" w:styleId="11">
    <w:name w:val="页眉 Char"/>
    <w:basedOn w:val="8"/>
    <w:link w:val="5"/>
    <w:qFormat/>
    <w:uiPriority w:val="0"/>
    <w:rPr>
      <w:kern w:val="2"/>
      <w:sz w:val="18"/>
      <w:szCs w:val="18"/>
    </w:rPr>
  </w:style>
  <w:style w:type="character" w:customStyle="1" w:styleId="12">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f5af08ab-1b48-40a7-8c5c-00062c2b8060</errorID>
      <errorWord>减量化、资源化和无害化</errorWord>
      <group>L1_Political</group>
      <groupName>政治性问题</groupName>
      <ability>L2_Keyword</ability>
      <abilityName>固定表述</abilityName>
      <candidateList>
        <item>减量化、资源化、无害化</item>
      </candidateList>
      <explain>词汇“减量化、资源化、无害化”在特定场景下为固定表述形式，请确认此处的“减量化、资源化和无害化”是否存在不当。</explain>
      <paraID> A2973A3</paraID>
      <start>35</start>
      <end>46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dc51c5-4768-4154-9dd7-6a2808f1195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2460</Words>
  <Characters>2620</Characters>
  <Lines>10</Lines>
  <Paragraphs>3</Paragraphs>
  <TotalTime>49</TotalTime>
  <ScaleCrop>false</ScaleCrop>
  <LinksUpToDate>false</LinksUpToDate>
  <CharactersWithSpaces>2685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2019-05-07T11:18:00Z</dcterms:created>
  <dc:creator>Administrator</dc:creator>
  <cp:lastModifiedBy>Rubyonly</cp:lastModifiedBy>
  <cp:lastPrinted>2026-09-18T02:27:19Z</cp:lastPrinted>
  <dcterms:modified xsi:type="dcterms:W3CDTF">2026-09-18T02:39:38Z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14AAE2C7B7B141808FF7E2B4C70A8414</vt:lpwstr>
  </property>
  <property fmtid="{D5CDD505-2E9C-101B-9397-08002B2CF9AE}" pid="4" name="commondata">
    <vt:lpwstr>eyJoZGlkIjoiOTI0ZGYwMDJmYWY5ZjNiMjUwZmZiNzg3MTEwMGM2OTIifQ==</vt:lpwstr>
  </property>
  <property fmtid="{D5CDD505-2E9C-101B-9397-08002B2CF9AE}" pid="5" name="KSOTemplateDocerSaveRecord">
    <vt:lpwstr>eyJoZGlkIjoiOTI0ZGYwMDJmYWY5ZjNiMjUwZmZiNzg3MTEwMGM2OTIiLCJ1c2VySWQiOiI4Mzg0ODMzNzkifQ==</vt:lpwstr>
  </property>
</Properties>
</file>