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00933D">
      <w:pPr>
        <w:rPr>
          <w:color w:val="auto"/>
          <w:sz w:val="36"/>
          <w:szCs w:val="36"/>
          <w:highlight w:val="none"/>
        </w:rPr>
      </w:pPr>
      <w:r>
        <w:rPr>
          <w:color w:val="auto"/>
          <w:highlight w:val="none"/>
        </w:rPr>
        <w:pict>
          <v:group id="_x0000_s1026" o:spid="_x0000_s1026" o:spt="203" style="position:absolute;left:0pt;margin-left:0pt;margin-top:0pt;height:0pt;width:0.05pt;z-index:251662336;mso-width-relative:page;mso-height-relative:page;" coordorigin="117,204" coordsize="7624,952">
            <o:lock v:ext="edit" aspectratio="f"/>
            <v:rect id="_x0000_s1027" o:spid="_x0000_s1027" o:spt="1" style="position:absolute;left:117;top:204;height:953;width:1374;" filled="f" stroked="t" coordsize="21600,21600">
              <v:path/>
              <v:fill on="f" focussize="0,0"/>
              <v:stroke weight="0.5pt" endarrow="block" endarrowwidth="narrow" endarrowlength="long"/>
              <v:imagedata o:title=""/>
              <o:lock v:ext="edit" aspectratio="f"/>
              <v:textbox>
                <w:txbxContent>
                  <w:p w14:paraId="22DFEB1A">
                    <w:pPr>
                      <w:jc w:val="center"/>
                      <w:rPr>
                        <w:szCs w:val="21"/>
                      </w:rPr>
                    </w:pPr>
                    <w:r>
                      <w:rPr>
                        <w:rFonts w:hint="eastAsia"/>
                        <w:szCs w:val="21"/>
                      </w:rPr>
                      <w:t>硅藻土、废白土、油泥、罐底等</w:t>
                    </w:r>
                  </w:p>
                </w:txbxContent>
              </v:textbox>
            </v:rect>
            <v:line id="_x0000_s1028" o:spid="_x0000_s1028" o:spt="20" style="position:absolute;left:1492;top:684;height:0;width:510;" filled="f" stroked="t" coordsize="21600,21600">
              <v:path arrowok="t"/>
              <v:fill on="f" focussize="0,0"/>
              <v:stroke weight="0.5pt" endarrow="block" endarrowwidth="narrow" endarrowlength="long"/>
              <v:imagedata o:title=""/>
              <o:lock v:ext="edit" aspectratio="f"/>
            </v:line>
            <v:rect id="_x0000_s1029" o:spid="_x0000_s1029" o:spt="1" style="position:absolute;left:2008;top:486;height:397;width:1320;" filled="f" stroked="t" coordsize="21600,21600">
              <v:path/>
              <v:fill on="f" focussize="0,0"/>
              <v:stroke weight="0.5pt" endarrow="block" endarrowwidth="narrow" endarrowlength="long"/>
              <v:imagedata o:title=""/>
              <o:lock v:ext="edit" aspectratio="f"/>
              <v:textbox>
                <w:txbxContent>
                  <w:p w14:paraId="0979366A">
                    <w:pPr>
                      <w:jc w:val="center"/>
                    </w:pPr>
                    <w:r>
                      <w:rPr>
                        <w:rFonts w:hint="eastAsia"/>
                      </w:rPr>
                      <w:t>熏蒸、搅拌</w:t>
                    </w:r>
                  </w:p>
                </w:txbxContent>
              </v:textbox>
            </v:rect>
            <v:line id="_x0000_s1030" o:spid="_x0000_s1030" o:spt="20" style="position:absolute;left:3328;top:684;height:0;width:510;" filled="f" stroked="t" coordsize="21600,21600">
              <v:path arrowok="t"/>
              <v:fill on="f" focussize="0,0"/>
              <v:stroke weight="0.5pt" endarrow="block" endarrowwidth="narrow" endarrowlength="long"/>
              <v:imagedata o:title=""/>
              <o:lock v:ext="edit" aspectratio="f"/>
            </v:line>
            <v:rect id="_x0000_s1031" o:spid="_x0000_s1031" o:spt="1" style="position:absolute;left:3838;top:487;height:397;width:737;" filled="f" stroked="t" coordsize="21600,21600">
              <v:path/>
              <v:fill on="f" focussize="0,0"/>
              <v:stroke weight="0.5pt" endarrow="block" endarrowwidth="narrow" endarrowlength="long"/>
              <v:imagedata o:title=""/>
              <o:lock v:ext="edit" aspectratio="f"/>
              <v:textbox>
                <w:txbxContent>
                  <w:p w14:paraId="6CC49BC4">
                    <w:pPr>
                      <w:jc w:val="center"/>
                    </w:pPr>
                    <w:r>
                      <w:rPr>
                        <w:rFonts w:hint="eastAsia"/>
                      </w:rPr>
                      <w:t>压榨</w:t>
                    </w:r>
                  </w:p>
                </w:txbxContent>
              </v:textbox>
            </v:rect>
            <v:rect id="_x0000_s1032" o:spid="_x0000_s1032" o:spt="1" style="position:absolute;left:6301;top:503;height:373;width:1440;" filled="f" stroked="t" coordsize="21600,21600">
              <v:path/>
              <v:fill on="f" focussize="0,0"/>
              <v:stroke weight="0.5pt" endarrow="block" endarrowwidth="narrow" endarrowlength="long"/>
              <v:imagedata o:title=""/>
              <o:lock v:ext="edit" aspectratio="f"/>
              <v:textbox>
                <w:txbxContent>
                  <w:p w14:paraId="253D8924">
                    <w:pPr>
                      <w:jc w:val="center"/>
                      <w:rPr>
                        <w:rFonts w:hint="eastAsia" w:ascii="宋体" w:hAnsi="宋体" w:cs="宋体"/>
                        <w:szCs w:val="21"/>
                      </w:rPr>
                    </w:pPr>
                    <w:r>
                      <w:rPr>
                        <w:rFonts w:hint="eastAsia" w:ascii="宋体" w:hAnsi="宋体" w:cs="宋体"/>
                        <w:szCs w:val="21"/>
                      </w:rPr>
                      <w:t>饲料油脂</w:t>
                    </w:r>
                  </w:p>
                </w:txbxContent>
              </v:textbox>
            </v:rect>
            <v:line id="_x0000_s1033" o:spid="_x0000_s1033" o:spt="20" style="position:absolute;left:4575;top:680;height:0;width:500;" filled="f" stroked="t" coordsize="21600,21600">
              <v:path arrowok="t"/>
              <v:fill on="f" focussize="0,0"/>
              <v:stroke weight="0.5pt" endarrow="block" endarrowwidth="narrow" endarrowlength="long"/>
              <v:imagedata o:title=""/>
              <o:lock v:ext="edit" aspectratio="f"/>
            </v:line>
            <v:rect id="_x0000_s1034" o:spid="_x0000_s1034" o:spt="1" style="position:absolute;left:5070;top:493;height:380;width:720;" filled="f" stroked="t" coordsize="21600,21600">
              <v:path/>
              <v:fill on="f" focussize="0,0"/>
              <v:stroke weight="0.5pt" endarrow="block" endarrowwidth="narrow" endarrowlength="long"/>
              <v:imagedata o:title=""/>
              <o:lock v:ext="edit" aspectratio="f"/>
              <v:textbox>
                <w:txbxContent>
                  <w:p w14:paraId="5BA39A8A">
                    <w:pPr>
                      <w:jc w:val="center"/>
                    </w:pPr>
                    <w:r>
                      <w:rPr>
                        <w:rFonts w:hint="eastAsia"/>
                      </w:rPr>
                      <w:t>过滤</w:t>
                    </w:r>
                  </w:p>
                </w:txbxContent>
              </v:textbox>
            </v:rect>
            <v:line id="_x0000_s1035" o:spid="_x0000_s1035" o:spt="20" style="position:absolute;left:5786;top:697;height:0;width:500;" filled="f" stroked="t" coordsize="21600,21600">
              <v:path arrowok="t"/>
              <v:fill on="f" focussize="0,0"/>
              <v:stroke weight="0.5pt" endarrow="block" endarrowwidth="narrow" endarrowlength="long"/>
              <v:imagedata o:title=""/>
              <o:lock v:ext="edit" aspectratio="f"/>
            </v:line>
            <w10:anchorlock/>
          </v:group>
        </w:pict>
      </w:r>
      <w:r>
        <w:rPr>
          <w:color w:val="auto"/>
          <w:highlight w:val="none"/>
        </w:rPr>
        <w:pict>
          <v:shape id="_x0000_i1025" o:spt="75" type="#_x0000_t75" style="height:0pt;width:0.05pt;" filled="f" stroked="f" coordsize="21600,21600">
            <v:path/>
            <v:fill on="f" focussize="0,0"/>
            <v:stroke on="f"/>
            <v:imagedata o:title=""/>
            <o:lock v:ext="edit" aspectratio="t"/>
            <w10:wrap type="none"/>
            <w10:anchorlock/>
          </v:shape>
        </w:pict>
      </w:r>
      <w:r>
        <w:rPr>
          <w:color w:val="auto"/>
          <w:highlight w:val="none"/>
        </w:rPr>
        <w:pict>
          <v:group id="_x0000_s1036" o:spid="_x0000_s1036" o:spt="203" style="position:absolute;left:0pt;margin-left:0pt;margin-top:0pt;height:0pt;width:0.05pt;z-index:251663360;mso-width-relative:page;mso-height-relative:page;" coordorigin="117,148" coordsize="7624,1008">
            <o:lock v:ext="edit" aspectratio="f"/>
            <v:rect id="_x0000_s1037" o:spid="_x0000_s1037" o:spt="1" style="position:absolute;left:2170;top:148;height:434;width:992;" filled="f" stroked="f" coordsize="21600,21600">
              <v:path/>
              <v:fill on="f" focussize="0,0"/>
              <v:stroke on="f" weight="0.5pt"/>
              <v:imagedata o:title=""/>
              <o:lock v:ext="edit" aspectratio="f"/>
              <v:textbox>
                <w:txbxContent>
                  <w:p w14:paraId="68ED0ADF">
                    <w:pPr>
                      <w:jc w:val="center"/>
                    </w:pPr>
                    <w:r>
                      <w:rPr>
                        <w:rFonts w:hint="eastAsia"/>
                      </w:rPr>
                      <w:t>N、G1</w:t>
                    </w:r>
                  </w:p>
                </w:txbxContent>
              </v:textbox>
            </v:rect>
            <v:rect id="_x0000_s1038" o:spid="_x0000_s1038" o:spt="1" style="position:absolute;left:3707;top:162;height:420;width:928;" filled="f" stroked="f" coordsize="21600,21600">
              <v:path/>
              <v:fill on="f" focussize="0,0"/>
              <v:stroke on="f" weight="0.5pt"/>
              <v:imagedata o:title=""/>
              <o:lock v:ext="edit" aspectratio="f"/>
              <v:textbox>
                <w:txbxContent>
                  <w:p w14:paraId="1BE0DA94">
                    <w:pPr>
                      <w:jc w:val="center"/>
                    </w:pPr>
                    <w:r>
                      <w:rPr>
                        <w:rFonts w:hint="eastAsia"/>
                      </w:rPr>
                      <w:t>N、G2</w:t>
                    </w:r>
                  </w:p>
                </w:txbxContent>
              </v:textbox>
            </v:rect>
            <v:group id="_x0000_s1039" o:spid="_x0000_s1039" o:spt="203" style="position:absolute;left:117;top:204;height:952;width:7624;" coordorigin="117,204" coordsize="7624,952">
              <o:lock v:ext="edit" aspectratio="f"/>
              <v:rect id="_x0000_s1040" o:spid="_x0000_s1040" o:spt="1" style="position:absolute;left:117;top:204;height:953;width:1374;" filled="f" stroked="t" coordsize="21600,21600">
                <v:path/>
                <v:fill on="f" focussize="0,0"/>
                <v:stroke weight="0.5pt" endarrow="block" endarrowwidth="narrow" endarrowlength="long"/>
                <v:imagedata o:title=""/>
                <o:lock v:ext="edit" aspectratio="f"/>
                <v:textbox>
                  <w:txbxContent>
                    <w:p w14:paraId="3683448B">
                      <w:pPr>
                        <w:jc w:val="center"/>
                        <w:rPr>
                          <w:szCs w:val="21"/>
                        </w:rPr>
                      </w:pPr>
                      <w:r>
                        <w:rPr>
                          <w:rFonts w:hint="eastAsia"/>
                          <w:szCs w:val="21"/>
                        </w:rPr>
                        <w:t>硅藻土、废白土、油泥、罐底等</w:t>
                      </w:r>
                    </w:p>
                  </w:txbxContent>
                </v:textbox>
              </v:rect>
              <v:line id="_x0000_s1041" o:spid="_x0000_s1041" o:spt="20" style="position:absolute;left:1492;top:684;height:0;width:510;" filled="f" stroked="t" coordsize="21600,21600">
                <v:path arrowok="t"/>
                <v:fill on="f" focussize="0,0"/>
                <v:stroke weight="0.5pt" endarrow="block" endarrowwidth="narrow" endarrowlength="long"/>
                <v:imagedata o:title=""/>
                <o:lock v:ext="edit" aspectratio="f"/>
              </v:line>
              <v:rect id="_x0000_s1042" o:spid="_x0000_s1042" o:spt="1" style="position:absolute;left:2008;top:486;height:397;width:1320;" filled="f" stroked="t" coordsize="21600,21600">
                <v:path/>
                <v:fill on="f" focussize="0,0"/>
                <v:stroke weight="0.5pt" endarrow="block" endarrowwidth="narrow" endarrowlength="long"/>
                <v:imagedata o:title=""/>
                <o:lock v:ext="edit" aspectratio="f"/>
                <v:textbox>
                  <w:txbxContent>
                    <w:p w14:paraId="1F5D2A0F">
                      <w:pPr>
                        <w:jc w:val="center"/>
                      </w:pPr>
                      <w:r>
                        <w:rPr>
                          <w:rFonts w:hint="eastAsia"/>
                        </w:rPr>
                        <w:t>熏蒸、搅拌</w:t>
                      </w:r>
                    </w:p>
                  </w:txbxContent>
                </v:textbox>
              </v:rect>
              <v:line id="_x0000_s1043" o:spid="_x0000_s1043" o:spt="20" style="position:absolute;left:3328;top:684;height:0;width:510;" filled="f" stroked="t" coordsize="21600,21600">
                <v:path arrowok="t"/>
                <v:fill on="f" focussize="0,0"/>
                <v:stroke weight="0.5pt" endarrow="block" endarrowwidth="narrow" endarrowlength="long"/>
                <v:imagedata o:title=""/>
                <o:lock v:ext="edit" aspectratio="f"/>
              </v:line>
              <v:rect id="_x0000_s1044" o:spid="_x0000_s1044" o:spt="1" style="position:absolute;left:3838;top:487;height:397;width:737;" filled="f" stroked="t" coordsize="21600,21600">
                <v:path/>
                <v:fill on="f" focussize="0,0"/>
                <v:stroke weight="0.5pt" endarrow="block" endarrowwidth="narrow" endarrowlength="long"/>
                <v:imagedata o:title=""/>
                <o:lock v:ext="edit" aspectratio="f"/>
                <v:textbox>
                  <w:txbxContent>
                    <w:p w14:paraId="2BFB4DC1">
                      <w:pPr>
                        <w:jc w:val="center"/>
                      </w:pPr>
                      <w:r>
                        <w:rPr>
                          <w:rFonts w:hint="eastAsia"/>
                        </w:rPr>
                        <w:t>压榨</w:t>
                      </w:r>
                    </w:p>
                  </w:txbxContent>
                </v:textbox>
              </v:rect>
              <v:rect id="_x0000_s1045" o:spid="_x0000_s1045" o:spt="1" style="position:absolute;left:6301;top:503;height:373;width:1440;" filled="f" stroked="t" coordsize="21600,21600">
                <v:path/>
                <v:fill on="f" focussize="0,0"/>
                <v:stroke weight="0.5pt" endarrow="block" endarrowwidth="narrow" endarrowlength="long"/>
                <v:imagedata o:title=""/>
                <o:lock v:ext="edit" aspectratio="f"/>
                <v:textbox>
                  <w:txbxContent>
                    <w:p w14:paraId="569945F3">
                      <w:pPr>
                        <w:jc w:val="center"/>
                        <w:rPr>
                          <w:rFonts w:hint="eastAsia" w:ascii="宋体" w:hAnsi="宋体" w:cs="宋体"/>
                          <w:szCs w:val="21"/>
                        </w:rPr>
                      </w:pPr>
                      <w:r>
                        <w:rPr>
                          <w:rFonts w:hint="eastAsia" w:ascii="宋体" w:hAnsi="宋体" w:cs="宋体"/>
                          <w:szCs w:val="21"/>
                        </w:rPr>
                        <w:t>饲料油脂</w:t>
                      </w:r>
                    </w:p>
                  </w:txbxContent>
                </v:textbox>
              </v:rect>
              <v:line id="_x0000_s1046" o:spid="_x0000_s1046" o:spt="20" style="position:absolute;left:4575;top:680;height:0;width:500;" filled="f" stroked="t" coordsize="21600,21600">
                <v:path arrowok="t"/>
                <v:fill on="f" focussize="0,0"/>
                <v:stroke weight="0.5pt" endarrow="block" endarrowwidth="narrow" endarrowlength="long"/>
                <v:imagedata o:title=""/>
                <o:lock v:ext="edit" aspectratio="f"/>
              </v:line>
              <v:rect id="_x0000_s1047" o:spid="_x0000_s1047" o:spt="1" style="position:absolute;left:5070;top:493;height:380;width:720;" filled="f" stroked="t" coordsize="21600,21600">
                <v:path/>
                <v:fill on="f" focussize="0,0"/>
                <v:stroke weight="0.5pt" endarrow="block" endarrowwidth="narrow" endarrowlength="long"/>
                <v:imagedata o:title=""/>
                <o:lock v:ext="edit" aspectratio="f"/>
                <v:textbox>
                  <w:txbxContent>
                    <w:p w14:paraId="1E5EF02B">
                      <w:pPr>
                        <w:jc w:val="center"/>
                      </w:pPr>
                      <w:r>
                        <w:rPr>
                          <w:rFonts w:hint="eastAsia"/>
                        </w:rPr>
                        <w:t>过滤</w:t>
                      </w:r>
                    </w:p>
                  </w:txbxContent>
                </v:textbox>
              </v:rect>
              <v:line id="_x0000_s1048" o:spid="_x0000_s1048" o:spt="20" style="position:absolute;left:5786;top:697;height:0;width:500;" filled="f" stroked="t" coordsize="21600,21600">
                <v:path arrowok="t"/>
                <v:fill on="f" focussize="0,0"/>
                <v:stroke weight="0.5pt" endarrow="block" endarrowwidth="narrow" endarrowlength="long"/>
                <v:imagedata o:title=""/>
                <o:lock v:ext="edit" aspectratio="f"/>
              </v:line>
            </v:group>
            <w10:anchorlock/>
          </v:group>
        </w:pict>
      </w:r>
      <w:r>
        <w:rPr>
          <w:color w:val="auto"/>
          <w:highlight w:val="none"/>
        </w:rPr>
        <w:pict>
          <v:shape id="_x0000_i1026" o:spt="75" type="#_x0000_t75" style="height:0pt;width:0.05pt;" filled="f" stroked="f" coordsize="21600,21600">
            <v:path/>
            <v:fill on="f" focussize="0,0"/>
            <v:stroke on="f"/>
            <v:imagedata o:title=""/>
            <o:lock v:ext="edit" aspectratio="t"/>
            <w10:wrap type="none"/>
            <w10:anchorlock/>
          </v:shape>
        </w:pict>
      </w:r>
    </w:p>
    <w:p w14:paraId="3C4F7B47">
      <w:pPr>
        <w:rPr>
          <w:color w:val="auto"/>
          <w:sz w:val="36"/>
          <w:szCs w:val="36"/>
          <w:highlight w:val="none"/>
        </w:rPr>
      </w:pPr>
    </w:p>
    <w:p w14:paraId="29AC8D28">
      <w:pPr>
        <w:rPr>
          <w:color w:val="auto"/>
          <w:sz w:val="36"/>
          <w:szCs w:val="36"/>
          <w:highlight w:val="none"/>
        </w:rPr>
      </w:pPr>
    </w:p>
    <w:p w14:paraId="094E520F">
      <w:pPr>
        <w:rPr>
          <w:color w:val="auto"/>
          <w:sz w:val="36"/>
          <w:szCs w:val="36"/>
          <w:highlight w:val="none"/>
        </w:rPr>
      </w:pPr>
    </w:p>
    <w:p w14:paraId="168B8451">
      <w:pPr>
        <w:adjustRightInd w:val="0"/>
        <w:snapToGrid w:val="0"/>
        <w:jc w:val="center"/>
        <w:outlineLvl w:val="9"/>
        <w:rPr>
          <w:rFonts w:eastAsia="方正小标宋_GBK"/>
          <w:bCs/>
          <w:color w:val="auto"/>
          <w:sz w:val="72"/>
          <w:szCs w:val="72"/>
          <w:highlight w:val="none"/>
        </w:rPr>
      </w:pPr>
      <w:r>
        <w:rPr>
          <w:rFonts w:eastAsia="方正小标宋_GBK"/>
          <w:bCs/>
          <w:color w:val="auto"/>
          <w:sz w:val="72"/>
          <w:szCs w:val="72"/>
          <w:highlight w:val="none"/>
        </w:rPr>
        <w:t>建设项目</w:t>
      </w:r>
      <w:r>
        <w:rPr>
          <w:rFonts w:hint="eastAsia" w:eastAsia="方正小标宋_GBK"/>
          <w:bCs/>
          <w:color w:val="auto"/>
          <w:sz w:val="72"/>
          <w:szCs w:val="72"/>
          <w:highlight w:val="none"/>
          <w:lang w:val="en-US" w:eastAsia="zh-CN"/>
        </w:rPr>
        <w:t>生态</w:t>
      </w:r>
      <w:r>
        <w:rPr>
          <w:rFonts w:eastAsia="方正小标宋_GBK"/>
          <w:bCs/>
          <w:color w:val="auto"/>
          <w:sz w:val="72"/>
          <w:szCs w:val="72"/>
          <w:highlight w:val="none"/>
        </w:rPr>
        <w:t>环境影响报告表</w:t>
      </w:r>
    </w:p>
    <w:p w14:paraId="15A9FDBE">
      <w:pPr>
        <w:adjustRightInd w:val="0"/>
        <w:snapToGrid w:val="0"/>
        <w:spacing w:before="192" w:beforeLines="80"/>
        <w:jc w:val="center"/>
        <w:rPr>
          <w:rFonts w:eastAsia="楷体_GB2312"/>
          <w:bCs/>
          <w:color w:val="auto"/>
          <w:sz w:val="48"/>
          <w:szCs w:val="48"/>
          <w:highlight w:val="none"/>
        </w:rPr>
      </w:pPr>
      <w:r>
        <w:rPr>
          <w:rFonts w:eastAsia="楷体_GB2312"/>
          <w:bCs/>
          <w:color w:val="auto"/>
          <w:sz w:val="48"/>
          <w:szCs w:val="48"/>
          <w:highlight w:val="none"/>
        </w:rPr>
        <w:t>（污染影响类）</w:t>
      </w:r>
    </w:p>
    <w:p w14:paraId="233B9EDA">
      <w:pPr>
        <w:bidi w:val="0"/>
        <w:rPr>
          <w:color w:val="auto"/>
          <w:highlight w:val="none"/>
        </w:rPr>
      </w:pPr>
    </w:p>
    <w:p w14:paraId="56B089EC">
      <w:pPr>
        <w:jc w:val="center"/>
        <w:rPr>
          <w:color w:val="auto"/>
          <w:sz w:val="52"/>
          <w:szCs w:val="52"/>
          <w:highlight w:val="none"/>
        </w:rPr>
      </w:pPr>
    </w:p>
    <w:p w14:paraId="26760888">
      <w:pPr>
        <w:ind w:left="0" w:leftChars="0" w:firstLine="836" w:firstLineChars="190"/>
        <w:rPr>
          <w:color w:val="auto"/>
          <w:sz w:val="44"/>
          <w:szCs w:val="44"/>
          <w:highlight w:val="none"/>
        </w:rPr>
      </w:pPr>
    </w:p>
    <w:p w14:paraId="2E5F4512">
      <w:pPr>
        <w:ind w:left="0" w:leftChars="0" w:firstLine="836" w:firstLineChars="190"/>
        <w:rPr>
          <w:color w:val="auto"/>
          <w:sz w:val="44"/>
          <w:szCs w:val="44"/>
          <w:highlight w:val="none"/>
        </w:rPr>
      </w:pPr>
    </w:p>
    <w:p w14:paraId="2F600BA2">
      <w:pPr>
        <w:pStyle w:val="6"/>
        <w:ind w:left="0" w:leftChars="0" w:firstLine="399" w:firstLineChars="190"/>
        <w:rPr>
          <w:color w:val="auto"/>
          <w:highlight w:val="none"/>
        </w:rPr>
      </w:pPr>
    </w:p>
    <w:p w14:paraId="625108B6">
      <w:pPr>
        <w:pStyle w:val="9"/>
        <w:rPr>
          <w:color w:val="auto"/>
          <w:sz w:val="44"/>
          <w:szCs w:val="44"/>
          <w:highlight w:val="none"/>
        </w:rPr>
      </w:pPr>
    </w:p>
    <w:p w14:paraId="3B4BAB70">
      <w:pPr>
        <w:adjustRightInd w:val="0"/>
        <w:snapToGrid w:val="0"/>
        <w:spacing w:line="288" w:lineRule="auto"/>
        <w:jc w:val="left"/>
        <w:rPr>
          <w:rFonts w:eastAsia="仿宋_GB2312"/>
          <w:color w:val="auto"/>
          <w:sz w:val="32"/>
          <w:szCs w:val="32"/>
          <w:highlight w:val="none"/>
        </w:rPr>
      </w:pPr>
    </w:p>
    <w:p w14:paraId="57014D9C">
      <w:pPr>
        <w:keepNext w:val="0"/>
        <w:keepLines w:val="0"/>
        <w:pageBreakBefore w:val="0"/>
        <w:widowControl w:val="0"/>
        <w:kinsoku/>
        <w:wordWrap/>
        <w:overflowPunct/>
        <w:topLinePunct w:val="0"/>
        <w:autoSpaceDE/>
        <w:autoSpaceDN/>
        <w:bidi w:val="0"/>
        <w:adjustRightInd w:val="0"/>
        <w:snapToGrid w:val="0"/>
        <w:spacing w:line="360" w:lineRule="auto"/>
        <w:ind w:left="2518" w:leftChars="342" w:hanging="1800" w:hangingChars="500"/>
        <w:jc w:val="left"/>
        <w:textAlignment w:val="auto"/>
        <w:rPr>
          <w:rFonts w:hint="default" w:eastAsia="仿宋_GB2312"/>
          <w:color w:val="auto"/>
          <w:sz w:val="36"/>
          <w:szCs w:val="36"/>
          <w:highlight w:val="none"/>
          <w:u w:val="single"/>
          <w:lang w:val="en-US" w:eastAsia="zh-CN"/>
        </w:rPr>
      </w:pPr>
      <w:r>
        <w:rPr>
          <w:rFonts w:eastAsia="仿宋_GB2312"/>
          <w:color w:val="auto"/>
          <w:sz w:val="36"/>
          <w:szCs w:val="36"/>
          <w:highlight w:val="none"/>
        </w:rPr>
        <w:t>项目名称</w:t>
      </w:r>
      <w:r>
        <w:rPr>
          <w:rFonts w:hint="eastAsia" w:eastAsia="仿宋_GB2312"/>
          <w:color w:val="auto"/>
          <w:sz w:val="36"/>
          <w:szCs w:val="36"/>
          <w:highlight w:val="none"/>
          <w:lang w:eastAsia="zh-CN"/>
        </w:rPr>
        <w:t>：</w:t>
      </w:r>
      <w:r>
        <w:rPr>
          <w:rFonts w:hint="eastAsia" w:eastAsia="仿宋_GB2312"/>
          <w:color w:val="auto"/>
          <w:sz w:val="36"/>
          <w:szCs w:val="36"/>
          <w:highlight w:val="none"/>
          <w:u w:val="single"/>
          <w:lang w:val="en-US" w:eastAsia="zh-CN"/>
        </w:rPr>
        <w:t xml:space="preserve">广通智联报废车辆拆解及年产15万吨破碎料新建项目                               </w:t>
      </w:r>
    </w:p>
    <w:p w14:paraId="6E948B3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720" w:firstLineChars="200"/>
        <w:jc w:val="left"/>
        <w:textAlignment w:val="auto"/>
        <w:rPr>
          <w:rFonts w:hint="default" w:eastAsia="仿宋_GB2312"/>
          <w:color w:val="auto"/>
          <w:sz w:val="36"/>
          <w:szCs w:val="36"/>
          <w:highlight w:val="none"/>
          <w:lang w:val="en-US"/>
        </w:rPr>
      </w:pPr>
      <w:r>
        <w:rPr>
          <w:rFonts w:eastAsia="仿宋_GB2312"/>
          <w:color w:val="auto"/>
          <w:sz w:val="36"/>
          <w:szCs w:val="36"/>
          <w:highlight w:val="none"/>
        </w:rPr>
        <w:t>建设单位（盖章）：</w:t>
      </w:r>
      <w:r>
        <w:rPr>
          <w:rFonts w:hint="eastAsia" w:eastAsia="仿宋_GB2312"/>
          <w:color w:val="auto"/>
          <w:sz w:val="36"/>
          <w:szCs w:val="36"/>
          <w:highlight w:val="none"/>
          <w:u w:val="single"/>
          <w:lang w:val="en-US" w:eastAsia="zh-CN"/>
        </w:rPr>
        <w:t xml:space="preserve">阜新市广通智联再生资源有限公司 </w:t>
      </w:r>
    </w:p>
    <w:p w14:paraId="4524A9B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720" w:firstLineChars="200"/>
        <w:textAlignment w:val="auto"/>
        <w:rPr>
          <w:rFonts w:eastAsia="仿宋_GB2312"/>
          <w:color w:val="auto"/>
          <w:sz w:val="36"/>
          <w:szCs w:val="36"/>
          <w:highlight w:val="none"/>
          <w:u w:val="single"/>
        </w:rPr>
      </w:pPr>
      <w:r>
        <w:rPr>
          <w:rFonts w:eastAsia="仿宋_GB2312"/>
          <w:color w:val="auto"/>
          <w:sz w:val="36"/>
          <w:szCs w:val="36"/>
          <w:highlight w:val="none"/>
        </w:rPr>
        <w:t>编制日期：</w:t>
      </w:r>
      <w:r>
        <w:rPr>
          <w:rFonts w:eastAsia="仿宋_GB2312"/>
          <w:color w:val="auto"/>
          <w:sz w:val="36"/>
          <w:szCs w:val="36"/>
          <w:highlight w:val="none"/>
          <w:u w:val="single"/>
        </w:rPr>
        <w:t xml:space="preserve">           </w:t>
      </w:r>
      <w:r>
        <w:rPr>
          <w:rFonts w:hint="eastAsia" w:eastAsia="仿宋_GB2312"/>
          <w:color w:val="auto"/>
          <w:sz w:val="36"/>
          <w:szCs w:val="36"/>
          <w:highlight w:val="none"/>
          <w:u w:val="single"/>
          <w:lang w:val="en-US" w:eastAsia="zh-CN"/>
        </w:rPr>
        <w:t>2026</w:t>
      </w:r>
      <w:r>
        <w:rPr>
          <w:rFonts w:eastAsia="仿宋_GB2312"/>
          <w:color w:val="auto"/>
          <w:sz w:val="36"/>
          <w:szCs w:val="36"/>
          <w:highlight w:val="none"/>
          <w:u w:val="single"/>
        </w:rPr>
        <w:t>年</w:t>
      </w:r>
      <w:r>
        <w:rPr>
          <w:rFonts w:hint="eastAsia" w:eastAsia="仿宋_GB2312"/>
          <w:color w:val="auto"/>
          <w:sz w:val="36"/>
          <w:szCs w:val="36"/>
          <w:highlight w:val="none"/>
          <w:u w:val="single"/>
          <w:lang w:val="en-US" w:eastAsia="zh-CN"/>
        </w:rPr>
        <w:t>9</w:t>
      </w:r>
      <w:r>
        <w:rPr>
          <w:rFonts w:eastAsia="仿宋_GB2312"/>
          <w:color w:val="auto"/>
          <w:sz w:val="36"/>
          <w:szCs w:val="36"/>
          <w:highlight w:val="none"/>
          <w:u w:val="single"/>
        </w:rPr>
        <w:t>月</w:t>
      </w:r>
      <w:r>
        <w:rPr>
          <w:rFonts w:hint="eastAsia" w:eastAsia="仿宋_GB2312"/>
          <w:color w:val="auto"/>
          <w:sz w:val="36"/>
          <w:szCs w:val="36"/>
          <w:highlight w:val="none"/>
          <w:u w:val="single"/>
        </w:rPr>
        <w:t xml:space="preserve"> </w:t>
      </w:r>
      <w:r>
        <w:rPr>
          <w:rFonts w:eastAsia="仿宋_GB2312"/>
          <w:color w:val="auto"/>
          <w:sz w:val="36"/>
          <w:szCs w:val="36"/>
          <w:highlight w:val="none"/>
          <w:u w:val="single"/>
        </w:rPr>
        <w:t xml:space="preserve">   </w:t>
      </w:r>
      <w:r>
        <w:rPr>
          <w:rFonts w:hint="eastAsia" w:eastAsia="仿宋_GB2312"/>
          <w:color w:val="auto"/>
          <w:sz w:val="36"/>
          <w:szCs w:val="36"/>
          <w:highlight w:val="none"/>
          <w:u w:val="single"/>
          <w:lang w:val="en-US" w:eastAsia="zh-CN"/>
        </w:rPr>
        <w:t xml:space="preserve">  </w:t>
      </w:r>
      <w:r>
        <w:rPr>
          <w:rFonts w:eastAsia="仿宋_GB2312"/>
          <w:color w:val="auto"/>
          <w:sz w:val="36"/>
          <w:szCs w:val="36"/>
          <w:highlight w:val="none"/>
          <w:u w:val="single"/>
        </w:rPr>
        <w:t xml:space="preserve">           </w:t>
      </w:r>
    </w:p>
    <w:p w14:paraId="12CB2E0D">
      <w:pPr>
        <w:adjustRightInd w:val="0"/>
        <w:snapToGrid w:val="0"/>
        <w:spacing w:line="288" w:lineRule="auto"/>
        <w:ind w:left="0" w:leftChars="0" w:firstLine="417" w:firstLineChars="116"/>
        <w:rPr>
          <w:color w:val="auto"/>
          <w:sz w:val="36"/>
          <w:szCs w:val="36"/>
          <w:highlight w:val="none"/>
          <w:u w:val="single"/>
        </w:rPr>
      </w:pPr>
      <w:bookmarkStart w:id="0" w:name="_Hlk57884087"/>
    </w:p>
    <w:p w14:paraId="0CCEFB99">
      <w:pPr>
        <w:adjustRightInd w:val="0"/>
        <w:snapToGrid w:val="0"/>
        <w:spacing w:line="288" w:lineRule="auto"/>
        <w:ind w:left="0" w:leftChars="0" w:firstLine="417" w:firstLineChars="116"/>
        <w:rPr>
          <w:color w:val="auto"/>
          <w:sz w:val="36"/>
          <w:szCs w:val="36"/>
          <w:highlight w:val="none"/>
        </w:rPr>
      </w:pPr>
    </w:p>
    <w:p w14:paraId="31D9FC06">
      <w:pPr>
        <w:pStyle w:val="9"/>
        <w:rPr>
          <w:rFonts w:hint="eastAsia"/>
          <w:color w:val="auto"/>
          <w:sz w:val="36"/>
          <w:szCs w:val="36"/>
          <w:highlight w:val="none"/>
          <w:lang w:val="en-US" w:eastAsia="zh-CN"/>
        </w:rPr>
      </w:pPr>
      <w:r>
        <w:rPr>
          <w:rFonts w:hint="eastAsia"/>
          <w:color w:val="auto"/>
          <w:sz w:val="36"/>
          <w:szCs w:val="36"/>
          <w:highlight w:val="none"/>
          <w:lang w:val="en-US" w:eastAsia="zh-CN"/>
        </w:rPr>
        <w:t xml:space="preserve"> </w:t>
      </w:r>
    </w:p>
    <w:p w14:paraId="62C8B422">
      <w:pPr>
        <w:pStyle w:val="9"/>
        <w:rPr>
          <w:rFonts w:hint="eastAsia"/>
          <w:color w:val="auto"/>
          <w:sz w:val="36"/>
          <w:szCs w:val="36"/>
          <w:highlight w:val="none"/>
          <w:lang w:val="en-US" w:eastAsia="zh-CN"/>
        </w:rPr>
      </w:pPr>
    </w:p>
    <w:p w14:paraId="4680A563">
      <w:pPr>
        <w:pStyle w:val="9"/>
        <w:rPr>
          <w:rFonts w:hint="eastAsia"/>
          <w:color w:val="auto"/>
          <w:sz w:val="36"/>
          <w:szCs w:val="36"/>
          <w:highlight w:val="none"/>
          <w:lang w:val="en-US" w:eastAsia="zh-CN"/>
        </w:rPr>
      </w:pPr>
    </w:p>
    <w:bookmarkEnd w:id="0"/>
    <w:p w14:paraId="47F703B8">
      <w:pPr>
        <w:adjustRightInd w:val="0"/>
        <w:snapToGrid w:val="0"/>
        <w:spacing w:line="288" w:lineRule="auto"/>
        <w:jc w:val="center"/>
        <w:rPr>
          <w:rFonts w:eastAsia="楷体_GB2312"/>
          <w:color w:val="auto"/>
          <w:sz w:val="36"/>
          <w:szCs w:val="36"/>
          <w:highlight w:val="none"/>
        </w:rPr>
        <w:sectPr>
          <w:footerReference r:id="rId3" w:type="default"/>
          <w:footerReference r:id="rId4" w:type="even"/>
          <w:pgSz w:w="11906" w:h="16838"/>
          <w:pgMar w:top="1440" w:right="1080" w:bottom="1440" w:left="1080" w:header="851" w:footer="1077" w:gutter="0"/>
          <w:pgBorders>
            <w:top w:val="none" w:sz="0" w:space="0"/>
            <w:left w:val="none" w:sz="0" w:space="0"/>
            <w:bottom w:val="none" w:sz="0" w:space="0"/>
            <w:right w:val="none" w:sz="0" w:space="0"/>
          </w:pgBorders>
          <w:pgNumType w:start="3"/>
          <w:cols w:space="720" w:num="1"/>
          <w:docGrid w:linePitch="312" w:charSpace="0"/>
        </w:sectPr>
      </w:pPr>
      <w:r>
        <w:rPr>
          <w:rFonts w:eastAsia="楷体_GB2312"/>
          <w:color w:val="auto"/>
          <w:sz w:val="36"/>
          <w:szCs w:val="36"/>
          <w:highlight w:val="none"/>
        </w:rPr>
        <w:t>中华人民共和国生态环境部制</w:t>
      </w:r>
    </w:p>
    <w:p w14:paraId="2F510B5F">
      <w:pPr>
        <w:adjustRightInd w:val="0"/>
        <w:snapToGrid w:val="0"/>
        <w:spacing w:line="288" w:lineRule="auto"/>
        <w:jc w:val="center"/>
        <w:rPr>
          <w:rFonts w:eastAsia="楷体_GB2312"/>
          <w:color w:val="auto"/>
          <w:sz w:val="36"/>
          <w:szCs w:val="36"/>
          <w:highlight w:val="none"/>
        </w:rPr>
        <w:sectPr>
          <w:pgSz w:w="11906" w:h="16838"/>
          <w:pgMar w:top="1440" w:right="1080" w:bottom="1440" w:left="1080" w:header="851" w:footer="1077" w:gutter="0"/>
          <w:pgBorders>
            <w:top w:val="none" w:sz="0" w:space="0"/>
            <w:left w:val="none" w:sz="0" w:space="0"/>
            <w:bottom w:val="none" w:sz="0" w:space="0"/>
            <w:right w:val="none" w:sz="0" w:space="0"/>
          </w:pgBorders>
          <w:pgNumType w:start="3"/>
          <w:cols w:space="720" w:num="1"/>
          <w:docGrid w:linePitch="312" w:charSpace="0"/>
        </w:sectPr>
      </w:pPr>
      <w:r>
        <w:pict>
          <v:shape id="_x0000_i1088" o:spt="75" alt="" type="#_x0000_t75" style="height:660.35pt;width:467.7pt;" filled="f" o:preferrelative="t" stroked="f" coordsize="21600,21600">
            <v:path/>
            <v:fill on="f" focussize="0,0"/>
            <v:stroke on="f"/>
            <v:imagedata r:id="rId8" o:title=""/>
            <o:lock v:ext="edit" aspectratio="t"/>
            <w10:wrap type="none"/>
            <w10:anchorlock/>
          </v:shape>
        </w:pict>
      </w:r>
    </w:p>
    <w:p w14:paraId="17379AAF">
      <w:pPr>
        <w:adjustRightInd w:val="0"/>
        <w:snapToGrid w:val="0"/>
        <w:spacing w:line="288" w:lineRule="auto"/>
        <w:jc w:val="center"/>
        <w:rPr>
          <w:rFonts w:eastAsia="楷体_GB2312"/>
          <w:color w:val="auto"/>
          <w:sz w:val="36"/>
          <w:szCs w:val="36"/>
          <w:highlight w:val="none"/>
        </w:rPr>
        <w:sectPr>
          <w:pgSz w:w="11906" w:h="16838"/>
          <w:pgMar w:top="1440" w:right="1080" w:bottom="1440" w:left="1080" w:header="851" w:footer="1077" w:gutter="0"/>
          <w:pgBorders>
            <w:top w:val="none" w:sz="0" w:space="0"/>
            <w:left w:val="none" w:sz="0" w:space="0"/>
            <w:bottom w:val="none" w:sz="0" w:space="0"/>
            <w:right w:val="none" w:sz="0" w:space="0"/>
          </w:pgBorders>
          <w:pgNumType w:start="3"/>
          <w:cols w:space="720" w:num="1"/>
          <w:docGrid w:linePitch="312" w:charSpace="0"/>
        </w:sectPr>
      </w:pPr>
      <w:bookmarkStart w:id="6" w:name="_GoBack"/>
      <w:bookmarkEnd w:id="6"/>
      <w:r>
        <w:pict>
          <v:shape id="_x0000_i1087" o:spt="75" alt="" type="#_x0000_t75" style="height:673.3pt;width:467.7pt;" filled="f" o:preferrelative="t" stroked="f" coordsize="21600,21600">
            <v:path/>
            <v:fill on="f" focussize="0,0"/>
            <v:stroke on="f"/>
            <v:imagedata r:id="rId9" o:title=""/>
            <o:lock v:ext="edit" aspectratio="t"/>
            <w10:wrap type="none"/>
            <w10:anchorlock/>
          </v:shape>
        </w:pict>
      </w:r>
    </w:p>
    <w:p w14:paraId="6FECDDB6">
      <w:pPr>
        <w:pStyle w:val="22"/>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hint="eastAsia" w:ascii="黑体" w:hAnsi="黑体" w:eastAsia="黑体" w:cs="黑体"/>
          <w:snapToGrid w:val="0"/>
          <w:color w:val="auto"/>
          <w:sz w:val="30"/>
          <w:szCs w:val="30"/>
          <w:highlight w:val="none"/>
        </w:rPr>
      </w:pPr>
      <w:r>
        <w:rPr>
          <w:rFonts w:hint="eastAsia" w:ascii="黑体" w:hAnsi="黑体" w:eastAsia="黑体" w:cs="黑体"/>
          <w:snapToGrid w:val="0"/>
          <w:color w:val="auto"/>
          <w:sz w:val="30"/>
          <w:szCs w:val="30"/>
          <w:highlight w:val="none"/>
        </w:rPr>
        <w:t>一、建设项目基本情况</w:t>
      </w:r>
    </w:p>
    <w:tbl>
      <w:tblPr>
        <w:tblStyle w:val="26"/>
        <w:tblW w:w="4992"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470"/>
        <w:gridCol w:w="2507"/>
        <w:gridCol w:w="2326"/>
        <w:gridCol w:w="3453"/>
      </w:tblGrid>
      <w:tr w14:paraId="0D24EB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471" w:type="dxa"/>
            <w:noWrap w:val="0"/>
            <w:tcMar>
              <w:top w:w="16" w:type="dxa"/>
              <w:left w:w="16" w:type="dxa"/>
              <w:right w:w="16" w:type="dxa"/>
            </w:tcMar>
            <w:vAlign w:val="center"/>
          </w:tcPr>
          <w:p w14:paraId="08F6C05D">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建设项目名称</w:t>
            </w:r>
          </w:p>
        </w:tc>
        <w:tc>
          <w:tcPr>
            <w:tcW w:w="8293" w:type="dxa"/>
            <w:gridSpan w:val="3"/>
            <w:noWrap w:val="0"/>
            <w:vAlign w:val="center"/>
          </w:tcPr>
          <w:p w14:paraId="54762D41">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广通智联报废车辆拆解及年产15万吨破碎料新建项目</w:t>
            </w:r>
          </w:p>
        </w:tc>
      </w:tr>
      <w:tr w14:paraId="07778B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66A9F898">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项目代码</w:t>
            </w:r>
          </w:p>
        </w:tc>
        <w:tc>
          <w:tcPr>
            <w:tcW w:w="8293" w:type="dxa"/>
            <w:gridSpan w:val="3"/>
            <w:noWrap w:val="0"/>
            <w:vAlign w:val="center"/>
          </w:tcPr>
          <w:p w14:paraId="27252004">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2602-210998-04-05-339203</w:t>
            </w:r>
          </w:p>
        </w:tc>
      </w:tr>
      <w:tr w14:paraId="5EF6EA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47B9CD2D">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建设单位联系人</w:t>
            </w:r>
          </w:p>
        </w:tc>
        <w:tc>
          <w:tcPr>
            <w:tcW w:w="2509" w:type="dxa"/>
            <w:noWrap w:val="0"/>
            <w:vAlign w:val="center"/>
          </w:tcPr>
          <w:p w14:paraId="1672ED0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陈丹凤</w:t>
            </w:r>
          </w:p>
        </w:tc>
        <w:tc>
          <w:tcPr>
            <w:tcW w:w="2328" w:type="dxa"/>
            <w:noWrap w:val="0"/>
            <w:vAlign w:val="center"/>
          </w:tcPr>
          <w:p w14:paraId="26350B56">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联系方式</w:t>
            </w:r>
          </w:p>
        </w:tc>
        <w:tc>
          <w:tcPr>
            <w:tcW w:w="3456" w:type="dxa"/>
            <w:noWrap w:val="0"/>
            <w:vAlign w:val="center"/>
          </w:tcPr>
          <w:p w14:paraId="44D628F1">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eastAsia="zh-CN"/>
              </w:rPr>
              <w:t>15041893118</w:t>
            </w:r>
          </w:p>
        </w:tc>
      </w:tr>
      <w:tr w14:paraId="6B8E67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764B5827">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建设地点</w:t>
            </w:r>
          </w:p>
        </w:tc>
        <w:tc>
          <w:tcPr>
            <w:tcW w:w="8293" w:type="dxa"/>
            <w:gridSpan w:val="3"/>
            <w:noWrap w:val="0"/>
            <w:tcMar>
              <w:top w:w="57" w:type="dxa"/>
              <w:left w:w="57" w:type="dxa"/>
              <w:bottom w:w="57" w:type="dxa"/>
              <w:right w:w="57" w:type="dxa"/>
            </w:tcMar>
            <w:vAlign w:val="center"/>
          </w:tcPr>
          <w:p w14:paraId="11CC3742">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cs="Times New Roman"/>
                <w:color w:val="auto"/>
                <w:sz w:val="24"/>
                <w:highlight w:val="none"/>
                <w:lang w:val="en-US" w:eastAsia="zh-CN"/>
              </w:rPr>
              <w:t>辽宁省阜新市高新技术产业开发区华通路16号</w:t>
            </w:r>
          </w:p>
        </w:tc>
      </w:tr>
      <w:tr w14:paraId="6EDF40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1E944454">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地理坐标</w:t>
            </w:r>
          </w:p>
        </w:tc>
        <w:tc>
          <w:tcPr>
            <w:tcW w:w="8293" w:type="dxa"/>
            <w:gridSpan w:val="3"/>
            <w:noWrap w:val="0"/>
            <w:tcMar>
              <w:top w:w="57" w:type="dxa"/>
              <w:left w:w="57" w:type="dxa"/>
              <w:bottom w:w="57" w:type="dxa"/>
              <w:right w:w="57" w:type="dxa"/>
            </w:tcMar>
            <w:vAlign w:val="center"/>
          </w:tcPr>
          <w:p w14:paraId="6CF97D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sz w:val="24"/>
                <w:highlight w:val="none"/>
              </w:rPr>
            </w:pPr>
            <w:r>
              <w:rPr>
                <w:rFonts w:hint="eastAsia" w:ascii="Times New Roman" w:hAnsi="Times New Roman" w:eastAsia="宋体" w:cs="Times New Roman"/>
                <w:color w:val="auto"/>
                <w:spacing w:val="-4"/>
                <w:sz w:val="24"/>
                <w:highlight w:val="none"/>
                <w:u w:val="none"/>
                <w:lang w:val="en-US" w:eastAsia="zh-CN"/>
              </w:rPr>
              <w:t>东经：</w:t>
            </w:r>
            <w:r>
              <w:rPr>
                <w:rFonts w:hint="eastAsia" w:ascii="Times New Roman" w:hAnsi="Times New Roman" w:eastAsia="宋体" w:cs="Times New Roman"/>
                <w:color w:val="auto"/>
                <w:spacing w:val="-4"/>
                <w:sz w:val="24"/>
                <w:highlight w:val="none"/>
                <w:u w:val="single"/>
                <w:lang w:val="en-US" w:eastAsia="zh-CN"/>
              </w:rPr>
              <w:t>12</w:t>
            </w:r>
            <w:r>
              <w:rPr>
                <w:rFonts w:hint="eastAsia" w:cs="Times New Roman"/>
                <w:color w:val="auto"/>
                <w:spacing w:val="-4"/>
                <w:sz w:val="24"/>
                <w:highlight w:val="none"/>
                <w:u w:val="single"/>
                <w:lang w:val="en-US" w:eastAsia="zh-CN"/>
              </w:rPr>
              <w:t>1</w:t>
            </w:r>
            <w:r>
              <w:rPr>
                <w:rFonts w:hint="default" w:ascii="Times New Roman" w:hAnsi="Times New Roman" w:cs="Times New Roman"/>
                <w:color w:val="auto"/>
                <w:spacing w:val="-4"/>
                <w:sz w:val="24"/>
                <w:highlight w:val="none"/>
              </w:rPr>
              <w:t>度</w:t>
            </w:r>
            <w:r>
              <w:rPr>
                <w:rFonts w:hint="eastAsia" w:ascii="Times New Roman" w:hAnsi="Times New Roman" w:eastAsia="宋体" w:cs="Times New Roman"/>
                <w:color w:val="auto"/>
                <w:spacing w:val="-4"/>
                <w:sz w:val="24"/>
                <w:highlight w:val="none"/>
                <w:u w:val="single"/>
                <w:lang w:val="en-US" w:eastAsia="zh-CN"/>
              </w:rPr>
              <w:t>3</w:t>
            </w:r>
            <w:r>
              <w:rPr>
                <w:rFonts w:hint="eastAsia" w:cs="Times New Roman"/>
                <w:color w:val="auto"/>
                <w:spacing w:val="-4"/>
                <w:sz w:val="24"/>
                <w:highlight w:val="none"/>
                <w:u w:val="single"/>
                <w:lang w:val="en-US" w:eastAsia="zh-CN"/>
              </w:rPr>
              <w:t>5</w:t>
            </w:r>
            <w:r>
              <w:rPr>
                <w:rFonts w:hint="default" w:ascii="Times New Roman" w:hAnsi="Times New Roman" w:cs="Times New Roman"/>
                <w:color w:val="auto"/>
                <w:spacing w:val="-4"/>
                <w:sz w:val="24"/>
                <w:highlight w:val="none"/>
              </w:rPr>
              <w:t>分</w:t>
            </w:r>
            <w:r>
              <w:rPr>
                <w:rFonts w:hint="eastAsia" w:cs="Times New Roman"/>
                <w:color w:val="auto"/>
                <w:spacing w:val="-4"/>
                <w:sz w:val="24"/>
                <w:highlight w:val="none"/>
                <w:u w:val="single"/>
                <w:lang w:val="en-US" w:eastAsia="zh-CN"/>
              </w:rPr>
              <w:t>11.726</w:t>
            </w:r>
            <w:r>
              <w:rPr>
                <w:rFonts w:hint="default" w:ascii="Times New Roman" w:hAnsi="Times New Roman" w:cs="Times New Roman"/>
                <w:color w:val="auto"/>
                <w:spacing w:val="-4"/>
                <w:sz w:val="24"/>
                <w:highlight w:val="none"/>
              </w:rPr>
              <w:t>秒</w:t>
            </w:r>
            <w:r>
              <w:rPr>
                <w:rFonts w:hint="eastAsia" w:ascii="Times New Roman" w:hAnsi="Times New Roman" w:cs="Times New Roman"/>
                <w:color w:val="auto"/>
                <w:spacing w:val="-4"/>
                <w:sz w:val="24"/>
                <w:highlight w:val="none"/>
                <w:lang w:eastAsia="zh-CN"/>
              </w:rPr>
              <w:t>，</w:t>
            </w:r>
            <w:r>
              <w:rPr>
                <w:rFonts w:hint="eastAsia" w:ascii="Times New Roman" w:hAnsi="Times New Roman" w:cs="Times New Roman"/>
                <w:color w:val="auto"/>
                <w:spacing w:val="-4"/>
                <w:sz w:val="24"/>
                <w:highlight w:val="none"/>
                <w:lang w:val="en-US" w:eastAsia="zh-CN"/>
              </w:rPr>
              <w:t>北纬：</w:t>
            </w:r>
            <w:r>
              <w:rPr>
                <w:rFonts w:hint="eastAsia" w:cs="Times New Roman"/>
                <w:color w:val="auto"/>
                <w:spacing w:val="-4"/>
                <w:sz w:val="24"/>
                <w:highlight w:val="none"/>
                <w:u w:val="single"/>
                <w:lang w:val="en-US" w:eastAsia="zh-CN"/>
              </w:rPr>
              <w:t>42</w:t>
            </w:r>
            <w:r>
              <w:rPr>
                <w:rFonts w:hint="default" w:ascii="Times New Roman" w:hAnsi="Times New Roman" w:cs="Times New Roman"/>
                <w:color w:val="auto"/>
                <w:spacing w:val="-4"/>
                <w:sz w:val="24"/>
                <w:highlight w:val="none"/>
              </w:rPr>
              <w:t>度</w:t>
            </w:r>
            <w:r>
              <w:rPr>
                <w:rFonts w:hint="eastAsia" w:cs="Times New Roman"/>
                <w:color w:val="auto"/>
                <w:spacing w:val="-4"/>
                <w:sz w:val="24"/>
                <w:highlight w:val="none"/>
                <w:u w:val="single"/>
                <w:lang w:val="en-US" w:eastAsia="zh-CN"/>
              </w:rPr>
              <w:t>1</w:t>
            </w:r>
            <w:r>
              <w:rPr>
                <w:rFonts w:hint="default" w:ascii="Times New Roman" w:hAnsi="Times New Roman" w:cs="Times New Roman"/>
                <w:color w:val="auto"/>
                <w:spacing w:val="-4"/>
                <w:sz w:val="24"/>
                <w:highlight w:val="none"/>
              </w:rPr>
              <w:t>分</w:t>
            </w:r>
            <w:r>
              <w:rPr>
                <w:rFonts w:hint="eastAsia" w:cs="Times New Roman"/>
                <w:color w:val="auto"/>
                <w:spacing w:val="-4"/>
                <w:sz w:val="24"/>
                <w:highlight w:val="none"/>
                <w:u w:val="single"/>
                <w:lang w:val="en-US" w:eastAsia="zh-CN"/>
              </w:rPr>
              <w:t>3.298</w:t>
            </w:r>
            <w:r>
              <w:rPr>
                <w:rFonts w:hint="default" w:ascii="Times New Roman" w:hAnsi="Times New Roman" w:cs="Times New Roman"/>
                <w:color w:val="auto"/>
                <w:spacing w:val="-4"/>
                <w:sz w:val="24"/>
                <w:highlight w:val="none"/>
              </w:rPr>
              <w:t>秒</w:t>
            </w:r>
          </w:p>
        </w:tc>
      </w:tr>
      <w:tr w14:paraId="209B96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4784DED9">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国民经济</w:t>
            </w:r>
          </w:p>
          <w:p w14:paraId="01EBBEDC">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行业类别</w:t>
            </w:r>
          </w:p>
        </w:tc>
        <w:tc>
          <w:tcPr>
            <w:tcW w:w="2509" w:type="dxa"/>
            <w:noWrap w:val="0"/>
            <w:tcMar>
              <w:top w:w="57" w:type="dxa"/>
              <w:left w:w="57" w:type="dxa"/>
              <w:bottom w:w="57" w:type="dxa"/>
              <w:right w:w="57" w:type="dxa"/>
            </w:tcMar>
            <w:vAlign w:val="center"/>
          </w:tcPr>
          <w:p w14:paraId="0D803B88">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C</w:t>
            </w:r>
            <w:r>
              <w:rPr>
                <w:rFonts w:hint="eastAsia" w:cs="Times New Roman"/>
                <w:color w:val="auto"/>
                <w:sz w:val="24"/>
                <w:highlight w:val="none"/>
                <w:lang w:val="en-US" w:eastAsia="zh-CN"/>
              </w:rPr>
              <w:t>4210</w:t>
            </w:r>
          </w:p>
          <w:p w14:paraId="3269871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1"/>
                <w:highlight w:val="none"/>
                <w:lang w:eastAsia="zh-CN"/>
              </w:rPr>
              <w:t>金属废料和碎屑加工处理</w:t>
            </w:r>
          </w:p>
        </w:tc>
        <w:tc>
          <w:tcPr>
            <w:tcW w:w="2328" w:type="dxa"/>
            <w:noWrap w:val="0"/>
            <w:tcMar>
              <w:top w:w="57" w:type="dxa"/>
              <w:left w:w="57" w:type="dxa"/>
              <w:bottom w:w="57" w:type="dxa"/>
              <w:right w:w="57" w:type="dxa"/>
            </w:tcMar>
            <w:vAlign w:val="center"/>
          </w:tcPr>
          <w:p w14:paraId="58AA9B90">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bookmarkStart w:id="1" w:name="_Hlk49843745"/>
            <w:r>
              <w:rPr>
                <w:rFonts w:hint="default" w:ascii="Times New Roman" w:hAnsi="Times New Roman" w:cs="Times New Roman"/>
                <w:color w:val="auto"/>
                <w:sz w:val="24"/>
                <w:highlight w:val="none"/>
              </w:rPr>
              <w:t>建设项目</w:t>
            </w:r>
          </w:p>
          <w:p w14:paraId="7C6460BA">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行业类别</w:t>
            </w:r>
            <w:bookmarkEnd w:id="1"/>
          </w:p>
        </w:tc>
        <w:tc>
          <w:tcPr>
            <w:tcW w:w="3456" w:type="dxa"/>
            <w:noWrap w:val="0"/>
            <w:tcMar>
              <w:top w:w="57" w:type="dxa"/>
              <w:left w:w="57" w:type="dxa"/>
              <w:bottom w:w="57" w:type="dxa"/>
              <w:right w:w="57" w:type="dxa"/>
            </w:tcMar>
            <w:vAlign w:val="center"/>
          </w:tcPr>
          <w:p w14:paraId="38CEC045">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szCs w:val="21"/>
                <w:highlight w:val="none"/>
              </w:rPr>
              <w:t>三十九、废弃资源综合利用行业，85 金属废料和碎屑加工处理</w:t>
            </w:r>
          </w:p>
        </w:tc>
      </w:tr>
      <w:tr w14:paraId="79391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496E26CB">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建设性质</w:t>
            </w:r>
          </w:p>
        </w:tc>
        <w:tc>
          <w:tcPr>
            <w:tcW w:w="2509" w:type="dxa"/>
            <w:noWrap w:val="0"/>
            <w:tcMar>
              <w:top w:w="57" w:type="dxa"/>
              <w:left w:w="57" w:type="dxa"/>
              <w:bottom w:w="57" w:type="dxa"/>
              <w:right w:w="57" w:type="dxa"/>
            </w:tcMar>
            <w:vAlign w:val="center"/>
          </w:tcPr>
          <w:p w14:paraId="0972FF08">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0052"/>
            </w:r>
            <w:r>
              <w:rPr>
                <w:rFonts w:hint="default" w:ascii="Times New Roman" w:hAnsi="Times New Roman" w:cs="Times New Roman"/>
                <w:color w:val="auto"/>
                <w:sz w:val="24"/>
                <w:highlight w:val="none"/>
              </w:rPr>
              <w:t>新建（迁建）</w:t>
            </w:r>
          </w:p>
          <w:p w14:paraId="0F6B0150">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F0A3"/>
            </w:r>
            <w:r>
              <w:rPr>
                <w:rFonts w:hint="default" w:ascii="Times New Roman" w:hAnsi="Times New Roman" w:cs="Times New Roman"/>
                <w:color w:val="auto"/>
                <w:sz w:val="24"/>
                <w:highlight w:val="none"/>
              </w:rPr>
              <w:t>改建</w:t>
            </w:r>
          </w:p>
          <w:p w14:paraId="67BB32CE">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00A3"/>
            </w:r>
            <w:r>
              <w:rPr>
                <w:rFonts w:hint="default" w:ascii="Times New Roman" w:hAnsi="Times New Roman" w:cs="Times New Roman"/>
                <w:color w:val="auto"/>
                <w:sz w:val="24"/>
                <w:highlight w:val="none"/>
              </w:rPr>
              <w:t>扩建</w:t>
            </w:r>
          </w:p>
          <w:p w14:paraId="3C82122E">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F0A3"/>
            </w:r>
            <w:r>
              <w:rPr>
                <w:rFonts w:hint="default" w:ascii="Times New Roman" w:hAnsi="Times New Roman" w:cs="Times New Roman"/>
                <w:color w:val="auto"/>
                <w:sz w:val="24"/>
                <w:highlight w:val="none"/>
              </w:rPr>
              <w:t>技术改造</w:t>
            </w:r>
          </w:p>
        </w:tc>
        <w:tc>
          <w:tcPr>
            <w:tcW w:w="2328" w:type="dxa"/>
            <w:noWrap w:val="0"/>
            <w:tcMar>
              <w:top w:w="57" w:type="dxa"/>
              <w:left w:w="57" w:type="dxa"/>
              <w:bottom w:w="57" w:type="dxa"/>
              <w:right w:w="57" w:type="dxa"/>
            </w:tcMar>
            <w:vAlign w:val="center"/>
          </w:tcPr>
          <w:p w14:paraId="5DA30FAE">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建设项目</w:t>
            </w:r>
          </w:p>
          <w:p w14:paraId="2AFE82E5">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申报情形</w:t>
            </w:r>
          </w:p>
        </w:tc>
        <w:tc>
          <w:tcPr>
            <w:tcW w:w="3456" w:type="dxa"/>
            <w:noWrap w:val="0"/>
            <w:tcMar>
              <w:top w:w="57" w:type="dxa"/>
              <w:left w:w="57" w:type="dxa"/>
              <w:bottom w:w="57" w:type="dxa"/>
              <w:right w:w="57" w:type="dxa"/>
            </w:tcMar>
            <w:vAlign w:val="center"/>
          </w:tcPr>
          <w:p w14:paraId="5E926219">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0052"/>
            </w:r>
            <w:r>
              <w:rPr>
                <w:rFonts w:hint="default" w:ascii="Times New Roman" w:hAnsi="Times New Roman" w:cs="Times New Roman"/>
                <w:color w:val="auto"/>
                <w:sz w:val="24"/>
                <w:highlight w:val="none"/>
              </w:rPr>
              <w:t xml:space="preserve">首次申报项目             </w:t>
            </w:r>
          </w:p>
          <w:p w14:paraId="6E001302">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F0A3"/>
            </w:r>
            <w:r>
              <w:rPr>
                <w:rFonts w:hint="default" w:ascii="Times New Roman" w:hAnsi="Times New Roman" w:cs="Times New Roman"/>
                <w:color w:val="auto"/>
                <w:sz w:val="24"/>
                <w:highlight w:val="none"/>
              </w:rPr>
              <w:t>不予批准后再次申报项目</w:t>
            </w:r>
          </w:p>
          <w:p w14:paraId="78178549">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00A3"/>
            </w:r>
            <w:r>
              <w:rPr>
                <w:rFonts w:hint="default" w:ascii="Times New Roman" w:hAnsi="Times New Roman" w:cs="Times New Roman"/>
                <w:color w:val="auto"/>
                <w:sz w:val="24"/>
                <w:highlight w:val="none"/>
              </w:rPr>
              <w:t xml:space="preserve">超五年重新审核项目     </w:t>
            </w:r>
          </w:p>
          <w:p w14:paraId="31CB49F2">
            <w:pPr>
              <w:keepNext w:val="0"/>
              <w:keepLines w:val="0"/>
              <w:suppressLineNumbers w:val="0"/>
              <w:spacing w:before="0" w:beforeAutospacing="0" w:after="0" w:afterAutospacing="0"/>
              <w:ind w:left="0" w:right="0"/>
              <w:jc w:val="left"/>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F0A3"/>
            </w:r>
            <w:r>
              <w:rPr>
                <w:rFonts w:hint="default" w:ascii="Times New Roman" w:hAnsi="Times New Roman" w:cs="Times New Roman"/>
                <w:color w:val="auto"/>
                <w:sz w:val="24"/>
                <w:highlight w:val="none"/>
              </w:rPr>
              <w:t>重大变动重新报批项目</w:t>
            </w:r>
          </w:p>
        </w:tc>
      </w:tr>
      <w:tr w14:paraId="201AB8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4D57DC71">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项目审批（核准/备案）部门（选填）</w:t>
            </w:r>
          </w:p>
        </w:tc>
        <w:tc>
          <w:tcPr>
            <w:tcW w:w="2509" w:type="dxa"/>
            <w:noWrap w:val="0"/>
            <w:tcMar>
              <w:top w:w="57" w:type="dxa"/>
              <w:left w:w="57" w:type="dxa"/>
              <w:bottom w:w="57" w:type="dxa"/>
              <w:right w:w="57" w:type="dxa"/>
            </w:tcMar>
            <w:vAlign w:val="center"/>
          </w:tcPr>
          <w:p w14:paraId="0435356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阜新高新技术产业开发区发展和改革局</w:t>
            </w:r>
          </w:p>
        </w:tc>
        <w:tc>
          <w:tcPr>
            <w:tcW w:w="2328" w:type="dxa"/>
            <w:noWrap w:val="0"/>
            <w:tcMar>
              <w:top w:w="57" w:type="dxa"/>
              <w:left w:w="57" w:type="dxa"/>
              <w:bottom w:w="57" w:type="dxa"/>
              <w:right w:w="57" w:type="dxa"/>
            </w:tcMar>
            <w:vAlign w:val="center"/>
          </w:tcPr>
          <w:p w14:paraId="33869B63">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项目审批（核准/</w:t>
            </w:r>
          </w:p>
          <w:p w14:paraId="5E9935FE">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备案）文号（选填）</w:t>
            </w:r>
          </w:p>
        </w:tc>
        <w:tc>
          <w:tcPr>
            <w:tcW w:w="3456" w:type="dxa"/>
            <w:noWrap w:val="0"/>
            <w:tcMar>
              <w:top w:w="57" w:type="dxa"/>
              <w:left w:w="57" w:type="dxa"/>
              <w:bottom w:w="57" w:type="dxa"/>
              <w:right w:w="57" w:type="dxa"/>
            </w:tcMar>
            <w:vAlign w:val="center"/>
          </w:tcPr>
          <w:p w14:paraId="08C70C0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ascii="Times New Roman" w:hAnsi="Times New Roman" w:cs="Times New Roman"/>
                <w:color w:val="auto"/>
                <w:sz w:val="24"/>
                <w:highlight w:val="none"/>
                <w:lang w:val="en-US" w:eastAsia="zh-CN"/>
              </w:rPr>
              <w:t>阜高新发改备〔2026〕16号</w:t>
            </w:r>
          </w:p>
        </w:tc>
      </w:tr>
      <w:tr w14:paraId="06124E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7362939A">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总投资（万元）</w:t>
            </w:r>
          </w:p>
        </w:tc>
        <w:tc>
          <w:tcPr>
            <w:tcW w:w="2509" w:type="dxa"/>
            <w:noWrap w:val="0"/>
            <w:tcMar>
              <w:top w:w="57" w:type="dxa"/>
              <w:left w:w="57" w:type="dxa"/>
              <w:bottom w:w="57" w:type="dxa"/>
              <w:right w:w="57" w:type="dxa"/>
            </w:tcMar>
            <w:vAlign w:val="center"/>
          </w:tcPr>
          <w:p w14:paraId="40A8E1B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1000</w:t>
            </w:r>
          </w:p>
        </w:tc>
        <w:tc>
          <w:tcPr>
            <w:tcW w:w="2328" w:type="dxa"/>
            <w:noWrap w:val="0"/>
            <w:tcMar>
              <w:top w:w="57" w:type="dxa"/>
              <w:left w:w="57" w:type="dxa"/>
              <w:bottom w:w="57" w:type="dxa"/>
              <w:right w:w="57" w:type="dxa"/>
            </w:tcMar>
            <w:vAlign w:val="center"/>
          </w:tcPr>
          <w:p w14:paraId="1577CF77">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环保投资（万元）</w:t>
            </w:r>
          </w:p>
        </w:tc>
        <w:tc>
          <w:tcPr>
            <w:tcW w:w="3456" w:type="dxa"/>
            <w:noWrap w:val="0"/>
            <w:tcMar>
              <w:top w:w="57" w:type="dxa"/>
              <w:left w:w="57" w:type="dxa"/>
              <w:bottom w:w="57" w:type="dxa"/>
              <w:right w:w="57" w:type="dxa"/>
            </w:tcMar>
            <w:vAlign w:val="center"/>
          </w:tcPr>
          <w:p w14:paraId="788E4B7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94</w:t>
            </w:r>
          </w:p>
        </w:tc>
      </w:tr>
      <w:tr w14:paraId="666132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59466C1D">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环保投资占比（%）</w:t>
            </w:r>
          </w:p>
        </w:tc>
        <w:tc>
          <w:tcPr>
            <w:tcW w:w="2509" w:type="dxa"/>
            <w:noWrap w:val="0"/>
            <w:tcMar>
              <w:top w:w="57" w:type="dxa"/>
              <w:left w:w="57" w:type="dxa"/>
              <w:bottom w:w="57" w:type="dxa"/>
              <w:right w:w="57" w:type="dxa"/>
            </w:tcMar>
            <w:vAlign w:val="center"/>
          </w:tcPr>
          <w:p w14:paraId="57411E0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9.4</w:t>
            </w:r>
          </w:p>
        </w:tc>
        <w:tc>
          <w:tcPr>
            <w:tcW w:w="2328" w:type="dxa"/>
            <w:noWrap w:val="0"/>
            <w:tcMar>
              <w:top w:w="57" w:type="dxa"/>
              <w:left w:w="57" w:type="dxa"/>
              <w:bottom w:w="57" w:type="dxa"/>
              <w:right w:w="57" w:type="dxa"/>
            </w:tcMar>
            <w:vAlign w:val="center"/>
          </w:tcPr>
          <w:p w14:paraId="74CC9362">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施工工期</w:t>
            </w:r>
          </w:p>
        </w:tc>
        <w:tc>
          <w:tcPr>
            <w:tcW w:w="3456" w:type="dxa"/>
            <w:noWrap w:val="0"/>
            <w:tcMar>
              <w:top w:w="57" w:type="dxa"/>
              <w:left w:w="57" w:type="dxa"/>
              <w:bottom w:w="57" w:type="dxa"/>
              <w:right w:w="57" w:type="dxa"/>
            </w:tcMar>
            <w:vAlign w:val="center"/>
          </w:tcPr>
          <w:p w14:paraId="4D46FD2D">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3个月</w:t>
            </w:r>
          </w:p>
        </w:tc>
      </w:tr>
      <w:tr w14:paraId="0FF65B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1471" w:type="dxa"/>
            <w:noWrap w:val="0"/>
            <w:tcMar>
              <w:top w:w="16" w:type="dxa"/>
              <w:left w:w="16" w:type="dxa"/>
              <w:right w:w="16" w:type="dxa"/>
            </w:tcMar>
            <w:vAlign w:val="center"/>
          </w:tcPr>
          <w:p w14:paraId="482986BC">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是否开工建设</w:t>
            </w:r>
          </w:p>
        </w:tc>
        <w:tc>
          <w:tcPr>
            <w:tcW w:w="2509" w:type="dxa"/>
            <w:noWrap w:val="0"/>
            <w:tcMar>
              <w:top w:w="57" w:type="dxa"/>
              <w:left w:w="57" w:type="dxa"/>
              <w:bottom w:w="57" w:type="dxa"/>
              <w:right w:w="57" w:type="dxa"/>
            </w:tcMar>
            <w:vAlign w:val="center"/>
          </w:tcPr>
          <w:p w14:paraId="76AF515F">
            <w:pPr>
              <w:keepNext w:val="0"/>
              <w:keepLines w:val="0"/>
              <w:suppressLineNumbers w:val="0"/>
              <w:adjustRightInd w:val="0"/>
              <w:snapToGrid w:val="0"/>
              <w:spacing w:before="0" w:beforeAutospacing="0" w:after="0" w:afterAutospacing="0"/>
              <w:ind w:left="0" w:right="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0052"/>
            </w:r>
            <w:r>
              <w:rPr>
                <w:rFonts w:hint="default" w:ascii="Times New Roman" w:hAnsi="Times New Roman" w:cs="Times New Roman"/>
                <w:color w:val="auto"/>
                <w:sz w:val="24"/>
                <w:highlight w:val="none"/>
              </w:rPr>
              <w:t>否</w:t>
            </w:r>
          </w:p>
          <w:p w14:paraId="5A439526">
            <w:pPr>
              <w:keepNext w:val="0"/>
              <w:keepLines w:val="0"/>
              <w:suppressLineNumbers w:val="0"/>
              <w:adjustRightInd w:val="0"/>
              <w:snapToGrid w:val="0"/>
              <w:spacing w:before="0" w:beforeAutospacing="0" w:after="0" w:afterAutospacing="0"/>
              <w:ind w:left="0" w:right="0"/>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sym w:font="Wingdings 2" w:char="00A3"/>
            </w:r>
            <w:r>
              <w:rPr>
                <w:rFonts w:hint="default" w:ascii="Times New Roman" w:hAnsi="Times New Roman" w:cs="Times New Roman"/>
                <w:color w:val="auto"/>
                <w:sz w:val="24"/>
                <w:highlight w:val="none"/>
              </w:rPr>
              <w:t>是：</w:t>
            </w:r>
            <w:r>
              <w:rPr>
                <w:rFonts w:hint="default" w:ascii="Times New Roman" w:hAnsi="Times New Roman" w:cs="Times New Roman"/>
                <w:color w:val="auto"/>
                <w:sz w:val="24"/>
                <w:highlight w:val="none"/>
                <w:u w:val="single"/>
              </w:rPr>
              <w:t xml:space="preserve">             </w:t>
            </w:r>
          </w:p>
        </w:tc>
        <w:tc>
          <w:tcPr>
            <w:tcW w:w="2328" w:type="dxa"/>
            <w:noWrap w:val="0"/>
            <w:tcMar>
              <w:top w:w="57" w:type="dxa"/>
              <w:left w:w="57" w:type="dxa"/>
              <w:bottom w:w="57" w:type="dxa"/>
              <w:right w:w="57" w:type="dxa"/>
            </w:tcMar>
            <w:vAlign w:val="center"/>
          </w:tcPr>
          <w:p w14:paraId="7B1D7DED">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pacing w:val="-6"/>
                <w:sz w:val="24"/>
                <w:highlight w:val="none"/>
              </w:rPr>
            </w:pPr>
            <w:r>
              <w:rPr>
                <w:rFonts w:hint="default" w:ascii="Times New Roman" w:hAnsi="Times New Roman" w:cs="Times New Roman"/>
                <w:color w:val="auto"/>
                <w:spacing w:val="-6"/>
                <w:sz w:val="24"/>
                <w:highlight w:val="none"/>
              </w:rPr>
              <w:t>用地（用海）</w:t>
            </w:r>
          </w:p>
          <w:p w14:paraId="67FB5EE7">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pacing w:val="-6"/>
                <w:sz w:val="24"/>
                <w:highlight w:val="none"/>
              </w:rPr>
              <w:t>面积（m</w:t>
            </w:r>
            <w:r>
              <w:rPr>
                <w:rFonts w:hint="default" w:ascii="Times New Roman" w:hAnsi="Times New Roman" w:cs="Times New Roman"/>
                <w:color w:val="auto"/>
                <w:spacing w:val="-6"/>
                <w:sz w:val="24"/>
                <w:highlight w:val="none"/>
                <w:vertAlign w:val="superscript"/>
              </w:rPr>
              <w:t>2</w:t>
            </w:r>
            <w:r>
              <w:rPr>
                <w:rFonts w:hint="default" w:ascii="Times New Roman" w:hAnsi="Times New Roman" w:cs="Times New Roman"/>
                <w:color w:val="auto"/>
                <w:spacing w:val="-6"/>
                <w:sz w:val="24"/>
                <w:highlight w:val="none"/>
              </w:rPr>
              <w:t>）</w:t>
            </w:r>
          </w:p>
        </w:tc>
        <w:tc>
          <w:tcPr>
            <w:tcW w:w="3456" w:type="dxa"/>
            <w:noWrap w:val="0"/>
            <w:tcMar>
              <w:top w:w="57" w:type="dxa"/>
              <w:left w:w="57" w:type="dxa"/>
              <w:bottom w:w="57" w:type="dxa"/>
              <w:right w:w="57" w:type="dxa"/>
            </w:tcMar>
            <w:vAlign w:val="center"/>
          </w:tcPr>
          <w:p w14:paraId="413CE188">
            <w:pPr>
              <w:keepNext w:val="0"/>
              <w:keepLines w:val="0"/>
              <w:pageBreakBefore w:val="0"/>
              <w:widowControl w:val="0"/>
              <w:suppressLineNumbers w:val="0"/>
              <w:kinsoku/>
              <w:wordWrap/>
              <w:overflowPunct w:val="0"/>
              <w:topLinePunct w:val="0"/>
              <w:autoSpaceDE w:val="0"/>
              <w:autoSpaceDN w:val="0"/>
              <w:bidi w:val="0"/>
              <w:adjustRightInd w:val="0"/>
              <w:snapToGrid w:val="0"/>
              <w:spacing w:before="0" w:beforeAutospacing="0" w:after="0" w:afterAutospacing="0"/>
              <w:ind w:left="0" w:right="0"/>
              <w:jc w:val="center"/>
              <w:textAlignment w:val="auto"/>
              <w:rPr>
                <w:rFonts w:hint="default" w:ascii="Times New Roman" w:hAnsi="Times New Roman" w:eastAsia="宋体" w:cs="Times New Roman"/>
                <w:b/>
                <w:bCs/>
                <w:color w:val="auto"/>
                <w:sz w:val="24"/>
                <w:highlight w:val="none"/>
                <w:lang w:val="en-US" w:eastAsia="zh-CN"/>
              </w:rPr>
            </w:pPr>
            <w:r>
              <w:rPr>
                <w:rFonts w:hint="eastAsia" w:cs="Times New Roman"/>
                <w:color w:val="auto"/>
                <w:kern w:val="2"/>
                <w:sz w:val="24"/>
                <w:szCs w:val="24"/>
                <w:highlight w:val="none"/>
                <w:lang w:val="en-US" w:eastAsia="zh-CN" w:bidi="ar-SA"/>
              </w:rPr>
              <w:t>生产车间占地面积</w:t>
            </w:r>
            <w:r>
              <w:rPr>
                <w:rFonts w:hint="eastAsia" w:ascii="Times New Roman" w:hAnsi="Times New Roman" w:eastAsia="宋体" w:cs="Times New Roman"/>
                <w:color w:val="auto"/>
                <w:kern w:val="2"/>
                <w:sz w:val="24"/>
                <w:szCs w:val="24"/>
                <w:highlight w:val="none"/>
                <w:lang w:val="en-US" w:eastAsia="zh-CN" w:bidi="ar-SA"/>
              </w:rPr>
              <w:t>12827.1</w:t>
            </w:r>
            <w:r>
              <w:rPr>
                <w:rFonts w:hint="default" w:ascii="Times New Roman" w:hAnsi="Times New Roman" w:cs="Times New Roman"/>
                <w:color w:val="auto"/>
                <w:spacing w:val="-6"/>
                <w:sz w:val="24"/>
                <w:highlight w:val="none"/>
              </w:rPr>
              <w:t>m</w:t>
            </w:r>
            <w:r>
              <w:rPr>
                <w:rFonts w:hint="default" w:ascii="Times New Roman" w:hAnsi="Times New Roman" w:cs="Times New Roman"/>
                <w:color w:val="auto"/>
                <w:spacing w:val="-6"/>
                <w:sz w:val="24"/>
                <w:highlight w:val="none"/>
                <w:vertAlign w:val="superscript"/>
              </w:rPr>
              <w:t>2</w:t>
            </w:r>
            <w:r>
              <w:rPr>
                <w:rFonts w:hint="eastAsia" w:cs="Times New Roman"/>
                <w:color w:val="auto"/>
                <w:spacing w:val="-6"/>
                <w:sz w:val="24"/>
                <w:highlight w:val="none"/>
                <w:vertAlign w:val="baseline"/>
                <w:lang w:val="en-US" w:eastAsia="zh-CN"/>
              </w:rPr>
              <w:t>，硬化地面区域</w:t>
            </w:r>
            <w:r>
              <w:rPr>
                <w:rFonts w:hint="eastAsia" w:cs="Times New Roman"/>
                <w:color w:val="auto"/>
                <w:kern w:val="2"/>
                <w:sz w:val="24"/>
                <w:szCs w:val="24"/>
                <w:highlight w:val="none"/>
                <w:lang w:val="en-US" w:eastAsia="zh-CN" w:bidi="ar-SA"/>
              </w:rPr>
              <w:t>占地面积约16000</w:t>
            </w:r>
            <w:r>
              <w:rPr>
                <w:rFonts w:hint="default" w:ascii="Times New Roman" w:hAnsi="Times New Roman" w:cs="Times New Roman"/>
                <w:color w:val="auto"/>
                <w:spacing w:val="-6"/>
                <w:sz w:val="24"/>
                <w:highlight w:val="none"/>
              </w:rPr>
              <w:t>m</w:t>
            </w:r>
            <w:r>
              <w:rPr>
                <w:rFonts w:hint="default" w:ascii="Times New Roman" w:hAnsi="Times New Roman" w:cs="Times New Roman"/>
                <w:color w:val="auto"/>
                <w:spacing w:val="-6"/>
                <w:sz w:val="24"/>
                <w:highlight w:val="none"/>
                <w:vertAlign w:val="superscript"/>
              </w:rPr>
              <w:t>2</w:t>
            </w:r>
            <w:r>
              <w:rPr>
                <w:rFonts w:hint="eastAsia" w:ascii="Times New Roman" w:hAnsi="Times New Roman" w:cs="Times New Roman"/>
                <w:color w:val="auto"/>
                <w:spacing w:val="-6"/>
                <w:sz w:val="24"/>
                <w:highlight w:val="none"/>
                <w:vertAlign w:val="baseline"/>
                <w:lang w:eastAsia="zh-CN"/>
              </w:rPr>
              <w:t>，</w:t>
            </w:r>
          </w:p>
        </w:tc>
      </w:tr>
      <w:tr w14:paraId="48A189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51" w:hRule="atLeast"/>
          <w:jc w:val="center"/>
        </w:trPr>
        <w:tc>
          <w:tcPr>
            <w:tcW w:w="1471" w:type="dxa"/>
            <w:noWrap w:val="0"/>
            <w:vAlign w:val="center"/>
          </w:tcPr>
          <w:p w14:paraId="15EC1BC0">
            <w:pPr>
              <w:keepNext w:val="0"/>
              <w:keepLines w:val="0"/>
              <w:suppressLineNumbers w:val="0"/>
              <w:autoSpaceDE w:val="0"/>
              <w:autoSpaceDN w:val="0"/>
              <w:adjustRightInd w:val="0"/>
              <w:snapToGrid w:val="0"/>
              <w:spacing w:before="0" w:beforeAutospacing="0" w:after="0" w:afterAutospacing="0"/>
              <w:ind w:left="0" w:right="0"/>
              <w:jc w:val="center"/>
              <w:rPr>
                <w:rFonts w:hint="default" w:ascii="Times New Roman" w:hAnsi="Times New Roman" w:cs="Times New Roman"/>
                <w:color w:val="auto"/>
                <w:kern w:val="0"/>
                <w:sz w:val="24"/>
                <w:highlight w:val="none"/>
              </w:rPr>
            </w:pPr>
            <w:r>
              <w:rPr>
                <w:rFonts w:hint="default" w:ascii="Times New Roman" w:hAnsi="Times New Roman" w:cs="Times New Roman"/>
                <w:color w:val="auto"/>
                <w:kern w:val="0"/>
                <w:sz w:val="24"/>
                <w:highlight w:val="none"/>
              </w:rPr>
              <w:t>专项评价设置情况</w:t>
            </w:r>
          </w:p>
        </w:tc>
        <w:tc>
          <w:tcPr>
            <w:tcW w:w="8293" w:type="dxa"/>
            <w:gridSpan w:val="3"/>
            <w:noWrap w:val="0"/>
            <w:vAlign w:val="center"/>
          </w:tcPr>
          <w:p w14:paraId="62445BB3">
            <w:pPr>
              <w:pStyle w:val="73"/>
              <w:keepNext w:val="0"/>
              <w:keepLines w:val="0"/>
              <w:suppressLineNumbers w:val="0"/>
              <w:tabs>
                <w:tab w:val="left" w:pos="1949"/>
                <w:tab w:val="center" w:pos="3730"/>
              </w:tabs>
              <w:spacing w:before="0" w:beforeAutospacing="0" w:after="0" w:afterAutospacing="0" w:line="360" w:lineRule="auto"/>
              <w:ind w:left="0" w:leftChars="0" w:right="0" w:firstLine="0" w:firstLineChars="0"/>
              <w:jc w:val="left"/>
              <w:rPr>
                <w:rFonts w:hint="default" w:ascii="Times New Roman" w:hAnsi="Times New Roman" w:cs="Times New Roman"/>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ab/>
            </w:r>
            <w:r>
              <w:rPr>
                <w:rFonts w:hint="default" w:ascii="Times New Roman" w:hAnsi="Times New Roman" w:cs="Times New Roman"/>
                <w:b/>
                <w:bCs/>
                <w:color w:val="auto"/>
                <w:kern w:val="0"/>
                <w:sz w:val="21"/>
                <w:szCs w:val="21"/>
                <w:highlight w:val="none"/>
                <w:lang w:val="en-US" w:eastAsia="zh-CN"/>
              </w:rPr>
              <w:t>表1-1  专项评价设置符合性分析</w:t>
            </w:r>
          </w:p>
          <w:tbl>
            <w:tblPr>
              <w:tblStyle w:val="27"/>
              <w:tblW w:w="4999" w:type="pct"/>
              <w:tblInd w:w="-1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52"/>
              <w:gridCol w:w="3593"/>
              <w:gridCol w:w="3193"/>
            </w:tblGrid>
            <w:tr w14:paraId="39247A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pct"/>
                  <w:tcBorders>
                    <w:tl2br w:val="nil"/>
                    <w:tr2bl w:val="nil"/>
                  </w:tcBorders>
                  <w:noWrap w:val="0"/>
                  <w:vAlign w:val="center"/>
                </w:tcPr>
                <w:p w14:paraId="23F039C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0"/>
                      <w:sz w:val="21"/>
                      <w:szCs w:val="21"/>
                      <w:highlight w:val="none"/>
                      <w:vertAlign w:val="baseline"/>
                      <w:lang w:val="en-US" w:eastAsia="zh-CN"/>
                    </w:rPr>
                  </w:pPr>
                  <w:r>
                    <w:rPr>
                      <w:rFonts w:hint="default" w:ascii="Times New Roman" w:hAnsi="Times New Roman" w:eastAsia="宋体" w:cs="Times New Roman"/>
                      <w:b/>
                      <w:bCs/>
                      <w:color w:val="auto"/>
                      <w:kern w:val="0"/>
                      <w:sz w:val="21"/>
                      <w:szCs w:val="21"/>
                      <w:highlight w:val="none"/>
                      <w:vertAlign w:val="baseline"/>
                      <w:lang w:val="en-US" w:eastAsia="zh-CN"/>
                    </w:rPr>
                    <w:t>专项评价的类别</w:t>
                  </w:r>
                </w:p>
              </w:tc>
              <w:tc>
                <w:tcPr>
                  <w:tcW w:w="2234" w:type="pct"/>
                  <w:tcBorders>
                    <w:tl2br w:val="nil"/>
                    <w:tr2bl w:val="nil"/>
                  </w:tcBorders>
                  <w:noWrap w:val="0"/>
                  <w:vAlign w:val="center"/>
                </w:tcPr>
                <w:p w14:paraId="44F9AA8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0"/>
                      <w:sz w:val="21"/>
                      <w:szCs w:val="21"/>
                      <w:highlight w:val="none"/>
                      <w:vertAlign w:val="baseline"/>
                      <w:lang w:val="en-US" w:eastAsia="zh-CN"/>
                    </w:rPr>
                  </w:pPr>
                  <w:r>
                    <w:rPr>
                      <w:rFonts w:hint="default" w:ascii="Times New Roman" w:hAnsi="Times New Roman" w:eastAsia="宋体" w:cs="Times New Roman"/>
                      <w:b/>
                      <w:bCs/>
                      <w:color w:val="auto"/>
                      <w:kern w:val="0"/>
                      <w:sz w:val="21"/>
                      <w:szCs w:val="21"/>
                      <w:highlight w:val="none"/>
                      <w:vertAlign w:val="baseline"/>
                      <w:lang w:val="en-US" w:eastAsia="zh-CN"/>
                    </w:rPr>
                    <w:t>设置原则</w:t>
                  </w:r>
                </w:p>
              </w:tc>
              <w:tc>
                <w:tcPr>
                  <w:tcW w:w="1985" w:type="pct"/>
                  <w:tcBorders>
                    <w:tl2br w:val="nil"/>
                    <w:tr2bl w:val="nil"/>
                  </w:tcBorders>
                  <w:noWrap w:val="0"/>
                  <w:vAlign w:val="center"/>
                </w:tcPr>
                <w:p w14:paraId="72BEFD2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0"/>
                      <w:sz w:val="21"/>
                      <w:szCs w:val="21"/>
                      <w:highlight w:val="none"/>
                      <w:vertAlign w:val="baseline"/>
                      <w:lang w:val="en-US" w:eastAsia="zh-CN"/>
                    </w:rPr>
                  </w:pPr>
                  <w:r>
                    <w:rPr>
                      <w:rFonts w:hint="eastAsia" w:ascii="Times New Roman" w:hAnsi="Times New Roman" w:cs="Times New Roman"/>
                      <w:b/>
                      <w:bCs/>
                      <w:color w:val="auto"/>
                      <w:kern w:val="0"/>
                      <w:sz w:val="21"/>
                      <w:szCs w:val="21"/>
                      <w:highlight w:val="none"/>
                      <w:vertAlign w:val="baseline"/>
                      <w:lang w:val="en-US" w:eastAsia="zh-CN"/>
                    </w:rPr>
                    <w:t>项目情况</w:t>
                  </w:r>
                </w:p>
              </w:tc>
            </w:tr>
            <w:tr w14:paraId="2902A1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pct"/>
                  <w:tcBorders>
                    <w:tl2br w:val="nil"/>
                    <w:tr2bl w:val="nil"/>
                  </w:tcBorders>
                  <w:noWrap w:val="0"/>
                  <w:vAlign w:val="center"/>
                </w:tcPr>
                <w:p w14:paraId="3A9CE8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大气</w:t>
                  </w:r>
                </w:p>
              </w:tc>
              <w:tc>
                <w:tcPr>
                  <w:tcW w:w="2234" w:type="pct"/>
                  <w:tcBorders>
                    <w:tl2br w:val="nil"/>
                    <w:tr2bl w:val="nil"/>
                  </w:tcBorders>
                  <w:noWrap w:val="0"/>
                  <w:vAlign w:val="center"/>
                </w:tcPr>
                <w:p w14:paraId="44CF3296">
                  <w:pPr>
                    <w:pStyle w:val="72"/>
                    <w:keepNext w:val="0"/>
                    <w:keepLines w:val="0"/>
                    <w:pageBreakBefore w:val="0"/>
                    <w:suppressLineNumbers w:val="0"/>
                    <w:kinsoku/>
                    <w:wordWrap/>
                    <w:overflowPunct/>
                    <w:topLinePunct w:val="0"/>
                    <w:autoSpaceDE/>
                    <w:autoSpaceDN/>
                    <w:bidi w:val="0"/>
                    <w:spacing w:before="0" w:beforeAutospacing="0" w:after="0" w:afterAutospacing="0"/>
                    <w:ind w:left="0" w:right="0" w:firstLineChars="0"/>
                    <w:textAlignment w:val="auto"/>
                    <w:rPr>
                      <w:rFonts w:hint="default" w:cs="Times New Roman"/>
                      <w:color w:val="auto"/>
                      <w:sz w:val="21"/>
                      <w:szCs w:val="21"/>
                      <w:highlight w:val="none"/>
                      <w:lang w:eastAsia="zh-CN"/>
                    </w:rPr>
                  </w:pPr>
                  <w:r>
                    <w:rPr>
                      <w:rFonts w:hint="default" w:cs="Times New Roman"/>
                      <w:color w:val="auto"/>
                      <w:sz w:val="21"/>
                      <w:szCs w:val="21"/>
                      <w:highlight w:val="none"/>
                      <w:lang w:eastAsia="zh-CN"/>
                    </w:rPr>
                    <w:t>排放废气含有毒有害污染物、</w:t>
                  </w:r>
                  <w:r>
                    <w:rPr>
                      <w:rFonts w:hint="eastAsia" w:cs="Times New Roman"/>
                      <w:color w:val="auto"/>
                      <w:sz w:val="21"/>
                      <w:szCs w:val="21"/>
                      <w:highlight w:val="none"/>
                      <w:lang w:val="en-US" w:eastAsia="zh-CN"/>
                    </w:rPr>
                    <w:t>二噁英</w:t>
                  </w:r>
                  <w:r>
                    <w:rPr>
                      <w:rFonts w:hint="default" w:cs="Times New Roman"/>
                      <w:color w:val="auto"/>
                      <w:sz w:val="21"/>
                      <w:szCs w:val="21"/>
                      <w:highlight w:val="none"/>
                      <w:lang w:eastAsia="zh-CN"/>
                    </w:rPr>
                    <w:t>、苯并[a]芘、氰化物、氯气且厂界外500米范围内有环境空气保护目标的建设项目</w:t>
                  </w:r>
                </w:p>
              </w:tc>
              <w:tc>
                <w:tcPr>
                  <w:tcW w:w="1985" w:type="pct"/>
                  <w:tcBorders>
                    <w:tl2br w:val="nil"/>
                    <w:tr2bl w:val="nil"/>
                  </w:tcBorders>
                  <w:noWrap w:val="0"/>
                  <w:vAlign w:val="center"/>
                </w:tcPr>
                <w:p w14:paraId="56E5ADD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本项目排放废气不含</w:t>
                  </w:r>
                  <w:r>
                    <w:rPr>
                      <w:rFonts w:hint="default" w:ascii="Times New Roman" w:hAnsi="Times New Roman" w:eastAsia="宋体" w:cs="Times New Roman"/>
                      <w:color w:val="auto"/>
                      <w:kern w:val="0"/>
                      <w:sz w:val="21"/>
                      <w:szCs w:val="21"/>
                      <w:highlight w:val="none"/>
                      <w:vertAlign w:val="baseline"/>
                      <w:lang w:eastAsia="zh-CN"/>
                    </w:rPr>
                    <w:t>有毒有害污染物、</w:t>
                  </w:r>
                  <w:r>
                    <w:rPr>
                      <w:rFonts w:hint="eastAsia" w:ascii="Times New Roman" w:hAnsi="Times New Roman" w:eastAsia="宋体" w:cs="Times New Roman"/>
                      <w:color w:val="auto"/>
                      <w:kern w:val="0"/>
                      <w:sz w:val="21"/>
                      <w:szCs w:val="21"/>
                      <w:highlight w:val="none"/>
                      <w:vertAlign w:val="baseline"/>
                      <w:lang w:val="en-US" w:eastAsia="zh-CN"/>
                    </w:rPr>
                    <w:t>二噁英</w:t>
                  </w:r>
                  <w:r>
                    <w:rPr>
                      <w:rFonts w:hint="default" w:ascii="Times New Roman" w:hAnsi="Times New Roman" w:eastAsia="宋体" w:cs="Times New Roman"/>
                      <w:color w:val="auto"/>
                      <w:kern w:val="0"/>
                      <w:sz w:val="21"/>
                      <w:szCs w:val="21"/>
                      <w:highlight w:val="none"/>
                      <w:vertAlign w:val="baseline"/>
                      <w:lang w:eastAsia="zh-CN"/>
                    </w:rPr>
                    <w:t>、苯并[a]芘、氰化物、氯气</w:t>
                  </w:r>
                  <w:r>
                    <w:rPr>
                      <w:rFonts w:hint="eastAsia" w:ascii="Times New Roman" w:hAnsi="Times New Roman" w:eastAsia="宋体" w:cs="Times New Roman"/>
                      <w:color w:val="auto"/>
                      <w:kern w:val="0"/>
                      <w:sz w:val="21"/>
                      <w:szCs w:val="21"/>
                      <w:highlight w:val="none"/>
                      <w:vertAlign w:val="baseline"/>
                      <w:lang w:eastAsia="zh-CN"/>
                    </w:rPr>
                    <w:t>，</w:t>
                  </w:r>
                  <w:r>
                    <w:rPr>
                      <w:rFonts w:hint="eastAsia" w:ascii="Times New Roman" w:hAnsi="Times New Roman" w:eastAsia="宋体" w:cs="Times New Roman"/>
                      <w:color w:val="auto"/>
                      <w:kern w:val="0"/>
                      <w:sz w:val="21"/>
                      <w:szCs w:val="21"/>
                      <w:highlight w:val="none"/>
                      <w:vertAlign w:val="baseline"/>
                      <w:lang w:val="en-US" w:eastAsia="zh-CN"/>
                    </w:rPr>
                    <w:t>故不设置大气专项评价</w:t>
                  </w:r>
                </w:p>
              </w:tc>
            </w:tr>
            <w:tr w14:paraId="379377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779" w:type="pct"/>
                  <w:tcBorders>
                    <w:tl2br w:val="nil"/>
                    <w:tr2bl w:val="nil"/>
                  </w:tcBorders>
                  <w:noWrap w:val="0"/>
                  <w:vAlign w:val="center"/>
                </w:tcPr>
                <w:p w14:paraId="3AB0F3F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地表水</w:t>
                  </w:r>
                </w:p>
              </w:tc>
              <w:tc>
                <w:tcPr>
                  <w:tcW w:w="2234" w:type="pct"/>
                  <w:tcBorders>
                    <w:tl2br w:val="nil"/>
                    <w:tr2bl w:val="nil"/>
                  </w:tcBorders>
                  <w:noWrap w:val="0"/>
                  <w:vAlign w:val="center"/>
                </w:tcPr>
                <w:p w14:paraId="116E48F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新增工业废水直排建设项目</w:t>
                  </w:r>
                  <w:r>
                    <w:rPr>
                      <w:rFonts w:hint="eastAsia" w:cs="Times New Roman"/>
                      <w:color w:val="auto"/>
                      <w:kern w:val="0"/>
                      <w:sz w:val="21"/>
                      <w:szCs w:val="21"/>
                      <w:highlight w:val="none"/>
                      <w:vertAlign w:val="baseline"/>
                      <w:lang w:eastAsia="zh-CN"/>
                    </w:rPr>
                    <w:t>（</w:t>
                  </w:r>
                  <w:r>
                    <w:rPr>
                      <w:rFonts w:hint="default" w:ascii="Times New Roman" w:hAnsi="Times New Roman" w:eastAsia="宋体" w:cs="Times New Roman"/>
                      <w:color w:val="auto"/>
                      <w:kern w:val="0"/>
                      <w:sz w:val="21"/>
                      <w:szCs w:val="21"/>
                      <w:highlight w:val="none"/>
                      <w:vertAlign w:val="baseline"/>
                      <w:lang w:eastAsia="zh-CN"/>
                    </w:rPr>
                    <w:t>槽罐车外送污水处理厂的除外</w:t>
                  </w:r>
                  <w:r>
                    <w:rPr>
                      <w:rFonts w:hint="eastAsia" w:cs="Times New Roman"/>
                      <w:color w:val="auto"/>
                      <w:kern w:val="0"/>
                      <w:sz w:val="21"/>
                      <w:szCs w:val="21"/>
                      <w:highlight w:val="none"/>
                      <w:vertAlign w:val="baseline"/>
                      <w:lang w:eastAsia="zh-CN"/>
                    </w:rPr>
                    <w:t>）</w:t>
                  </w:r>
                  <w:r>
                    <w:rPr>
                      <w:rFonts w:hint="eastAsia" w:ascii="Times New Roman" w:hAnsi="Times New Roman" w:cs="Times New Roman"/>
                      <w:color w:val="auto"/>
                      <w:kern w:val="0"/>
                      <w:sz w:val="21"/>
                      <w:szCs w:val="21"/>
                      <w:highlight w:val="none"/>
                      <w:vertAlign w:val="baseline"/>
                      <w:lang w:eastAsia="zh-CN"/>
                    </w:rPr>
                    <w:t>；</w:t>
                  </w:r>
                  <w:r>
                    <w:rPr>
                      <w:rFonts w:hint="default" w:ascii="Times New Roman" w:hAnsi="Times New Roman" w:eastAsia="宋体" w:cs="Times New Roman"/>
                      <w:color w:val="auto"/>
                      <w:kern w:val="0"/>
                      <w:sz w:val="21"/>
                      <w:szCs w:val="21"/>
                      <w:highlight w:val="none"/>
                      <w:vertAlign w:val="baseline"/>
                      <w:lang w:eastAsia="zh-CN"/>
                    </w:rPr>
                    <w:t>新增废水直排的污水集中处理厂</w:t>
                  </w:r>
                </w:p>
              </w:tc>
              <w:tc>
                <w:tcPr>
                  <w:tcW w:w="1985" w:type="pct"/>
                  <w:tcBorders>
                    <w:tl2br w:val="nil"/>
                    <w:tr2bl w:val="nil"/>
                  </w:tcBorders>
                  <w:noWrap w:val="0"/>
                  <w:vAlign w:val="center"/>
                </w:tcPr>
                <w:p w14:paraId="1D6E335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本项目无新增工业废水，故不设置地表水专项评价</w:t>
                  </w:r>
                </w:p>
              </w:tc>
            </w:tr>
            <w:tr w14:paraId="7F9495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pct"/>
                  <w:tcBorders>
                    <w:tl2br w:val="nil"/>
                    <w:tr2bl w:val="nil"/>
                  </w:tcBorders>
                  <w:noWrap w:val="0"/>
                  <w:vAlign w:val="center"/>
                </w:tcPr>
                <w:p w14:paraId="39C379B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环境风险</w:t>
                  </w:r>
                </w:p>
              </w:tc>
              <w:tc>
                <w:tcPr>
                  <w:tcW w:w="2234" w:type="pct"/>
                  <w:tcBorders>
                    <w:tl2br w:val="nil"/>
                    <w:tr2bl w:val="nil"/>
                  </w:tcBorders>
                  <w:noWrap w:val="0"/>
                  <w:vAlign w:val="center"/>
                </w:tcPr>
                <w:p w14:paraId="649DA3A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有毒有害和易燃易爆危险物质存储量超过临界量的建设项目</w:t>
                  </w:r>
                </w:p>
              </w:tc>
              <w:tc>
                <w:tcPr>
                  <w:tcW w:w="1985" w:type="pct"/>
                  <w:tcBorders>
                    <w:tl2br w:val="nil"/>
                    <w:tr2bl w:val="nil"/>
                  </w:tcBorders>
                  <w:noWrap w:val="0"/>
                  <w:vAlign w:val="center"/>
                </w:tcPr>
                <w:p w14:paraId="5CC0DE7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本项目</w:t>
                  </w:r>
                  <w:r>
                    <w:rPr>
                      <w:rFonts w:hint="default" w:ascii="Times New Roman" w:hAnsi="Times New Roman" w:eastAsia="宋体" w:cs="Times New Roman"/>
                      <w:color w:val="auto"/>
                      <w:kern w:val="0"/>
                      <w:sz w:val="21"/>
                      <w:szCs w:val="21"/>
                      <w:highlight w:val="none"/>
                      <w:vertAlign w:val="baseline"/>
                      <w:lang w:eastAsia="zh-CN"/>
                    </w:rPr>
                    <w:t>有毒有害和易燃易爆危险物质</w:t>
                  </w:r>
                  <w:r>
                    <w:rPr>
                      <w:rFonts w:hint="eastAsia" w:ascii="Times New Roman" w:hAnsi="Times New Roman" w:eastAsia="宋体" w:cs="Times New Roman"/>
                      <w:color w:val="auto"/>
                      <w:kern w:val="0"/>
                      <w:sz w:val="21"/>
                      <w:szCs w:val="21"/>
                      <w:highlight w:val="none"/>
                      <w:vertAlign w:val="baseline"/>
                      <w:lang w:val="en-US" w:eastAsia="zh-CN"/>
                    </w:rPr>
                    <w:t>存储量</w:t>
                  </w:r>
                  <w:r>
                    <w:rPr>
                      <w:rFonts w:hint="eastAsia" w:cs="Times New Roman"/>
                      <w:color w:val="auto"/>
                      <w:kern w:val="0"/>
                      <w:sz w:val="21"/>
                      <w:szCs w:val="21"/>
                      <w:highlight w:val="none"/>
                      <w:vertAlign w:val="baseline"/>
                      <w:lang w:val="en-US" w:eastAsia="zh-CN"/>
                    </w:rPr>
                    <w:t>未</w:t>
                  </w:r>
                  <w:r>
                    <w:rPr>
                      <w:rFonts w:hint="eastAsia" w:ascii="Times New Roman" w:hAnsi="Times New Roman" w:eastAsia="宋体" w:cs="Times New Roman"/>
                      <w:color w:val="auto"/>
                      <w:kern w:val="0"/>
                      <w:sz w:val="21"/>
                      <w:szCs w:val="21"/>
                      <w:highlight w:val="none"/>
                      <w:vertAlign w:val="baseline"/>
                      <w:lang w:val="en-US" w:eastAsia="zh-CN"/>
                    </w:rPr>
                    <w:t>超过其临界量，</w:t>
                  </w:r>
                  <w:r>
                    <w:rPr>
                      <w:rFonts w:hint="eastAsia" w:cs="Times New Roman"/>
                      <w:color w:val="auto"/>
                      <w:kern w:val="0"/>
                      <w:sz w:val="21"/>
                      <w:szCs w:val="21"/>
                      <w:highlight w:val="none"/>
                      <w:vertAlign w:val="baseline"/>
                      <w:lang w:val="en-US" w:eastAsia="zh-CN"/>
                    </w:rPr>
                    <w:t>故不设置环境风险专项评价</w:t>
                  </w:r>
                </w:p>
              </w:tc>
            </w:tr>
            <w:tr w14:paraId="06D903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pct"/>
                  <w:tcBorders>
                    <w:tl2br w:val="nil"/>
                    <w:tr2bl w:val="nil"/>
                  </w:tcBorders>
                  <w:noWrap w:val="0"/>
                  <w:vAlign w:val="center"/>
                </w:tcPr>
                <w:p w14:paraId="3731D39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生态</w:t>
                  </w:r>
                </w:p>
              </w:tc>
              <w:tc>
                <w:tcPr>
                  <w:tcW w:w="2234" w:type="pct"/>
                  <w:tcBorders>
                    <w:tl2br w:val="nil"/>
                    <w:tr2bl w:val="nil"/>
                  </w:tcBorders>
                  <w:noWrap w:val="0"/>
                  <w:vAlign w:val="center"/>
                </w:tcPr>
                <w:p w14:paraId="15F5CE6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取水口下游500米范围内有重要水生生物的自然产卵场、索饵场、越冬场和洄游通道的新增河道取水的污染类建设项目</w:t>
                  </w:r>
                </w:p>
              </w:tc>
              <w:tc>
                <w:tcPr>
                  <w:tcW w:w="1985" w:type="pct"/>
                  <w:tcBorders>
                    <w:tl2br w:val="nil"/>
                    <w:tr2bl w:val="nil"/>
                  </w:tcBorders>
                  <w:noWrap w:val="0"/>
                  <w:vAlign w:val="center"/>
                </w:tcPr>
                <w:p w14:paraId="11FBFD4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本项目不涉及</w:t>
                  </w:r>
                </w:p>
              </w:tc>
            </w:tr>
            <w:tr w14:paraId="29FB6C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79" w:type="pct"/>
                  <w:tcBorders>
                    <w:tl2br w:val="nil"/>
                    <w:tr2bl w:val="nil"/>
                  </w:tcBorders>
                  <w:noWrap w:val="0"/>
                  <w:vAlign w:val="center"/>
                </w:tcPr>
                <w:p w14:paraId="0FE06AE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海洋</w:t>
                  </w:r>
                </w:p>
              </w:tc>
              <w:tc>
                <w:tcPr>
                  <w:tcW w:w="2234" w:type="pct"/>
                  <w:tcBorders>
                    <w:tl2br w:val="nil"/>
                    <w:tr2bl w:val="nil"/>
                  </w:tcBorders>
                  <w:noWrap w:val="0"/>
                  <w:vAlign w:val="center"/>
                </w:tcPr>
                <w:p w14:paraId="33F3F96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eastAsia="zh-CN"/>
                    </w:rPr>
                    <w:t>直接向海排放污染物的海洋工程建设项目</w:t>
                  </w:r>
                </w:p>
              </w:tc>
              <w:tc>
                <w:tcPr>
                  <w:tcW w:w="1985" w:type="pct"/>
                  <w:tcBorders>
                    <w:tl2br w:val="nil"/>
                    <w:tr2bl w:val="nil"/>
                  </w:tcBorders>
                  <w:noWrap w:val="0"/>
                  <w:vAlign w:val="center"/>
                </w:tcPr>
                <w:p w14:paraId="276C8C8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eastAsia" w:ascii="Times New Roman" w:hAnsi="Times New Roman" w:cs="Times New Roman"/>
                      <w:color w:val="auto"/>
                      <w:kern w:val="0"/>
                      <w:sz w:val="21"/>
                      <w:szCs w:val="21"/>
                      <w:highlight w:val="none"/>
                      <w:vertAlign w:val="baseline"/>
                      <w:lang w:val="en-US" w:eastAsia="zh-CN"/>
                    </w:rPr>
                    <w:t>本项目不涉及</w:t>
                  </w:r>
                </w:p>
              </w:tc>
            </w:tr>
          </w:tbl>
          <w:p w14:paraId="309B362C">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default"/>
                <w:color w:val="auto"/>
                <w:kern w:val="0"/>
                <w:szCs w:val="24"/>
                <w:highlight w:val="none"/>
                <w:lang w:eastAsia="zh-CN"/>
              </w:rPr>
            </w:pPr>
            <w:r>
              <w:rPr>
                <w:rFonts w:hint="eastAsia" w:ascii="Times New Roman" w:hAnsi="Times New Roman" w:eastAsia="宋体" w:cs="宋体"/>
                <w:color w:val="auto"/>
                <w:highlight w:val="none"/>
                <w:lang w:val="en-US" w:eastAsia="zh-CN"/>
              </w:rPr>
              <w:t>综上，本项目无需设置专项评价。</w:t>
            </w:r>
          </w:p>
        </w:tc>
      </w:tr>
      <w:tr w14:paraId="1FAE53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471" w:type="dxa"/>
            <w:noWrap w:val="0"/>
            <w:vAlign w:val="center"/>
          </w:tcPr>
          <w:p w14:paraId="15C7892F">
            <w:pPr>
              <w:keepNext w:val="0"/>
              <w:keepLines w:val="0"/>
              <w:suppressLineNumbers w:val="0"/>
              <w:autoSpaceDE w:val="0"/>
              <w:autoSpaceDN w:val="0"/>
              <w:adjustRightInd w:val="0"/>
              <w:snapToGrid w:val="0"/>
              <w:spacing w:before="0" w:beforeAutospacing="0" w:after="0" w:afterAutospacing="0" w:line="240" w:lineRule="auto"/>
              <w:ind w:left="0" w:right="0"/>
              <w:jc w:val="center"/>
              <w:rPr>
                <w:rFonts w:hint="default" w:ascii="Times New Roman" w:hAnsi="Times New Roman" w:cs="Times New Roman"/>
                <w:color w:val="auto"/>
                <w:kern w:val="0"/>
                <w:sz w:val="24"/>
                <w:highlight w:val="none"/>
              </w:rPr>
            </w:pPr>
            <w:r>
              <w:rPr>
                <w:rFonts w:hint="default" w:ascii="Times New Roman" w:hAnsi="Times New Roman" w:cs="Times New Roman"/>
                <w:color w:val="auto"/>
                <w:sz w:val="24"/>
                <w:highlight w:val="none"/>
              </w:rPr>
              <w:t>规划情况</w:t>
            </w:r>
          </w:p>
        </w:tc>
        <w:tc>
          <w:tcPr>
            <w:tcW w:w="8293" w:type="dxa"/>
            <w:gridSpan w:val="3"/>
            <w:noWrap w:val="0"/>
            <w:vAlign w:val="center"/>
          </w:tcPr>
          <w:p w14:paraId="42D232DA">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default" w:ascii="Times New Roman" w:hAnsi="Times New Roman" w:eastAsia="宋体" w:cs="宋体"/>
                <w:b/>
                <w:bCs/>
                <w:color w:val="auto"/>
                <w:highlight w:val="none"/>
                <w:lang w:val="en-US" w:eastAsia="zh-CN"/>
              </w:rPr>
            </w:pPr>
            <w:r>
              <w:rPr>
                <w:rFonts w:hint="eastAsia" w:cs="宋体"/>
                <w:b/>
                <w:bCs/>
                <w:color w:val="auto"/>
                <w:highlight w:val="none"/>
                <w:lang w:val="en-US" w:eastAsia="zh-CN"/>
              </w:rPr>
              <w:t>1</w:t>
            </w:r>
            <w:r>
              <w:rPr>
                <w:rFonts w:hint="eastAsia" w:ascii="Times New Roman" w:hAnsi="Times New Roman" w:cs="宋体"/>
                <w:b/>
                <w:bCs/>
                <w:color w:val="auto"/>
                <w:highlight w:val="none"/>
                <w:lang w:val="en-US" w:eastAsia="zh-CN"/>
              </w:rPr>
              <w:t>、</w:t>
            </w:r>
            <w:r>
              <w:rPr>
                <w:rFonts w:hint="eastAsia" w:ascii="Times New Roman" w:hAnsi="Times New Roman" w:eastAsia="宋体" w:cs="宋体"/>
                <w:b/>
                <w:bCs/>
                <w:color w:val="auto"/>
                <w:highlight w:val="none"/>
                <w:lang w:val="en-US" w:eastAsia="zh-CN"/>
              </w:rPr>
              <w:t>辽宁阜新经济开发区规划方案调整及西区（二期）北区（二期）控制性详细规划</w:t>
            </w:r>
          </w:p>
          <w:p w14:paraId="1097B33B">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default" w:ascii="Times New Roman" w:hAnsi="Times New Roman" w:eastAsia="宋体" w:cs="宋体"/>
                <w:color w:val="auto"/>
                <w:highlight w:val="none"/>
                <w:lang w:eastAsia="zh-CN"/>
              </w:rPr>
            </w:pPr>
            <w:r>
              <w:rPr>
                <w:rFonts w:hint="eastAsia" w:ascii="Times New Roman" w:hAnsi="Times New Roman" w:eastAsia="宋体" w:cs="宋体"/>
                <w:color w:val="auto"/>
                <w:highlight w:val="none"/>
                <w:lang w:val="en-US" w:eastAsia="zh-CN"/>
              </w:rPr>
              <w:t>规划名称：《辽宁阜新经济开发区规划方案调整及西区（二期）北区（二期）控制性详细规划》；</w:t>
            </w:r>
          </w:p>
          <w:p w14:paraId="50F84DF5">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default" w:ascii="Times New Roman" w:hAnsi="Times New Roman" w:eastAsia="宋体" w:cs="宋体"/>
                <w:color w:val="auto"/>
                <w:highlight w:val="none"/>
                <w:lang w:eastAsia="zh-CN"/>
              </w:rPr>
            </w:pPr>
            <w:r>
              <w:rPr>
                <w:rFonts w:hint="eastAsia" w:ascii="Times New Roman" w:hAnsi="Times New Roman" w:eastAsia="宋体" w:cs="宋体"/>
                <w:color w:val="auto"/>
                <w:highlight w:val="none"/>
                <w:lang w:val="en-US" w:eastAsia="zh-CN"/>
              </w:rPr>
              <w:t>审批机关：阜新市人民政府；</w:t>
            </w:r>
          </w:p>
          <w:p w14:paraId="3EE74DE6">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eastAsia" w:eastAsia="宋体"/>
                <w:color w:val="auto"/>
                <w:highlight w:val="none"/>
                <w:lang w:eastAsia="zh-CN"/>
              </w:rPr>
            </w:pPr>
            <w:r>
              <w:rPr>
                <w:rFonts w:hint="eastAsia" w:ascii="Times New Roman" w:hAnsi="Times New Roman" w:eastAsia="宋体" w:cs="宋体"/>
                <w:color w:val="auto"/>
                <w:highlight w:val="none"/>
                <w:lang w:val="en-US" w:eastAsia="zh-CN"/>
              </w:rPr>
              <w:t>审查文件文号：阜政</w:t>
            </w:r>
            <w:r>
              <w:rPr>
                <w:rFonts w:hint="eastAsia" w:cs="宋体"/>
                <w:color w:val="auto"/>
                <w:highlight w:val="none"/>
                <w:lang w:val="en-US" w:eastAsia="zh-CN"/>
              </w:rPr>
              <w:t>〔2011〕99号</w:t>
            </w:r>
            <w:r>
              <w:rPr>
                <w:rFonts w:hint="eastAsia" w:ascii="Times New Roman" w:hAnsi="Times New Roman" w:eastAsia="宋体" w:cs="宋体"/>
                <w:color w:val="auto"/>
                <w:highlight w:val="none"/>
                <w:lang w:val="en-US" w:eastAsia="zh-CN"/>
              </w:rPr>
              <w:t>，</w:t>
            </w:r>
            <w:r>
              <w:rPr>
                <w:rFonts w:hint="default" w:ascii="Times New Roman" w:hAnsi="Times New Roman" w:eastAsia="宋体" w:cs="宋体"/>
                <w:color w:val="auto"/>
                <w:highlight w:val="none"/>
                <w:lang w:val="en-US" w:eastAsia="zh-CN"/>
              </w:rPr>
              <w:t>2011</w:t>
            </w:r>
            <w:r>
              <w:rPr>
                <w:rFonts w:hint="eastAsia" w:ascii="Times New Roman" w:hAnsi="Times New Roman" w:eastAsia="宋体" w:cs="宋体"/>
                <w:color w:val="auto"/>
                <w:highlight w:val="none"/>
                <w:lang w:val="en-US" w:eastAsia="zh-CN"/>
              </w:rPr>
              <w:t>年</w:t>
            </w:r>
            <w:r>
              <w:rPr>
                <w:rFonts w:hint="default" w:ascii="Times New Roman" w:hAnsi="Times New Roman" w:eastAsia="宋体" w:cs="宋体"/>
                <w:color w:val="auto"/>
                <w:highlight w:val="none"/>
                <w:lang w:val="en-US" w:eastAsia="zh-CN"/>
              </w:rPr>
              <w:t>5</w:t>
            </w:r>
            <w:r>
              <w:rPr>
                <w:rFonts w:hint="eastAsia" w:ascii="Times New Roman" w:hAnsi="Times New Roman" w:eastAsia="宋体" w:cs="宋体"/>
                <w:color w:val="auto"/>
                <w:highlight w:val="none"/>
                <w:lang w:val="en-US" w:eastAsia="zh-CN"/>
              </w:rPr>
              <w:t>月</w:t>
            </w:r>
            <w:r>
              <w:rPr>
                <w:rFonts w:hint="default" w:ascii="Times New Roman" w:hAnsi="Times New Roman" w:eastAsia="宋体" w:cs="宋体"/>
                <w:color w:val="auto"/>
                <w:highlight w:val="none"/>
                <w:lang w:val="en-US" w:eastAsia="zh-CN"/>
              </w:rPr>
              <w:t>16</w:t>
            </w:r>
            <w:r>
              <w:rPr>
                <w:rFonts w:hint="eastAsia" w:ascii="Times New Roman" w:hAnsi="Times New Roman" w:eastAsia="宋体" w:cs="宋体"/>
                <w:color w:val="auto"/>
                <w:highlight w:val="none"/>
                <w:lang w:val="en-US" w:eastAsia="zh-CN"/>
              </w:rPr>
              <w:t>日。</w:t>
            </w:r>
          </w:p>
        </w:tc>
      </w:tr>
      <w:tr w14:paraId="754860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471" w:type="dxa"/>
            <w:noWrap w:val="0"/>
            <w:vAlign w:val="center"/>
          </w:tcPr>
          <w:p w14:paraId="4080E4C1">
            <w:pPr>
              <w:keepNext w:val="0"/>
              <w:keepLines w:val="0"/>
              <w:suppressLineNumbers w:val="0"/>
              <w:adjustRightInd w:val="0"/>
              <w:snapToGrid w:val="0"/>
              <w:spacing w:before="0" w:beforeAutospacing="0" w:after="0" w:afterAutospacing="0" w:line="240" w:lineRule="auto"/>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规划环境影响评价情况</w:t>
            </w:r>
          </w:p>
        </w:tc>
        <w:tc>
          <w:tcPr>
            <w:tcW w:w="8293" w:type="dxa"/>
            <w:gridSpan w:val="3"/>
            <w:noWrap w:val="0"/>
            <w:vAlign w:val="center"/>
          </w:tcPr>
          <w:p w14:paraId="470E7DCA">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eastAsia" w:ascii="Times New Roman" w:hAnsi="Times New Roman" w:eastAsia="宋体" w:cs="宋体"/>
                <w:color w:val="auto"/>
                <w:highlight w:val="none"/>
                <w:lang w:val="en-US" w:eastAsia="zh-CN"/>
              </w:rPr>
            </w:pPr>
            <w:r>
              <w:rPr>
                <w:rFonts w:hint="eastAsia" w:ascii="Times New Roman" w:hAnsi="Times New Roman" w:eastAsia="宋体" w:cs="宋体"/>
                <w:b/>
                <w:bCs/>
                <w:color w:val="auto"/>
                <w:highlight w:val="none"/>
                <w:lang w:val="en-US" w:eastAsia="zh-CN"/>
              </w:rPr>
              <w:t>规划环境影响评价报告书名称：</w:t>
            </w:r>
            <w:r>
              <w:rPr>
                <w:rFonts w:hint="eastAsia" w:ascii="Times New Roman" w:hAnsi="Times New Roman" w:eastAsia="宋体" w:cs="宋体"/>
                <w:color w:val="auto"/>
                <w:highlight w:val="none"/>
                <w:lang w:val="en-US" w:eastAsia="zh-CN"/>
              </w:rPr>
              <w:t>《辽宁阜新经济开发区西区北区规划方案调整环境影响评价报告书》；</w:t>
            </w:r>
          </w:p>
          <w:p w14:paraId="1FE567C1">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eastAsia" w:ascii="Times New Roman" w:hAnsi="Times New Roman" w:eastAsia="宋体" w:cs="宋体"/>
                <w:color w:val="auto"/>
                <w:highlight w:val="none"/>
                <w:lang w:val="en-US" w:eastAsia="zh-CN"/>
              </w:rPr>
            </w:pPr>
            <w:r>
              <w:rPr>
                <w:rFonts w:hint="eastAsia" w:ascii="Times New Roman" w:hAnsi="Times New Roman" w:eastAsia="宋体" w:cs="宋体"/>
                <w:b/>
                <w:bCs/>
                <w:color w:val="auto"/>
                <w:highlight w:val="none"/>
                <w:lang w:val="en-US" w:eastAsia="zh-CN"/>
              </w:rPr>
              <w:t>审查机关：</w:t>
            </w:r>
            <w:r>
              <w:rPr>
                <w:rFonts w:hint="eastAsia" w:ascii="Times New Roman" w:hAnsi="Times New Roman" w:eastAsia="宋体" w:cs="宋体"/>
                <w:color w:val="auto"/>
                <w:highlight w:val="none"/>
                <w:lang w:val="en-US" w:eastAsia="zh-CN"/>
              </w:rPr>
              <w:t>原阜新市环境保护局；</w:t>
            </w:r>
          </w:p>
          <w:p w14:paraId="644A6B48">
            <w:pPr>
              <w:pStyle w:val="73"/>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right="0"/>
              <w:textAlignment w:val="auto"/>
              <w:rPr>
                <w:rFonts w:hint="default"/>
                <w:color w:val="auto"/>
                <w:highlight w:val="none"/>
                <w:lang w:eastAsia="zh-CN"/>
              </w:rPr>
            </w:pPr>
            <w:r>
              <w:rPr>
                <w:rFonts w:hint="eastAsia" w:ascii="Times New Roman" w:hAnsi="Times New Roman" w:eastAsia="宋体" w:cs="宋体"/>
                <w:b/>
                <w:bCs/>
                <w:color w:val="auto"/>
                <w:highlight w:val="none"/>
                <w:lang w:val="en-US" w:eastAsia="zh-CN"/>
              </w:rPr>
              <w:t>审查文件名称及文号：</w:t>
            </w:r>
            <w:r>
              <w:rPr>
                <w:rFonts w:hint="eastAsia" w:ascii="Times New Roman" w:hAnsi="Times New Roman" w:eastAsia="宋体" w:cs="宋体"/>
                <w:color w:val="auto"/>
                <w:highlight w:val="none"/>
                <w:lang w:val="en-US" w:eastAsia="zh-CN"/>
              </w:rPr>
              <w:t>《关于对&lt;辽宁阜新经济开发区西区北区规划方案调整环境影响报告书&gt;的审查意见》，阜环函</w:t>
            </w:r>
            <w:r>
              <w:rPr>
                <w:rFonts w:hint="eastAsia" w:cs="宋体"/>
                <w:color w:val="auto"/>
                <w:highlight w:val="none"/>
                <w:lang w:val="en-US" w:eastAsia="zh-CN"/>
              </w:rPr>
              <w:t>〔2018〕57号</w:t>
            </w:r>
            <w:r>
              <w:rPr>
                <w:rFonts w:hint="eastAsia" w:ascii="Times New Roman" w:hAnsi="Times New Roman" w:eastAsia="宋体" w:cs="宋体"/>
                <w:color w:val="auto"/>
                <w:highlight w:val="none"/>
                <w:lang w:val="en-US" w:eastAsia="zh-CN"/>
              </w:rPr>
              <w:t>， 2018年8月30日。</w:t>
            </w:r>
          </w:p>
        </w:tc>
      </w:tr>
      <w:tr w14:paraId="02B83E6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471" w:type="dxa"/>
            <w:noWrap w:val="0"/>
            <w:vAlign w:val="center"/>
          </w:tcPr>
          <w:p w14:paraId="029FD89D">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default" w:ascii="Times New Roman" w:hAnsi="Times New Roman" w:cs="Times New Roman"/>
                <w:color w:val="auto"/>
                <w:sz w:val="24"/>
                <w:highlight w:val="none"/>
              </w:rPr>
              <w:t>规划及规划环境影响评价符合性分析</w:t>
            </w:r>
          </w:p>
        </w:tc>
        <w:tc>
          <w:tcPr>
            <w:tcW w:w="8293" w:type="dxa"/>
            <w:gridSpan w:val="3"/>
            <w:noWrap w:val="0"/>
            <w:vAlign w:val="center"/>
          </w:tcPr>
          <w:p w14:paraId="550C2BEB">
            <w:pPr>
              <w:pStyle w:val="73"/>
              <w:keepNext w:val="0"/>
              <w:keepLines w:val="0"/>
              <w:suppressLineNumbers w:val="0"/>
              <w:spacing w:before="118" w:beforeAutospacing="0" w:after="0" w:afterAutospacing="0" w:line="360" w:lineRule="auto"/>
              <w:ind w:left="114" w:right="103" w:firstLine="483"/>
              <w:rPr>
                <w:rFonts w:hint="default"/>
                <w:b/>
                <w:bCs/>
                <w:color w:val="auto"/>
                <w:spacing w:val="-3"/>
              </w:rPr>
            </w:pPr>
            <w:r>
              <w:rPr>
                <w:rFonts w:hint="eastAsia" w:eastAsia="Times New Roman" w:cs="Times New Roman"/>
                <w:b/>
                <w:bCs/>
                <w:color w:val="auto"/>
                <w:highlight w:val="none"/>
                <w:lang w:val="en-US" w:eastAsia="zh-CN"/>
              </w:rPr>
              <w:t>1</w:t>
            </w:r>
            <w:r>
              <w:rPr>
                <w:rFonts w:hint="default" w:ascii="Times New Roman" w:hAnsi="Times New Roman" w:eastAsia="Times New Roman" w:cs="Times New Roman"/>
                <w:b/>
                <w:bCs/>
                <w:color w:val="auto"/>
                <w:highlight w:val="none"/>
                <w:lang w:val="en-US" w:eastAsia="zh-CN"/>
              </w:rPr>
              <w:t>、</w:t>
            </w:r>
            <w:r>
              <w:rPr>
                <w:rFonts w:hint="default"/>
                <w:b/>
                <w:bCs/>
                <w:color w:val="auto"/>
                <w:spacing w:val="-7"/>
              </w:rPr>
              <w:t>与《辽宁阜新经济开发区规划方案调整及西区（二期）北区</w:t>
            </w:r>
            <w:r>
              <w:rPr>
                <w:rFonts w:hint="default"/>
                <w:b/>
                <w:bCs/>
                <w:color w:val="auto"/>
                <w:spacing w:val="-3"/>
              </w:rPr>
              <w:t>（二期）控制性详细规划》符合性分析</w:t>
            </w:r>
          </w:p>
          <w:p w14:paraId="4386B815">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辽宁阜新经济开发区成立于1992年，是经辽宁省政府批准的省级开发区。2006</w:t>
            </w:r>
            <w:r>
              <w:rPr>
                <w:rFonts w:hint="eastAsia" w:cs="Times New Roman"/>
                <w:color w:val="auto"/>
                <w:kern w:val="0"/>
                <w:sz w:val="24"/>
                <w:highlight w:val="none"/>
                <w:lang w:val="en-US" w:eastAsia="zh-CN"/>
              </w:rPr>
              <w:t>年</w:t>
            </w:r>
            <w:r>
              <w:rPr>
                <w:rFonts w:hint="default" w:ascii="Times New Roman" w:hAnsi="Times New Roman" w:eastAsia="宋体" w:cs="Times New Roman"/>
                <w:color w:val="auto"/>
                <w:kern w:val="0"/>
                <w:sz w:val="24"/>
                <w:highlight w:val="none"/>
              </w:rPr>
              <w:t>，辽宁省人民政府《辽宁省人民政府关于设立辽宁阜新高新技术产业园区等3个省级开发区的批复》（辽政</w:t>
            </w:r>
            <w:r>
              <w:rPr>
                <w:rFonts w:hint="eastAsia" w:cs="Times New Roman"/>
                <w:color w:val="auto"/>
                <w:kern w:val="0"/>
                <w:sz w:val="24"/>
                <w:highlight w:val="none"/>
                <w:lang w:eastAsia="zh-CN"/>
              </w:rPr>
              <w:t>〔2006〕176号</w:t>
            </w:r>
            <w:r>
              <w:rPr>
                <w:rFonts w:hint="default" w:ascii="Times New Roman" w:hAnsi="Times New Roman" w:eastAsia="宋体" w:cs="Times New Roman"/>
                <w:color w:val="auto"/>
                <w:kern w:val="0"/>
                <w:sz w:val="24"/>
                <w:highlight w:val="none"/>
              </w:rPr>
              <w:t>）批准。2011年开始，以现有开发区、玉龙新城、高新产业园区共同规划申报国家级高新区，2013年12月20日得到国务院批复，晋升为国家级高新区，更名为阜新高新技术产业开发区，国务院回复了辽宁省人民政府《关于阜新高新技术产业开发区晋升为国家高新技术产业开发区的请示》（辽政</w:t>
            </w:r>
            <w:r>
              <w:rPr>
                <w:rFonts w:hint="eastAsia" w:cs="Times New Roman"/>
                <w:color w:val="auto"/>
                <w:kern w:val="0"/>
                <w:sz w:val="24"/>
                <w:highlight w:val="none"/>
                <w:lang w:eastAsia="zh-CN"/>
              </w:rPr>
              <w:t>〔</w:t>
            </w:r>
            <w:r>
              <w:rPr>
                <w:rFonts w:hint="default" w:ascii="Times New Roman" w:hAnsi="Times New Roman" w:eastAsia="宋体" w:cs="Times New Roman"/>
                <w:color w:val="auto"/>
                <w:kern w:val="0"/>
                <w:sz w:val="24"/>
                <w:highlight w:val="none"/>
              </w:rPr>
              <w:t>2011</w:t>
            </w:r>
            <w:r>
              <w:rPr>
                <w:rFonts w:hint="eastAsia" w:cs="Times New Roman"/>
                <w:color w:val="auto"/>
                <w:kern w:val="0"/>
                <w:sz w:val="24"/>
                <w:highlight w:val="none"/>
                <w:lang w:eastAsia="zh-CN"/>
              </w:rPr>
              <w:t>〕</w:t>
            </w:r>
            <w:r>
              <w:rPr>
                <w:rFonts w:hint="default" w:ascii="Times New Roman" w:hAnsi="Times New Roman" w:eastAsia="宋体" w:cs="Times New Roman"/>
                <w:color w:val="auto"/>
                <w:kern w:val="0"/>
                <w:sz w:val="24"/>
                <w:highlight w:val="none"/>
              </w:rPr>
              <w:t>252号），批复名称为《国务院关于同意阜新高新技术产业开发区升级为国家高新技术产业开发区的批复》，批复文号为国函</w:t>
            </w:r>
            <w:r>
              <w:rPr>
                <w:rFonts w:hint="eastAsia" w:cs="Times New Roman"/>
                <w:color w:val="auto"/>
                <w:kern w:val="0"/>
                <w:sz w:val="24"/>
                <w:highlight w:val="none"/>
                <w:lang w:eastAsia="zh-CN"/>
              </w:rPr>
              <w:t>〔2013〕137号</w:t>
            </w:r>
            <w:r>
              <w:rPr>
                <w:rFonts w:hint="default" w:ascii="Times New Roman" w:hAnsi="Times New Roman" w:eastAsia="宋体" w:cs="Times New Roman"/>
                <w:color w:val="auto"/>
                <w:kern w:val="0"/>
                <w:sz w:val="24"/>
                <w:highlight w:val="none"/>
              </w:rPr>
              <w:t>。2019年11月8日，阜新市委、市政府实施园区改革，对阜新高新技术产业开发区、阜新高新技术产业园区党政机构进行整合，作为市政府派出机构，阜新国家高新区实行“封闭式”管理体制，在规定的职责范围内行使经济管理权限，是阜新市经济发展的先导区、示范区和高新技术产业的聚集地。</w:t>
            </w:r>
          </w:p>
          <w:p w14:paraId="3855ABD1">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园区规划范围：涉及辽宁阜新经济开发区西区，东起四官营子河，西至阜锦高速公路，北以20路为界，南至细河，总规划面积为24.51平方公里。本项目位于</w:t>
            </w:r>
            <w:r>
              <w:rPr>
                <w:rFonts w:hint="eastAsia" w:ascii="Times New Roman" w:hAnsi="Times New Roman" w:eastAsia="宋体" w:cs="Times New Roman"/>
                <w:color w:val="auto"/>
                <w:kern w:val="0"/>
                <w:sz w:val="24"/>
                <w:highlight w:val="none"/>
              </w:rPr>
              <w:t>辽宁省阜新市高新技术产业开发区</w:t>
            </w:r>
            <w:r>
              <w:rPr>
                <w:rFonts w:hint="eastAsia" w:ascii="Times New Roman" w:hAnsi="Times New Roman" w:eastAsia="宋体" w:cs="Times New Roman"/>
                <w:color w:val="auto"/>
                <w:kern w:val="0"/>
                <w:sz w:val="24"/>
                <w:highlight w:val="none"/>
                <w:lang w:val="en-US" w:eastAsia="zh-CN"/>
              </w:rPr>
              <w:t>华通路16号</w:t>
            </w:r>
            <w:r>
              <w:rPr>
                <w:rFonts w:hint="default" w:ascii="Times New Roman" w:hAnsi="Times New Roman" w:eastAsia="宋体" w:cs="Times New Roman"/>
                <w:color w:val="auto"/>
                <w:kern w:val="0"/>
                <w:sz w:val="24"/>
                <w:highlight w:val="none"/>
              </w:rPr>
              <w:t>，位于规划范围内，用地为工业用地。</w:t>
            </w:r>
          </w:p>
          <w:p w14:paraId="2D3A847C">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根据《辽宁阜新经济开发区西区北区规划方案调整环境影响评价报告书》中产业定位：重点发展先进装备制造业和现代服务业，其中装备制造业发展方向主要包括：液压及装备制造业（液压泵与马达、液压缸与阀、空压机与气动元件、铸造件与热处理、模具与密封件、整机制造与液压系统）、机械加工与制造、电子元器件产业（电容器、半导体器件、电线电缆、防爆通讯器材、新能源电池）、电力设备及配套件、农副产品深加工业、食品加工、橡胶制品业、医药制造业、管材生产机加工、新能源及环保设备制造、玻璃加工、服装、建材、板材家具制造、服务业（住宿及餐饮、娱乐、批发和零售、金融业、电子商务、软件和信息技术服务、会展中心、商贸服务、居民服务业、交通运输及仓储、物流业、教育、文化、卫生、地质勘查服务）、房地产业。</w:t>
            </w:r>
          </w:p>
          <w:p w14:paraId="1915745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本项目属于“C4210</w:t>
            </w:r>
            <w:r>
              <w:rPr>
                <w:rFonts w:hint="eastAsia" w:cs="Times New Roman"/>
                <w:color w:val="auto"/>
                <w:kern w:val="0"/>
                <w:sz w:val="24"/>
                <w:highlight w:val="none"/>
                <w:lang w:val="en-US" w:eastAsia="zh-CN"/>
              </w:rPr>
              <w:t xml:space="preserve"> </w:t>
            </w:r>
            <w:r>
              <w:rPr>
                <w:rFonts w:hint="default" w:ascii="Times New Roman" w:hAnsi="Times New Roman" w:eastAsia="宋体" w:cs="Times New Roman"/>
                <w:color w:val="auto"/>
                <w:kern w:val="0"/>
                <w:sz w:val="24"/>
                <w:highlight w:val="none"/>
              </w:rPr>
              <w:t>金属废料和碎屑加工处理”，对报废农机、报废汽车进行拆解</w:t>
            </w:r>
            <w:r>
              <w:rPr>
                <w:rFonts w:hint="eastAsia" w:cs="Times New Roman"/>
                <w:color w:val="auto"/>
                <w:kern w:val="0"/>
                <w:sz w:val="24"/>
                <w:highlight w:val="none"/>
                <w:lang w:val="en-US" w:eastAsia="zh-CN"/>
              </w:rPr>
              <w:t>以及对废钢铁进行剪切破碎加工</w:t>
            </w:r>
            <w:r>
              <w:rPr>
                <w:rFonts w:hint="default" w:ascii="Times New Roman" w:hAnsi="Times New Roman" w:eastAsia="宋体" w:cs="Times New Roman"/>
                <w:color w:val="auto"/>
                <w:kern w:val="0"/>
                <w:sz w:val="24"/>
                <w:highlight w:val="none"/>
              </w:rPr>
              <w:t>，经查阅《产业结构调整指导目录（2024年本）》，属于“鼓励类”项目，不在园区禁止引入行业范围内；</w:t>
            </w:r>
            <w:r>
              <w:rPr>
                <w:rFonts w:hint="eastAsia" w:cs="Times New Roman"/>
                <w:color w:val="auto"/>
                <w:kern w:val="0"/>
                <w:sz w:val="24"/>
                <w:highlight w:val="none"/>
                <w:lang w:val="en-US" w:eastAsia="zh-CN"/>
              </w:rPr>
              <w:t>2026</w:t>
            </w:r>
            <w:r>
              <w:rPr>
                <w:rFonts w:hint="default" w:ascii="Times New Roman" w:hAnsi="Times New Roman" w:eastAsia="宋体" w:cs="Times New Roman"/>
                <w:color w:val="auto"/>
                <w:kern w:val="0"/>
                <w:sz w:val="24"/>
                <w:highlight w:val="none"/>
              </w:rPr>
              <w:t>年</w:t>
            </w:r>
            <w:r>
              <w:rPr>
                <w:rFonts w:hint="eastAsia" w:cs="Times New Roman"/>
                <w:color w:val="auto"/>
                <w:kern w:val="0"/>
                <w:sz w:val="24"/>
                <w:highlight w:val="none"/>
                <w:lang w:val="en-US" w:eastAsia="zh-CN"/>
              </w:rPr>
              <w:t>8</w:t>
            </w:r>
            <w:r>
              <w:rPr>
                <w:rFonts w:hint="default" w:ascii="Times New Roman" w:hAnsi="Times New Roman" w:eastAsia="宋体" w:cs="Times New Roman"/>
                <w:color w:val="auto"/>
                <w:kern w:val="0"/>
                <w:sz w:val="24"/>
                <w:highlight w:val="none"/>
              </w:rPr>
              <w:t>月</w:t>
            </w:r>
            <w:r>
              <w:rPr>
                <w:rFonts w:hint="eastAsia" w:cs="Times New Roman"/>
                <w:color w:val="auto"/>
                <w:kern w:val="0"/>
                <w:sz w:val="24"/>
                <w:highlight w:val="none"/>
                <w:lang w:val="en-US" w:eastAsia="zh-CN"/>
              </w:rPr>
              <w:t>7</w:t>
            </w:r>
            <w:r>
              <w:rPr>
                <w:rFonts w:hint="default" w:ascii="Times New Roman" w:hAnsi="Times New Roman" w:eastAsia="宋体" w:cs="Times New Roman"/>
                <w:color w:val="auto"/>
                <w:kern w:val="0"/>
                <w:sz w:val="24"/>
                <w:highlight w:val="none"/>
              </w:rPr>
              <w:t>日，企业取得阜新高新技术产业开发区管理委员会出具《关于阜新高新技术产业开发区规划修编的说明》（见附件</w:t>
            </w:r>
            <w:r>
              <w:rPr>
                <w:rFonts w:hint="eastAsia" w:cs="Times New Roman"/>
                <w:color w:val="auto"/>
                <w:kern w:val="0"/>
                <w:sz w:val="24"/>
                <w:highlight w:val="none"/>
                <w:lang w:val="en-US" w:eastAsia="zh-CN"/>
              </w:rPr>
              <w:t>7</w:t>
            </w:r>
            <w:r>
              <w:rPr>
                <w:rFonts w:hint="default" w:ascii="Times New Roman" w:hAnsi="Times New Roman" w:eastAsia="宋体" w:cs="Times New Roman"/>
                <w:color w:val="auto"/>
                <w:kern w:val="0"/>
                <w:sz w:val="24"/>
                <w:highlight w:val="none"/>
              </w:rPr>
              <w:t>），</w:t>
            </w:r>
            <w:r>
              <w:rPr>
                <w:rFonts w:hint="eastAsia" w:cs="Times New Roman"/>
                <w:color w:val="auto"/>
                <w:kern w:val="0"/>
                <w:sz w:val="24"/>
                <w:highlight w:val="none"/>
                <w:lang w:val="en-US" w:eastAsia="zh-CN"/>
              </w:rPr>
              <w:t>本</w:t>
            </w:r>
            <w:r>
              <w:rPr>
                <w:rFonts w:hint="default" w:ascii="Times New Roman" w:hAnsi="Times New Roman" w:eastAsia="宋体" w:cs="Times New Roman"/>
                <w:color w:val="auto"/>
                <w:kern w:val="0"/>
                <w:sz w:val="24"/>
                <w:highlight w:val="none"/>
              </w:rPr>
              <w:t>项目建设与调整后的《阜新高新技术产业开发区规划》的产业定位相符。</w:t>
            </w:r>
            <w:r>
              <w:rPr>
                <w:rFonts w:hint="default" w:ascii="Times New Roman" w:hAnsi="Times New Roman" w:eastAsia="宋体" w:cs="宋体"/>
                <w:color w:val="auto"/>
                <w:spacing w:val="1"/>
                <w:sz w:val="24"/>
                <w:szCs w:val="24"/>
                <w:highlight w:val="none"/>
                <w:lang w:val="en-US" w:eastAsia="zh-CN"/>
              </w:rPr>
              <w:t>本项目已于</w:t>
            </w:r>
            <w:r>
              <w:rPr>
                <w:rFonts w:hint="eastAsia" w:ascii="Times New Roman" w:hAnsi="Times New Roman" w:eastAsia="宋体" w:cs="宋体"/>
                <w:color w:val="auto"/>
                <w:spacing w:val="1"/>
                <w:sz w:val="24"/>
                <w:szCs w:val="24"/>
                <w:highlight w:val="none"/>
                <w:lang w:val="en-US" w:eastAsia="zh-CN"/>
              </w:rPr>
              <w:t>2026</w:t>
            </w:r>
            <w:r>
              <w:rPr>
                <w:rFonts w:hint="default" w:ascii="Times New Roman" w:hAnsi="Times New Roman" w:eastAsia="宋体" w:cs="宋体"/>
                <w:color w:val="auto"/>
                <w:spacing w:val="1"/>
                <w:sz w:val="24"/>
                <w:szCs w:val="24"/>
                <w:highlight w:val="none"/>
                <w:lang w:val="en-US" w:eastAsia="zh-CN"/>
              </w:rPr>
              <w:t>年</w:t>
            </w:r>
            <w:r>
              <w:rPr>
                <w:rFonts w:hint="eastAsia" w:ascii="Times New Roman" w:hAnsi="Times New Roman" w:eastAsia="宋体" w:cs="宋体"/>
                <w:color w:val="auto"/>
                <w:spacing w:val="1"/>
                <w:sz w:val="24"/>
                <w:szCs w:val="24"/>
                <w:highlight w:val="none"/>
                <w:lang w:val="en-US" w:eastAsia="zh-CN"/>
              </w:rPr>
              <w:t>2</w:t>
            </w:r>
            <w:r>
              <w:rPr>
                <w:rFonts w:hint="default" w:ascii="Times New Roman" w:hAnsi="Times New Roman" w:eastAsia="宋体" w:cs="宋体"/>
                <w:color w:val="auto"/>
                <w:spacing w:val="1"/>
                <w:sz w:val="24"/>
                <w:szCs w:val="24"/>
                <w:highlight w:val="none"/>
                <w:lang w:val="en-US" w:eastAsia="zh-CN"/>
              </w:rPr>
              <w:t>月</w:t>
            </w:r>
            <w:r>
              <w:rPr>
                <w:rFonts w:hint="eastAsia" w:ascii="Times New Roman" w:hAnsi="Times New Roman" w:eastAsia="宋体" w:cs="宋体"/>
                <w:color w:val="auto"/>
                <w:spacing w:val="1"/>
                <w:sz w:val="24"/>
                <w:szCs w:val="24"/>
                <w:highlight w:val="none"/>
                <w:lang w:val="en-US" w:eastAsia="zh-CN"/>
              </w:rPr>
              <w:t>12</w:t>
            </w:r>
            <w:r>
              <w:rPr>
                <w:rFonts w:hint="default" w:ascii="Times New Roman" w:hAnsi="Times New Roman" w:eastAsia="宋体" w:cs="宋体"/>
                <w:color w:val="auto"/>
                <w:spacing w:val="1"/>
                <w:sz w:val="24"/>
                <w:szCs w:val="24"/>
                <w:highlight w:val="none"/>
                <w:lang w:val="en-US" w:eastAsia="zh-CN"/>
              </w:rPr>
              <w:t>日取得阜新高新技术产业开发区发展和改革局《关于&lt;</w:t>
            </w:r>
            <w:r>
              <w:rPr>
                <w:rFonts w:hint="eastAsia" w:ascii="Times New Roman" w:hAnsi="Times New Roman" w:eastAsia="宋体" w:cs="宋体"/>
                <w:color w:val="auto"/>
                <w:spacing w:val="1"/>
                <w:sz w:val="24"/>
                <w:szCs w:val="24"/>
                <w:highlight w:val="none"/>
                <w:lang w:val="en-US" w:eastAsia="zh-CN"/>
              </w:rPr>
              <w:t>广通智联报废车辆拆解及年产15万吨破碎料新建项目</w:t>
            </w:r>
            <w:r>
              <w:rPr>
                <w:rFonts w:hint="default" w:ascii="Times New Roman" w:hAnsi="Times New Roman" w:eastAsia="宋体" w:cs="宋体"/>
                <w:color w:val="auto"/>
                <w:spacing w:val="1"/>
                <w:sz w:val="24"/>
                <w:szCs w:val="24"/>
                <w:highlight w:val="none"/>
                <w:lang w:val="en-US" w:eastAsia="zh-CN"/>
              </w:rPr>
              <w:t>&gt;项目备案证明》，阜高新发改备〔</w:t>
            </w:r>
            <w:r>
              <w:rPr>
                <w:rFonts w:hint="eastAsia" w:ascii="Times New Roman" w:hAnsi="Times New Roman" w:eastAsia="宋体" w:cs="宋体"/>
                <w:color w:val="auto"/>
                <w:spacing w:val="1"/>
                <w:sz w:val="24"/>
                <w:szCs w:val="24"/>
                <w:highlight w:val="none"/>
                <w:lang w:val="en-US" w:eastAsia="zh-CN"/>
              </w:rPr>
              <w:t>2026</w:t>
            </w:r>
            <w:r>
              <w:rPr>
                <w:rFonts w:hint="default" w:ascii="Times New Roman" w:hAnsi="Times New Roman" w:eastAsia="宋体" w:cs="宋体"/>
                <w:color w:val="auto"/>
                <w:spacing w:val="1"/>
                <w:sz w:val="24"/>
                <w:szCs w:val="24"/>
                <w:highlight w:val="none"/>
                <w:lang w:val="en-US" w:eastAsia="zh-CN"/>
              </w:rPr>
              <w:t>〕</w:t>
            </w:r>
            <w:r>
              <w:rPr>
                <w:rFonts w:hint="eastAsia" w:ascii="Times New Roman" w:hAnsi="Times New Roman" w:eastAsia="宋体" w:cs="宋体"/>
                <w:color w:val="auto"/>
                <w:spacing w:val="1"/>
                <w:sz w:val="24"/>
                <w:szCs w:val="24"/>
                <w:highlight w:val="none"/>
                <w:lang w:val="en-US" w:eastAsia="zh-CN"/>
              </w:rPr>
              <w:t>16</w:t>
            </w:r>
            <w:r>
              <w:rPr>
                <w:rFonts w:hint="default" w:ascii="Times New Roman" w:hAnsi="Times New Roman" w:eastAsia="宋体" w:cs="宋体"/>
                <w:color w:val="auto"/>
                <w:spacing w:val="1"/>
                <w:sz w:val="24"/>
                <w:szCs w:val="24"/>
                <w:highlight w:val="none"/>
                <w:lang w:val="en-US" w:eastAsia="zh-CN"/>
              </w:rPr>
              <w:t>号，项目代码为2602-210998-04-05-339203。</w:t>
            </w:r>
            <w:r>
              <w:rPr>
                <w:rFonts w:hint="default" w:ascii="Times New Roman" w:hAnsi="Times New Roman" w:eastAsia="宋体" w:cs="Times New Roman"/>
                <w:color w:val="auto"/>
                <w:kern w:val="0"/>
                <w:sz w:val="24"/>
                <w:highlight w:val="none"/>
              </w:rPr>
              <w:t>项目符合园区规划。</w:t>
            </w:r>
          </w:p>
          <w:p w14:paraId="368D56ED">
            <w:pPr>
              <w:pStyle w:val="73"/>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3"/>
              <w:textAlignment w:val="auto"/>
              <w:rPr>
                <w:rFonts w:hint="default" w:eastAsia="Times New Roman" w:cs="Times New Roman"/>
                <w:b/>
                <w:bCs/>
                <w:color w:val="auto"/>
                <w:highlight w:val="none"/>
                <w:lang w:val="en-US" w:eastAsia="zh-CN"/>
              </w:rPr>
            </w:pPr>
            <w:r>
              <w:rPr>
                <w:rFonts w:hint="eastAsia" w:eastAsia="Times New Roman" w:cs="Times New Roman"/>
                <w:b/>
                <w:bCs/>
                <w:color w:val="auto"/>
                <w:highlight w:val="none"/>
                <w:lang w:val="en-US" w:eastAsia="zh-CN"/>
              </w:rPr>
              <w:t>2、与规划环评符合性分析</w:t>
            </w:r>
          </w:p>
          <w:p w14:paraId="597CB03B">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本项目位于</w:t>
            </w:r>
            <w:r>
              <w:rPr>
                <w:rFonts w:hint="default" w:ascii="Times New Roman" w:hAnsi="Times New Roman" w:eastAsia="宋体" w:cs="Times New Roman"/>
                <w:color w:val="auto"/>
                <w:sz w:val="24"/>
                <w:szCs w:val="24"/>
                <w:highlight w:val="none"/>
                <w:lang w:val="en-US" w:eastAsia="zh-CN"/>
              </w:rPr>
              <w:t>辽宁省阜新市高新技术产业开发区</w:t>
            </w:r>
            <w:r>
              <w:rPr>
                <w:rFonts w:hint="eastAsia" w:ascii="Times New Roman" w:hAnsi="Times New Roman" w:cs="Times New Roman"/>
                <w:color w:val="auto"/>
                <w:sz w:val="24"/>
                <w:highlight w:val="none"/>
                <w:lang w:val="en-US" w:eastAsia="zh-CN"/>
              </w:rPr>
              <w:t>华通路16号</w:t>
            </w:r>
            <w:r>
              <w:rPr>
                <w:rFonts w:hint="default" w:ascii="Times New Roman" w:hAnsi="Times New Roman" w:eastAsia="宋体" w:cs="Times New Roman"/>
                <w:color w:val="auto"/>
                <w:kern w:val="0"/>
                <w:sz w:val="24"/>
                <w:highlight w:val="none"/>
                <w:lang w:eastAsia="zh-CN"/>
              </w:rPr>
              <w:t>，位于</w:t>
            </w:r>
            <w:r>
              <w:rPr>
                <w:rFonts w:hint="default" w:ascii="Times New Roman" w:hAnsi="Times New Roman" w:eastAsia="宋体" w:cs="Times New Roman"/>
                <w:color w:val="auto"/>
                <w:kern w:val="0"/>
                <w:sz w:val="24"/>
                <w:highlight w:val="none"/>
              </w:rPr>
              <w:t>西区北区规划</w:t>
            </w:r>
            <w:r>
              <w:rPr>
                <w:rFonts w:hint="default" w:ascii="Times New Roman" w:hAnsi="Times New Roman" w:eastAsia="宋体" w:cs="Times New Roman"/>
                <w:color w:val="auto"/>
                <w:kern w:val="0"/>
                <w:sz w:val="24"/>
                <w:highlight w:val="none"/>
                <w:lang w:eastAsia="zh-CN"/>
              </w:rPr>
              <w:t>范围内。</w:t>
            </w:r>
            <w:r>
              <w:rPr>
                <w:rFonts w:hint="default" w:ascii="Times New Roman" w:hAnsi="Times New Roman" w:eastAsia="宋体" w:cs="Times New Roman"/>
                <w:color w:val="auto"/>
                <w:kern w:val="0"/>
                <w:sz w:val="24"/>
                <w:highlight w:val="none"/>
              </w:rPr>
              <w:t>根据《辽宁阜新经济开发区西区北区规划方案调整环境影响评价报告书》中产业定位：重点发展先进装备制造业和现代服务业，其中装备制造业发展方向主要包括：液压及装备制造业（液压泵与马达、液压缸与阀、空压机与气动元件、铸造件与热处理、模具与密封件、整机制造与液压系统）、机械加工与制造、电子元器件产业（电容器、半导体器件、电线电缆、防爆通讯器材、新能源电池）、电力设备及配套件、农副产品深加工业、食品加工、橡胶制品业、医药制造业、管材生产机加工、新能源及环保设备制造、玻璃加工、服装、建材、板材家具制造、服务业（住宿及餐饮、娱乐、批发和零售、金融业、电子商务、软件和信息技术服务、会展中心、商贸服务、居民服务业、交通运输及仓储、物流业、教育、文化、卫生、地质勘查服务）、房地产业。</w:t>
            </w:r>
          </w:p>
          <w:p w14:paraId="6FFE2DAB">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color w:val="auto"/>
                <w:highlight w:val="none"/>
              </w:rPr>
            </w:pPr>
            <w:r>
              <w:rPr>
                <w:rFonts w:hint="eastAsia" w:ascii="Times New Roman" w:hAnsi="Times New Roman" w:eastAsia="宋体" w:cs="Times New Roman"/>
                <w:color w:val="auto"/>
                <w:kern w:val="0"/>
                <w:sz w:val="24"/>
                <w:highlight w:val="none"/>
                <w:lang w:val="en-US" w:eastAsia="zh-CN"/>
              </w:rPr>
              <w:t>规划不确定性的应对分析中：针对循环经济发展存在的不确定性，环评建议园区管委会根据国家和地方的循环经济政策，进一步深化，针对总体规划的特点，制定详尽的循环经济规划。</w:t>
            </w:r>
          </w:p>
          <w:p w14:paraId="6EAF47A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kern w:val="0"/>
                <w:sz w:val="24"/>
                <w:highlight w:val="none"/>
                <w:lang w:eastAsia="zh-CN"/>
              </w:rPr>
            </w:pPr>
            <w:r>
              <w:rPr>
                <w:rFonts w:hint="default" w:ascii="Times New Roman" w:hAnsi="Times New Roman" w:eastAsia="宋体" w:cs="Times New Roman"/>
                <w:color w:val="auto"/>
                <w:kern w:val="0"/>
                <w:sz w:val="24"/>
                <w:highlight w:val="none"/>
                <w:lang w:val="en-US" w:eastAsia="zh-CN"/>
              </w:rPr>
              <w:t>本项目为报废汽车回收拆解项目，属于废弃资源综合利用行业，</w:t>
            </w:r>
            <w:r>
              <w:rPr>
                <w:rFonts w:hint="eastAsia" w:ascii="Times New Roman" w:hAnsi="Times New Roman" w:eastAsia="宋体" w:cs="Times New Roman"/>
                <w:color w:val="auto"/>
                <w:kern w:val="0"/>
                <w:sz w:val="24"/>
                <w:highlight w:val="none"/>
                <w:lang w:val="en-US" w:eastAsia="zh-CN"/>
              </w:rPr>
              <w:t>项目不在规划环评的负面清单内，不属于园区禁止引入的项目</w:t>
            </w:r>
            <w:r>
              <w:rPr>
                <w:rFonts w:hint="eastAsia" w:cs="Times New Roman"/>
                <w:color w:val="auto"/>
                <w:kern w:val="0"/>
                <w:sz w:val="24"/>
                <w:highlight w:val="none"/>
                <w:lang w:val="en-US" w:eastAsia="zh-CN"/>
              </w:rPr>
              <w:t>，</w:t>
            </w:r>
            <w:r>
              <w:rPr>
                <w:rFonts w:hint="default" w:ascii="Times New Roman" w:hAnsi="Times New Roman" w:eastAsia="宋体" w:cs="Times New Roman"/>
                <w:color w:val="auto"/>
                <w:kern w:val="0"/>
                <w:sz w:val="24"/>
                <w:highlight w:val="none"/>
                <w:lang w:val="en-US" w:eastAsia="zh-CN"/>
              </w:rPr>
              <w:t>为《产业结构调整指导目录（2024年本）》中鼓励类项目，企业</w:t>
            </w:r>
            <w:r>
              <w:rPr>
                <w:rFonts w:hint="eastAsia" w:cs="Times New Roman"/>
                <w:color w:val="auto"/>
                <w:kern w:val="0"/>
                <w:sz w:val="24"/>
                <w:highlight w:val="none"/>
                <w:lang w:val="en-US" w:eastAsia="zh-CN"/>
              </w:rPr>
              <w:t>已</w:t>
            </w:r>
            <w:r>
              <w:rPr>
                <w:rFonts w:hint="default" w:ascii="Times New Roman" w:hAnsi="Times New Roman" w:eastAsia="宋体" w:cs="Times New Roman"/>
                <w:color w:val="auto"/>
                <w:kern w:val="0"/>
                <w:sz w:val="24"/>
                <w:highlight w:val="none"/>
                <w:lang w:val="en-US" w:eastAsia="zh-CN"/>
              </w:rPr>
              <w:t>取得园区出具的规划说明</w:t>
            </w:r>
            <w:r>
              <w:rPr>
                <w:rFonts w:hint="eastAsia" w:cs="Times New Roman"/>
                <w:color w:val="auto"/>
                <w:kern w:val="0"/>
                <w:sz w:val="24"/>
                <w:highlight w:val="none"/>
                <w:lang w:val="en-US" w:eastAsia="zh-CN"/>
              </w:rPr>
              <w:t>（见附件7）</w:t>
            </w:r>
            <w:r>
              <w:rPr>
                <w:rFonts w:hint="default" w:ascii="Times New Roman" w:hAnsi="Times New Roman" w:eastAsia="宋体" w:cs="Times New Roman"/>
                <w:color w:val="auto"/>
                <w:kern w:val="0"/>
                <w:sz w:val="24"/>
                <w:highlight w:val="none"/>
                <w:lang w:val="en-US" w:eastAsia="zh-CN"/>
              </w:rPr>
              <w:t>，对园区产业结构和用地规划进行调整，该项目的建设满足调整后规划的用地规划。项目</w:t>
            </w:r>
            <w:r>
              <w:rPr>
                <w:rFonts w:hint="eastAsia" w:ascii="Times New Roman" w:hAnsi="Times New Roman" w:cs="Times New Roman"/>
                <w:color w:val="auto"/>
                <w:kern w:val="0"/>
                <w:sz w:val="24"/>
                <w:highlight w:val="none"/>
                <w:lang w:val="en-US" w:eastAsia="zh-CN"/>
              </w:rPr>
              <w:t>已</w:t>
            </w:r>
            <w:r>
              <w:rPr>
                <w:rFonts w:hint="default" w:ascii="Times New Roman" w:hAnsi="Times New Roman" w:eastAsia="宋体" w:cs="Times New Roman"/>
                <w:color w:val="auto"/>
                <w:kern w:val="0"/>
                <w:sz w:val="24"/>
                <w:highlight w:val="none"/>
                <w:lang w:val="en-US" w:eastAsia="zh-CN"/>
              </w:rPr>
              <w:t>取得</w:t>
            </w:r>
            <w:r>
              <w:rPr>
                <w:rFonts w:hint="default" w:ascii="Times New Roman" w:hAnsi="Times New Roman" w:eastAsia="宋体" w:cs="Times New Roman"/>
                <w:color w:val="auto"/>
                <w:sz w:val="24"/>
                <w:szCs w:val="24"/>
                <w:highlight w:val="none"/>
                <w:lang w:eastAsia="zh-CN"/>
              </w:rPr>
              <w:t>阜新高新技术产业开发区发展和改革局出具的备案证明</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备案文号：</w:t>
            </w:r>
            <w:r>
              <w:rPr>
                <w:rFonts w:hint="eastAsia" w:ascii="Times New Roman" w:hAnsi="Times New Roman" w:cs="Times New Roman"/>
                <w:color w:val="auto"/>
                <w:sz w:val="24"/>
                <w:highlight w:val="none"/>
                <w:lang w:val="en-US" w:eastAsia="zh-CN"/>
              </w:rPr>
              <w:t>阜高新发改备〔2026〕16号</w:t>
            </w:r>
            <w:r>
              <w:rPr>
                <w:rFonts w:hint="default" w:ascii="Times New Roman" w:hAnsi="Times New Roman" w:eastAsia="宋体" w:cs="Times New Roman"/>
                <w:color w:val="auto"/>
                <w:sz w:val="24"/>
                <w:szCs w:val="24"/>
                <w:highlight w:val="none"/>
                <w:lang w:eastAsia="zh-CN"/>
              </w:rPr>
              <w:t>，项目用地性质为工业用地，</w:t>
            </w:r>
            <w:r>
              <w:rPr>
                <w:rFonts w:hint="default" w:ascii="Times New Roman" w:hAnsi="Times New Roman" w:eastAsia="宋体" w:cs="Times New Roman"/>
                <w:color w:val="auto"/>
                <w:kern w:val="0"/>
                <w:sz w:val="24"/>
                <w:highlight w:val="none"/>
                <w:lang w:val="en-US" w:eastAsia="zh-CN"/>
              </w:rPr>
              <w:t>因此符合园区规划</w:t>
            </w:r>
            <w:r>
              <w:rPr>
                <w:rFonts w:hint="default" w:ascii="Times New Roman" w:hAnsi="Times New Roman" w:eastAsia="宋体" w:cs="Times New Roman"/>
                <w:color w:val="auto"/>
                <w:kern w:val="0"/>
                <w:sz w:val="24"/>
                <w:highlight w:val="none"/>
                <w:lang w:eastAsia="zh-CN"/>
              </w:rPr>
              <w:t>。</w:t>
            </w:r>
          </w:p>
          <w:p w14:paraId="72976F3B">
            <w:pPr>
              <w:pStyle w:val="73"/>
              <w:keepNext w:val="0"/>
              <w:keepLines w:val="0"/>
              <w:pageBreakBefore w:val="0"/>
              <w:widowControl w:val="0"/>
              <w:suppressLineNumbers w:val="0"/>
              <w:kinsoku/>
              <w:wordWrap/>
              <w:overflowPunct/>
              <w:topLinePunct w:val="0"/>
              <w:bidi w:val="0"/>
              <w:spacing w:before="0" w:beforeAutospacing="0" w:after="0" w:afterAutospacing="0" w:line="360" w:lineRule="auto"/>
              <w:ind w:left="0" w:right="0" w:firstLine="483"/>
              <w:textAlignment w:val="auto"/>
              <w:rPr>
                <w:rFonts w:hint="default" w:eastAsia="Times New Roman" w:cs="Times New Roman"/>
                <w:b/>
                <w:bCs/>
                <w:color w:val="auto"/>
                <w:highlight w:val="none"/>
                <w:lang w:val="en-US" w:eastAsia="zh-CN"/>
              </w:rPr>
            </w:pPr>
            <w:r>
              <w:rPr>
                <w:rFonts w:hint="eastAsia" w:eastAsia="Times New Roman" w:cs="Times New Roman"/>
                <w:b/>
                <w:bCs/>
                <w:color w:val="auto"/>
                <w:highlight w:val="none"/>
                <w:lang w:val="en-US" w:eastAsia="zh-CN"/>
              </w:rPr>
              <w:t>3、与规划环评及其审查意见符合性分析</w:t>
            </w:r>
          </w:p>
          <w:p w14:paraId="46B529CA">
            <w:pPr>
              <w:keepNext w:val="0"/>
              <w:keepLines w:val="0"/>
              <w:suppressLineNumbers w:val="0"/>
              <w:autoSpaceDE w:val="0"/>
              <w:autoSpaceDN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0"/>
                <w:sz w:val="24"/>
                <w:highlight w:val="none"/>
                <w:lang w:val="en-US" w:eastAsia="zh-CN"/>
              </w:rPr>
            </w:pPr>
            <w:r>
              <w:rPr>
                <w:rFonts w:hint="default" w:ascii="Times New Roman" w:hAnsi="Times New Roman" w:eastAsia="宋体" w:cs="Times New Roman"/>
                <w:color w:val="auto"/>
                <w:kern w:val="0"/>
                <w:sz w:val="24"/>
                <w:highlight w:val="none"/>
              </w:rPr>
              <w:t>根据《辽宁阜新经济开发区西区北区规划方案调整环境影响评价报告书》及“关于对《辽宁阜新经济开发区西区北区规划方案调整环境影响报告书》的审查意见”</w:t>
            </w:r>
            <w:r>
              <w:rPr>
                <w:rFonts w:hint="eastAsia" w:cs="Times New Roman"/>
                <w:color w:val="auto"/>
                <w:kern w:val="0"/>
                <w:sz w:val="24"/>
                <w:highlight w:val="none"/>
                <w:lang w:eastAsia="zh-CN"/>
              </w:rPr>
              <w:t>符合</w:t>
            </w:r>
            <w:r>
              <w:rPr>
                <w:rFonts w:hint="default" w:ascii="Times New Roman" w:hAnsi="Times New Roman" w:eastAsia="宋体" w:cs="Times New Roman"/>
                <w:color w:val="auto"/>
                <w:kern w:val="0"/>
                <w:sz w:val="24"/>
                <w:highlight w:val="none"/>
                <w:lang w:eastAsia="zh-CN"/>
              </w:rPr>
              <w:t>性分析</w:t>
            </w:r>
            <w:r>
              <w:rPr>
                <w:rFonts w:hint="default" w:ascii="Times New Roman" w:hAnsi="Times New Roman" w:eastAsia="宋体" w:cs="Times New Roman"/>
                <w:color w:val="auto"/>
                <w:kern w:val="0"/>
                <w:sz w:val="24"/>
                <w:highlight w:val="none"/>
              </w:rPr>
              <w:t>见</w:t>
            </w:r>
            <w:r>
              <w:rPr>
                <w:rFonts w:hint="eastAsia" w:cs="Times New Roman"/>
                <w:color w:val="auto"/>
                <w:kern w:val="0"/>
                <w:sz w:val="24"/>
                <w:highlight w:val="none"/>
                <w:lang w:val="en-US" w:eastAsia="zh-CN"/>
              </w:rPr>
              <w:t>下表</w:t>
            </w:r>
            <w:r>
              <w:rPr>
                <w:rFonts w:hint="default" w:ascii="Times New Roman" w:hAnsi="Times New Roman" w:eastAsia="宋体" w:cs="Times New Roman"/>
                <w:color w:val="auto"/>
                <w:kern w:val="0"/>
                <w:sz w:val="24"/>
                <w:highlight w:val="none"/>
              </w:rPr>
              <w:t>。</w:t>
            </w:r>
          </w:p>
          <w:p w14:paraId="414F0CB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表1-</w:t>
            </w:r>
            <w:r>
              <w:rPr>
                <w:rFonts w:hint="eastAsia" w:cs="Times New Roman"/>
                <w:b/>
                <w:bCs/>
                <w:color w:val="auto"/>
                <w:szCs w:val="21"/>
                <w:highlight w:val="none"/>
                <w:lang w:val="en-US" w:eastAsia="zh-CN"/>
              </w:rPr>
              <w:t>2</w:t>
            </w:r>
            <w:r>
              <w:rPr>
                <w:rFonts w:hint="default" w:ascii="Times New Roman" w:hAnsi="Times New Roman" w:eastAsia="宋体" w:cs="Times New Roman"/>
                <w:b/>
                <w:bCs/>
                <w:color w:val="auto"/>
                <w:szCs w:val="21"/>
                <w:highlight w:val="none"/>
                <w:lang w:val="en-US" w:eastAsia="zh-CN"/>
              </w:rPr>
              <w:t xml:space="preserve">  </w:t>
            </w:r>
            <w:r>
              <w:rPr>
                <w:rFonts w:hint="default" w:ascii="Times New Roman" w:hAnsi="Times New Roman" w:eastAsia="宋体" w:cs="Times New Roman"/>
                <w:b/>
                <w:bCs/>
                <w:color w:val="auto"/>
                <w:szCs w:val="21"/>
                <w:highlight w:val="none"/>
              </w:rPr>
              <w:t>项目与开发区规划环评</w:t>
            </w:r>
            <w:r>
              <w:rPr>
                <w:rFonts w:hint="default" w:ascii="Times New Roman" w:hAnsi="Times New Roman" w:eastAsia="宋体" w:cs="Times New Roman"/>
                <w:b/>
                <w:bCs/>
                <w:color w:val="auto"/>
                <w:sz w:val="21"/>
                <w:szCs w:val="21"/>
                <w:highlight w:val="none"/>
                <w:lang w:val="en-US" w:eastAsia="zh-CN"/>
              </w:rPr>
              <w:t>审查意见</w:t>
            </w:r>
            <w:r>
              <w:rPr>
                <w:rFonts w:hint="eastAsia" w:cs="Times New Roman"/>
                <w:b/>
                <w:bCs/>
                <w:color w:val="auto"/>
                <w:highlight w:val="none"/>
                <w:vertAlign w:val="baseline"/>
                <w:lang w:val="en-US" w:eastAsia="zh-CN"/>
              </w:rPr>
              <w:t>符合性</w:t>
            </w:r>
            <w:r>
              <w:rPr>
                <w:rFonts w:hint="default" w:ascii="Times New Roman" w:hAnsi="Times New Roman" w:eastAsia="宋体" w:cs="Times New Roman"/>
                <w:b/>
                <w:bCs/>
                <w:color w:val="auto"/>
                <w:szCs w:val="21"/>
                <w:highlight w:val="none"/>
              </w:rPr>
              <w:t>分析</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3630"/>
              <w:gridCol w:w="3633"/>
              <w:gridCol w:w="788"/>
            </w:tblGrid>
            <w:tr w14:paraId="514CBF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000" w:type="pct"/>
                  <w:gridSpan w:val="3"/>
                  <w:tcBorders>
                    <w:tl2br w:val="nil"/>
                    <w:tr2bl w:val="nil"/>
                  </w:tcBorders>
                  <w:noWrap w:val="0"/>
                  <w:vAlign w:val="center"/>
                </w:tcPr>
                <w:p w14:paraId="3A69C1D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审查意见</w:t>
                  </w:r>
                  <w:r>
                    <w:rPr>
                      <w:rFonts w:hint="eastAsia" w:cs="Times New Roman"/>
                      <w:b/>
                      <w:bCs/>
                      <w:color w:val="auto"/>
                      <w:sz w:val="21"/>
                      <w:szCs w:val="21"/>
                      <w:highlight w:val="none"/>
                      <w:lang w:val="en-US" w:eastAsia="zh-CN"/>
                    </w:rPr>
                    <w:t>符合性</w:t>
                  </w:r>
                  <w:r>
                    <w:rPr>
                      <w:rFonts w:hint="default" w:ascii="Times New Roman" w:hAnsi="Times New Roman" w:eastAsia="宋体" w:cs="Times New Roman"/>
                      <w:b/>
                      <w:bCs/>
                      <w:color w:val="auto"/>
                      <w:sz w:val="21"/>
                      <w:szCs w:val="21"/>
                      <w:highlight w:val="none"/>
                      <w:lang w:val="en-US" w:eastAsia="zh-CN"/>
                    </w:rPr>
                    <w:t>分析</w:t>
                  </w:r>
                </w:p>
              </w:tc>
            </w:tr>
            <w:tr w14:paraId="4BE5DB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72CD130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规划环评</w:t>
                  </w:r>
                  <w:r>
                    <w:rPr>
                      <w:rFonts w:hint="eastAsia" w:cs="Times New Roman"/>
                      <w:b/>
                      <w:bCs/>
                      <w:color w:val="auto"/>
                      <w:sz w:val="21"/>
                      <w:szCs w:val="21"/>
                      <w:highlight w:val="none"/>
                      <w:lang w:val="en-US" w:eastAsia="zh-CN"/>
                    </w:rPr>
                    <w:t>审查意见</w:t>
                  </w:r>
                  <w:r>
                    <w:rPr>
                      <w:rFonts w:hint="default" w:ascii="Times New Roman" w:hAnsi="Times New Roman" w:eastAsia="宋体" w:cs="Times New Roman"/>
                      <w:b/>
                      <w:bCs/>
                      <w:color w:val="auto"/>
                      <w:sz w:val="21"/>
                      <w:szCs w:val="21"/>
                      <w:highlight w:val="none"/>
                    </w:rPr>
                    <w:t>要求</w:t>
                  </w:r>
                </w:p>
              </w:tc>
              <w:tc>
                <w:tcPr>
                  <w:tcW w:w="2256" w:type="pct"/>
                  <w:tcBorders>
                    <w:tl2br w:val="nil"/>
                    <w:tr2bl w:val="nil"/>
                  </w:tcBorders>
                  <w:noWrap w:val="0"/>
                  <w:vAlign w:val="center"/>
                </w:tcPr>
                <w:p w14:paraId="4E8FC5C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本项目</w:t>
                  </w:r>
                </w:p>
              </w:tc>
              <w:tc>
                <w:tcPr>
                  <w:tcW w:w="489" w:type="pct"/>
                  <w:tcBorders>
                    <w:tl2br w:val="nil"/>
                    <w:tr2bl w:val="nil"/>
                  </w:tcBorders>
                  <w:noWrap w:val="0"/>
                  <w:vAlign w:val="center"/>
                </w:tcPr>
                <w:p w14:paraId="7BDD5F6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lang w:eastAsia="zh-CN"/>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00BA80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1F19CB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1）严格按照企业准入条件及规划区负面清单引进项目。对入园项目按照严格限制产业、慎重发展产业和鼓励发展产业界定，规范入园程序。鼓励发展符合国家产业政策且符合园区规划产业；对属于规划行业但污染类型复杂、环境风险较大、排污量大或污染防治技术不成熟的行业慎重发展；严格限制国家明令淘汰和限制的落后工艺和行业；严格禁止负面清单中项目入驻。</w:t>
                  </w:r>
                </w:p>
              </w:tc>
              <w:tc>
                <w:tcPr>
                  <w:tcW w:w="2256" w:type="pct"/>
                  <w:tcBorders>
                    <w:tl2br w:val="nil"/>
                    <w:tr2bl w:val="nil"/>
                  </w:tcBorders>
                  <w:noWrap w:val="0"/>
                  <w:vAlign w:val="center"/>
                </w:tcPr>
                <w:p w14:paraId="095CE0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项目为报废汽车回收拆解项目，属于废弃资源综合利用行业，</w:t>
                  </w:r>
                  <w:r>
                    <w:rPr>
                      <w:rFonts w:hint="eastAsia"/>
                      <w:color w:val="auto"/>
                      <w:highlight w:val="none"/>
                      <w:lang w:eastAsia="zh-CN"/>
                    </w:rPr>
                    <w:t>项目不在规划环评的负面清单内，不属于园区禁止引入的项目，</w:t>
                  </w:r>
                  <w:r>
                    <w:rPr>
                      <w:rFonts w:hint="default" w:ascii="Times New Roman" w:hAnsi="Times New Roman" w:eastAsia="宋体" w:cs="Times New Roman"/>
                      <w:color w:val="auto"/>
                      <w:kern w:val="2"/>
                      <w:sz w:val="21"/>
                      <w:szCs w:val="21"/>
                      <w:highlight w:val="none"/>
                      <w:lang w:val="en-US" w:eastAsia="zh-CN" w:bidi="ar-SA"/>
                    </w:rPr>
                    <w:t>为《产业结构调整指导目录（2024年本）》中鼓励类项目。项目工艺简单，环境风险小，排污量小，技术成熟。项目所在地规划为二类工业用地，用地符合要求。</w:t>
                  </w:r>
                </w:p>
              </w:tc>
              <w:tc>
                <w:tcPr>
                  <w:tcW w:w="489" w:type="pct"/>
                  <w:tcBorders>
                    <w:tl2br w:val="nil"/>
                    <w:tr2bl w:val="nil"/>
                  </w:tcBorders>
                  <w:noWrap w:val="0"/>
                  <w:vAlign w:val="center"/>
                </w:tcPr>
                <w:p w14:paraId="1C3F89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符合</w:t>
                  </w:r>
                </w:p>
              </w:tc>
            </w:tr>
            <w:tr w14:paraId="1A9DB4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2870F6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2）按照规划用地性质落户入驻项目，已建不符合规划项目限期迁出或进行升级改造，确保符合调整后的工业用地性质。严禁规划重污染、高风险项目。入驻项目严格环境保护准入，全面提高清洁生产水平，提高资源利用率，减少污染物排放量。</w:t>
                  </w:r>
                </w:p>
              </w:tc>
              <w:tc>
                <w:tcPr>
                  <w:tcW w:w="2256" w:type="pct"/>
                  <w:tcBorders>
                    <w:tl2br w:val="nil"/>
                    <w:tr2bl w:val="nil"/>
                  </w:tcBorders>
                  <w:noWrap w:val="0"/>
                  <w:vAlign w:val="center"/>
                </w:tcPr>
                <w:p w14:paraId="6105D5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kern w:val="2"/>
                      <w:sz w:val="21"/>
                      <w:szCs w:val="21"/>
                      <w:highlight w:val="none"/>
                      <w:lang w:val="en-US" w:eastAsia="zh-CN" w:bidi="ar-SA"/>
                    </w:rPr>
                    <w:t>项目属于废弃资源综合利用行业，用地性质为工业用地，不属于重污染、高风险项目。项目采取措施后，减少污染物排放，实现达标排放。</w:t>
                  </w:r>
                </w:p>
              </w:tc>
              <w:tc>
                <w:tcPr>
                  <w:tcW w:w="489" w:type="pct"/>
                  <w:tcBorders>
                    <w:tl2br w:val="nil"/>
                    <w:tr2bl w:val="nil"/>
                  </w:tcBorders>
                  <w:noWrap w:val="0"/>
                  <w:vAlign w:val="center"/>
                </w:tcPr>
                <w:p w14:paraId="2C4AA5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符合</w:t>
                  </w:r>
                </w:p>
              </w:tc>
            </w:tr>
            <w:tr w14:paraId="7486AC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1CEEE90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（3）按照《阜新市水污染防治工作方案》，结合实际，落实区域水环境污染物削减方案，保证园区水环境质量。</w:t>
                  </w:r>
                </w:p>
              </w:tc>
              <w:tc>
                <w:tcPr>
                  <w:tcW w:w="2256" w:type="pct"/>
                  <w:tcBorders>
                    <w:tl2br w:val="nil"/>
                    <w:tr2bl w:val="nil"/>
                  </w:tcBorders>
                  <w:noWrap w:val="0"/>
                  <w:vAlign w:val="center"/>
                </w:tcPr>
                <w:p w14:paraId="6F6EDA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highlight w:val="none"/>
                      <w:lang w:val="en-US" w:eastAsia="zh-CN"/>
                    </w:rPr>
                    <w:t>项目初期雨水和生产废水经过污水处理设施处理工艺为“均质+隔油池+絮凝+沉淀”处理后经园区管网排入阜新市北控水务有限公司；项目生活污水排入厂区化粪池后经园区管网排入阜新市北控水务有限公司。</w:t>
                  </w:r>
                </w:p>
              </w:tc>
              <w:tc>
                <w:tcPr>
                  <w:tcW w:w="489" w:type="pct"/>
                  <w:tcBorders>
                    <w:tl2br w:val="nil"/>
                    <w:tr2bl w:val="nil"/>
                  </w:tcBorders>
                  <w:noWrap w:val="0"/>
                  <w:vAlign w:val="center"/>
                </w:tcPr>
                <w:p w14:paraId="7F811E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符合</w:t>
                  </w:r>
                </w:p>
              </w:tc>
            </w:tr>
            <w:tr w14:paraId="282E6B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21DCCE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4）合理规划排水方案。遵照“雨污分流、清污分流、污污分流”原则设计与建设园区排水系统，根据《报告书》评述，园区规划污水处理厂近期依托阜新市开发区污水处理厂和阜新市主城区大唐污水处理厂收集处理园区污水达标排放，但这两座污水处理厂已无污水接纳能力。远期规划园区新建污水处理厂以满足自己园区的排水需求。园区内各企业产生的废水需由企业自建污水处理厂进行预处理，满足《辽宁省污水综合排放标准》（DB21/1627-2008）后，排入扩建后阜新市开发区污水处理厂 。</w:t>
                  </w:r>
                </w:p>
              </w:tc>
              <w:tc>
                <w:tcPr>
                  <w:tcW w:w="2256" w:type="pct"/>
                  <w:tcBorders>
                    <w:tl2br w:val="nil"/>
                    <w:tr2bl w:val="nil"/>
                  </w:tcBorders>
                  <w:noWrap w:val="0"/>
                  <w:vAlign w:val="center"/>
                </w:tcPr>
                <w:p w14:paraId="66C764E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highlight w:val="none"/>
                      <w:lang w:val="en-US" w:eastAsia="zh-CN"/>
                    </w:rPr>
                    <w:t>项目初期雨水和生产废水经过污水处理设施处理工艺为“均质+隔油池+絮凝+沉淀”处理后经园区管网排入阜新市北控水务有限公司；项目生活污水排入厂区化粪池后经园区管网排入阜新市北控水务有限公司。</w:t>
                  </w:r>
                </w:p>
              </w:tc>
              <w:tc>
                <w:tcPr>
                  <w:tcW w:w="489" w:type="pct"/>
                  <w:tcBorders>
                    <w:tl2br w:val="nil"/>
                    <w:tr2bl w:val="nil"/>
                  </w:tcBorders>
                  <w:noWrap w:val="0"/>
                  <w:vAlign w:val="center"/>
                </w:tcPr>
                <w:p w14:paraId="62300A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eastAsia="zh-CN"/>
                    </w:rPr>
                    <w:t>符合</w:t>
                  </w:r>
                </w:p>
              </w:tc>
            </w:tr>
            <w:tr w14:paraId="65CF29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5D61314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（5）落实地下水污染防控措施。环境风险区域必须严格落实防腐、防渗措施。设置地下水监视井，制定地下水监测计划，定期进行地下水质监测，防控地下水污染。</w:t>
                  </w:r>
                </w:p>
              </w:tc>
              <w:tc>
                <w:tcPr>
                  <w:tcW w:w="2256" w:type="pct"/>
                  <w:tcBorders>
                    <w:tl2br w:val="nil"/>
                    <w:tr2bl w:val="nil"/>
                  </w:tcBorders>
                  <w:noWrap w:val="0"/>
                  <w:vAlign w:val="center"/>
                </w:tcPr>
                <w:p w14:paraId="2E9776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w:t>
                  </w:r>
                  <w:r>
                    <w:rPr>
                      <w:rFonts w:hint="default" w:ascii="Times New Roman" w:hAnsi="Times New Roman" w:eastAsia="宋体" w:cs="Times New Roman"/>
                      <w:color w:val="auto"/>
                      <w:sz w:val="21"/>
                      <w:szCs w:val="21"/>
                      <w:highlight w:val="none"/>
                      <w:lang w:eastAsia="zh-CN"/>
                    </w:rPr>
                    <w:t>要求危废贮存库、污水处理设施设置重点防渗，拆解和切割区设置一般防渗。</w:t>
                  </w:r>
                </w:p>
              </w:tc>
              <w:tc>
                <w:tcPr>
                  <w:tcW w:w="489" w:type="pct"/>
                  <w:tcBorders>
                    <w:tl2br w:val="nil"/>
                    <w:tr2bl w:val="nil"/>
                  </w:tcBorders>
                  <w:noWrap w:val="0"/>
                  <w:vAlign w:val="center"/>
                </w:tcPr>
                <w:p w14:paraId="0C76EE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5EFE16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301807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6）同意《报告书》评述供热方案，遵循园区热源集中供给原则，近期供热方案由阜新益祺嘉热力有限责任公司负责供给，待阜新热源厂扩建且供热管网覆盖本园区后，远期供热方案由阜新热源厂进行集中供给，将阜新益祺嘉热力有限责任公司调整为调峰热源。</w:t>
                  </w:r>
                </w:p>
              </w:tc>
              <w:tc>
                <w:tcPr>
                  <w:tcW w:w="2256" w:type="pct"/>
                  <w:tcBorders>
                    <w:tl2br w:val="nil"/>
                    <w:tr2bl w:val="nil"/>
                  </w:tcBorders>
                  <w:noWrap w:val="0"/>
                  <w:vAlign w:val="center"/>
                </w:tcPr>
                <w:p w14:paraId="0E1DCFF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项目生产车间不供暖，办公室采用电取暖。</w:t>
                  </w:r>
                </w:p>
              </w:tc>
              <w:tc>
                <w:tcPr>
                  <w:tcW w:w="489" w:type="pct"/>
                  <w:tcBorders>
                    <w:tl2br w:val="nil"/>
                    <w:tr2bl w:val="nil"/>
                  </w:tcBorders>
                  <w:noWrap w:val="0"/>
                  <w:vAlign w:val="center"/>
                </w:tcPr>
                <w:p w14:paraId="31E521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2E6F95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43FF4A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（7）做好固体废物分类收集处理工作。园区内生活垃圾由环卫部门集中进行处理；一般固体废物按照废物资源化的要求进行回收利用；危险废物委托有危险废物处置资质的单位进行安全处置。</w:t>
                  </w:r>
                </w:p>
              </w:tc>
              <w:tc>
                <w:tcPr>
                  <w:tcW w:w="2256" w:type="pct"/>
                  <w:tcBorders>
                    <w:tl2br w:val="nil"/>
                    <w:tr2bl w:val="nil"/>
                  </w:tcBorders>
                  <w:noWrap w:val="0"/>
                  <w:vAlign w:val="center"/>
                </w:tcPr>
                <w:p w14:paraId="4D32BD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项目生活垃圾项目设置垃圾桶收集，由环卫部门统一清运。</w:t>
                  </w:r>
                  <w:r>
                    <w:rPr>
                      <w:rFonts w:hint="default" w:ascii="Times New Roman" w:hAnsi="Times New Roman" w:eastAsia="宋体" w:cs="Times New Roman"/>
                      <w:color w:val="auto"/>
                      <w:sz w:val="21"/>
                      <w:szCs w:val="21"/>
                      <w:highlight w:val="none"/>
                      <w:lang w:eastAsia="zh-CN"/>
                    </w:rPr>
                    <w:t>拆解后可回收利用部分作为产品出售，拆解后不可回收利用部分委托相关单位处置。拆解过程产生的</w:t>
                  </w:r>
                  <w:r>
                    <w:rPr>
                      <w:rFonts w:hint="default" w:ascii="Times New Roman" w:hAnsi="Times New Roman" w:eastAsia="宋体" w:cs="Times New Roman"/>
                      <w:color w:val="auto"/>
                      <w:sz w:val="21"/>
                      <w:szCs w:val="21"/>
                      <w:highlight w:val="none"/>
                    </w:rPr>
                    <w:t>危险废物在厂区</w:t>
                  </w:r>
                  <w:r>
                    <w:rPr>
                      <w:rFonts w:hint="default" w:ascii="Times New Roman" w:hAnsi="Times New Roman" w:eastAsia="宋体" w:cs="Times New Roman"/>
                      <w:color w:val="auto"/>
                      <w:sz w:val="21"/>
                      <w:szCs w:val="21"/>
                      <w:highlight w:val="none"/>
                      <w:lang w:eastAsia="zh-CN"/>
                    </w:rPr>
                    <w:t>危废贮存库</w:t>
                  </w:r>
                  <w:r>
                    <w:rPr>
                      <w:rFonts w:hint="default" w:ascii="Times New Roman" w:hAnsi="Times New Roman" w:eastAsia="宋体" w:cs="Times New Roman"/>
                      <w:color w:val="auto"/>
                      <w:sz w:val="21"/>
                      <w:szCs w:val="21"/>
                      <w:highlight w:val="none"/>
                    </w:rPr>
                    <w:t>内暂存，定期交由有危险废物资质单位处理。</w:t>
                  </w:r>
                </w:p>
              </w:tc>
              <w:tc>
                <w:tcPr>
                  <w:tcW w:w="489" w:type="pct"/>
                  <w:tcBorders>
                    <w:tl2br w:val="nil"/>
                    <w:tr2bl w:val="nil"/>
                  </w:tcBorders>
                  <w:noWrap w:val="0"/>
                  <w:vAlign w:val="center"/>
                </w:tcPr>
                <w:p w14:paraId="6F4E3F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5C48E9D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5B80EE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（8）优化产业布局，合理规划项目位置，高噪声源项目做好项目单元的基础减震、降噪工作，做好绿化工程，落实噪声环境污染防治要求，保证各功能区声环境质量达标。</w:t>
                  </w:r>
                </w:p>
              </w:tc>
              <w:tc>
                <w:tcPr>
                  <w:tcW w:w="2256" w:type="pct"/>
                  <w:tcBorders>
                    <w:tl2br w:val="nil"/>
                    <w:tr2bl w:val="nil"/>
                  </w:tcBorders>
                  <w:noWrap w:val="0"/>
                  <w:vAlign w:val="center"/>
                </w:tcPr>
                <w:p w14:paraId="44464DC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项目选购低噪声设备；</w:t>
                  </w:r>
                  <w:r>
                    <w:rPr>
                      <w:rFonts w:hint="eastAsia" w:cs="Times New Roman"/>
                      <w:color w:val="auto"/>
                      <w:sz w:val="21"/>
                      <w:szCs w:val="21"/>
                      <w:highlight w:val="none"/>
                      <w:lang w:eastAsia="zh-CN"/>
                    </w:rPr>
                    <w:t>采取基础减振</w:t>
                  </w:r>
                  <w:r>
                    <w:rPr>
                      <w:rFonts w:hint="default" w:ascii="Times New Roman" w:hAnsi="Times New Roman" w:eastAsia="宋体" w:cs="Times New Roman"/>
                      <w:color w:val="auto"/>
                      <w:sz w:val="21"/>
                      <w:szCs w:val="21"/>
                      <w:highlight w:val="none"/>
                    </w:rPr>
                    <w:t>、消声器、墙体隔声、设置设备房等措施后，项目的厂界噪声预测值均满足《工业企业厂界环境噪声排放标准》（GB12348-2008）3类标准要求。</w:t>
                  </w:r>
                </w:p>
              </w:tc>
              <w:tc>
                <w:tcPr>
                  <w:tcW w:w="489" w:type="pct"/>
                  <w:tcBorders>
                    <w:tl2br w:val="nil"/>
                    <w:tr2bl w:val="nil"/>
                  </w:tcBorders>
                  <w:noWrap w:val="0"/>
                  <w:vAlign w:val="center"/>
                </w:tcPr>
                <w:p w14:paraId="7D7F513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5AE771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102DBD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SA"/>
                    </w:rPr>
                    <w:t>（9）加快园区依托的基础设施设计与建设，确保园区集中供热、废水处理要求。入驻项目必须严格执行环保“三同时”、总量控制和排污许可证制度，健全在线监控、规范排污口等环境监控手段。</w:t>
                  </w:r>
                </w:p>
              </w:tc>
              <w:tc>
                <w:tcPr>
                  <w:tcW w:w="2256" w:type="pct"/>
                  <w:tcBorders>
                    <w:tl2br w:val="nil"/>
                    <w:tr2bl w:val="nil"/>
                  </w:tcBorders>
                  <w:noWrap w:val="0"/>
                  <w:vAlign w:val="center"/>
                </w:tcPr>
                <w:p w14:paraId="20FAE7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项目</w:t>
                  </w:r>
                  <w:r>
                    <w:rPr>
                      <w:rFonts w:hint="default" w:ascii="Times New Roman" w:hAnsi="Times New Roman" w:eastAsia="宋体" w:cs="Times New Roman"/>
                      <w:color w:val="auto"/>
                      <w:sz w:val="21"/>
                      <w:szCs w:val="21"/>
                      <w:highlight w:val="none"/>
                      <w:lang w:eastAsia="zh-CN"/>
                    </w:rPr>
                    <w:t>已要求企业</w:t>
                  </w:r>
                  <w:r>
                    <w:rPr>
                      <w:rFonts w:hint="default" w:ascii="Times New Roman" w:hAnsi="Times New Roman" w:eastAsia="宋体" w:cs="Times New Roman"/>
                      <w:color w:val="auto"/>
                      <w:sz w:val="21"/>
                      <w:szCs w:val="21"/>
                      <w:highlight w:val="none"/>
                    </w:rPr>
                    <w:t>严格执行环保“三同时”、总量控制和排污许可证制度</w:t>
                  </w:r>
                </w:p>
              </w:tc>
              <w:tc>
                <w:tcPr>
                  <w:tcW w:w="489" w:type="pct"/>
                  <w:tcBorders>
                    <w:tl2br w:val="nil"/>
                    <w:tr2bl w:val="nil"/>
                  </w:tcBorders>
                  <w:noWrap w:val="0"/>
                  <w:vAlign w:val="center"/>
                </w:tcPr>
                <w:p w14:paraId="5A5E3A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p>
              </w:tc>
            </w:tr>
            <w:tr w14:paraId="7B0273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5000" w:type="pct"/>
                  <w:gridSpan w:val="3"/>
                  <w:tcBorders>
                    <w:left w:val="single" w:color="auto" w:sz="4" w:space="0"/>
                    <w:right w:val="single" w:color="auto" w:sz="4" w:space="0"/>
                  </w:tcBorders>
                  <w:noWrap w:val="0"/>
                  <w:vAlign w:val="center"/>
                </w:tcPr>
                <w:p w14:paraId="4B2BB17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入区企业环保准入条件</w:t>
                  </w:r>
                  <w:r>
                    <w:rPr>
                      <w:rFonts w:hint="eastAsia" w:cs="Times New Roman"/>
                      <w:b/>
                      <w:bCs/>
                      <w:color w:val="auto"/>
                      <w:sz w:val="21"/>
                      <w:szCs w:val="21"/>
                      <w:highlight w:val="none"/>
                      <w:lang w:eastAsia="zh-CN"/>
                    </w:rPr>
                    <w:t>符合性</w:t>
                  </w:r>
                  <w:r>
                    <w:rPr>
                      <w:rFonts w:hint="default" w:ascii="Times New Roman" w:hAnsi="Times New Roman" w:eastAsia="宋体" w:cs="Times New Roman"/>
                      <w:b/>
                      <w:bCs/>
                      <w:color w:val="auto"/>
                      <w:sz w:val="21"/>
                      <w:szCs w:val="21"/>
                      <w:highlight w:val="none"/>
                      <w:lang w:eastAsia="zh-CN"/>
                    </w:rPr>
                    <w:t>分析</w:t>
                  </w:r>
                </w:p>
              </w:tc>
            </w:tr>
            <w:tr w14:paraId="1DBFEC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left w:val="single" w:color="auto" w:sz="4" w:space="0"/>
                  </w:tcBorders>
                  <w:noWrap w:val="0"/>
                  <w:vAlign w:val="center"/>
                </w:tcPr>
                <w:p w14:paraId="7FAD6FB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准入条件要求</w:t>
                  </w:r>
                </w:p>
              </w:tc>
              <w:tc>
                <w:tcPr>
                  <w:tcW w:w="2256" w:type="pct"/>
                  <w:noWrap w:val="0"/>
                  <w:vAlign w:val="center"/>
                </w:tcPr>
                <w:p w14:paraId="47A176A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rPr>
                    <w:t>本项目</w:t>
                  </w:r>
                </w:p>
              </w:tc>
              <w:tc>
                <w:tcPr>
                  <w:tcW w:w="489" w:type="pct"/>
                  <w:tcBorders>
                    <w:right w:val="single" w:color="auto" w:sz="4" w:space="0"/>
                  </w:tcBorders>
                  <w:noWrap w:val="0"/>
                  <w:vAlign w:val="center"/>
                </w:tcPr>
                <w:p w14:paraId="19DFDD6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lang w:eastAsia="zh-CN"/>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0033A1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left w:val="single" w:color="auto" w:sz="4" w:space="0"/>
                  </w:tcBorders>
                  <w:noWrap w:val="0"/>
                  <w:vAlign w:val="center"/>
                </w:tcPr>
                <w:p w14:paraId="7D796BA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1</w:t>
                  </w:r>
                  <w:r>
                    <w:rPr>
                      <w:rFonts w:hint="default" w:ascii="Times New Roman" w:hAnsi="Times New Roman" w:eastAsia="宋体" w:cs="Times New Roman"/>
                      <w:color w:val="auto"/>
                      <w:sz w:val="21"/>
                      <w:szCs w:val="21"/>
                      <w:highlight w:val="none"/>
                      <w:lang w:eastAsia="zh-CN"/>
                    </w:rPr>
                    <w:t>）入区必须符合规划区的产业发展方向；</w:t>
                  </w:r>
                </w:p>
              </w:tc>
              <w:tc>
                <w:tcPr>
                  <w:tcW w:w="2256" w:type="pct"/>
                  <w:noWrap w:val="0"/>
                  <w:vAlign w:val="center"/>
                </w:tcPr>
                <w:p w14:paraId="5F9DD49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bidi="ar-SA"/>
                    </w:rPr>
                    <w:t>项目为报废汽车回收拆解项目，属于废弃资源综合利用行业，</w:t>
                  </w:r>
                  <w:r>
                    <w:rPr>
                      <w:rFonts w:hint="eastAsia"/>
                      <w:color w:val="auto"/>
                      <w:highlight w:val="none"/>
                      <w:lang w:eastAsia="zh-CN"/>
                    </w:rPr>
                    <w:t>项目不在规划环评的负面清单内，不属于园区禁止引入的项目，</w:t>
                  </w:r>
                  <w:r>
                    <w:rPr>
                      <w:rFonts w:hint="default" w:ascii="Times New Roman" w:hAnsi="Times New Roman" w:eastAsia="宋体" w:cs="Times New Roman"/>
                      <w:color w:val="auto"/>
                      <w:kern w:val="2"/>
                      <w:sz w:val="21"/>
                      <w:szCs w:val="21"/>
                      <w:highlight w:val="none"/>
                      <w:lang w:val="en-US" w:eastAsia="zh-CN" w:bidi="ar-SA"/>
                    </w:rPr>
                    <w:t>为《产业结构调整指导目录（2024年本）》中鼓励类项目，项目工艺简单，环境风险小，排污量小，技术成熟。项目所在地规划为二类工业用地，用地符合要求。</w:t>
                  </w:r>
                </w:p>
              </w:tc>
              <w:tc>
                <w:tcPr>
                  <w:tcW w:w="489" w:type="pct"/>
                  <w:tcBorders>
                    <w:right w:val="single" w:color="auto" w:sz="4" w:space="0"/>
                  </w:tcBorders>
                  <w:noWrap w:val="0"/>
                  <w:vAlign w:val="center"/>
                </w:tcPr>
                <w:p w14:paraId="509CFE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62BD5F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7859A6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kern w:val="2"/>
                      <w:sz w:val="21"/>
                      <w:szCs w:val="22"/>
                      <w:highlight w:val="none"/>
                      <w:lang w:val="en-US" w:eastAsia="zh-CN" w:bidi="ar"/>
                    </w:rPr>
                  </w:pPr>
                  <w:r>
                    <w:rPr>
                      <w:rFonts w:hint="default" w:ascii="Times New Roman" w:hAnsi="Times New Roman" w:eastAsia="宋体" w:cs="Times New Roman"/>
                      <w:color w:val="auto"/>
                      <w:kern w:val="2"/>
                      <w:sz w:val="21"/>
                      <w:szCs w:val="22"/>
                      <w:highlight w:val="none"/>
                      <w:lang w:val="en-US" w:eastAsia="zh-CN" w:bidi="ar"/>
                    </w:rPr>
                    <w:t>（2）入区企业必须符合清洁生产的要求；</w:t>
                  </w:r>
                </w:p>
              </w:tc>
              <w:tc>
                <w:tcPr>
                  <w:tcW w:w="2256" w:type="pct"/>
                  <w:tcBorders>
                    <w:tl2br w:val="nil"/>
                    <w:tr2bl w:val="nil"/>
                  </w:tcBorders>
                  <w:noWrap w:val="0"/>
                  <w:vAlign w:val="center"/>
                </w:tcPr>
                <w:p w14:paraId="61543F0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kern w:val="2"/>
                      <w:sz w:val="21"/>
                      <w:szCs w:val="22"/>
                      <w:highlight w:val="none"/>
                      <w:lang w:val="en-US" w:eastAsia="zh-CN" w:bidi="ar"/>
                    </w:rPr>
                  </w:pPr>
                  <w:r>
                    <w:rPr>
                      <w:rFonts w:hint="default" w:ascii="Times New Roman" w:hAnsi="Times New Roman" w:eastAsia="宋体" w:cs="Times New Roman"/>
                      <w:color w:val="auto"/>
                      <w:kern w:val="2"/>
                      <w:sz w:val="21"/>
                      <w:szCs w:val="22"/>
                      <w:highlight w:val="none"/>
                      <w:lang w:val="en-US" w:eastAsia="zh-CN" w:bidi="ar"/>
                    </w:rPr>
                    <w:t>项目不使用淘汰落后工艺和设备，生产符合清洁生产的要求。</w:t>
                  </w:r>
                </w:p>
              </w:tc>
              <w:tc>
                <w:tcPr>
                  <w:tcW w:w="489" w:type="pct"/>
                  <w:tcBorders>
                    <w:tl2br w:val="nil"/>
                    <w:tr2bl w:val="nil"/>
                  </w:tcBorders>
                  <w:noWrap w:val="0"/>
                  <w:vAlign w:val="center"/>
                </w:tcPr>
                <w:p w14:paraId="0A97887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35B692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43E166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kern w:val="2"/>
                      <w:sz w:val="21"/>
                      <w:szCs w:val="22"/>
                      <w:highlight w:val="none"/>
                      <w:lang w:val="en-US" w:eastAsia="zh-CN" w:bidi="ar"/>
                    </w:rPr>
                  </w:pPr>
                  <w:r>
                    <w:rPr>
                      <w:rFonts w:hint="default" w:ascii="Times New Roman" w:hAnsi="Times New Roman" w:eastAsia="宋体" w:cs="Times New Roman"/>
                      <w:color w:val="auto"/>
                      <w:kern w:val="2"/>
                      <w:sz w:val="21"/>
                      <w:szCs w:val="22"/>
                      <w:highlight w:val="none"/>
                      <w:lang w:val="en-US" w:eastAsia="zh-CN" w:bidi="ar"/>
                    </w:rPr>
                    <w:t>（3）入区企业应按《中华人民共和国环境影响评价法》的有关规定进行环境评价并取得环境保护行政主管部门的有关批文；</w:t>
                  </w:r>
                </w:p>
              </w:tc>
              <w:tc>
                <w:tcPr>
                  <w:tcW w:w="2256" w:type="pct"/>
                  <w:tcBorders>
                    <w:tl2br w:val="nil"/>
                    <w:tr2bl w:val="nil"/>
                  </w:tcBorders>
                  <w:noWrap w:val="0"/>
                  <w:vAlign w:val="center"/>
                </w:tcPr>
                <w:p w14:paraId="24D8D6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kern w:val="2"/>
                      <w:sz w:val="21"/>
                      <w:szCs w:val="22"/>
                      <w:highlight w:val="none"/>
                      <w:lang w:val="en-US" w:eastAsia="zh-CN" w:bidi="ar"/>
                    </w:rPr>
                  </w:pPr>
                  <w:r>
                    <w:rPr>
                      <w:rFonts w:hint="default" w:ascii="Times New Roman" w:hAnsi="Times New Roman" w:eastAsia="宋体" w:cs="Times New Roman"/>
                      <w:color w:val="auto"/>
                      <w:kern w:val="2"/>
                      <w:sz w:val="21"/>
                      <w:szCs w:val="22"/>
                      <w:highlight w:val="none"/>
                      <w:lang w:val="en-US" w:eastAsia="zh-CN" w:bidi="ar"/>
                    </w:rPr>
                    <w:t>项目已取得阜新高新技术产业开发区发展和改革局的备案证明</w:t>
                  </w:r>
                  <w:r>
                    <w:rPr>
                      <w:rFonts w:hint="eastAsia" w:ascii="Times New Roman" w:hAnsi="Times New Roman" w:eastAsia="宋体" w:cs="Times New Roman"/>
                      <w:color w:val="auto"/>
                      <w:kern w:val="2"/>
                      <w:sz w:val="21"/>
                      <w:szCs w:val="22"/>
                      <w:highlight w:val="none"/>
                      <w:lang w:val="en-US" w:eastAsia="zh-CN" w:bidi="ar"/>
                    </w:rPr>
                    <w:t>，备案文号：阜高新发改备〔2026〕16号</w:t>
                  </w:r>
                  <w:r>
                    <w:rPr>
                      <w:rFonts w:hint="default" w:ascii="Times New Roman" w:hAnsi="Times New Roman" w:eastAsia="宋体" w:cs="Times New Roman"/>
                      <w:color w:val="auto"/>
                      <w:kern w:val="2"/>
                      <w:sz w:val="21"/>
                      <w:szCs w:val="22"/>
                      <w:highlight w:val="none"/>
                      <w:lang w:val="en-US" w:eastAsia="zh-CN" w:bidi="ar"/>
                    </w:rPr>
                    <w:t>，正在编制环境影响报告。</w:t>
                  </w:r>
                </w:p>
              </w:tc>
              <w:tc>
                <w:tcPr>
                  <w:tcW w:w="489" w:type="pct"/>
                  <w:tcBorders>
                    <w:tl2br w:val="nil"/>
                    <w:tr2bl w:val="nil"/>
                  </w:tcBorders>
                  <w:noWrap w:val="0"/>
                  <w:vAlign w:val="center"/>
                </w:tcPr>
                <w:p w14:paraId="348989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1A7F27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2A7A63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kern w:val="2"/>
                      <w:sz w:val="21"/>
                      <w:szCs w:val="22"/>
                      <w:highlight w:val="none"/>
                      <w:lang w:val="en-US" w:eastAsia="zh-CN" w:bidi="ar"/>
                    </w:rPr>
                  </w:pPr>
                  <w:r>
                    <w:rPr>
                      <w:rFonts w:hint="default" w:ascii="Times New Roman" w:hAnsi="Times New Roman" w:eastAsia="宋体" w:cs="Times New Roman"/>
                      <w:color w:val="auto"/>
                      <w:kern w:val="2"/>
                      <w:sz w:val="21"/>
                      <w:szCs w:val="22"/>
                      <w:highlight w:val="none"/>
                      <w:lang w:val="en-US" w:eastAsia="zh-CN" w:bidi="ar"/>
                    </w:rPr>
                    <w:t>（4）入区企业应按国家和地方制定的排放标准和总量控制的要求严格控制</w:t>
                  </w:r>
                  <w:r>
                    <w:rPr>
                      <w:rFonts w:hint="eastAsia" w:cs="Times New Roman"/>
                      <w:color w:val="auto"/>
                      <w:kern w:val="2"/>
                      <w:sz w:val="21"/>
                      <w:szCs w:val="22"/>
                      <w:highlight w:val="none"/>
                      <w:lang w:val="en-US" w:eastAsia="zh-CN" w:bidi="ar"/>
                    </w:rPr>
                    <w:t>污染</w:t>
                  </w:r>
                  <w:r>
                    <w:rPr>
                      <w:rFonts w:hint="default" w:ascii="Times New Roman" w:hAnsi="Times New Roman" w:eastAsia="宋体" w:cs="Times New Roman"/>
                      <w:color w:val="auto"/>
                      <w:kern w:val="2"/>
                      <w:sz w:val="21"/>
                      <w:szCs w:val="22"/>
                      <w:highlight w:val="none"/>
                      <w:lang w:val="en-US" w:eastAsia="zh-CN" w:bidi="ar"/>
                    </w:rPr>
                    <w:t>物的排放浓度，同时应符合国家节能减排政策要求；</w:t>
                  </w:r>
                </w:p>
              </w:tc>
              <w:tc>
                <w:tcPr>
                  <w:tcW w:w="2256" w:type="pct"/>
                  <w:tcBorders>
                    <w:tl2br w:val="nil"/>
                    <w:tr2bl w:val="nil"/>
                  </w:tcBorders>
                  <w:noWrap w:val="0"/>
                  <w:vAlign w:val="center"/>
                </w:tcPr>
                <w:p w14:paraId="1CA446D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kern w:val="2"/>
                      <w:sz w:val="21"/>
                      <w:szCs w:val="22"/>
                      <w:highlight w:val="none"/>
                      <w:lang w:val="en-US" w:eastAsia="zh-CN" w:bidi="ar"/>
                    </w:rPr>
                  </w:pPr>
                  <w:r>
                    <w:rPr>
                      <w:rFonts w:hint="default" w:ascii="Times New Roman" w:hAnsi="Times New Roman" w:eastAsia="宋体" w:cs="Times New Roman"/>
                      <w:color w:val="auto"/>
                      <w:kern w:val="2"/>
                      <w:sz w:val="21"/>
                      <w:szCs w:val="22"/>
                      <w:highlight w:val="none"/>
                      <w:lang w:val="en-US" w:eastAsia="zh-CN" w:bidi="ar"/>
                    </w:rPr>
                    <w:t>项目生产废水和废气经采取措施后，实现达标排放，符合国家和地方制定的排放标准和总量控制的要求严格控制</w:t>
                  </w:r>
                  <w:r>
                    <w:rPr>
                      <w:rFonts w:hint="eastAsia" w:cs="Times New Roman"/>
                      <w:color w:val="auto"/>
                      <w:kern w:val="2"/>
                      <w:sz w:val="21"/>
                      <w:szCs w:val="22"/>
                      <w:highlight w:val="none"/>
                      <w:lang w:val="en-US" w:eastAsia="zh-CN" w:bidi="ar"/>
                    </w:rPr>
                    <w:t>污染</w:t>
                  </w:r>
                  <w:r>
                    <w:rPr>
                      <w:rFonts w:hint="default" w:ascii="Times New Roman" w:hAnsi="Times New Roman" w:eastAsia="宋体" w:cs="Times New Roman"/>
                      <w:color w:val="auto"/>
                      <w:kern w:val="2"/>
                      <w:sz w:val="21"/>
                      <w:szCs w:val="22"/>
                      <w:highlight w:val="none"/>
                      <w:lang w:val="en-US" w:eastAsia="zh-CN" w:bidi="ar"/>
                    </w:rPr>
                    <w:t>物的排放浓度，同时符合国家节能减排政策要求。</w:t>
                  </w:r>
                </w:p>
              </w:tc>
              <w:tc>
                <w:tcPr>
                  <w:tcW w:w="489" w:type="pct"/>
                  <w:tcBorders>
                    <w:tl2br w:val="nil"/>
                    <w:tr2bl w:val="nil"/>
                  </w:tcBorders>
                  <w:noWrap w:val="0"/>
                  <w:vAlign w:val="center"/>
                </w:tcPr>
                <w:p w14:paraId="66FB93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789544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6E3BE8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（5）禁止引进国家明令禁止的淘汰的项目，包括落后生产工艺装备和落后产品；</w:t>
                  </w:r>
                </w:p>
              </w:tc>
              <w:tc>
                <w:tcPr>
                  <w:tcW w:w="2256" w:type="pct"/>
                  <w:tcBorders>
                    <w:tl2br w:val="nil"/>
                    <w:tr2bl w:val="nil"/>
                  </w:tcBorders>
                  <w:noWrap w:val="0"/>
                  <w:vAlign w:val="center"/>
                </w:tcPr>
                <w:p w14:paraId="15B984B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lang w:val="en-US"/>
                    </w:rPr>
                  </w:pPr>
                  <w:r>
                    <w:rPr>
                      <w:rFonts w:hint="default" w:ascii="Times New Roman" w:hAnsi="Times New Roman" w:eastAsia="宋体" w:cs="Times New Roman"/>
                      <w:color w:val="auto"/>
                      <w:kern w:val="2"/>
                      <w:sz w:val="21"/>
                      <w:szCs w:val="21"/>
                      <w:highlight w:val="none"/>
                      <w:lang w:val="en-US" w:eastAsia="zh-CN" w:bidi="ar-SA"/>
                    </w:rPr>
                    <w:t>项目为报废汽车回收拆解项目，</w:t>
                  </w:r>
                  <w:r>
                    <w:rPr>
                      <w:rFonts w:hint="default" w:ascii="Times New Roman" w:hAnsi="Times New Roman" w:eastAsia="宋体" w:cs="Times New Roman"/>
                      <w:color w:val="auto"/>
                      <w:kern w:val="2"/>
                      <w:sz w:val="21"/>
                      <w:szCs w:val="22"/>
                      <w:highlight w:val="none"/>
                      <w:lang w:val="en-US" w:eastAsia="zh-CN" w:bidi="ar"/>
                    </w:rPr>
                    <w:t>根据《产业结构调整指导目录（2024年本）》</w:t>
                  </w:r>
                  <w:r>
                    <w:rPr>
                      <w:rFonts w:hint="default" w:ascii="Times New Roman" w:hAnsi="Times New Roman" w:eastAsia="宋体" w:cs="Times New Roman"/>
                      <w:color w:val="auto"/>
                      <w:kern w:val="2"/>
                      <w:sz w:val="21"/>
                      <w:szCs w:val="21"/>
                      <w:highlight w:val="none"/>
                      <w:lang w:val="en-US" w:eastAsia="zh-CN" w:bidi="ar-SA"/>
                    </w:rPr>
                    <w:t>中鼓励类项目</w:t>
                  </w:r>
                  <w:r>
                    <w:rPr>
                      <w:rFonts w:hint="default" w:ascii="Times New Roman" w:hAnsi="Times New Roman" w:eastAsia="宋体" w:cs="Times New Roman"/>
                      <w:color w:val="auto"/>
                      <w:kern w:val="2"/>
                      <w:sz w:val="21"/>
                      <w:szCs w:val="22"/>
                      <w:highlight w:val="none"/>
                      <w:lang w:val="en-US" w:eastAsia="zh-CN" w:bidi="ar"/>
                    </w:rPr>
                    <w:t>，不属于淘汰类项目及落后生产工艺装备和落后产品。</w:t>
                  </w:r>
                </w:p>
              </w:tc>
              <w:tc>
                <w:tcPr>
                  <w:tcW w:w="489" w:type="pct"/>
                  <w:tcBorders>
                    <w:tl2br w:val="nil"/>
                    <w:tr2bl w:val="nil"/>
                  </w:tcBorders>
                  <w:noWrap w:val="0"/>
                  <w:vAlign w:val="center"/>
                </w:tcPr>
                <w:p w14:paraId="7B3049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365CD5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623F1C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（6）禁止引进生产方式落后、高耗能、高水耗等严重浪费资源的项目；</w:t>
                  </w:r>
                </w:p>
              </w:tc>
              <w:tc>
                <w:tcPr>
                  <w:tcW w:w="2256" w:type="pct"/>
                  <w:tcBorders>
                    <w:tl2br w:val="nil"/>
                    <w:tr2bl w:val="nil"/>
                  </w:tcBorders>
                  <w:noWrap w:val="0"/>
                  <w:vAlign w:val="center"/>
                </w:tcPr>
                <w:p w14:paraId="7F3C102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项目不属于生产方式落后、高耗能、高水耗等严重浪费资源的项目。</w:t>
                  </w:r>
                </w:p>
              </w:tc>
              <w:tc>
                <w:tcPr>
                  <w:tcW w:w="489" w:type="pct"/>
                  <w:tcBorders>
                    <w:tl2br w:val="nil"/>
                    <w:tr2bl w:val="nil"/>
                  </w:tcBorders>
                  <w:noWrap w:val="0"/>
                  <w:vAlign w:val="center"/>
                </w:tcPr>
                <w:p w14:paraId="72DEA2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符合</w:t>
                  </w:r>
                </w:p>
              </w:tc>
            </w:tr>
            <w:tr w14:paraId="033181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756EB67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（7）禁止引进污染严重、破坏自然生态和损害人体健康又无治理技术或难以治理的项目。</w:t>
                  </w:r>
                </w:p>
              </w:tc>
              <w:tc>
                <w:tcPr>
                  <w:tcW w:w="2256" w:type="pct"/>
                  <w:tcBorders>
                    <w:tl2br w:val="nil"/>
                    <w:tr2bl w:val="nil"/>
                  </w:tcBorders>
                  <w:noWrap w:val="0"/>
                  <w:vAlign w:val="center"/>
                </w:tcPr>
                <w:p w14:paraId="31B75A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项目不属于污染严重、破坏自然生态和损害人体健康又无治理技术或难以治理的项目。</w:t>
                  </w:r>
                </w:p>
              </w:tc>
              <w:tc>
                <w:tcPr>
                  <w:tcW w:w="489" w:type="pct"/>
                  <w:tcBorders>
                    <w:tl2br w:val="nil"/>
                    <w:tr2bl w:val="nil"/>
                  </w:tcBorders>
                  <w:noWrap w:val="0"/>
                  <w:vAlign w:val="center"/>
                </w:tcPr>
                <w:p w14:paraId="6256C7F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79491E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5D50B2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（8）禁止引进电镀或其他含有重金属废水产生企业和生产工艺。</w:t>
                  </w:r>
                </w:p>
              </w:tc>
              <w:tc>
                <w:tcPr>
                  <w:tcW w:w="2256" w:type="pct"/>
                  <w:tcBorders>
                    <w:tl2br w:val="nil"/>
                    <w:tr2bl w:val="nil"/>
                  </w:tcBorders>
                  <w:noWrap w:val="0"/>
                  <w:vAlign w:val="center"/>
                </w:tcPr>
                <w:p w14:paraId="5CC4A1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项目不属于电镀或其他含有重金属废水产生企业和生产工艺。</w:t>
                  </w:r>
                </w:p>
              </w:tc>
              <w:tc>
                <w:tcPr>
                  <w:tcW w:w="489" w:type="pct"/>
                  <w:tcBorders>
                    <w:tl2br w:val="nil"/>
                    <w:tr2bl w:val="nil"/>
                  </w:tcBorders>
                  <w:noWrap w:val="0"/>
                  <w:vAlign w:val="center"/>
                </w:tcPr>
                <w:p w14:paraId="5B38583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r w14:paraId="192A2D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2254" w:type="pct"/>
                  <w:tcBorders>
                    <w:tl2br w:val="nil"/>
                    <w:tr2bl w:val="nil"/>
                  </w:tcBorders>
                  <w:noWrap w:val="0"/>
                  <w:vAlign w:val="center"/>
                </w:tcPr>
                <w:p w14:paraId="75AD12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2"/>
                      <w:highlight w:val="none"/>
                      <w:lang w:val="en-US" w:eastAsia="zh-CN" w:bidi="ar"/>
                    </w:rPr>
                    <w:t>（9）禁止在规划区外侧靠近居民区方向布设、安置高噪声企业和设备。</w:t>
                  </w:r>
                </w:p>
              </w:tc>
              <w:tc>
                <w:tcPr>
                  <w:tcW w:w="2256" w:type="pct"/>
                  <w:tcBorders>
                    <w:tl2br w:val="nil"/>
                    <w:tr2bl w:val="nil"/>
                  </w:tcBorders>
                  <w:noWrap w:val="0"/>
                  <w:vAlign w:val="center"/>
                </w:tcPr>
                <w:p w14:paraId="4104EB4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56" w:lineRule="auto"/>
                    <w:ind w:left="0" w:leftChars="0" w:right="0" w:rightChars="0" w:firstLine="0" w:firstLineChars="0"/>
                    <w:jc w:val="both"/>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kern w:val="2"/>
                      <w:sz w:val="21"/>
                      <w:szCs w:val="22"/>
                      <w:highlight w:val="none"/>
                      <w:lang w:val="en-US" w:eastAsia="zh-CN" w:bidi="ar"/>
                    </w:rPr>
                    <w:t>项目厂界周边50m范围内不存在声环境保护目标，</w:t>
                  </w:r>
                  <w:r>
                    <w:rPr>
                      <w:rFonts w:hint="default" w:ascii="Times New Roman" w:hAnsi="Times New Roman" w:eastAsia="宋体" w:cs="Times New Roman"/>
                      <w:color w:val="auto"/>
                      <w:szCs w:val="21"/>
                      <w:highlight w:val="none"/>
                    </w:rPr>
                    <w:t>最近居民区距离厂界</w:t>
                  </w:r>
                  <w:r>
                    <w:rPr>
                      <w:rFonts w:hint="eastAsia" w:cs="Times New Roman"/>
                      <w:color w:val="auto"/>
                      <w:szCs w:val="21"/>
                      <w:highlight w:val="none"/>
                      <w:lang w:val="en-US" w:eastAsia="zh-CN"/>
                    </w:rPr>
                    <w:t>480m</w:t>
                  </w:r>
                  <w:r>
                    <w:rPr>
                      <w:rFonts w:hint="default" w:ascii="Times New Roman" w:hAnsi="Times New Roman" w:eastAsia="宋体" w:cs="Times New Roman"/>
                      <w:color w:val="auto"/>
                      <w:szCs w:val="21"/>
                      <w:highlight w:val="none"/>
                    </w:rPr>
                    <w:t>，符合要求</w:t>
                  </w:r>
                  <w:r>
                    <w:rPr>
                      <w:rFonts w:hint="default" w:ascii="Times New Roman" w:hAnsi="Times New Roman" w:eastAsia="宋体" w:cs="Times New Roman"/>
                      <w:color w:val="auto"/>
                      <w:szCs w:val="21"/>
                      <w:highlight w:val="none"/>
                      <w:lang w:eastAsia="zh-CN"/>
                    </w:rPr>
                    <w:t>。</w:t>
                  </w:r>
                </w:p>
              </w:tc>
              <w:tc>
                <w:tcPr>
                  <w:tcW w:w="489" w:type="pct"/>
                  <w:tcBorders>
                    <w:tl2br w:val="nil"/>
                    <w:tr2bl w:val="nil"/>
                  </w:tcBorders>
                  <w:noWrap w:val="0"/>
                  <w:vAlign w:val="center"/>
                </w:tcPr>
                <w:p w14:paraId="6E814D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符合</w:t>
                  </w:r>
                </w:p>
              </w:tc>
            </w:tr>
          </w:tbl>
          <w:p w14:paraId="40A08CF8">
            <w:pPr>
              <w:pStyle w:val="73"/>
              <w:keepNext w:val="0"/>
              <w:keepLines w:val="0"/>
              <w:suppressLineNumbers w:val="0"/>
              <w:spacing w:before="0" w:beforeAutospacing="0" w:after="0" w:afterAutospacing="0" w:line="360" w:lineRule="auto"/>
              <w:ind w:left="0" w:leftChars="0" w:right="0" w:firstLine="0" w:firstLineChars="0"/>
              <w:rPr>
                <w:rFonts w:hint="default"/>
                <w:color w:val="auto"/>
                <w:sz w:val="24"/>
                <w:szCs w:val="24"/>
                <w:highlight w:val="none"/>
                <w:lang w:val="en-US" w:eastAsia="zh-CN"/>
              </w:rPr>
            </w:pPr>
          </w:p>
        </w:tc>
      </w:tr>
      <w:tr w14:paraId="2D908D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349" w:hRule="atLeast"/>
          <w:jc w:val="center"/>
        </w:trPr>
        <w:tc>
          <w:tcPr>
            <w:tcW w:w="1471" w:type="dxa"/>
            <w:noWrap w:val="0"/>
            <w:vAlign w:val="center"/>
          </w:tcPr>
          <w:p w14:paraId="2E19DB61">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其他符合性分析</w:t>
            </w:r>
          </w:p>
        </w:tc>
        <w:tc>
          <w:tcPr>
            <w:tcW w:w="8293" w:type="dxa"/>
            <w:gridSpan w:val="3"/>
            <w:noWrap w:val="0"/>
            <w:vAlign w:val="center"/>
          </w:tcPr>
          <w:p w14:paraId="6C4B0F29">
            <w:pPr>
              <w:pStyle w:val="73"/>
              <w:keepNext w:val="0"/>
              <w:keepLines w:val="0"/>
              <w:suppressLineNumbers w:val="0"/>
              <w:spacing w:before="0" w:beforeAutospacing="0" w:after="0" w:afterAutospacing="0" w:line="360" w:lineRule="auto"/>
              <w:ind w:left="0" w:right="0" w:firstLine="478" w:firstLineChars="200"/>
              <w:rPr>
                <w:rFonts w:hint="default"/>
                <w:b/>
                <w:bCs/>
                <w:color w:val="auto"/>
                <w:spacing w:val="-1"/>
                <w:sz w:val="24"/>
                <w:szCs w:val="24"/>
                <w:highlight w:val="none"/>
                <w:lang w:val="en-US" w:eastAsia="zh-CN"/>
              </w:rPr>
            </w:pPr>
            <w:r>
              <w:rPr>
                <w:rFonts w:hint="eastAsia"/>
                <w:b/>
                <w:bCs/>
                <w:color w:val="auto"/>
                <w:spacing w:val="-1"/>
                <w:sz w:val="24"/>
                <w:szCs w:val="24"/>
                <w:highlight w:val="none"/>
                <w:lang w:val="en-US" w:eastAsia="zh-CN"/>
              </w:rPr>
              <w:t>1、《市场准入负面清单（</w:t>
            </w:r>
            <w:r>
              <w:rPr>
                <w:rFonts w:hint="eastAsia" w:cs="Times New Roman"/>
                <w:b/>
                <w:bCs/>
                <w:color w:val="auto"/>
                <w:spacing w:val="-1"/>
                <w:sz w:val="24"/>
                <w:szCs w:val="24"/>
                <w:highlight w:val="none"/>
                <w:lang w:val="en-US" w:eastAsia="zh-CN"/>
              </w:rPr>
              <w:t>2025</w:t>
            </w:r>
            <w:r>
              <w:rPr>
                <w:rFonts w:hint="eastAsia"/>
                <w:b/>
                <w:bCs/>
                <w:color w:val="auto"/>
                <w:spacing w:val="-1"/>
                <w:sz w:val="24"/>
                <w:szCs w:val="24"/>
                <w:highlight w:val="none"/>
                <w:lang w:val="en-US" w:eastAsia="zh-CN"/>
              </w:rPr>
              <w:t>年版）》符合性分析</w:t>
            </w:r>
          </w:p>
          <w:p w14:paraId="7976E2EB">
            <w:pPr>
              <w:pStyle w:val="73"/>
              <w:keepNext w:val="0"/>
              <w:keepLines w:val="0"/>
              <w:suppressLineNumbers w:val="0"/>
              <w:spacing w:before="0" w:beforeAutospacing="0" w:after="0" w:afterAutospacing="0" w:line="360" w:lineRule="auto"/>
              <w:ind w:left="0" w:right="0" w:firstLine="476" w:firstLineChars="200"/>
              <w:rPr>
                <w:rFonts w:hint="default" w:ascii="Times New Roman" w:hAnsi="Times New Roman" w:cs="Times New Roman"/>
                <w:color w:val="auto"/>
                <w:spacing w:val="-1"/>
                <w:sz w:val="24"/>
                <w:szCs w:val="24"/>
                <w:highlight w:val="none"/>
                <w:lang w:val="en-US" w:eastAsia="zh-CN"/>
              </w:rPr>
            </w:pPr>
            <w:r>
              <w:rPr>
                <w:rFonts w:hint="eastAsia" w:ascii="Times New Roman" w:hAnsi="Times New Roman" w:cs="Times New Roman"/>
                <w:color w:val="auto"/>
                <w:spacing w:val="-1"/>
                <w:sz w:val="24"/>
                <w:szCs w:val="24"/>
                <w:highlight w:val="none"/>
                <w:lang w:eastAsia="zh-CN"/>
              </w:rPr>
              <w:t>根据“国家发展改革委</w:t>
            </w:r>
            <w:r>
              <w:rPr>
                <w:rFonts w:hint="eastAsia" w:cs="Times New Roman"/>
                <w:color w:val="auto"/>
                <w:spacing w:val="-1"/>
                <w:sz w:val="24"/>
                <w:szCs w:val="24"/>
                <w:highlight w:val="none"/>
                <w:lang w:val="en-US" w:eastAsia="zh-CN"/>
              </w:rPr>
              <w:t xml:space="preserve"> </w:t>
            </w:r>
            <w:r>
              <w:rPr>
                <w:rFonts w:hint="eastAsia" w:ascii="Times New Roman" w:hAnsi="Times New Roman" w:cs="Times New Roman"/>
                <w:color w:val="auto"/>
                <w:spacing w:val="-1"/>
                <w:sz w:val="24"/>
                <w:szCs w:val="24"/>
                <w:highlight w:val="none"/>
                <w:lang w:eastAsia="zh-CN"/>
              </w:rPr>
              <w:t>商务部</w:t>
            </w:r>
            <w:r>
              <w:rPr>
                <w:rFonts w:hint="eastAsia" w:cs="Times New Roman"/>
                <w:color w:val="auto"/>
                <w:spacing w:val="-1"/>
                <w:sz w:val="24"/>
                <w:szCs w:val="24"/>
                <w:highlight w:val="none"/>
                <w:lang w:val="en-US" w:eastAsia="zh-CN"/>
              </w:rPr>
              <w:t xml:space="preserve"> </w:t>
            </w:r>
            <w:r>
              <w:rPr>
                <w:rFonts w:hint="eastAsia" w:ascii="Times New Roman" w:hAnsi="Times New Roman" w:cs="Times New Roman"/>
                <w:color w:val="auto"/>
                <w:spacing w:val="-1"/>
                <w:sz w:val="24"/>
                <w:szCs w:val="24"/>
                <w:highlight w:val="none"/>
                <w:lang w:eastAsia="zh-CN"/>
              </w:rPr>
              <w:t>市场监管总局关于印发《市场准入负面清单</w:t>
            </w:r>
            <w:r>
              <w:rPr>
                <w:rFonts w:hint="eastAsia" w:cs="Times New Roman"/>
                <w:color w:val="auto"/>
                <w:spacing w:val="-1"/>
                <w:sz w:val="24"/>
                <w:szCs w:val="24"/>
                <w:highlight w:val="none"/>
                <w:lang w:eastAsia="zh-CN"/>
              </w:rPr>
              <w:t>（</w:t>
            </w:r>
            <w:r>
              <w:rPr>
                <w:rFonts w:hint="eastAsia" w:cs="Times New Roman"/>
                <w:color w:val="auto"/>
                <w:spacing w:val="-1"/>
                <w:sz w:val="24"/>
                <w:szCs w:val="24"/>
                <w:highlight w:val="none"/>
                <w:lang w:val="en-US" w:eastAsia="zh-CN"/>
              </w:rPr>
              <w:t>2025</w:t>
            </w:r>
            <w:r>
              <w:rPr>
                <w:rFonts w:hint="eastAsia" w:ascii="Times New Roman" w:hAnsi="Times New Roman" w:cs="Times New Roman"/>
                <w:color w:val="auto"/>
                <w:spacing w:val="-1"/>
                <w:sz w:val="24"/>
                <w:szCs w:val="24"/>
                <w:highlight w:val="none"/>
                <w:lang w:eastAsia="zh-CN"/>
              </w:rPr>
              <w:t>年版</w:t>
            </w:r>
            <w:r>
              <w:rPr>
                <w:rFonts w:hint="eastAsia" w:cs="Times New Roman"/>
                <w:color w:val="auto"/>
                <w:spacing w:val="-1"/>
                <w:sz w:val="24"/>
                <w:szCs w:val="24"/>
                <w:highlight w:val="none"/>
                <w:lang w:eastAsia="zh-CN"/>
              </w:rPr>
              <w:t>）</w:t>
            </w:r>
            <w:r>
              <w:rPr>
                <w:rFonts w:hint="eastAsia" w:ascii="Times New Roman" w:hAnsi="Times New Roman" w:cs="Times New Roman"/>
                <w:color w:val="auto"/>
                <w:spacing w:val="-1"/>
                <w:sz w:val="24"/>
                <w:szCs w:val="24"/>
                <w:highlight w:val="none"/>
                <w:lang w:eastAsia="zh-CN"/>
              </w:rPr>
              <w:t>》的通知</w:t>
            </w:r>
            <w:r>
              <w:rPr>
                <w:rFonts w:hint="eastAsia" w:cs="Times New Roman"/>
                <w:color w:val="auto"/>
                <w:spacing w:val="-1"/>
                <w:sz w:val="24"/>
                <w:szCs w:val="24"/>
                <w:highlight w:val="none"/>
                <w:lang w:eastAsia="zh-CN"/>
              </w:rPr>
              <w:t>（</w:t>
            </w:r>
            <w:r>
              <w:rPr>
                <w:rFonts w:hint="eastAsia" w:ascii="Times New Roman" w:hAnsi="Times New Roman" w:cs="Times New Roman"/>
                <w:color w:val="auto"/>
                <w:spacing w:val="-1"/>
                <w:sz w:val="24"/>
                <w:szCs w:val="24"/>
                <w:highlight w:val="none"/>
                <w:lang w:eastAsia="zh-CN"/>
              </w:rPr>
              <w:t>发改体改规〔2025〕466号</w:t>
            </w:r>
            <w:r>
              <w:rPr>
                <w:rFonts w:hint="eastAsia" w:cs="Times New Roman"/>
                <w:color w:val="auto"/>
                <w:spacing w:val="-1"/>
                <w:sz w:val="24"/>
                <w:szCs w:val="24"/>
                <w:highlight w:val="none"/>
                <w:lang w:eastAsia="zh-CN"/>
              </w:rPr>
              <w:t>）</w:t>
            </w:r>
            <w:r>
              <w:rPr>
                <w:rFonts w:hint="eastAsia" w:ascii="Times New Roman" w:hAnsi="Times New Roman" w:cs="Times New Roman"/>
                <w:color w:val="auto"/>
                <w:spacing w:val="-1"/>
                <w:sz w:val="24"/>
                <w:szCs w:val="24"/>
                <w:highlight w:val="none"/>
                <w:lang w:eastAsia="zh-CN"/>
              </w:rPr>
              <w:t>”，市场准入负面清单分为禁止和许可两类事项。对禁止准入事项，经营主体不得进入，政府依法不予审批、核准，不予办理有关手续</w:t>
            </w:r>
            <w:r>
              <w:rPr>
                <w:rFonts w:hint="eastAsia" w:cs="Times New Roman"/>
                <w:color w:val="auto"/>
                <w:spacing w:val="-1"/>
                <w:sz w:val="24"/>
                <w:szCs w:val="24"/>
                <w:highlight w:val="none"/>
                <w:lang w:eastAsia="zh-CN"/>
              </w:rPr>
              <w:t>；</w:t>
            </w:r>
            <w:r>
              <w:rPr>
                <w:rFonts w:hint="eastAsia" w:ascii="Times New Roman" w:hAnsi="Times New Roman" w:cs="Times New Roman"/>
                <w:color w:val="auto"/>
                <w:spacing w:val="-1"/>
                <w:sz w:val="24"/>
                <w:szCs w:val="24"/>
                <w:highlight w:val="none"/>
                <w:lang w:eastAsia="zh-CN"/>
              </w:rPr>
              <w:t>对许可准入事项，地方各级政府要公开法律法规依据、技术标准、许可要求、办理流程、办理时限，制定市场准入服务规程，由经营主体按照规定的条件和方式合规进入</w:t>
            </w:r>
            <w:r>
              <w:rPr>
                <w:rFonts w:hint="eastAsia" w:cs="Times New Roman"/>
                <w:color w:val="auto"/>
                <w:spacing w:val="-1"/>
                <w:sz w:val="24"/>
                <w:szCs w:val="24"/>
                <w:highlight w:val="none"/>
                <w:lang w:eastAsia="zh-CN"/>
              </w:rPr>
              <w:t>。各类按要求编制的全国层面准入类清单目录，全部纳入市场准入负面清单管理。产业结构调整指导目录、政府核准投资项目目录，纳入市场准入负面清单，地方对两个目录有细化规定的，从其规定。地方国家重点生态功能区和农产品主产区产业准入负面清单（或禁止限制目录）及地方按照党中央、国务院要求制定的地方性产业结构禁止准入目录，统一纳入市场准入负面清单。</w:t>
            </w:r>
          </w:p>
          <w:p w14:paraId="32226EE8">
            <w:pPr>
              <w:pStyle w:val="73"/>
              <w:keepNext w:val="0"/>
              <w:keepLines w:val="0"/>
              <w:suppressLineNumbers w:val="0"/>
              <w:spacing w:before="0" w:beforeAutospacing="0" w:after="0" w:afterAutospacing="0" w:line="360" w:lineRule="auto"/>
              <w:ind w:left="0" w:right="0" w:firstLine="476" w:firstLineChars="200"/>
              <w:rPr>
                <w:rFonts w:hint="default" w:ascii="Times New Roman" w:hAnsi="Times New Roman" w:cs="Times New Roman"/>
                <w:b/>
                <w:bCs/>
                <w:color w:val="auto"/>
                <w:spacing w:val="-1"/>
                <w:sz w:val="21"/>
                <w:szCs w:val="21"/>
                <w:highlight w:val="none"/>
                <w:lang w:val="en-US" w:eastAsia="zh-CN"/>
              </w:rPr>
            </w:pPr>
            <w:r>
              <w:rPr>
                <w:rFonts w:hint="eastAsia" w:ascii="Times New Roman" w:hAnsi="Times New Roman" w:cs="Times New Roman"/>
                <w:color w:val="auto"/>
                <w:spacing w:val="-1"/>
                <w:sz w:val="24"/>
                <w:szCs w:val="24"/>
                <w:highlight w:val="none"/>
                <w:lang w:eastAsia="zh-CN"/>
              </w:rPr>
              <w:t>根据《市场准入负面清单</w:t>
            </w:r>
            <w:r>
              <w:rPr>
                <w:rFonts w:hint="eastAsia" w:cs="Times New Roman"/>
                <w:color w:val="auto"/>
                <w:spacing w:val="-1"/>
                <w:sz w:val="24"/>
                <w:szCs w:val="24"/>
                <w:highlight w:val="none"/>
                <w:lang w:eastAsia="zh-CN"/>
              </w:rPr>
              <w:t>（</w:t>
            </w:r>
            <w:r>
              <w:rPr>
                <w:rFonts w:hint="eastAsia" w:cs="Times New Roman"/>
                <w:color w:val="auto"/>
                <w:spacing w:val="-1"/>
                <w:sz w:val="24"/>
                <w:szCs w:val="24"/>
                <w:highlight w:val="none"/>
                <w:lang w:val="en-US" w:eastAsia="zh-CN"/>
              </w:rPr>
              <w:t>2025</w:t>
            </w:r>
            <w:r>
              <w:rPr>
                <w:rFonts w:hint="eastAsia" w:ascii="Times New Roman" w:hAnsi="Times New Roman" w:cs="Times New Roman"/>
                <w:color w:val="auto"/>
                <w:spacing w:val="-1"/>
                <w:sz w:val="24"/>
                <w:szCs w:val="24"/>
                <w:highlight w:val="none"/>
                <w:lang w:eastAsia="zh-CN"/>
              </w:rPr>
              <w:t>年版</w:t>
            </w:r>
            <w:r>
              <w:rPr>
                <w:rFonts w:hint="eastAsia" w:cs="Times New Roman"/>
                <w:color w:val="auto"/>
                <w:spacing w:val="-1"/>
                <w:sz w:val="24"/>
                <w:szCs w:val="24"/>
                <w:highlight w:val="none"/>
                <w:lang w:eastAsia="zh-CN"/>
              </w:rPr>
              <w:t>）》</w:t>
            </w:r>
            <w:r>
              <w:rPr>
                <w:rFonts w:hint="eastAsia" w:ascii="Times New Roman" w:hAnsi="Times New Roman" w:cs="Times New Roman"/>
                <w:color w:val="auto"/>
                <w:spacing w:val="-1"/>
                <w:sz w:val="24"/>
                <w:szCs w:val="24"/>
                <w:highlight w:val="none"/>
                <w:lang w:eastAsia="zh-CN"/>
              </w:rPr>
              <w:t>，禁止准入类共6项，涉及生态环境保护的</w:t>
            </w:r>
            <w:r>
              <w:rPr>
                <w:rFonts w:hint="eastAsia" w:ascii="Times New Roman" w:hAnsi="Times New Roman" w:cs="Times New Roman"/>
                <w:color w:val="auto"/>
                <w:spacing w:val="-1"/>
                <w:sz w:val="24"/>
                <w:szCs w:val="24"/>
                <w:highlight w:val="none"/>
                <w:lang w:val="en-US" w:eastAsia="zh-CN"/>
              </w:rPr>
              <w:t>3</w:t>
            </w:r>
            <w:r>
              <w:rPr>
                <w:rFonts w:hint="eastAsia" w:ascii="Times New Roman" w:hAnsi="Times New Roman" w:cs="Times New Roman"/>
                <w:color w:val="auto"/>
                <w:spacing w:val="-1"/>
                <w:sz w:val="24"/>
                <w:szCs w:val="24"/>
                <w:highlight w:val="none"/>
                <w:lang w:eastAsia="zh-CN"/>
              </w:rPr>
              <w:t>项，具体如下表所示。</w:t>
            </w:r>
          </w:p>
          <w:p w14:paraId="6066EFDB">
            <w:pPr>
              <w:pStyle w:val="73"/>
              <w:keepNext w:val="0"/>
              <w:keepLines w:val="0"/>
              <w:suppressLineNumbers w:val="0"/>
              <w:spacing w:before="0" w:beforeAutospacing="0" w:after="0" w:afterAutospacing="0" w:line="360" w:lineRule="auto"/>
              <w:ind w:left="0" w:right="0"/>
              <w:jc w:val="center"/>
              <w:rPr>
                <w:rFonts w:hint="default" w:ascii="Times New Roman" w:hAnsi="Times New Roman" w:cs="Times New Roman"/>
                <w:b/>
                <w:bCs/>
                <w:color w:val="auto"/>
                <w:spacing w:val="-1"/>
                <w:sz w:val="21"/>
                <w:szCs w:val="21"/>
                <w:highlight w:val="none"/>
                <w:lang w:eastAsia="zh-CN"/>
              </w:rPr>
            </w:pPr>
            <w:r>
              <w:rPr>
                <w:rFonts w:hint="default" w:ascii="Times New Roman" w:hAnsi="Times New Roman" w:cs="Times New Roman"/>
                <w:b/>
                <w:bCs/>
                <w:color w:val="auto"/>
                <w:spacing w:val="-1"/>
                <w:sz w:val="21"/>
                <w:szCs w:val="21"/>
                <w:highlight w:val="none"/>
                <w:lang w:val="en-US" w:eastAsia="zh-CN"/>
              </w:rPr>
              <w:t>表</w:t>
            </w:r>
            <w:r>
              <w:rPr>
                <w:rFonts w:hint="eastAsia" w:ascii="Times New Roman" w:hAnsi="Times New Roman" w:cs="Times New Roman"/>
                <w:b/>
                <w:bCs/>
                <w:color w:val="auto"/>
                <w:spacing w:val="-1"/>
                <w:sz w:val="21"/>
                <w:szCs w:val="21"/>
                <w:highlight w:val="none"/>
                <w:lang w:val="en-US" w:eastAsia="zh-CN"/>
              </w:rPr>
              <w:t>1-</w:t>
            </w:r>
            <w:r>
              <w:rPr>
                <w:rFonts w:hint="eastAsia" w:cs="Times New Roman"/>
                <w:b/>
                <w:bCs/>
                <w:color w:val="auto"/>
                <w:spacing w:val="-1"/>
                <w:sz w:val="21"/>
                <w:szCs w:val="21"/>
                <w:highlight w:val="none"/>
                <w:lang w:val="en-US" w:eastAsia="zh-CN"/>
              </w:rPr>
              <w:t>3</w:t>
            </w:r>
            <w:r>
              <w:rPr>
                <w:rFonts w:hint="eastAsia" w:ascii="Times New Roman" w:hAnsi="Times New Roman" w:cs="Times New Roman"/>
                <w:b/>
                <w:bCs/>
                <w:color w:val="auto"/>
                <w:spacing w:val="-1"/>
                <w:sz w:val="21"/>
                <w:szCs w:val="21"/>
                <w:highlight w:val="none"/>
                <w:lang w:val="en-US" w:eastAsia="zh-CN"/>
              </w:rPr>
              <w:t xml:space="preserve">  </w:t>
            </w:r>
            <w:r>
              <w:rPr>
                <w:rFonts w:hint="default" w:ascii="Times New Roman" w:hAnsi="Times New Roman" w:cs="Times New Roman"/>
                <w:b/>
                <w:bCs/>
                <w:color w:val="auto"/>
                <w:spacing w:val="-1"/>
                <w:sz w:val="21"/>
                <w:szCs w:val="21"/>
                <w:highlight w:val="none"/>
                <w:lang w:eastAsia="zh-CN"/>
              </w:rPr>
              <w:t>《市场准入负面清单</w:t>
            </w:r>
            <w:r>
              <w:rPr>
                <w:rFonts w:hint="eastAsia" w:ascii="Times New Roman" w:hAnsi="Times New Roman" w:cs="Times New Roman"/>
                <w:b/>
                <w:bCs/>
                <w:color w:val="auto"/>
                <w:spacing w:val="-1"/>
                <w:sz w:val="21"/>
                <w:szCs w:val="21"/>
                <w:highlight w:val="none"/>
                <w:lang w:eastAsia="zh-CN"/>
              </w:rPr>
              <w:t>（</w:t>
            </w:r>
            <w:r>
              <w:rPr>
                <w:rFonts w:hint="eastAsia" w:ascii="Times New Roman" w:hAnsi="Times New Roman" w:cs="Times New Roman"/>
                <w:b/>
                <w:bCs/>
                <w:color w:val="auto"/>
                <w:spacing w:val="-1"/>
                <w:sz w:val="21"/>
                <w:szCs w:val="21"/>
                <w:highlight w:val="none"/>
                <w:lang w:val="en-US" w:eastAsia="zh-CN"/>
              </w:rPr>
              <w:t>2025</w:t>
            </w:r>
            <w:r>
              <w:rPr>
                <w:rFonts w:hint="default" w:ascii="Times New Roman" w:hAnsi="Times New Roman" w:cs="Times New Roman"/>
                <w:b/>
                <w:bCs/>
                <w:color w:val="auto"/>
                <w:spacing w:val="-1"/>
                <w:sz w:val="21"/>
                <w:szCs w:val="21"/>
                <w:highlight w:val="none"/>
                <w:lang w:eastAsia="zh-CN"/>
              </w:rPr>
              <w:t>年版</w:t>
            </w:r>
            <w:r>
              <w:rPr>
                <w:rFonts w:hint="eastAsia" w:ascii="Times New Roman" w:hAnsi="Times New Roman" w:cs="Times New Roman"/>
                <w:b/>
                <w:bCs/>
                <w:color w:val="auto"/>
                <w:spacing w:val="-1"/>
                <w:sz w:val="21"/>
                <w:szCs w:val="21"/>
                <w:highlight w:val="none"/>
                <w:lang w:eastAsia="zh-CN"/>
              </w:rPr>
              <w:t>）</w:t>
            </w:r>
            <w:r>
              <w:rPr>
                <w:rFonts w:hint="default" w:ascii="Times New Roman" w:hAnsi="Times New Roman" w:cs="Times New Roman"/>
                <w:b/>
                <w:bCs/>
                <w:color w:val="auto"/>
                <w:spacing w:val="-1"/>
                <w:sz w:val="21"/>
                <w:szCs w:val="21"/>
                <w:highlight w:val="none"/>
                <w:lang w:eastAsia="zh-CN"/>
              </w:rPr>
              <w:t>》禁止准入类事项。</w:t>
            </w:r>
          </w:p>
          <w:tbl>
            <w:tblPr>
              <w:tblStyle w:val="27"/>
              <w:tblW w:w="499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3"/>
              <w:gridCol w:w="1850"/>
              <w:gridCol w:w="861"/>
              <w:gridCol w:w="3131"/>
              <w:gridCol w:w="1267"/>
              <w:gridCol w:w="496"/>
            </w:tblGrid>
            <w:tr w14:paraId="0F2B23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 w:type="pct"/>
                  <w:tcBorders>
                    <w:tl2br w:val="nil"/>
                    <w:tr2bl w:val="nil"/>
                  </w:tcBorders>
                  <w:noWrap w:val="0"/>
                  <w:vAlign w:val="center"/>
                </w:tcPr>
                <w:p w14:paraId="04819BC5">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b/>
                      <w:bCs/>
                      <w:color w:val="auto"/>
                      <w:spacing w:val="-1"/>
                      <w:sz w:val="21"/>
                      <w:szCs w:val="21"/>
                      <w:highlight w:val="none"/>
                      <w:vertAlign w:val="baseline"/>
                      <w:lang w:val="en-US" w:eastAsia="zh-CN"/>
                    </w:rPr>
                  </w:pPr>
                  <w:r>
                    <w:rPr>
                      <w:rFonts w:hint="eastAsia" w:ascii="Times New Roman" w:hAnsi="Times New Roman" w:cs="Times New Roman"/>
                      <w:b/>
                      <w:bCs/>
                      <w:color w:val="auto"/>
                      <w:spacing w:val="-1"/>
                      <w:sz w:val="21"/>
                      <w:szCs w:val="21"/>
                      <w:highlight w:val="none"/>
                      <w:vertAlign w:val="baseline"/>
                      <w:lang w:val="en-US" w:eastAsia="zh-CN"/>
                    </w:rPr>
                    <w:t>项目号</w:t>
                  </w:r>
                </w:p>
              </w:tc>
              <w:tc>
                <w:tcPr>
                  <w:tcW w:w="1150" w:type="pct"/>
                  <w:tcBorders>
                    <w:tl2br w:val="nil"/>
                    <w:tr2bl w:val="nil"/>
                  </w:tcBorders>
                  <w:noWrap w:val="0"/>
                  <w:vAlign w:val="center"/>
                </w:tcPr>
                <w:p w14:paraId="3FA8C5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pacing w:val="-1"/>
                      <w:sz w:val="21"/>
                      <w:szCs w:val="21"/>
                      <w:highlight w:val="none"/>
                      <w:vertAlign w:val="baseline"/>
                      <w:lang w:eastAsia="zh-CN"/>
                    </w:rPr>
                  </w:pPr>
                  <w:r>
                    <w:rPr>
                      <w:rFonts w:hint="default" w:ascii="Times New Roman" w:hAnsi="Times New Roman" w:eastAsia="宋体" w:cs="Times New Roman"/>
                      <w:b/>
                      <w:bCs/>
                      <w:color w:val="auto"/>
                      <w:kern w:val="0"/>
                      <w:sz w:val="21"/>
                      <w:szCs w:val="21"/>
                      <w:highlight w:val="none"/>
                      <w:lang w:val="en-US" w:eastAsia="zh-CN" w:bidi="ar"/>
                    </w:rPr>
                    <w:t>禁止或许可事项</w:t>
                  </w:r>
                </w:p>
              </w:tc>
              <w:tc>
                <w:tcPr>
                  <w:tcW w:w="535" w:type="pct"/>
                  <w:tcBorders>
                    <w:tl2br w:val="nil"/>
                    <w:tr2bl w:val="nil"/>
                  </w:tcBorders>
                  <w:noWrap w:val="0"/>
                  <w:vAlign w:val="center"/>
                </w:tcPr>
                <w:p w14:paraId="6713241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pacing w:val="-1"/>
                      <w:sz w:val="21"/>
                      <w:szCs w:val="21"/>
                      <w:highlight w:val="none"/>
                      <w:vertAlign w:val="baseline"/>
                      <w:lang w:eastAsia="zh-CN"/>
                    </w:rPr>
                  </w:pPr>
                  <w:r>
                    <w:rPr>
                      <w:rFonts w:hint="default" w:ascii="Times New Roman" w:hAnsi="Times New Roman" w:eastAsia="宋体" w:cs="Times New Roman"/>
                      <w:b/>
                      <w:bCs/>
                      <w:color w:val="auto"/>
                      <w:kern w:val="0"/>
                      <w:sz w:val="21"/>
                      <w:szCs w:val="21"/>
                      <w:highlight w:val="none"/>
                      <w:lang w:val="en-US" w:eastAsia="zh-CN" w:bidi="ar"/>
                    </w:rPr>
                    <w:t>事项编码</w:t>
                  </w:r>
                </w:p>
              </w:tc>
              <w:tc>
                <w:tcPr>
                  <w:tcW w:w="1947" w:type="pct"/>
                  <w:tcBorders>
                    <w:tl2br w:val="nil"/>
                    <w:tr2bl w:val="nil"/>
                  </w:tcBorders>
                  <w:noWrap w:val="0"/>
                  <w:vAlign w:val="center"/>
                </w:tcPr>
                <w:p w14:paraId="65C198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pacing w:val="-1"/>
                      <w:sz w:val="21"/>
                      <w:szCs w:val="21"/>
                      <w:highlight w:val="none"/>
                      <w:vertAlign w:val="baseline"/>
                      <w:lang w:eastAsia="zh-CN"/>
                    </w:rPr>
                  </w:pPr>
                  <w:r>
                    <w:rPr>
                      <w:rFonts w:hint="default" w:ascii="Times New Roman" w:hAnsi="Times New Roman" w:eastAsia="宋体" w:cs="Times New Roman"/>
                      <w:b/>
                      <w:bCs/>
                      <w:color w:val="auto"/>
                      <w:kern w:val="0"/>
                      <w:sz w:val="21"/>
                      <w:szCs w:val="21"/>
                      <w:highlight w:val="none"/>
                      <w:lang w:val="en-US" w:eastAsia="zh-CN" w:bidi="ar"/>
                    </w:rPr>
                    <w:t>禁止或许可准入措施描述</w:t>
                  </w:r>
                </w:p>
              </w:tc>
              <w:tc>
                <w:tcPr>
                  <w:tcW w:w="787" w:type="pct"/>
                  <w:tcBorders>
                    <w:tl2br w:val="nil"/>
                    <w:tr2bl w:val="nil"/>
                  </w:tcBorders>
                  <w:noWrap w:val="0"/>
                  <w:vAlign w:val="center"/>
                </w:tcPr>
                <w:p w14:paraId="3FE5C2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项目情况</w:t>
                  </w:r>
                </w:p>
              </w:tc>
              <w:tc>
                <w:tcPr>
                  <w:tcW w:w="308" w:type="pct"/>
                  <w:tcBorders>
                    <w:tl2br w:val="nil"/>
                    <w:tr2bl w:val="nil"/>
                  </w:tcBorders>
                  <w:noWrap w:val="0"/>
                  <w:vAlign w:val="center"/>
                </w:tcPr>
                <w:p w14:paraId="7E2C6E2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bidi="ar"/>
                    </w:rPr>
                  </w:pPr>
                  <w:r>
                    <w:rPr>
                      <w:rFonts w:hint="eastAsia" w:ascii="Times New Roman" w:hAnsi="Times New Roman" w:eastAsia="宋体" w:cs="Times New Roman"/>
                      <w:b/>
                      <w:bCs/>
                      <w:color w:val="auto"/>
                      <w:kern w:val="0"/>
                      <w:sz w:val="21"/>
                      <w:szCs w:val="21"/>
                      <w:highlight w:val="none"/>
                      <w:lang w:val="en-US" w:eastAsia="zh-CN" w:bidi="ar"/>
                    </w:rPr>
                    <w:t>符合性</w:t>
                  </w:r>
                </w:p>
              </w:tc>
            </w:tr>
            <w:tr w14:paraId="5CAF27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 w:type="pct"/>
                  <w:tcBorders>
                    <w:tl2br w:val="nil"/>
                    <w:tr2bl w:val="nil"/>
                  </w:tcBorders>
                  <w:noWrap w:val="0"/>
                  <w:vAlign w:val="center"/>
                </w:tcPr>
                <w:p w14:paraId="3C511768">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pacing w:val="-1"/>
                      <w:sz w:val="21"/>
                      <w:szCs w:val="21"/>
                      <w:highlight w:val="none"/>
                      <w:vertAlign w:val="baseline"/>
                      <w:lang w:val="en-US" w:eastAsia="zh-CN"/>
                    </w:rPr>
                  </w:pPr>
                  <w:r>
                    <w:rPr>
                      <w:rFonts w:hint="eastAsia" w:ascii="Times New Roman" w:hAnsi="Times New Roman" w:cs="Times New Roman"/>
                      <w:b w:val="0"/>
                      <w:bCs w:val="0"/>
                      <w:color w:val="auto"/>
                      <w:spacing w:val="-1"/>
                      <w:sz w:val="21"/>
                      <w:szCs w:val="21"/>
                      <w:highlight w:val="none"/>
                      <w:vertAlign w:val="baseline"/>
                      <w:lang w:val="en-US" w:eastAsia="zh-CN"/>
                    </w:rPr>
                    <w:t>1</w:t>
                  </w:r>
                </w:p>
              </w:tc>
              <w:tc>
                <w:tcPr>
                  <w:tcW w:w="1150" w:type="pct"/>
                  <w:tcBorders>
                    <w:tl2br w:val="nil"/>
                    <w:tr2bl w:val="nil"/>
                  </w:tcBorders>
                  <w:noWrap w:val="0"/>
                  <w:vAlign w:val="center"/>
                </w:tcPr>
                <w:p w14:paraId="12BCDE77">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3"/>
                      <w:sz w:val="21"/>
                      <w:szCs w:val="21"/>
                      <w:highlight w:val="none"/>
                    </w:rPr>
                    <w:t>法律、法规、国务院决定等明确设立且与市场准入相关的禁止性规定</w:t>
                  </w:r>
                </w:p>
              </w:tc>
              <w:tc>
                <w:tcPr>
                  <w:tcW w:w="535" w:type="pct"/>
                  <w:tcBorders>
                    <w:tl2br w:val="nil"/>
                    <w:tr2bl w:val="nil"/>
                  </w:tcBorders>
                  <w:noWrap w:val="0"/>
                  <w:vAlign w:val="center"/>
                </w:tcPr>
                <w:p w14:paraId="14C328B6">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5"/>
                      <w:sz w:val="21"/>
                      <w:szCs w:val="21"/>
                      <w:highlight w:val="none"/>
                    </w:rPr>
                    <w:t>100001</w:t>
                  </w:r>
                </w:p>
              </w:tc>
              <w:tc>
                <w:tcPr>
                  <w:tcW w:w="1947" w:type="pct"/>
                  <w:tcBorders>
                    <w:tl2br w:val="nil"/>
                    <w:tr2bl w:val="nil"/>
                  </w:tcBorders>
                  <w:noWrap w:val="0"/>
                  <w:vAlign w:val="center"/>
                </w:tcPr>
                <w:p w14:paraId="159D419C">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rPr>
                    <w:t>法律、法规、国务院决定等明确设立，且与市场准入相关的禁止性规定</w:t>
                  </w:r>
                </w:p>
              </w:tc>
              <w:tc>
                <w:tcPr>
                  <w:tcW w:w="787" w:type="pct"/>
                  <w:tcBorders>
                    <w:tl2br w:val="nil"/>
                    <w:tr2bl w:val="nil"/>
                  </w:tcBorders>
                  <w:noWrap w:val="0"/>
                  <w:vAlign w:val="center"/>
                </w:tcPr>
                <w:p w14:paraId="4E50E8AE">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本项目不涉及</w:t>
                  </w:r>
                </w:p>
              </w:tc>
              <w:tc>
                <w:tcPr>
                  <w:tcW w:w="308" w:type="pct"/>
                  <w:tcBorders>
                    <w:tl2br w:val="nil"/>
                    <w:tr2bl w:val="nil"/>
                  </w:tcBorders>
                  <w:noWrap w:val="0"/>
                  <w:vAlign w:val="center"/>
                </w:tcPr>
                <w:p w14:paraId="351361F6">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符合</w:t>
                  </w:r>
                </w:p>
              </w:tc>
            </w:tr>
            <w:tr w14:paraId="01966F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 w:type="pct"/>
                  <w:tcBorders>
                    <w:tl2br w:val="nil"/>
                    <w:tr2bl w:val="nil"/>
                  </w:tcBorders>
                  <w:noWrap w:val="0"/>
                  <w:vAlign w:val="center"/>
                </w:tcPr>
                <w:p w14:paraId="495E756F">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pacing w:val="-1"/>
                      <w:sz w:val="21"/>
                      <w:szCs w:val="21"/>
                      <w:highlight w:val="none"/>
                      <w:vertAlign w:val="baseline"/>
                      <w:lang w:val="en-US" w:eastAsia="zh-CN"/>
                    </w:rPr>
                  </w:pPr>
                  <w:r>
                    <w:rPr>
                      <w:rFonts w:hint="eastAsia" w:ascii="Times New Roman" w:hAnsi="Times New Roman" w:cs="Times New Roman"/>
                      <w:b w:val="0"/>
                      <w:bCs w:val="0"/>
                      <w:color w:val="auto"/>
                      <w:spacing w:val="-1"/>
                      <w:sz w:val="21"/>
                      <w:szCs w:val="21"/>
                      <w:highlight w:val="none"/>
                      <w:vertAlign w:val="baseline"/>
                      <w:lang w:val="en-US" w:eastAsia="zh-CN"/>
                    </w:rPr>
                    <w:t>2</w:t>
                  </w:r>
                </w:p>
              </w:tc>
              <w:tc>
                <w:tcPr>
                  <w:tcW w:w="1150" w:type="pct"/>
                  <w:tcBorders>
                    <w:tl2br w:val="nil"/>
                    <w:tr2bl w:val="nil"/>
                  </w:tcBorders>
                  <w:noWrap w:val="0"/>
                  <w:vAlign w:val="center"/>
                </w:tcPr>
                <w:p w14:paraId="4CC6EADB">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3"/>
                      <w:sz w:val="21"/>
                      <w:szCs w:val="21"/>
                      <w:highlight w:val="none"/>
                    </w:rPr>
                    <w:t>国家产业政策明令淘汰和限制的产品、技术、工艺、设备及行为</w:t>
                  </w:r>
                </w:p>
              </w:tc>
              <w:tc>
                <w:tcPr>
                  <w:tcW w:w="535" w:type="pct"/>
                  <w:tcBorders>
                    <w:tl2br w:val="nil"/>
                    <w:tr2bl w:val="nil"/>
                  </w:tcBorders>
                  <w:noWrap w:val="0"/>
                  <w:vAlign w:val="center"/>
                </w:tcPr>
                <w:p w14:paraId="160C5A94">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5"/>
                      <w:sz w:val="21"/>
                      <w:szCs w:val="21"/>
                      <w:highlight w:val="none"/>
                    </w:rPr>
                    <w:t>100002</w:t>
                  </w:r>
                </w:p>
              </w:tc>
              <w:tc>
                <w:tcPr>
                  <w:tcW w:w="1947" w:type="pct"/>
                  <w:tcBorders>
                    <w:tl2br w:val="nil"/>
                    <w:tr2bl w:val="nil"/>
                  </w:tcBorders>
                  <w:noWrap w:val="0"/>
                  <w:vAlign w:val="center"/>
                </w:tcPr>
                <w:p w14:paraId="319C2571">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pacing w:val="2"/>
                      <w:sz w:val="21"/>
                      <w:szCs w:val="21"/>
                      <w:highlight w:val="none"/>
                    </w:rPr>
                  </w:pPr>
                  <w:r>
                    <w:rPr>
                      <w:rFonts w:hint="eastAsia"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产业结构调整指导目录》中的淘汰类项目，禁止投资</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限制类项目，禁止新建。</w:t>
                  </w:r>
                </w:p>
                <w:p w14:paraId="5E9C8353">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rPr>
                    <w:t>禁止投资建设《汽车产业投资管理规定》所列的汽车投资禁止类事项。</w:t>
                  </w:r>
                </w:p>
              </w:tc>
              <w:tc>
                <w:tcPr>
                  <w:tcW w:w="787" w:type="pct"/>
                  <w:tcBorders>
                    <w:tl2br w:val="nil"/>
                    <w:tr2bl w:val="nil"/>
                  </w:tcBorders>
                  <w:noWrap w:val="0"/>
                  <w:vAlign w:val="center"/>
                </w:tcPr>
                <w:p w14:paraId="518DA532">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lang w:val="en-US" w:eastAsia="zh-CN"/>
                    </w:rPr>
                    <w:t>本项目</w:t>
                  </w:r>
                  <w:r>
                    <w:rPr>
                      <w:rFonts w:hint="eastAsia"/>
                      <w:color w:val="auto"/>
                      <w:sz w:val="21"/>
                      <w:szCs w:val="21"/>
                      <w:highlight w:val="none"/>
                      <w:lang w:val="en-US" w:eastAsia="zh-CN"/>
                    </w:rPr>
                    <w:t>不涉及</w:t>
                  </w:r>
                  <w:r>
                    <w:rPr>
                      <w:rFonts w:hint="default" w:ascii="Times New Roman" w:hAnsi="Times New Roman" w:eastAsia="宋体" w:cs="Times New Roman"/>
                      <w:color w:val="auto"/>
                      <w:spacing w:val="-4"/>
                      <w:sz w:val="21"/>
                      <w:szCs w:val="21"/>
                      <w:highlight w:val="none"/>
                    </w:rPr>
                    <w:t>国家产业政策明令淘汰和限</w:t>
                  </w:r>
                  <w:r>
                    <w:rPr>
                      <w:rFonts w:hint="default" w:ascii="Times New Roman" w:hAnsi="Times New Roman" w:eastAsia="宋体" w:cs="Times New Roman"/>
                      <w:color w:val="auto"/>
                      <w:spacing w:val="-2"/>
                      <w:sz w:val="21"/>
                      <w:szCs w:val="21"/>
                      <w:highlight w:val="none"/>
                    </w:rPr>
                    <w:t>制的产品、技术、工艺、设</w:t>
                  </w:r>
                  <w:r>
                    <w:rPr>
                      <w:rFonts w:hint="default" w:ascii="Times New Roman" w:hAnsi="Times New Roman" w:eastAsia="宋体" w:cs="Times New Roman"/>
                      <w:color w:val="auto"/>
                      <w:spacing w:val="-4"/>
                      <w:sz w:val="21"/>
                      <w:szCs w:val="21"/>
                      <w:highlight w:val="none"/>
                    </w:rPr>
                    <w:t>备</w:t>
                  </w:r>
                  <w:r>
                    <w:rPr>
                      <w:rFonts w:hint="eastAsia" w:ascii="Times New Roman" w:hAnsi="Times New Roman" w:eastAsia="宋体" w:cs="Times New Roman"/>
                      <w:color w:val="auto"/>
                      <w:spacing w:val="-4"/>
                      <w:sz w:val="21"/>
                      <w:szCs w:val="21"/>
                      <w:highlight w:val="none"/>
                      <w:lang w:val="en-US" w:eastAsia="zh-CN"/>
                    </w:rPr>
                    <w:t>及行为</w:t>
                  </w:r>
                </w:p>
              </w:tc>
              <w:tc>
                <w:tcPr>
                  <w:tcW w:w="308" w:type="pct"/>
                  <w:tcBorders>
                    <w:tl2br w:val="nil"/>
                    <w:tr2bl w:val="nil"/>
                  </w:tcBorders>
                  <w:noWrap w:val="0"/>
                  <w:vAlign w:val="center"/>
                </w:tcPr>
                <w:p w14:paraId="4139E037">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2"/>
                      <w:sz w:val="21"/>
                      <w:szCs w:val="21"/>
                      <w:highlight w:val="none"/>
                    </w:rPr>
                  </w:pPr>
                  <w:r>
                    <w:rPr>
                      <w:rFonts w:hint="eastAsia" w:ascii="Times New Roman" w:hAnsi="Times New Roman" w:eastAsia="宋体" w:cs="Times New Roman"/>
                      <w:color w:val="auto"/>
                      <w:spacing w:val="2"/>
                      <w:sz w:val="21"/>
                      <w:szCs w:val="21"/>
                      <w:highlight w:val="none"/>
                      <w:lang w:val="en-US" w:eastAsia="zh-CN"/>
                    </w:rPr>
                    <w:t>符合</w:t>
                  </w:r>
                </w:p>
              </w:tc>
            </w:tr>
            <w:tr w14:paraId="50A9CA0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69" w:type="pct"/>
                  <w:tcBorders>
                    <w:tl2br w:val="nil"/>
                    <w:tr2bl w:val="nil"/>
                  </w:tcBorders>
                  <w:noWrap w:val="0"/>
                  <w:vAlign w:val="center"/>
                </w:tcPr>
                <w:p w14:paraId="209FE205">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pacing w:val="-1"/>
                      <w:sz w:val="21"/>
                      <w:szCs w:val="21"/>
                      <w:highlight w:val="none"/>
                      <w:vertAlign w:val="baseline"/>
                      <w:lang w:val="en-US" w:eastAsia="zh-CN"/>
                    </w:rPr>
                  </w:pPr>
                  <w:r>
                    <w:rPr>
                      <w:rFonts w:hint="eastAsia" w:ascii="Times New Roman" w:hAnsi="Times New Roman" w:cs="Times New Roman"/>
                      <w:b w:val="0"/>
                      <w:bCs w:val="0"/>
                      <w:color w:val="auto"/>
                      <w:spacing w:val="-1"/>
                      <w:sz w:val="21"/>
                      <w:szCs w:val="21"/>
                      <w:highlight w:val="none"/>
                      <w:vertAlign w:val="baseline"/>
                      <w:lang w:val="en-US" w:eastAsia="zh-CN"/>
                    </w:rPr>
                    <w:t>3</w:t>
                  </w:r>
                </w:p>
              </w:tc>
              <w:tc>
                <w:tcPr>
                  <w:tcW w:w="1150" w:type="pct"/>
                  <w:tcBorders>
                    <w:tl2br w:val="nil"/>
                    <w:tr2bl w:val="nil"/>
                  </w:tcBorders>
                  <w:noWrap w:val="0"/>
                  <w:vAlign w:val="center"/>
                </w:tcPr>
                <w:p w14:paraId="69426FD0">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3"/>
                      <w:sz w:val="21"/>
                      <w:szCs w:val="21"/>
                      <w:highlight w:val="none"/>
                    </w:rPr>
                    <w:t>不符合主体功能区建设要求的各类开发活动</w:t>
                  </w:r>
                </w:p>
              </w:tc>
              <w:tc>
                <w:tcPr>
                  <w:tcW w:w="535" w:type="pct"/>
                  <w:tcBorders>
                    <w:tl2br w:val="nil"/>
                    <w:tr2bl w:val="nil"/>
                  </w:tcBorders>
                  <w:noWrap w:val="0"/>
                  <w:vAlign w:val="center"/>
                </w:tcPr>
                <w:p w14:paraId="7DB4807C">
                  <w:pPr>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5"/>
                      <w:sz w:val="21"/>
                      <w:szCs w:val="21"/>
                      <w:highlight w:val="none"/>
                    </w:rPr>
                    <w:t>100003</w:t>
                  </w:r>
                </w:p>
              </w:tc>
              <w:tc>
                <w:tcPr>
                  <w:tcW w:w="1947" w:type="pct"/>
                  <w:tcBorders>
                    <w:tl2br w:val="nil"/>
                    <w:tr2bl w:val="nil"/>
                  </w:tcBorders>
                  <w:noWrap w:val="0"/>
                  <w:vAlign w:val="center"/>
                </w:tcPr>
                <w:p w14:paraId="3A5BBB22">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pacing w:val="2"/>
                      <w:sz w:val="21"/>
                      <w:szCs w:val="21"/>
                      <w:highlight w:val="none"/>
                    </w:rPr>
                    <w:t>地方国家重点生态功能区产业准入负面清单</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或禁止限制目录</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、农产品主产区产业准入负面清单</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或禁止限制目录</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所列有关事项。</w:t>
                  </w:r>
                </w:p>
              </w:tc>
              <w:tc>
                <w:tcPr>
                  <w:tcW w:w="787" w:type="pct"/>
                  <w:tcBorders>
                    <w:tl2br w:val="nil"/>
                    <w:tr2bl w:val="nil"/>
                  </w:tcBorders>
                  <w:noWrap w:val="0"/>
                  <w:vAlign w:val="center"/>
                </w:tcPr>
                <w:p w14:paraId="6DAB60F3">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pacing w:val="4"/>
                      <w:sz w:val="21"/>
                      <w:szCs w:val="21"/>
                      <w:highlight w:val="none"/>
                      <w:lang w:val="en-US" w:eastAsia="zh-CN"/>
                    </w:rPr>
                  </w:pPr>
                  <w:r>
                    <w:rPr>
                      <w:rFonts w:hint="eastAsia" w:ascii="Times New Roman" w:hAnsi="Times New Roman" w:eastAsia="宋体" w:cs="Times New Roman"/>
                      <w:color w:val="auto"/>
                      <w:spacing w:val="4"/>
                      <w:sz w:val="21"/>
                      <w:szCs w:val="21"/>
                      <w:highlight w:val="none"/>
                      <w:lang w:val="en-US" w:eastAsia="zh-CN"/>
                    </w:rPr>
                    <w:t>本项目符合主体功能区建设要求</w:t>
                  </w:r>
                </w:p>
              </w:tc>
              <w:tc>
                <w:tcPr>
                  <w:tcW w:w="308" w:type="pct"/>
                  <w:tcBorders>
                    <w:tl2br w:val="nil"/>
                    <w:tr2bl w:val="nil"/>
                  </w:tcBorders>
                  <w:noWrap w:val="0"/>
                  <w:vAlign w:val="center"/>
                </w:tcPr>
                <w:p w14:paraId="4E4C6F3D">
                  <w:pPr>
                    <w:pStyle w:val="73"/>
                    <w:keepNext w:val="0"/>
                    <w:keepLines w:val="0"/>
                    <w:pageBreakBefore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spacing w:val="4"/>
                      <w:sz w:val="21"/>
                      <w:szCs w:val="21"/>
                      <w:highlight w:val="none"/>
                    </w:rPr>
                  </w:pPr>
                  <w:r>
                    <w:rPr>
                      <w:rFonts w:hint="eastAsia" w:ascii="Times New Roman" w:hAnsi="Times New Roman" w:eastAsia="宋体" w:cs="Times New Roman"/>
                      <w:color w:val="auto"/>
                      <w:spacing w:val="2"/>
                      <w:sz w:val="21"/>
                      <w:szCs w:val="21"/>
                      <w:highlight w:val="none"/>
                      <w:lang w:val="en-US" w:eastAsia="zh-CN"/>
                    </w:rPr>
                    <w:t>符合</w:t>
                  </w:r>
                </w:p>
              </w:tc>
            </w:tr>
          </w:tbl>
          <w:p w14:paraId="13E7D44C">
            <w:pPr>
              <w:pStyle w:val="73"/>
              <w:keepNext w:val="0"/>
              <w:keepLines w:val="0"/>
              <w:suppressLineNumbers w:val="0"/>
              <w:spacing w:before="0" w:beforeAutospacing="0" w:after="0" w:afterAutospacing="0" w:line="360" w:lineRule="auto"/>
              <w:ind w:left="0" w:right="0" w:firstLine="476" w:firstLineChars="200"/>
              <w:rPr>
                <w:rFonts w:hint="default"/>
                <w:color w:val="auto"/>
                <w:highlight w:val="none"/>
                <w:lang w:val="en-US" w:eastAsia="zh-CN"/>
              </w:rPr>
            </w:pPr>
            <w:r>
              <w:rPr>
                <w:rFonts w:hint="eastAsia" w:ascii="Times New Roman" w:hAnsi="Times New Roman" w:cs="Times New Roman"/>
                <w:color w:val="auto"/>
                <w:spacing w:val="-1"/>
                <w:sz w:val="24"/>
                <w:szCs w:val="24"/>
                <w:highlight w:val="none"/>
                <w:lang w:val="en-US" w:eastAsia="zh-CN"/>
              </w:rPr>
              <w:t>经对照</w:t>
            </w:r>
            <w:r>
              <w:rPr>
                <w:rFonts w:hint="eastAsia" w:ascii="Times New Roman" w:hAnsi="Times New Roman" w:cs="Times New Roman"/>
                <w:color w:val="auto"/>
                <w:spacing w:val="-1"/>
                <w:sz w:val="24"/>
                <w:szCs w:val="24"/>
                <w:highlight w:val="none"/>
                <w:lang w:eastAsia="zh-CN"/>
              </w:rPr>
              <w:t>《市场准入负面清单（20</w:t>
            </w:r>
            <w:r>
              <w:rPr>
                <w:rFonts w:hint="eastAsia" w:ascii="Times New Roman" w:hAnsi="Times New Roman" w:cs="Times New Roman"/>
                <w:color w:val="auto"/>
                <w:spacing w:val="-1"/>
                <w:sz w:val="24"/>
                <w:szCs w:val="24"/>
                <w:highlight w:val="none"/>
                <w:lang w:val="en-US" w:eastAsia="zh-CN"/>
              </w:rPr>
              <w:t>25</w:t>
            </w:r>
            <w:r>
              <w:rPr>
                <w:rFonts w:hint="eastAsia" w:ascii="Times New Roman" w:hAnsi="Times New Roman" w:cs="Times New Roman"/>
                <w:color w:val="auto"/>
                <w:spacing w:val="-1"/>
                <w:sz w:val="24"/>
                <w:szCs w:val="24"/>
                <w:highlight w:val="none"/>
                <w:lang w:eastAsia="zh-CN"/>
              </w:rPr>
              <w:t>年版）》，</w:t>
            </w:r>
            <w:r>
              <w:rPr>
                <w:rFonts w:hint="eastAsia" w:ascii="Times New Roman" w:hAnsi="Times New Roman" w:cs="Times New Roman"/>
                <w:color w:val="auto"/>
                <w:spacing w:val="-1"/>
                <w:sz w:val="24"/>
                <w:szCs w:val="24"/>
                <w:highlight w:val="none"/>
                <w:lang w:val="en-US" w:eastAsia="zh-CN"/>
              </w:rPr>
              <w:t>本项目不属于禁止准入类项目。</w:t>
            </w:r>
          </w:p>
          <w:p w14:paraId="20519EA5">
            <w:pPr>
              <w:pStyle w:val="73"/>
              <w:keepNext w:val="0"/>
              <w:keepLines w:val="0"/>
              <w:suppressLineNumbers w:val="0"/>
              <w:spacing w:before="0" w:beforeAutospacing="0" w:after="0" w:afterAutospacing="0" w:line="360" w:lineRule="auto"/>
              <w:ind w:left="0" w:right="0" w:firstLine="478" w:firstLineChars="200"/>
              <w:rPr>
                <w:rFonts w:hint="eastAsia"/>
                <w:b/>
                <w:bCs/>
                <w:color w:val="auto"/>
                <w:spacing w:val="-1"/>
                <w:sz w:val="24"/>
                <w:szCs w:val="24"/>
                <w:highlight w:val="none"/>
                <w:lang w:eastAsia="zh-CN"/>
              </w:rPr>
            </w:pPr>
            <w:r>
              <w:rPr>
                <w:rFonts w:hint="default" w:ascii="Times New Roman" w:hAnsi="Times New Roman" w:cs="Times New Roman"/>
                <w:b/>
                <w:bCs/>
                <w:color w:val="auto"/>
                <w:spacing w:val="-1"/>
                <w:sz w:val="24"/>
                <w:szCs w:val="24"/>
                <w:highlight w:val="none"/>
                <w:lang w:val="en-US" w:eastAsia="zh-CN"/>
              </w:rPr>
              <w:t>2</w:t>
            </w:r>
            <w:r>
              <w:rPr>
                <w:rFonts w:hint="eastAsia"/>
                <w:b/>
                <w:bCs/>
                <w:color w:val="auto"/>
                <w:spacing w:val="-1"/>
                <w:sz w:val="24"/>
                <w:szCs w:val="24"/>
                <w:highlight w:val="none"/>
                <w:lang w:eastAsia="zh-CN"/>
              </w:rPr>
              <w:t>、产业政策符合性分析</w:t>
            </w:r>
          </w:p>
          <w:p w14:paraId="784EF141">
            <w:pPr>
              <w:pStyle w:val="73"/>
              <w:keepNext w:val="0"/>
              <w:keepLines w:val="0"/>
              <w:suppressLineNumbers w:val="0"/>
              <w:spacing w:before="0" w:beforeAutospacing="0" w:after="0" w:afterAutospacing="0" w:line="360" w:lineRule="auto"/>
              <w:ind w:left="0" w:right="0" w:firstLine="484" w:firstLineChars="200"/>
              <w:rPr>
                <w:rFonts w:hint="default" w:ascii="Times New Roman" w:hAnsi="Times New Roman" w:eastAsia="宋体" w:cs="宋体"/>
                <w:color w:val="auto"/>
                <w:spacing w:val="1"/>
                <w:sz w:val="24"/>
                <w:szCs w:val="24"/>
                <w:highlight w:val="none"/>
                <w:lang w:val="en-US" w:eastAsia="zh-CN"/>
              </w:rPr>
            </w:pPr>
            <w:r>
              <w:rPr>
                <w:rFonts w:hint="default" w:ascii="Times New Roman" w:hAnsi="Times New Roman" w:eastAsia="宋体" w:cs="宋体"/>
                <w:color w:val="auto"/>
                <w:spacing w:val="1"/>
                <w:sz w:val="24"/>
                <w:szCs w:val="24"/>
                <w:highlight w:val="none"/>
                <w:lang w:val="en-US" w:eastAsia="zh-CN"/>
              </w:rPr>
              <w:t>本项目属于“C4210金属废料和碎屑加工处理”，对报废农机、报废汽车进行拆解，经查阅《产业结构调整指导目录（2024年本）》，本项目属于鼓励类中“四十二、环境保护与资源节约综合利用-8．废弃物循环利用：废钢铁、废有色金属、废纸、废橡胶、废玻璃、废塑料、废旧木材以及报废汽车、废弃电器电子产品、废旧船舶、废旧电池、废轮胎、废弃木质材料、废旧农具、废旧纺织品及纺织废料和边角料、废旧光伏组件、废旧风机叶片、废弃油脂等城市典型废弃物循环利用、技术设备开发及应用”，因此，本项目属于鼓励类。</w:t>
            </w:r>
          </w:p>
          <w:p w14:paraId="1300E742">
            <w:pPr>
              <w:pStyle w:val="73"/>
              <w:keepNext w:val="0"/>
              <w:keepLines w:val="0"/>
              <w:suppressLineNumbers w:val="0"/>
              <w:spacing w:before="0" w:beforeAutospacing="0" w:after="0" w:afterAutospacing="0" w:line="360" w:lineRule="auto"/>
              <w:ind w:left="0" w:right="0" w:firstLine="484" w:firstLineChars="200"/>
              <w:rPr>
                <w:rFonts w:hint="default" w:ascii="Times New Roman" w:hAnsi="Times New Roman" w:eastAsia="宋体" w:cs="宋体"/>
                <w:color w:val="auto"/>
                <w:spacing w:val="1"/>
                <w:sz w:val="24"/>
                <w:szCs w:val="24"/>
                <w:highlight w:val="none"/>
                <w:lang w:val="en-US" w:eastAsia="zh-CN"/>
              </w:rPr>
            </w:pPr>
            <w:r>
              <w:rPr>
                <w:rFonts w:hint="default" w:ascii="Times New Roman" w:hAnsi="Times New Roman" w:eastAsia="宋体" w:cs="宋体"/>
                <w:color w:val="auto"/>
                <w:spacing w:val="1"/>
                <w:sz w:val="24"/>
                <w:szCs w:val="24"/>
                <w:highlight w:val="none"/>
                <w:lang w:val="en-US" w:eastAsia="zh-CN"/>
              </w:rPr>
              <w:t>经对照，项目符合《报废机动车拆解企业污染控制技术规范》（HJ348-2022）、《报废机动车回收拆解企业技术规范》（GB22128-2019）等技术规范相关要求。综上，本项目建设内容符合国家产业政策和地方的产业规划要求。</w:t>
            </w:r>
          </w:p>
          <w:p w14:paraId="67E0BC48">
            <w:pPr>
              <w:pStyle w:val="73"/>
              <w:keepNext w:val="0"/>
              <w:keepLines w:val="0"/>
              <w:suppressLineNumbers w:val="0"/>
              <w:spacing w:before="0" w:beforeAutospacing="0" w:after="0" w:afterAutospacing="0" w:line="360" w:lineRule="auto"/>
              <w:ind w:left="0" w:right="0" w:firstLine="484" w:firstLineChars="200"/>
              <w:rPr>
                <w:rFonts w:hint="default" w:ascii="Times New Roman" w:hAnsi="Times New Roman" w:eastAsia="宋体" w:cs="宋体"/>
                <w:color w:val="auto"/>
                <w:spacing w:val="1"/>
                <w:sz w:val="24"/>
                <w:szCs w:val="24"/>
                <w:highlight w:val="none"/>
                <w:lang w:val="en-US" w:eastAsia="zh-CN"/>
              </w:rPr>
            </w:pPr>
            <w:r>
              <w:rPr>
                <w:rFonts w:hint="default" w:ascii="Times New Roman" w:hAnsi="Times New Roman" w:eastAsia="宋体" w:cs="宋体"/>
                <w:color w:val="auto"/>
                <w:spacing w:val="1"/>
                <w:sz w:val="24"/>
                <w:szCs w:val="24"/>
                <w:highlight w:val="none"/>
                <w:lang w:val="en-US" w:eastAsia="zh-CN"/>
              </w:rPr>
              <w:t>本项目已于</w:t>
            </w:r>
            <w:r>
              <w:rPr>
                <w:rFonts w:hint="eastAsia" w:ascii="Times New Roman" w:hAnsi="Times New Roman" w:eastAsia="宋体" w:cs="宋体"/>
                <w:color w:val="auto"/>
                <w:spacing w:val="1"/>
                <w:sz w:val="24"/>
                <w:szCs w:val="24"/>
                <w:highlight w:val="none"/>
                <w:lang w:val="en-US" w:eastAsia="zh-CN"/>
              </w:rPr>
              <w:t>2026</w:t>
            </w:r>
            <w:r>
              <w:rPr>
                <w:rFonts w:hint="default" w:ascii="Times New Roman" w:hAnsi="Times New Roman" w:eastAsia="宋体" w:cs="宋体"/>
                <w:color w:val="auto"/>
                <w:spacing w:val="1"/>
                <w:sz w:val="24"/>
                <w:szCs w:val="24"/>
                <w:highlight w:val="none"/>
                <w:lang w:val="en-US" w:eastAsia="zh-CN"/>
              </w:rPr>
              <w:t>年</w:t>
            </w:r>
            <w:r>
              <w:rPr>
                <w:rFonts w:hint="eastAsia" w:ascii="Times New Roman" w:hAnsi="Times New Roman" w:eastAsia="宋体" w:cs="宋体"/>
                <w:color w:val="auto"/>
                <w:spacing w:val="1"/>
                <w:sz w:val="24"/>
                <w:szCs w:val="24"/>
                <w:highlight w:val="none"/>
                <w:lang w:val="en-US" w:eastAsia="zh-CN"/>
              </w:rPr>
              <w:t>2</w:t>
            </w:r>
            <w:r>
              <w:rPr>
                <w:rFonts w:hint="default" w:ascii="Times New Roman" w:hAnsi="Times New Roman" w:eastAsia="宋体" w:cs="宋体"/>
                <w:color w:val="auto"/>
                <w:spacing w:val="1"/>
                <w:sz w:val="24"/>
                <w:szCs w:val="24"/>
                <w:highlight w:val="none"/>
                <w:lang w:val="en-US" w:eastAsia="zh-CN"/>
              </w:rPr>
              <w:t>月</w:t>
            </w:r>
            <w:r>
              <w:rPr>
                <w:rFonts w:hint="eastAsia" w:ascii="Times New Roman" w:hAnsi="Times New Roman" w:eastAsia="宋体" w:cs="宋体"/>
                <w:color w:val="auto"/>
                <w:spacing w:val="1"/>
                <w:sz w:val="24"/>
                <w:szCs w:val="24"/>
                <w:highlight w:val="none"/>
                <w:lang w:val="en-US" w:eastAsia="zh-CN"/>
              </w:rPr>
              <w:t>12</w:t>
            </w:r>
            <w:r>
              <w:rPr>
                <w:rFonts w:hint="default" w:ascii="Times New Roman" w:hAnsi="Times New Roman" w:eastAsia="宋体" w:cs="宋体"/>
                <w:color w:val="auto"/>
                <w:spacing w:val="1"/>
                <w:sz w:val="24"/>
                <w:szCs w:val="24"/>
                <w:highlight w:val="none"/>
                <w:lang w:val="en-US" w:eastAsia="zh-CN"/>
              </w:rPr>
              <w:t>日取得阜新高新技术产业开发区发展和改革局《关于&lt;</w:t>
            </w:r>
            <w:r>
              <w:rPr>
                <w:rFonts w:hint="eastAsia" w:ascii="Times New Roman" w:hAnsi="Times New Roman" w:eastAsia="宋体" w:cs="宋体"/>
                <w:color w:val="auto"/>
                <w:spacing w:val="1"/>
                <w:sz w:val="24"/>
                <w:szCs w:val="24"/>
                <w:highlight w:val="none"/>
                <w:lang w:val="en-US" w:eastAsia="zh-CN"/>
              </w:rPr>
              <w:t>广通智联报废车辆拆解及年产15万吨破碎料新建项目</w:t>
            </w:r>
            <w:r>
              <w:rPr>
                <w:rFonts w:hint="default" w:ascii="Times New Roman" w:hAnsi="Times New Roman" w:eastAsia="宋体" w:cs="宋体"/>
                <w:color w:val="auto"/>
                <w:spacing w:val="1"/>
                <w:sz w:val="24"/>
                <w:szCs w:val="24"/>
                <w:highlight w:val="none"/>
                <w:lang w:val="en-US" w:eastAsia="zh-CN"/>
              </w:rPr>
              <w:t>&gt;项目备案证明》，阜高新发改备〔</w:t>
            </w:r>
            <w:r>
              <w:rPr>
                <w:rFonts w:hint="eastAsia" w:ascii="Times New Roman" w:hAnsi="Times New Roman" w:eastAsia="宋体" w:cs="宋体"/>
                <w:color w:val="auto"/>
                <w:spacing w:val="1"/>
                <w:sz w:val="24"/>
                <w:szCs w:val="24"/>
                <w:highlight w:val="none"/>
                <w:lang w:val="en-US" w:eastAsia="zh-CN"/>
              </w:rPr>
              <w:t>2026</w:t>
            </w:r>
            <w:r>
              <w:rPr>
                <w:rFonts w:hint="default" w:ascii="Times New Roman" w:hAnsi="Times New Roman" w:eastAsia="宋体" w:cs="宋体"/>
                <w:color w:val="auto"/>
                <w:spacing w:val="1"/>
                <w:sz w:val="24"/>
                <w:szCs w:val="24"/>
                <w:highlight w:val="none"/>
                <w:lang w:val="en-US" w:eastAsia="zh-CN"/>
              </w:rPr>
              <w:t>〕</w:t>
            </w:r>
            <w:r>
              <w:rPr>
                <w:rFonts w:hint="eastAsia" w:ascii="Times New Roman" w:hAnsi="Times New Roman" w:eastAsia="宋体" w:cs="宋体"/>
                <w:color w:val="auto"/>
                <w:spacing w:val="1"/>
                <w:sz w:val="24"/>
                <w:szCs w:val="24"/>
                <w:highlight w:val="none"/>
                <w:lang w:val="en-US" w:eastAsia="zh-CN"/>
              </w:rPr>
              <w:t>16</w:t>
            </w:r>
            <w:r>
              <w:rPr>
                <w:rFonts w:hint="default" w:ascii="Times New Roman" w:hAnsi="Times New Roman" w:eastAsia="宋体" w:cs="宋体"/>
                <w:color w:val="auto"/>
                <w:spacing w:val="1"/>
                <w:sz w:val="24"/>
                <w:szCs w:val="24"/>
                <w:highlight w:val="none"/>
                <w:lang w:val="en-US" w:eastAsia="zh-CN"/>
              </w:rPr>
              <w:t>号，项目代码为2602-210998-04-05-339203。</w:t>
            </w:r>
          </w:p>
          <w:p w14:paraId="7F15E75F">
            <w:pPr>
              <w:pStyle w:val="7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360" w:lineRule="auto"/>
              <w:ind w:left="0" w:right="0"/>
              <w:jc w:val="left"/>
              <w:textAlignment w:val="auto"/>
              <w:rPr>
                <w:rFonts w:hint="default" w:ascii="Times New Roman" w:hAnsi="Times New Roman" w:cs="Times New Roman"/>
                <w:color w:val="auto"/>
                <w:highlight w:val="none"/>
                <w:lang w:eastAsia="zh-CN"/>
              </w:rPr>
            </w:pPr>
            <w:r>
              <w:rPr>
                <w:rFonts w:hint="default"/>
                <w:color w:val="auto"/>
                <w:spacing w:val="-1"/>
                <w:highlight w:val="none"/>
              </w:rPr>
              <w:t>综上所述，本项目符合国家产业政策。</w:t>
            </w:r>
          </w:p>
          <w:p w14:paraId="058342E9">
            <w:pPr>
              <w:pStyle w:val="73"/>
              <w:keepNext w:val="0"/>
              <w:keepLines w:val="0"/>
              <w:suppressLineNumbers w:val="0"/>
              <w:spacing w:before="0" w:beforeAutospacing="0" w:after="0" w:afterAutospacing="0" w:line="360" w:lineRule="auto"/>
              <w:ind w:left="0" w:right="0" w:firstLine="478" w:firstLineChars="200"/>
              <w:rPr>
                <w:rFonts w:hint="eastAsia"/>
                <w:b/>
                <w:bCs/>
                <w:color w:val="auto"/>
                <w:spacing w:val="-1"/>
                <w:sz w:val="24"/>
                <w:szCs w:val="24"/>
                <w:highlight w:val="none"/>
                <w:lang w:eastAsia="zh-CN"/>
              </w:rPr>
            </w:pPr>
            <w:r>
              <w:rPr>
                <w:rFonts w:hint="default" w:ascii="Times New Roman" w:hAnsi="Times New Roman" w:cs="Times New Roman"/>
                <w:b/>
                <w:bCs/>
                <w:color w:val="auto"/>
                <w:spacing w:val="-1"/>
                <w:sz w:val="24"/>
                <w:szCs w:val="24"/>
                <w:highlight w:val="none"/>
                <w:lang w:val="en-US" w:eastAsia="zh-CN"/>
              </w:rPr>
              <w:t>3</w:t>
            </w:r>
            <w:r>
              <w:rPr>
                <w:rFonts w:hint="eastAsia"/>
                <w:b/>
                <w:bCs/>
                <w:color w:val="auto"/>
                <w:spacing w:val="-1"/>
                <w:sz w:val="24"/>
                <w:szCs w:val="24"/>
                <w:highlight w:val="none"/>
                <w:lang w:val="en-US" w:eastAsia="zh-CN"/>
              </w:rPr>
              <w:t>、</w:t>
            </w:r>
            <w:r>
              <w:rPr>
                <w:rFonts w:hint="eastAsia"/>
                <w:b/>
                <w:bCs/>
                <w:color w:val="auto"/>
                <w:spacing w:val="-1"/>
                <w:sz w:val="24"/>
                <w:szCs w:val="24"/>
                <w:highlight w:val="none"/>
                <w:lang w:eastAsia="zh-CN"/>
              </w:rPr>
              <w:t>选址符合性分析</w:t>
            </w:r>
          </w:p>
          <w:p w14:paraId="6F09A6BA">
            <w:pPr>
              <w:pStyle w:val="73"/>
              <w:keepNext w:val="0"/>
              <w:keepLines w:val="0"/>
              <w:suppressLineNumbers w:val="0"/>
              <w:spacing w:before="0" w:beforeAutospacing="0" w:after="0" w:afterAutospacing="0" w:line="360" w:lineRule="auto"/>
              <w:ind w:left="0" w:right="0" w:firstLine="484" w:firstLineChars="200"/>
              <w:rPr>
                <w:rFonts w:hint="default" w:ascii="Times New Roman" w:hAnsi="Times New Roman" w:eastAsia="宋体" w:cs="宋体"/>
                <w:color w:val="auto"/>
                <w:spacing w:val="1"/>
                <w:sz w:val="24"/>
                <w:szCs w:val="24"/>
                <w:highlight w:val="none"/>
                <w:lang w:val="en-US" w:eastAsia="zh-CN"/>
              </w:rPr>
            </w:pPr>
            <w:r>
              <w:rPr>
                <w:rFonts w:hint="eastAsia" w:ascii="Times New Roman" w:hAnsi="Times New Roman" w:eastAsia="宋体" w:cs="宋体"/>
                <w:color w:val="auto"/>
                <w:spacing w:val="1"/>
                <w:sz w:val="24"/>
                <w:szCs w:val="24"/>
                <w:highlight w:val="none"/>
                <w:lang w:val="en-US" w:eastAsia="zh-CN"/>
              </w:rPr>
              <w:t>广通智联报废车辆拆解及年产15万吨破碎料新建项目</w:t>
            </w:r>
            <w:r>
              <w:rPr>
                <w:rFonts w:hint="default" w:ascii="Times New Roman" w:hAnsi="Times New Roman" w:eastAsia="宋体" w:cs="宋体"/>
                <w:color w:val="auto"/>
                <w:spacing w:val="1"/>
                <w:sz w:val="24"/>
                <w:szCs w:val="24"/>
                <w:highlight w:val="none"/>
                <w:lang w:val="en-US" w:eastAsia="zh-CN"/>
              </w:rPr>
              <w:t>为新建项目，</w:t>
            </w:r>
            <w:r>
              <w:rPr>
                <w:rFonts w:hint="eastAsia" w:ascii="Times New Roman" w:hAnsi="Times New Roman" w:eastAsia="宋体" w:cs="宋体"/>
                <w:color w:val="auto"/>
                <w:spacing w:val="1"/>
                <w:sz w:val="24"/>
                <w:szCs w:val="24"/>
                <w:highlight w:val="none"/>
                <w:lang w:val="en-US" w:eastAsia="zh-CN"/>
              </w:rPr>
              <w:t>项目</w:t>
            </w:r>
            <w:r>
              <w:rPr>
                <w:rFonts w:hint="default" w:ascii="Times New Roman" w:hAnsi="Times New Roman" w:eastAsia="宋体" w:cs="宋体"/>
                <w:color w:val="auto"/>
                <w:spacing w:val="1"/>
                <w:sz w:val="24"/>
                <w:szCs w:val="24"/>
                <w:highlight w:val="none"/>
                <w:lang w:val="en-US" w:eastAsia="zh-CN"/>
              </w:rPr>
              <w:t>位于辽宁省阜新市高新技术产业开发区</w:t>
            </w:r>
            <w:r>
              <w:rPr>
                <w:rFonts w:hint="eastAsia" w:ascii="Times New Roman" w:hAnsi="Times New Roman" w:eastAsia="宋体" w:cs="宋体"/>
                <w:color w:val="auto"/>
                <w:spacing w:val="1"/>
                <w:sz w:val="24"/>
                <w:szCs w:val="24"/>
                <w:highlight w:val="none"/>
                <w:lang w:val="en-US" w:eastAsia="zh-CN"/>
              </w:rPr>
              <w:t>华通路16号</w:t>
            </w:r>
            <w:r>
              <w:rPr>
                <w:rFonts w:hint="default" w:ascii="Times New Roman" w:hAnsi="Times New Roman" w:eastAsia="宋体" w:cs="宋体"/>
                <w:color w:val="auto"/>
                <w:spacing w:val="1"/>
                <w:sz w:val="24"/>
                <w:szCs w:val="24"/>
                <w:highlight w:val="none"/>
                <w:lang w:val="en-US" w:eastAsia="zh-CN"/>
              </w:rPr>
              <w:t>，地理坐标：</w:t>
            </w:r>
            <w:r>
              <w:rPr>
                <w:rFonts w:hint="eastAsia" w:ascii="Times New Roman" w:hAnsi="Times New Roman" w:eastAsia="宋体" w:cs="宋体"/>
                <w:color w:val="auto"/>
                <w:spacing w:val="1"/>
                <w:sz w:val="24"/>
                <w:szCs w:val="24"/>
                <w:highlight w:val="none"/>
                <w:lang w:val="en-US" w:eastAsia="zh-CN"/>
              </w:rPr>
              <w:t>东经121</w:t>
            </w:r>
            <w:r>
              <w:rPr>
                <w:rFonts w:hint="default" w:ascii="Times New Roman" w:hAnsi="Times New Roman" w:eastAsia="宋体" w:cs="宋体"/>
                <w:color w:val="auto"/>
                <w:spacing w:val="1"/>
                <w:sz w:val="24"/>
                <w:szCs w:val="24"/>
                <w:highlight w:val="none"/>
                <w:lang w:val="en-US" w:eastAsia="zh-CN"/>
              </w:rPr>
              <w:t>度</w:t>
            </w:r>
            <w:r>
              <w:rPr>
                <w:rFonts w:hint="eastAsia" w:ascii="Times New Roman" w:hAnsi="Times New Roman" w:eastAsia="宋体" w:cs="宋体"/>
                <w:color w:val="auto"/>
                <w:spacing w:val="1"/>
                <w:sz w:val="24"/>
                <w:szCs w:val="24"/>
                <w:highlight w:val="none"/>
                <w:lang w:val="en-US" w:eastAsia="zh-CN"/>
              </w:rPr>
              <w:t>35</w:t>
            </w:r>
            <w:r>
              <w:rPr>
                <w:rFonts w:hint="default" w:ascii="Times New Roman" w:hAnsi="Times New Roman" w:eastAsia="宋体" w:cs="宋体"/>
                <w:color w:val="auto"/>
                <w:spacing w:val="1"/>
                <w:sz w:val="24"/>
                <w:szCs w:val="24"/>
                <w:highlight w:val="none"/>
                <w:lang w:val="en-US" w:eastAsia="zh-CN"/>
              </w:rPr>
              <w:t>分</w:t>
            </w:r>
            <w:r>
              <w:rPr>
                <w:rFonts w:hint="eastAsia" w:ascii="Times New Roman" w:hAnsi="Times New Roman" w:eastAsia="宋体" w:cs="宋体"/>
                <w:color w:val="auto"/>
                <w:spacing w:val="1"/>
                <w:sz w:val="24"/>
                <w:szCs w:val="24"/>
                <w:highlight w:val="none"/>
                <w:lang w:val="en-US" w:eastAsia="zh-CN"/>
              </w:rPr>
              <w:t>11.726</w:t>
            </w:r>
            <w:r>
              <w:rPr>
                <w:rFonts w:hint="default" w:ascii="Times New Roman" w:hAnsi="Times New Roman" w:eastAsia="宋体" w:cs="宋体"/>
                <w:color w:val="auto"/>
                <w:spacing w:val="1"/>
                <w:sz w:val="24"/>
                <w:szCs w:val="24"/>
                <w:highlight w:val="none"/>
                <w:lang w:val="en-US" w:eastAsia="zh-CN"/>
              </w:rPr>
              <w:t>秒</w:t>
            </w:r>
            <w:r>
              <w:rPr>
                <w:rFonts w:hint="eastAsia" w:ascii="Times New Roman" w:hAnsi="Times New Roman" w:eastAsia="宋体" w:cs="宋体"/>
                <w:color w:val="auto"/>
                <w:spacing w:val="1"/>
                <w:sz w:val="24"/>
                <w:szCs w:val="24"/>
                <w:highlight w:val="none"/>
                <w:lang w:val="en-US" w:eastAsia="zh-CN"/>
              </w:rPr>
              <w:t>，北纬42</w:t>
            </w:r>
            <w:r>
              <w:rPr>
                <w:rFonts w:hint="default" w:ascii="Times New Roman" w:hAnsi="Times New Roman" w:eastAsia="宋体" w:cs="宋体"/>
                <w:color w:val="auto"/>
                <w:spacing w:val="1"/>
                <w:sz w:val="24"/>
                <w:szCs w:val="24"/>
                <w:highlight w:val="none"/>
                <w:lang w:val="en-US" w:eastAsia="zh-CN"/>
              </w:rPr>
              <w:t>度</w:t>
            </w:r>
            <w:r>
              <w:rPr>
                <w:rFonts w:hint="eastAsia" w:ascii="Times New Roman" w:hAnsi="Times New Roman" w:eastAsia="宋体" w:cs="宋体"/>
                <w:color w:val="auto"/>
                <w:spacing w:val="1"/>
                <w:sz w:val="24"/>
                <w:szCs w:val="24"/>
                <w:highlight w:val="none"/>
                <w:lang w:val="en-US" w:eastAsia="zh-CN"/>
              </w:rPr>
              <w:t>1</w:t>
            </w:r>
            <w:r>
              <w:rPr>
                <w:rFonts w:hint="default" w:ascii="Times New Roman" w:hAnsi="Times New Roman" w:eastAsia="宋体" w:cs="宋体"/>
                <w:color w:val="auto"/>
                <w:spacing w:val="1"/>
                <w:sz w:val="24"/>
                <w:szCs w:val="24"/>
                <w:highlight w:val="none"/>
                <w:lang w:val="en-US" w:eastAsia="zh-CN"/>
              </w:rPr>
              <w:t>分</w:t>
            </w:r>
            <w:r>
              <w:rPr>
                <w:rFonts w:hint="eastAsia" w:ascii="Times New Roman" w:hAnsi="Times New Roman" w:eastAsia="宋体" w:cs="宋体"/>
                <w:color w:val="auto"/>
                <w:spacing w:val="1"/>
                <w:sz w:val="24"/>
                <w:szCs w:val="24"/>
                <w:highlight w:val="none"/>
                <w:lang w:val="en-US" w:eastAsia="zh-CN"/>
              </w:rPr>
              <w:t>3.298</w:t>
            </w:r>
            <w:r>
              <w:rPr>
                <w:rFonts w:hint="default" w:ascii="Times New Roman" w:hAnsi="Times New Roman" w:eastAsia="宋体" w:cs="宋体"/>
                <w:color w:val="auto"/>
                <w:spacing w:val="1"/>
                <w:sz w:val="24"/>
                <w:szCs w:val="24"/>
                <w:highlight w:val="none"/>
                <w:lang w:val="en-US" w:eastAsia="zh-CN"/>
              </w:rPr>
              <w:t>秒。具体位置见附图1。本项目租用</w:t>
            </w:r>
            <w:r>
              <w:rPr>
                <w:rFonts w:hint="eastAsia" w:ascii="Times New Roman" w:hAnsi="Times New Roman" w:eastAsia="宋体" w:cs="宋体"/>
                <w:color w:val="auto"/>
                <w:spacing w:val="1"/>
                <w:sz w:val="24"/>
                <w:szCs w:val="24"/>
                <w:highlight w:val="none"/>
                <w:lang w:val="en-US" w:eastAsia="zh-CN"/>
              </w:rPr>
              <w:t>辽宁新能科技发展</w:t>
            </w:r>
            <w:r>
              <w:rPr>
                <w:rFonts w:hint="default" w:ascii="Times New Roman" w:hAnsi="Times New Roman" w:eastAsia="宋体" w:cs="宋体"/>
                <w:color w:val="auto"/>
                <w:spacing w:val="1"/>
                <w:sz w:val="24"/>
                <w:szCs w:val="24"/>
                <w:highlight w:val="none"/>
                <w:lang w:val="en-US" w:eastAsia="zh-CN"/>
              </w:rPr>
              <w:t>有限公司现有厂区</w:t>
            </w:r>
            <w:r>
              <w:rPr>
                <w:rFonts w:hint="eastAsia" w:ascii="Times New Roman" w:hAnsi="Times New Roman" w:eastAsia="宋体" w:cs="宋体"/>
                <w:color w:val="auto"/>
                <w:spacing w:val="1"/>
                <w:sz w:val="24"/>
                <w:szCs w:val="24"/>
                <w:highlight w:val="none"/>
                <w:lang w:val="en-US" w:eastAsia="zh-CN"/>
              </w:rPr>
              <w:t>及厂房，</w:t>
            </w:r>
            <w:r>
              <w:rPr>
                <w:rFonts w:hint="default" w:ascii="Times New Roman" w:hAnsi="Times New Roman" w:eastAsia="宋体" w:cs="宋体"/>
                <w:color w:val="auto"/>
                <w:spacing w:val="1"/>
                <w:sz w:val="24"/>
                <w:szCs w:val="24"/>
                <w:highlight w:val="none"/>
                <w:lang w:val="en-US" w:eastAsia="zh-CN"/>
              </w:rPr>
              <w:t>厂区用地性质为工业用地</w:t>
            </w:r>
            <w:r>
              <w:rPr>
                <w:rFonts w:hint="eastAsia" w:cs="宋体"/>
                <w:color w:val="auto"/>
                <w:spacing w:val="1"/>
                <w:sz w:val="24"/>
                <w:szCs w:val="24"/>
                <w:highlight w:val="none"/>
                <w:lang w:val="en-US" w:eastAsia="zh-CN"/>
              </w:rPr>
              <w:t>/车间</w:t>
            </w:r>
            <w:r>
              <w:rPr>
                <w:rFonts w:hint="default" w:ascii="Times New Roman" w:hAnsi="Times New Roman" w:eastAsia="宋体" w:cs="宋体"/>
                <w:color w:val="auto"/>
                <w:spacing w:val="1"/>
                <w:sz w:val="24"/>
                <w:szCs w:val="24"/>
                <w:highlight w:val="none"/>
                <w:lang w:val="en-US" w:eastAsia="zh-CN"/>
              </w:rPr>
              <w:t>。</w:t>
            </w:r>
          </w:p>
          <w:p w14:paraId="4E2BE0A8">
            <w:pPr>
              <w:pStyle w:val="73"/>
              <w:keepNext w:val="0"/>
              <w:keepLines w:val="0"/>
              <w:suppressLineNumbers w:val="0"/>
              <w:spacing w:before="0" w:beforeAutospacing="0" w:after="0" w:afterAutospacing="0" w:line="360" w:lineRule="auto"/>
              <w:ind w:left="0" w:right="0" w:firstLine="484" w:firstLineChars="200"/>
              <w:rPr>
                <w:rFonts w:hint="default" w:ascii="Times New Roman" w:hAnsi="Times New Roman" w:eastAsia="宋体" w:cs="宋体"/>
                <w:color w:val="auto"/>
                <w:spacing w:val="1"/>
                <w:sz w:val="24"/>
                <w:szCs w:val="24"/>
                <w:highlight w:val="none"/>
                <w:lang w:val="en-US" w:eastAsia="zh-CN"/>
              </w:rPr>
            </w:pPr>
            <w:r>
              <w:rPr>
                <w:rFonts w:hint="eastAsia" w:cs="宋体"/>
                <w:color w:val="auto"/>
                <w:spacing w:val="1"/>
                <w:sz w:val="24"/>
                <w:szCs w:val="24"/>
                <w:highlight w:val="none"/>
                <w:lang w:val="en-US" w:eastAsia="zh-CN"/>
              </w:rPr>
              <w:t>本项目</w:t>
            </w:r>
            <w:r>
              <w:rPr>
                <w:rFonts w:hint="default" w:ascii="Times New Roman" w:hAnsi="Times New Roman" w:eastAsia="宋体" w:cs="宋体"/>
                <w:color w:val="auto"/>
                <w:spacing w:val="1"/>
                <w:sz w:val="24"/>
                <w:szCs w:val="24"/>
                <w:highlight w:val="none"/>
                <w:lang w:val="en-US" w:eastAsia="zh-CN"/>
              </w:rPr>
              <w:t>厂区东侧为阜新市万达铸业有限公司；</w:t>
            </w:r>
            <w:r>
              <w:rPr>
                <w:rFonts w:hint="eastAsia" w:cs="宋体"/>
                <w:color w:val="auto"/>
                <w:spacing w:val="1"/>
                <w:sz w:val="24"/>
                <w:szCs w:val="24"/>
                <w:highlight w:val="none"/>
                <w:lang w:val="en-US" w:eastAsia="zh-CN"/>
              </w:rPr>
              <w:t>南侧为辽宁梓睿食品科技有限公司；</w:t>
            </w:r>
            <w:r>
              <w:rPr>
                <w:rFonts w:hint="default" w:ascii="Times New Roman" w:hAnsi="Times New Roman" w:eastAsia="宋体" w:cs="宋体"/>
                <w:color w:val="auto"/>
                <w:spacing w:val="1"/>
                <w:sz w:val="24"/>
                <w:szCs w:val="24"/>
                <w:highlight w:val="none"/>
                <w:lang w:val="en-US" w:eastAsia="zh-CN"/>
              </w:rPr>
              <w:t>西侧为</w:t>
            </w:r>
            <w:r>
              <w:rPr>
                <w:rFonts w:hint="eastAsia" w:cs="宋体"/>
                <w:color w:val="auto"/>
                <w:spacing w:val="1"/>
                <w:sz w:val="24"/>
                <w:szCs w:val="24"/>
                <w:highlight w:val="none"/>
                <w:lang w:val="en-US" w:eastAsia="zh-CN"/>
              </w:rPr>
              <w:t>玉龙路</w:t>
            </w:r>
            <w:r>
              <w:rPr>
                <w:rFonts w:hint="default" w:ascii="Times New Roman" w:hAnsi="Times New Roman" w:eastAsia="宋体" w:cs="宋体"/>
                <w:color w:val="auto"/>
                <w:spacing w:val="1"/>
                <w:sz w:val="24"/>
                <w:szCs w:val="24"/>
                <w:highlight w:val="none"/>
                <w:lang w:val="en-US" w:eastAsia="zh-CN"/>
              </w:rPr>
              <w:t>；西南侧为中国石油CNG加气站</w:t>
            </w:r>
            <w:r>
              <w:rPr>
                <w:rFonts w:hint="eastAsia" w:cs="宋体"/>
                <w:color w:val="auto"/>
                <w:spacing w:val="1"/>
                <w:sz w:val="24"/>
                <w:szCs w:val="24"/>
                <w:highlight w:val="none"/>
                <w:lang w:val="en-US" w:eastAsia="zh-CN"/>
              </w:rPr>
              <w:t>（</w:t>
            </w:r>
            <w:r>
              <w:rPr>
                <w:rFonts w:hint="default" w:ascii="Times New Roman" w:hAnsi="Times New Roman" w:eastAsia="宋体" w:cs="宋体"/>
                <w:color w:val="auto"/>
                <w:spacing w:val="1"/>
                <w:sz w:val="24"/>
                <w:szCs w:val="24"/>
                <w:highlight w:val="none"/>
                <w:lang w:val="en-US" w:eastAsia="zh-CN"/>
              </w:rPr>
              <w:t>玉龙路站</w:t>
            </w:r>
            <w:r>
              <w:rPr>
                <w:rFonts w:hint="eastAsia" w:cs="宋体"/>
                <w:color w:val="auto"/>
                <w:spacing w:val="1"/>
                <w:sz w:val="24"/>
                <w:szCs w:val="24"/>
                <w:highlight w:val="none"/>
                <w:lang w:val="en-US" w:eastAsia="zh-CN"/>
              </w:rPr>
              <w:t>）</w:t>
            </w:r>
            <w:r>
              <w:rPr>
                <w:rFonts w:hint="default" w:ascii="Times New Roman" w:hAnsi="Times New Roman" w:eastAsia="宋体" w:cs="宋体"/>
                <w:color w:val="auto"/>
                <w:spacing w:val="1"/>
                <w:sz w:val="24"/>
                <w:szCs w:val="24"/>
                <w:highlight w:val="none"/>
                <w:lang w:val="en-US" w:eastAsia="zh-CN"/>
              </w:rPr>
              <w:t>；北侧为</w:t>
            </w:r>
            <w:r>
              <w:rPr>
                <w:rFonts w:hint="eastAsia" w:cs="宋体"/>
                <w:color w:val="auto"/>
                <w:spacing w:val="1"/>
                <w:sz w:val="24"/>
                <w:szCs w:val="24"/>
                <w:highlight w:val="none"/>
                <w:lang w:val="en-US" w:eastAsia="zh-CN"/>
              </w:rPr>
              <w:t>阜新华通管道有限公司</w:t>
            </w:r>
            <w:r>
              <w:rPr>
                <w:rFonts w:hint="default" w:ascii="Times New Roman" w:hAnsi="Times New Roman" w:eastAsia="宋体" w:cs="宋体"/>
                <w:color w:val="auto"/>
                <w:spacing w:val="1"/>
                <w:sz w:val="24"/>
                <w:szCs w:val="24"/>
                <w:highlight w:val="none"/>
                <w:lang w:val="en-US" w:eastAsia="zh-CN"/>
              </w:rPr>
              <w:t>。</w:t>
            </w:r>
          </w:p>
          <w:p w14:paraId="4777A74B">
            <w:pPr>
              <w:pStyle w:val="73"/>
              <w:keepNext w:val="0"/>
              <w:keepLines w:val="0"/>
              <w:suppressLineNumbers w:val="0"/>
              <w:spacing w:before="0" w:beforeAutospacing="0" w:after="0" w:afterAutospacing="0" w:line="360" w:lineRule="auto"/>
              <w:ind w:left="0" w:right="0" w:firstLine="484" w:firstLineChars="200"/>
              <w:rPr>
                <w:rFonts w:hint="default"/>
                <w:color w:val="auto"/>
                <w:highlight w:val="none"/>
              </w:rPr>
            </w:pPr>
            <w:r>
              <w:rPr>
                <w:rFonts w:hint="eastAsia" w:cs="宋体"/>
                <w:color w:val="auto"/>
                <w:spacing w:val="1"/>
                <w:sz w:val="24"/>
                <w:szCs w:val="24"/>
                <w:highlight w:val="none"/>
                <w:lang w:val="en-US" w:eastAsia="zh-CN"/>
              </w:rPr>
              <w:t>本</w:t>
            </w:r>
            <w:r>
              <w:rPr>
                <w:rFonts w:hint="default" w:ascii="Times New Roman" w:hAnsi="Times New Roman" w:eastAsia="宋体" w:cs="宋体"/>
                <w:color w:val="auto"/>
                <w:spacing w:val="1"/>
                <w:sz w:val="24"/>
                <w:szCs w:val="24"/>
                <w:highlight w:val="none"/>
                <w:lang w:val="en-US" w:eastAsia="zh-CN"/>
              </w:rPr>
              <w:t>项目厂址不在阜新市生态保护红线范围内；占地范围内无文物单位、生活饮用水源保护区、风景名胜区、自然保护区等环境敏感点分布；符合阜新市生态环境准入清单（2023年版）》</w:t>
            </w:r>
            <w:r>
              <w:rPr>
                <w:rFonts w:hint="eastAsia" w:ascii="Times New Roman" w:hAnsi="Times New Roman" w:eastAsia="宋体" w:cs="宋体"/>
                <w:color w:val="auto"/>
                <w:spacing w:val="1"/>
                <w:sz w:val="24"/>
                <w:szCs w:val="24"/>
                <w:highlight w:val="none"/>
                <w:lang w:val="en-US" w:eastAsia="zh-CN"/>
              </w:rPr>
              <w:t>中生态管控的</w:t>
            </w:r>
            <w:r>
              <w:rPr>
                <w:rFonts w:hint="default" w:ascii="Times New Roman" w:hAnsi="Times New Roman" w:eastAsia="宋体" w:cs="宋体"/>
                <w:color w:val="auto"/>
                <w:spacing w:val="1"/>
                <w:sz w:val="24"/>
                <w:szCs w:val="24"/>
                <w:highlight w:val="none"/>
                <w:lang w:val="en-US" w:eastAsia="zh-CN"/>
              </w:rPr>
              <w:t>要求</w:t>
            </w:r>
            <w:r>
              <w:rPr>
                <w:rFonts w:hint="default"/>
                <w:color w:val="auto"/>
                <w:spacing w:val="-2"/>
                <w:highlight w:val="none"/>
              </w:rPr>
              <w:t>。</w:t>
            </w:r>
          </w:p>
          <w:p w14:paraId="24D5DF75">
            <w:pPr>
              <w:pStyle w:val="73"/>
              <w:keepNext w:val="0"/>
              <w:keepLines w:val="0"/>
              <w:suppressLineNumbers w:val="0"/>
              <w:spacing w:before="0" w:beforeAutospacing="0" w:after="0" w:afterAutospacing="0" w:line="360" w:lineRule="auto"/>
              <w:ind w:left="0" w:right="0" w:firstLine="484" w:firstLineChars="200"/>
              <w:rPr>
                <w:rFonts w:hint="eastAsia"/>
                <w:b/>
                <w:bCs/>
                <w:color w:val="auto"/>
                <w:spacing w:val="-1"/>
                <w:sz w:val="24"/>
                <w:szCs w:val="24"/>
                <w:highlight w:val="none"/>
                <w:lang w:val="en-US" w:eastAsia="zh-CN"/>
              </w:rPr>
            </w:pPr>
            <w:r>
              <w:rPr>
                <w:rFonts w:hint="default" w:ascii="Times New Roman" w:hAnsi="Times New Roman" w:eastAsia="宋体" w:cs="宋体"/>
                <w:color w:val="auto"/>
                <w:spacing w:val="1"/>
                <w:sz w:val="24"/>
                <w:szCs w:val="24"/>
                <w:highlight w:val="none"/>
                <w:lang w:val="en-US" w:eastAsia="zh-CN"/>
              </w:rPr>
              <w:t>本项目已于</w:t>
            </w:r>
            <w:r>
              <w:rPr>
                <w:rFonts w:hint="eastAsia" w:ascii="Times New Roman" w:hAnsi="Times New Roman" w:eastAsia="宋体" w:cs="宋体"/>
                <w:color w:val="auto"/>
                <w:spacing w:val="1"/>
                <w:sz w:val="24"/>
                <w:szCs w:val="24"/>
                <w:highlight w:val="none"/>
                <w:lang w:val="en-US" w:eastAsia="zh-CN"/>
              </w:rPr>
              <w:t>2026</w:t>
            </w:r>
            <w:r>
              <w:rPr>
                <w:rFonts w:hint="default" w:ascii="Times New Roman" w:hAnsi="Times New Roman" w:eastAsia="宋体" w:cs="宋体"/>
                <w:color w:val="auto"/>
                <w:spacing w:val="1"/>
                <w:sz w:val="24"/>
                <w:szCs w:val="24"/>
                <w:highlight w:val="none"/>
                <w:lang w:val="en-US" w:eastAsia="zh-CN"/>
              </w:rPr>
              <w:t>年</w:t>
            </w:r>
            <w:r>
              <w:rPr>
                <w:rFonts w:hint="eastAsia" w:ascii="Times New Roman" w:hAnsi="Times New Roman" w:eastAsia="宋体" w:cs="宋体"/>
                <w:color w:val="auto"/>
                <w:spacing w:val="1"/>
                <w:sz w:val="24"/>
                <w:szCs w:val="24"/>
                <w:highlight w:val="none"/>
                <w:lang w:val="en-US" w:eastAsia="zh-CN"/>
              </w:rPr>
              <w:t>2</w:t>
            </w:r>
            <w:r>
              <w:rPr>
                <w:rFonts w:hint="default" w:ascii="Times New Roman" w:hAnsi="Times New Roman" w:eastAsia="宋体" w:cs="宋体"/>
                <w:color w:val="auto"/>
                <w:spacing w:val="1"/>
                <w:sz w:val="24"/>
                <w:szCs w:val="24"/>
                <w:highlight w:val="none"/>
                <w:lang w:val="en-US" w:eastAsia="zh-CN"/>
              </w:rPr>
              <w:t>月</w:t>
            </w:r>
            <w:r>
              <w:rPr>
                <w:rFonts w:hint="eastAsia" w:ascii="Times New Roman" w:hAnsi="Times New Roman" w:eastAsia="宋体" w:cs="宋体"/>
                <w:color w:val="auto"/>
                <w:spacing w:val="1"/>
                <w:sz w:val="24"/>
                <w:szCs w:val="24"/>
                <w:highlight w:val="none"/>
                <w:lang w:val="en-US" w:eastAsia="zh-CN"/>
              </w:rPr>
              <w:t>12</w:t>
            </w:r>
            <w:r>
              <w:rPr>
                <w:rFonts w:hint="default" w:ascii="Times New Roman" w:hAnsi="Times New Roman" w:eastAsia="宋体" w:cs="宋体"/>
                <w:color w:val="auto"/>
                <w:spacing w:val="1"/>
                <w:sz w:val="24"/>
                <w:szCs w:val="24"/>
                <w:highlight w:val="none"/>
                <w:lang w:val="en-US" w:eastAsia="zh-CN"/>
              </w:rPr>
              <w:t>日取得阜新高新技术产业开发区发展和改革局《关于&lt;</w:t>
            </w:r>
            <w:r>
              <w:rPr>
                <w:rFonts w:hint="eastAsia" w:ascii="Times New Roman" w:hAnsi="Times New Roman" w:eastAsia="宋体" w:cs="宋体"/>
                <w:color w:val="auto"/>
                <w:spacing w:val="1"/>
                <w:sz w:val="24"/>
                <w:szCs w:val="24"/>
                <w:highlight w:val="none"/>
                <w:lang w:val="en-US" w:eastAsia="zh-CN"/>
              </w:rPr>
              <w:t>广通智联报废车辆拆解及年产15万吨破碎料新建项目</w:t>
            </w:r>
            <w:r>
              <w:rPr>
                <w:rFonts w:hint="default" w:ascii="Times New Roman" w:hAnsi="Times New Roman" w:eastAsia="宋体" w:cs="宋体"/>
                <w:color w:val="auto"/>
                <w:spacing w:val="1"/>
                <w:sz w:val="24"/>
                <w:szCs w:val="24"/>
                <w:highlight w:val="none"/>
                <w:lang w:val="en-US" w:eastAsia="zh-CN"/>
              </w:rPr>
              <w:t>&gt;项目备案证明》，阜高新发改备〔</w:t>
            </w:r>
            <w:r>
              <w:rPr>
                <w:rFonts w:hint="eastAsia" w:ascii="Times New Roman" w:hAnsi="Times New Roman" w:eastAsia="宋体" w:cs="宋体"/>
                <w:color w:val="auto"/>
                <w:spacing w:val="1"/>
                <w:sz w:val="24"/>
                <w:szCs w:val="24"/>
                <w:highlight w:val="none"/>
                <w:lang w:val="en-US" w:eastAsia="zh-CN"/>
              </w:rPr>
              <w:t>2026</w:t>
            </w:r>
            <w:r>
              <w:rPr>
                <w:rFonts w:hint="default" w:ascii="Times New Roman" w:hAnsi="Times New Roman" w:eastAsia="宋体" w:cs="宋体"/>
                <w:color w:val="auto"/>
                <w:spacing w:val="1"/>
                <w:sz w:val="24"/>
                <w:szCs w:val="24"/>
                <w:highlight w:val="none"/>
                <w:lang w:val="en-US" w:eastAsia="zh-CN"/>
              </w:rPr>
              <w:t>〕</w:t>
            </w:r>
            <w:r>
              <w:rPr>
                <w:rFonts w:hint="eastAsia" w:ascii="Times New Roman" w:hAnsi="Times New Roman" w:eastAsia="宋体" w:cs="宋体"/>
                <w:color w:val="auto"/>
                <w:spacing w:val="1"/>
                <w:sz w:val="24"/>
                <w:szCs w:val="24"/>
                <w:highlight w:val="none"/>
                <w:lang w:val="en-US" w:eastAsia="zh-CN"/>
              </w:rPr>
              <w:t>16</w:t>
            </w:r>
            <w:r>
              <w:rPr>
                <w:rFonts w:hint="default" w:ascii="Times New Roman" w:hAnsi="Times New Roman" w:eastAsia="宋体" w:cs="宋体"/>
                <w:color w:val="auto"/>
                <w:spacing w:val="1"/>
                <w:sz w:val="24"/>
                <w:szCs w:val="24"/>
                <w:highlight w:val="none"/>
                <w:lang w:val="en-US" w:eastAsia="zh-CN"/>
              </w:rPr>
              <w:t>号，项目代码为2602-210998-04-05-339203。</w:t>
            </w:r>
            <w:r>
              <w:rPr>
                <w:rFonts w:hint="eastAsia" w:ascii="Times New Roman" w:hAnsi="Times New Roman" w:eastAsia="宋体" w:cs="Times New Roman"/>
                <w:color w:val="auto"/>
                <w:lang w:val="en-US" w:eastAsia="zh-CN"/>
              </w:rPr>
              <w:t>2026</w:t>
            </w:r>
            <w:r>
              <w:rPr>
                <w:rFonts w:hint="default"/>
                <w:color w:val="auto"/>
              </w:rPr>
              <w:t>年</w:t>
            </w:r>
            <w:r>
              <w:rPr>
                <w:rFonts w:hint="default"/>
                <w:color w:val="auto"/>
                <w:spacing w:val="-41"/>
              </w:rPr>
              <w:t xml:space="preserve"> </w:t>
            </w:r>
            <w:r>
              <w:rPr>
                <w:rFonts w:hint="eastAsia" w:ascii="Times New Roman" w:hAnsi="Times New Roman" w:eastAsia="宋体" w:cs="Times New Roman"/>
                <w:color w:val="auto"/>
                <w:lang w:val="en-US" w:eastAsia="zh-CN"/>
              </w:rPr>
              <w:t>8</w:t>
            </w:r>
            <w:r>
              <w:rPr>
                <w:rFonts w:hint="default"/>
                <w:color w:val="auto"/>
              </w:rPr>
              <w:t>月</w:t>
            </w:r>
            <w:r>
              <w:rPr>
                <w:rFonts w:hint="default"/>
                <w:color w:val="auto"/>
                <w:spacing w:val="-41"/>
              </w:rPr>
              <w:t xml:space="preserve"> </w:t>
            </w:r>
            <w:r>
              <w:rPr>
                <w:rFonts w:hint="eastAsia" w:ascii="Times New Roman" w:hAnsi="Times New Roman" w:eastAsia="宋体" w:cs="Times New Roman"/>
                <w:color w:val="auto"/>
                <w:lang w:val="en-US" w:eastAsia="zh-CN"/>
              </w:rPr>
              <w:t>7</w:t>
            </w:r>
            <w:r>
              <w:rPr>
                <w:rFonts w:hint="default"/>
                <w:color w:val="auto"/>
                <w:spacing w:val="1"/>
              </w:rPr>
              <w:t>日，阜新高新技术产业开发区管理委员会出具《关于阜新高新技术</w:t>
            </w:r>
            <w:r>
              <w:rPr>
                <w:rFonts w:hint="default"/>
                <w:color w:val="auto"/>
                <w:spacing w:val="-4"/>
              </w:rPr>
              <w:t>产业开发区规划修编的说明》（见附件</w:t>
            </w:r>
            <w:r>
              <w:rPr>
                <w:rFonts w:hint="eastAsia"/>
                <w:color w:val="auto"/>
                <w:spacing w:val="-56"/>
                <w:lang w:val="en-US" w:eastAsia="zh-CN"/>
              </w:rPr>
              <w:t>7</w:t>
            </w:r>
            <w:r>
              <w:rPr>
                <w:rFonts w:hint="default"/>
                <w:color w:val="auto"/>
                <w:spacing w:val="-19"/>
              </w:rPr>
              <w:t>），</w:t>
            </w:r>
            <w:r>
              <w:rPr>
                <w:rFonts w:hint="default"/>
                <w:color w:val="auto"/>
                <w:spacing w:val="-4"/>
              </w:rPr>
              <w:t>本项目与调整后的《阜</w:t>
            </w:r>
            <w:r>
              <w:rPr>
                <w:rFonts w:hint="default"/>
                <w:color w:val="auto"/>
                <w:spacing w:val="1"/>
              </w:rPr>
              <w:t>新高新技术产业开发区规划》相符。项目符合《辽宁阜新经济开发区规划方案调整及西区（二期）北区（二期）控制性详细规划</w:t>
            </w:r>
            <w:r>
              <w:rPr>
                <w:rFonts w:hint="eastAsia"/>
                <w:color w:val="auto"/>
                <w:spacing w:val="1"/>
                <w:lang w:eastAsia="zh-CN"/>
              </w:rPr>
              <w:t>》《</w:t>
            </w:r>
            <w:r>
              <w:rPr>
                <w:rFonts w:hint="default"/>
                <w:color w:val="auto"/>
                <w:spacing w:val="10"/>
              </w:rPr>
              <w:t>辽宁阜新经济开发区西区北区规划方案调整环境</w:t>
            </w:r>
            <w:r>
              <w:rPr>
                <w:rFonts w:hint="default"/>
                <w:color w:val="auto"/>
                <w:spacing w:val="9"/>
              </w:rPr>
              <w:t>影响评价报告</w:t>
            </w:r>
            <w:r>
              <w:rPr>
                <w:rFonts w:hint="default"/>
                <w:color w:val="auto"/>
                <w:spacing w:val="-1"/>
              </w:rPr>
              <w:t>书》及其审查意见中相关要求。</w:t>
            </w:r>
          </w:p>
          <w:p w14:paraId="700B7F5F">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宋体"/>
                <w:color w:val="auto"/>
                <w:spacing w:val="1"/>
                <w:sz w:val="24"/>
                <w:szCs w:val="24"/>
                <w:highlight w:val="none"/>
                <w:lang w:val="en-US" w:eastAsia="zh-CN"/>
              </w:rPr>
            </w:pPr>
            <w:r>
              <w:rPr>
                <w:rFonts w:hint="eastAsia" w:cs="Times New Roman"/>
                <w:color w:val="auto"/>
                <w:sz w:val="24"/>
                <w:szCs w:val="24"/>
                <w:highlight w:val="none"/>
                <w:lang w:val="en-US" w:eastAsia="zh-CN"/>
              </w:rPr>
              <w:t>本</w:t>
            </w:r>
            <w:r>
              <w:rPr>
                <w:rFonts w:hint="default" w:ascii="Times New Roman" w:hAnsi="Times New Roman" w:eastAsia="宋体" w:cs="Times New Roman"/>
                <w:color w:val="auto"/>
                <w:sz w:val="24"/>
                <w:szCs w:val="24"/>
                <w:highlight w:val="none"/>
                <w:lang w:val="en-US" w:eastAsia="zh-CN"/>
              </w:rPr>
              <w:t>项目运营过程中污染负荷较轻，</w:t>
            </w:r>
            <w:r>
              <w:rPr>
                <w:rFonts w:hint="eastAsia" w:cs="Times New Roman"/>
                <w:color w:val="auto"/>
                <w:sz w:val="24"/>
                <w:szCs w:val="24"/>
                <w:highlight w:val="none"/>
                <w:lang w:val="en-US" w:eastAsia="zh-CN"/>
              </w:rPr>
              <w:t>项目生产过程中的</w:t>
            </w:r>
            <w:r>
              <w:rPr>
                <w:rFonts w:hint="eastAsia" w:ascii="Times New Roman" w:hAnsi="Times New Roman" w:eastAsia="宋体" w:cs="宋体"/>
                <w:color w:val="auto"/>
                <w:spacing w:val="1"/>
                <w:sz w:val="24"/>
                <w:szCs w:val="24"/>
                <w:highlight w:val="none"/>
                <w:lang w:val="en-US" w:eastAsia="zh-CN"/>
              </w:rPr>
              <w:t>废气、噪声、废水经治理后可做到达标排放，固体废物</w:t>
            </w:r>
            <w:r>
              <w:rPr>
                <w:rFonts w:hint="eastAsia" w:cs="宋体"/>
                <w:color w:val="auto"/>
                <w:spacing w:val="1"/>
                <w:sz w:val="24"/>
                <w:szCs w:val="24"/>
                <w:highlight w:val="none"/>
                <w:lang w:val="en-US" w:eastAsia="zh-CN"/>
              </w:rPr>
              <w:t>有合理处置去向，</w:t>
            </w:r>
            <w:r>
              <w:rPr>
                <w:rFonts w:hint="eastAsia" w:ascii="Times New Roman" w:hAnsi="Times New Roman" w:eastAsia="宋体" w:cs="宋体"/>
                <w:color w:val="auto"/>
                <w:spacing w:val="1"/>
                <w:sz w:val="24"/>
                <w:szCs w:val="24"/>
                <w:highlight w:val="none"/>
                <w:lang w:val="en-US" w:eastAsia="zh-CN"/>
              </w:rPr>
              <w:t>对</w:t>
            </w:r>
            <w:r>
              <w:rPr>
                <w:rFonts w:hint="eastAsia" w:cs="宋体"/>
                <w:color w:val="auto"/>
                <w:spacing w:val="1"/>
                <w:sz w:val="24"/>
                <w:szCs w:val="24"/>
                <w:highlight w:val="none"/>
                <w:lang w:val="en-US" w:eastAsia="zh-CN"/>
              </w:rPr>
              <w:t>周围环境影响较小。</w:t>
            </w:r>
          </w:p>
          <w:p w14:paraId="62AE309E">
            <w:pPr>
              <w:pStyle w:val="73"/>
              <w:keepNext w:val="0"/>
              <w:keepLines w:val="0"/>
              <w:suppressLineNumbers w:val="0"/>
              <w:spacing w:before="32" w:beforeAutospacing="0" w:after="0" w:afterAutospacing="0" w:line="350" w:lineRule="auto"/>
              <w:ind w:left="109" w:right="23" w:firstLine="420"/>
              <w:rPr>
                <w:rFonts w:hint="eastAsia"/>
                <w:color w:val="auto"/>
                <w:spacing w:val="-6"/>
                <w:sz w:val="24"/>
                <w:szCs w:val="24"/>
                <w:highlight w:val="none"/>
                <w:lang w:eastAsia="zh-CN"/>
              </w:rPr>
            </w:pPr>
            <w:r>
              <w:rPr>
                <w:rFonts w:hint="default"/>
                <w:color w:val="auto"/>
                <w:spacing w:val="1"/>
                <w:highlight w:val="none"/>
              </w:rPr>
              <w:t>综上所述，本项目用地符合国家供地政策和土地管理法律法规</w:t>
            </w:r>
            <w:r>
              <w:rPr>
                <w:rFonts w:hint="default"/>
                <w:color w:val="auto"/>
                <w:spacing w:val="-2"/>
                <w:highlight w:val="none"/>
              </w:rPr>
              <w:t>条件，选址合理。</w:t>
            </w:r>
          </w:p>
          <w:p w14:paraId="2B081E32">
            <w:pPr>
              <w:pStyle w:val="73"/>
              <w:keepNext w:val="0"/>
              <w:keepLines w:val="0"/>
              <w:suppressLineNumbers w:val="0"/>
              <w:spacing w:before="0" w:beforeAutospacing="0" w:after="0" w:afterAutospacing="0" w:line="360" w:lineRule="auto"/>
              <w:ind w:left="0" w:right="0" w:firstLine="478" w:firstLineChars="200"/>
              <w:rPr>
                <w:rFonts w:hint="default" w:ascii="Times New Roman" w:hAnsi="Times New Roman" w:eastAsia="宋体" w:cs="Times New Roman"/>
                <w:b/>
                <w:bCs/>
                <w:color w:val="auto"/>
                <w:spacing w:val="-1"/>
                <w:sz w:val="24"/>
                <w:szCs w:val="24"/>
                <w:highlight w:val="none"/>
                <w:lang w:val="en-US" w:eastAsia="zh-CN"/>
              </w:rPr>
            </w:pPr>
            <w:r>
              <w:rPr>
                <w:rFonts w:hint="eastAsia" w:ascii="Times New Roman" w:hAnsi="Times New Roman" w:eastAsia="宋体" w:cs="Times New Roman"/>
                <w:b/>
                <w:bCs/>
                <w:color w:val="auto"/>
                <w:spacing w:val="-1"/>
                <w:sz w:val="24"/>
                <w:szCs w:val="24"/>
                <w:highlight w:val="none"/>
                <w:lang w:val="en-US" w:eastAsia="zh-CN"/>
              </w:rPr>
              <w:t>4、</w:t>
            </w:r>
            <w:r>
              <w:rPr>
                <w:rFonts w:hint="eastAsia" w:cs="Times New Roman"/>
                <w:b/>
                <w:bCs/>
                <w:color w:val="auto"/>
                <w:spacing w:val="-1"/>
                <w:sz w:val="24"/>
                <w:szCs w:val="24"/>
                <w:highlight w:val="none"/>
                <w:lang w:val="en-US" w:eastAsia="zh-CN"/>
              </w:rPr>
              <w:t>生态管控分区</w:t>
            </w:r>
            <w:r>
              <w:rPr>
                <w:rFonts w:hint="eastAsia" w:ascii="Times New Roman" w:hAnsi="Times New Roman" w:eastAsia="宋体" w:cs="Times New Roman"/>
                <w:b/>
                <w:bCs/>
                <w:color w:val="auto"/>
                <w:spacing w:val="-1"/>
                <w:sz w:val="24"/>
                <w:szCs w:val="24"/>
                <w:highlight w:val="none"/>
                <w:lang w:val="en-US" w:eastAsia="zh-CN"/>
              </w:rPr>
              <w:t>符合性分析</w:t>
            </w:r>
          </w:p>
          <w:p w14:paraId="12C468FF">
            <w:pPr>
              <w:pStyle w:val="73"/>
              <w:keepNext w:val="0"/>
              <w:keepLines w:val="0"/>
              <w:suppressLineNumbers w:val="0"/>
              <w:spacing w:before="0" w:beforeAutospacing="0" w:after="0" w:afterAutospacing="0" w:line="360" w:lineRule="auto"/>
              <w:ind w:left="0" w:right="0" w:firstLine="484" w:firstLineChars="200"/>
              <w:rPr>
                <w:rFonts w:hint="default" w:ascii="Times New Roman" w:hAnsi="Times New Roman" w:eastAsia="宋体" w:cs="宋体"/>
                <w:color w:val="auto"/>
                <w:spacing w:val="1"/>
                <w:sz w:val="24"/>
                <w:szCs w:val="24"/>
                <w:highlight w:val="none"/>
                <w:lang w:val="en-US" w:eastAsia="zh-CN"/>
              </w:rPr>
            </w:pPr>
            <w:r>
              <w:rPr>
                <w:rFonts w:hint="default" w:ascii="Times New Roman" w:hAnsi="Times New Roman" w:eastAsia="宋体" w:cs="宋体"/>
                <w:color w:val="auto"/>
                <w:spacing w:val="1"/>
                <w:sz w:val="24"/>
                <w:szCs w:val="24"/>
                <w:highlight w:val="none"/>
                <w:lang w:val="en-US" w:eastAsia="zh-CN"/>
              </w:rPr>
              <w:t>本项目位于</w:t>
            </w:r>
            <w:r>
              <w:rPr>
                <w:rFonts w:hint="default" w:ascii="Times New Roman" w:hAnsi="Times New Roman" w:eastAsia="宋体" w:cs="Times New Roman"/>
                <w:color w:val="auto"/>
                <w:sz w:val="24"/>
                <w:szCs w:val="24"/>
                <w:highlight w:val="none"/>
                <w:lang w:val="en-US" w:eastAsia="zh-CN"/>
              </w:rPr>
              <w:t>辽宁省阜新市高新技术产业开发区</w:t>
            </w:r>
            <w:r>
              <w:rPr>
                <w:rFonts w:hint="eastAsia" w:ascii="Times New Roman" w:hAnsi="Times New Roman" w:cs="Times New Roman"/>
                <w:color w:val="auto"/>
                <w:sz w:val="24"/>
                <w:highlight w:val="none"/>
                <w:lang w:val="en-US" w:eastAsia="zh-CN"/>
              </w:rPr>
              <w:t>华通路16号</w:t>
            </w:r>
            <w:r>
              <w:rPr>
                <w:rFonts w:hint="default" w:ascii="Times New Roman" w:hAnsi="Times New Roman" w:eastAsia="宋体" w:cs="宋体"/>
                <w:color w:val="auto"/>
                <w:spacing w:val="1"/>
                <w:sz w:val="24"/>
                <w:szCs w:val="24"/>
                <w:highlight w:val="none"/>
                <w:lang w:val="en-US" w:eastAsia="zh-CN"/>
              </w:rPr>
              <w:t>，</w:t>
            </w:r>
            <w:r>
              <w:rPr>
                <w:rFonts w:hint="default"/>
                <w:color w:val="auto"/>
                <w:spacing w:val="6"/>
                <w:highlight w:val="none"/>
              </w:rPr>
              <w:t>根据</w:t>
            </w:r>
            <w:r>
              <w:rPr>
                <w:rFonts w:hint="eastAsia"/>
                <w:color w:val="auto"/>
                <w:spacing w:val="6"/>
                <w:highlight w:val="none"/>
                <w:lang w:val="en-US" w:eastAsia="zh-CN"/>
              </w:rPr>
              <w:t>辽宁省“三线一单”数据应用系统</w:t>
            </w:r>
            <w:r>
              <w:rPr>
                <w:rFonts w:hint="default"/>
                <w:color w:val="auto"/>
                <w:spacing w:val="6"/>
                <w:highlight w:val="none"/>
              </w:rPr>
              <w:t>查询结果</w:t>
            </w:r>
            <w:r>
              <w:rPr>
                <w:rFonts w:hint="eastAsia"/>
                <w:color w:val="auto"/>
                <w:spacing w:val="6"/>
                <w:highlight w:val="none"/>
                <w:lang w:eastAsia="zh-CN"/>
              </w:rPr>
              <w:t>（</w:t>
            </w:r>
            <w:r>
              <w:rPr>
                <w:rFonts w:hint="eastAsia"/>
                <w:color w:val="auto"/>
                <w:spacing w:val="6"/>
                <w:highlight w:val="none"/>
                <w:lang w:val="en-US" w:eastAsia="zh-CN"/>
              </w:rPr>
              <w:t>见附图4）</w:t>
            </w:r>
            <w:r>
              <w:rPr>
                <w:rFonts w:hint="default"/>
                <w:color w:val="auto"/>
                <w:spacing w:val="6"/>
                <w:highlight w:val="none"/>
              </w:rPr>
              <w:t>，</w:t>
            </w:r>
            <w:r>
              <w:rPr>
                <w:rFonts w:hint="eastAsia"/>
                <w:color w:val="auto"/>
                <w:spacing w:val="6"/>
                <w:highlight w:val="none"/>
                <w:lang w:val="en-US" w:eastAsia="zh-CN"/>
              </w:rPr>
              <w:t>本项目</w:t>
            </w:r>
            <w:r>
              <w:rPr>
                <w:rFonts w:hint="default"/>
                <w:color w:val="auto"/>
                <w:spacing w:val="6"/>
                <w:highlight w:val="none"/>
              </w:rPr>
              <w:t>属于阜新高新技术产业开发区西片区</w:t>
            </w:r>
            <w:r>
              <w:rPr>
                <w:rFonts w:hint="default" w:ascii="Times New Roman" w:hAnsi="Times New Roman" w:eastAsia="Times New Roman" w:cs="Times New Roman"/>
                <w:color w:val="auto"/>
                <w:spacing w:val="6"/>
                <w:highlight w:val="none"/>
              </w:rPr>
              <w:t>-</w:t>
            </w:r>
            <w:r>
              <w:rPr>
                <w:rFonts w:hint="default"/>
                <w:color w:val="auto"/>
                <w:spacing w:val="6"/>
                <w:highlight w:val="none"/>
              </w:rPr>
              <w:t>重点管控区</w:t>
            </w:r>
            <w:r>
              <w:rPr>
                <w:rFonts w:hint="eastAsia"/>
                <w:color w:val="auto"/>
                <w:spacing w:val="6"/>
                <w:highlight w:val="none"/>
                <w:lang w:eastAsia="zh-CN"/>
              </w:rPr>
              <w:t>，</w:t>
            </w:r>
            <w:r>
              <w:rPr>
                <w:rFonts w:hint="eastAsia"/>
                <w:color w:val="auto"/>
                <w:spacing w:val="6"/>
                <w:highlight w:val="none"/>
                <w:lang w:val="en-US" w:eastAsia="zh-CN"/>
              </w:rPr>
              <w:t>环境单元编码为</w:t>
            </w:r>
            <w:r>
              <w:rPr>
                <w:rFonts w:hint="default" w:ascii="Times New Roman" w:hAnsi="Times New Roman" w:eastAsia="Times New Roman" w:cs="Times New Roman"/>
                <w:color w:val="auto"/>
                <w:highlight w:val="none"/>
              </w:rPr>
              <w:t>ZH</w:t>
            </w:r>
            <w:r>
              <w:rPr>
                <w:rFonts w:hint="default" w:ascii="Times New Roman" w:hAnsi="Times New Roman" w:eastAsia="Times New Roman" w:cs="Times New Roman"/>
                <w:color w:val="auto"/>
                <w:spacing w:val="1"/>
                <w:highlight w:val="none"/>
              </w:rPr>
              <w:t>21091120003</w:t>
            </w:r>
            <w:r>
              <w:rPr>
                <w:rFonts w:hint="default"/>
                <w:color w:val="auto"/>
                <w:spacing w:val="18"/>
                <w:highlight w:val="none"/>
              </w:rPr>
              <w:t>，</w:t>
            </w:r>
            <w:r>
              <w:rPr>
                <w:rFonts w:hint="default"/>
                <w:color w:val="auto"/>
                <w:spacing w:val="1"/>
                <w:highlight w:val="none"/>
              </w:rPr>
              <w:t>本项目与《阜新市生态环境准入清单（</w:t>
            </w:r>
            <w:r>
              <w:rPr>
                <w:rFonts w:hint="default" w:ascii="Times New Roman" w:hAnsi="Times New Roman" w:eastAsia="Times New Roman" w:cs="Times New Roman"/>
                <w:color w:val="auto"/>
                <w:spacing w:val="1"/>
                <w:highlight w:val="none"/>
              </w:rPr>
              <w:t>2023</w:t>
            </w:r>
            <w:r>
              <w:rPr>
                <w:rFonts w:hint="default"/>
                <w:color w:val="auto"/>
                <w:spacing w:val="-1"/>
                <w:highlight w:val="none"/>
              </w:rPr>
              <w:t>年版）》符合性分析见下表。</w:t>
            </w:r>
          </w:p>
          <w:p w14:paraId="40A74744">
            <w:pPr>
              <w:pStyle w:val="73"/>
              <w:keepNext w:val="0"/>
              <w:keepLines w:val="0"/>
              <w:suppressLineNumbers w:val="0"/>
              <w:bidi w:val="0"/>
              <w:spacing w:before="0" w:beforeAutospacing="0" w:after="0" w:afterAutospacing="0"/>
              <w:ind w:left="0" w:leftChars="0" w:right="0" w:firstLine="0" w:firstLineChars="0"/>
              <w:jc w:val="center"/>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bCs/>
                <w:color w:val="auto"/>
                <w:sz w:val="21"/>
                <w:szCs w:val="21"/>
                <w:highlight w:val="none"/>
                <w:lang w:val="en-US" w:eastAsia="zh-CN"/>
              </w:rPr>
              <w:t>表1-</w:t>
            </w:r>
            <w:r>
              <w:rPr>
                <w:rFonts w:hint="eastAsia" w:cs="Times New Roman"/>
                <w:b/>
                <w:bCs/>
                <w:color w:val="auto"/>
                <w:sz w:val="21"/>
                <w:szCs w:val="21"/>
                <w:highlight w:val="none"/>
                <w:lang w:val="en-US" w:eastAsia="zh-CN"/>
              </w:rPr>
              <w:t>4</w:t>
            </w:r>
            <w:r>
              <w:rPr>
                <w:rFonts w:hint="default" w:ascii="Times New Roman" w:hAnsi="Times New Roman" w:cs="Times New Roman"/>
                <w:b/>
                <w:bCs/>
                <w:color w:val="auto"/>
                <w:sz w:val="21"/>
                <w:szCs w:val="21"/>
                <w:highlight w:val="none"/>
                <w:lang w:val="en-US" w:eastAsia="zh-CN"/>
              </w:rPr>
              <w:t xml:space="preserve"> </w:t>
            </w:r>
            <w:r>
              <w:rPr>
                <w:rFonts w:hint="eastAsia" w:ascii="Times New Roman" w:hAnsi="Times New Roman" w:cs="Times New Roman"/>
                <w:b/>
                <w:bCs/>
                <w:color w:val="auto"/>
                <w:sz w:val="21"/>
                <w:szCs w:val="21"/>
                <w:highlight w:val="none"/>
                <w:lang w:val="en-US" w:eastAsia="zh-CN"/>
              </w:rPr>
              <w:t xml:space="preserve"> </w:t>
            </w:r>
            <w:r>
              <w:rPr>
                <w:rFonts w:hint="default" w:ascii="Times New Roman" w:hAnsi="Times New Roman" w:cs="Times New Roman"/>
                <w:b/>
                <w:bCs/>
                <w:color w:val="auto"/>
                <w:sz w:val="21"/>
                <w:szCs w:val="21"/>
                <w:highlight w:val="none"/>
                <w:lang w:val="en-US" w:eastAsia="zh-CN"/>
              </w:rPr>
              <w:t>与《阜新市生态环境准入清单（2023年版）》</w:t>
            </w:r>
            <w:r>
              <w:rPr>
                <w:rFonts w:hint="default" w:ascii="Times New Roman" w:hAnsi="Times New Roman" w:eastAsia="宋体" w:cs="Times New Roman"/>
                <w:b/>
                <w:bCs/>
                <w:color w:val="auto"/>
                <w:sz w:val="21"/>
                <w:szCs w:val="21"/>
                <w:highlight w:val="none"/>
                <w:lang w:val="en-US" w:eastAsia="zh-CN"/>
              </w:rPr>
              <w:t>符</w:t>
            </w:r>
            <w:r>
              <w:rPr>
                <w:rFonts w:hint="default" w:ascii="Times New Roman" w:hAnsi="Times New Roman" w:cs="Times New Roman"/>
                <w:b/>
                <w:bCs/>
                <w:color w:val="auto"/>
                <w:spacing w:val="-2"/>
                <w:sz w:val="21"/>
                <w:szCs w:val="21"/>
                <w:highlight w:val="none"/>
              </w:rPr>
              <w:t>合性分析</w:t>
            </w:r>
          </w:p>
          <w:tbl>
            <w:tblPr>
              <w:tblStyle w:val="26"/>
              <w:tblW w:w="5000" w:type="pct"/>
              <w:tblInd w:w="-11"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Layout w:type="fixed"/>
              <w:tblCellMar>
                <w:top w:w="0" w:type="dxa"/>
                <w:left w:w="108" w:type="dxa"/>
                <w:bottom w:w="0" w:type="dxa"/>
                <w:right w:w="108" w:type="dxa"/>
              </w:tblCellMar>
            </w:tblPr>
            <w:tblGrid>
              <w:gridCol w:w="976"/>
              <w:gridCol w:w="2806"/>
              <w:gridCol w:w="3576"/>
              <w:gridCol w:w="692"/>
            </w:tblGrid>
            <w:tr w14:paraId="42DDD3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3" w:hRule="atLeast"/>
              </w:trPr>
              <w:tc>
                <w:tcPr>
                  <w:tcW w:w="978" w:type="dxa"/>
                  <w:tcBorders>
                    <w:tl2br w:val="nil"/>
                    <w:tr2bl w:val="nil"/>
                  </w:tcBorders>
                  <w:shd w:val="clear" w:color="auto" w:fill="auto"/>
                  <w:noWrap w:val="0"/>
                  <w:vAlign w:val="center"/>
                </w:tcPr>
                <w:p w14:paraId="41593C6A">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u w:val="none"/>
                      <w:shd w:val="clear" w:color="auto" w:fill="auto"/>
                      <w:lang w:eastAsia="zh-CN"/>
                    </w:rPr>
                  </w:pPr>
                  <w:r>
                    <w:rPr>
                      <w:rFonts w:hint="default" w:ascii="Times New Roman" w:hAnsi="Times New Roman" w:eastAsia="宋体" w:cs="Times New Roman"/>
                      <w:b/>
                      <w:color w:val="auto"/>
                      <w:sz w:val="21"/>
                      <w:szCs w:val="21"/>
                      <w:highlight w:val="none"/>
                      <w:shd w:val="clear" w:color="auto" w:fill="auto"/>
                    </w:rPr>
                    <w:t>管控单元编码</w:t>
                  </w:r>
                </w:p>
              </w:tc>
              <w:tc>
                <w:tcPr>
                  <w:tcW w:w="7086" w:type="dxa"/>
                  <w:gridSpan w:val="3"/>
                  <w:tcBorders>
                    <w:tl2br w:val="nil"/>
                    <w:tr2bl w:val="nil"/>
                  </w:tcBorders>
                  <w:shd w:val="clear" w:color="auto" w:fill="auto"/>
                  <w:noWrap w:val="0"/>
                  <w:vAlign w:val="center"/>
                </w:tcPr>
                <w:p w14:paraId="74FCC8FF">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u w:val="none"/>
                      <w:shd w:val="clear" w:color="auto" w:fill="auto"/>
                    </w:rPr>
                  </w:pPr>
                  <w:r>
                    <w:rPr>
                      <w:rFonts w:hint="default" w:ascii="Times New Roman" w:hAnsi="Times New Roman" w:eastAsia="宋体" w:cs="Times New Roman"/>
                      <w:b/>
                      <w:color w:val="auto"/>
                      <w:sz w:val="21"/>
                      <w:szCs w:val="21"/>
                      <w:highlight w:val="none"/>
                      <w:shd w:val="clear" w:color="auto" w:fill="auto"/>
                    </w:rPr>
                    <w:t>环境管控单元名称</w:t>
                  </w:r>
                </w:p>
              </w:tc>
            </w:tr>
            <w:tr w14:paraId="5CF0F3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tcBorders>
                    <w:tl2br w:val="nil"/>
                    <w:tr2bl w:val="nil"/>
                  </w:tcBorders>
                  <w:shd w:val="clear" w:color="auto" w:fill="auto"/>
                  <w:noWrap w:val="0"/>
                  <w:vAlign w:val="center"/>
                </w:tcPr>
                <w:p w14:paraId="5984DD39">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shd w:val="clear" w:color="auto" w:fill="auto"/>
                      <w:lang w:val="en-US" w:eastAsia="zh-CN"/>
                    </w:rPr>
                    <w:t>ZH21092120003</w:t>
                  </w:r>
                </w:p>
              </w:tc>
              <w:tc>
                <w:tcPr>
                  <w:tcW w:w="7086" w:type="dxa"/>
                  <w:gridSpan w:val="3"/>
                  <w:tcBorders>
                    <w:tl2br w:val="nil"/>
                    <w:tr2bl w:val="nil"/>
                  </w:tcBorders>
                  <w:shd w:val="clear" w:color="auto" w:fill="auto"/>
                  <w:noWrap w:val="0"/>
                  <w:vAlign w:val="center"/>
                </w:tcPr>
                <w:p w14:paraId="5C140093">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u w:val="none"/>
                      <w:shd w:val="clear" w:color="auto" w:fill="auto"/>
                    </w:rPr>
                  </w:pPr>
                  <w:r>
                    <w:rPr>
                      <w:rFonts w:hint="default" w:ascii="Times New Roman" w:hAnsi="Times New Roman" w:eastAsia="宋体" w:cs="Times New Roman"/>
                      <w:b w:val="0"/>
                      <w:bCs w:val="0"/>
                      <w:color w:val="auto"/>
                      <w:sz w:val="21"/>
                      <w:szCs w:val="21"/>
                      <w:highlight w:val="none"/>
                      <w:shd w:val="clear" w:color="auto" w:fill="auto"/>
                      <w:lang w:val="en-US" w:eastAsia="zh-CN"/>
                    </w:rPr>
                    <w:t>阜新高新技术开发区西片区重点管控区</w:t>
                  </w:r>
                </w:p>
              </w:tc>
            </w:tr>
            <w:tr w14:paraId="2E69A58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tcBorders>
                    <w:tl2br w:val="nil"/>
                    <w:tr2bl w:val="nil"/>
                  </w:tcBorders>
                  <w:shd w:val="clear" w:color="auto" w:fill="auto"/>
                  <w:noWrap w:val="0"/>
                  <w:vAlign w:val="center"/>
                </w:tcPr>
                <w:p w14:paraId="241CFB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 w:val="21"/>
                      <w:szCs w:val="21"/>
                      <w:highlight w:val="none"/>
                      <w:u w:val="none"/>
                      <w:shd w:val="clear" w:color="auto" w:fill="auto"/>
                      <w:lang w:eastAsia="zh-CN"/>
                    </w:rPr>
                  </w:pPr>
                  <w:r>
                    <w:rPr>
                      <w:rFonts w:hint="default" w:ascii="Times New Roman" w:hAnsi="Times New Roman" w:eastAsia="宋体" w:cs="Times New Roman"/>
                      <w:b/>
                      <w:bCs/>
                      <w:color w:val="auto"/>
                      <w:kern w:val="0"/>
                      <w:sz w:val="21"/>
                      <w:szCs w:val="21"/>
                      <w:highlight w:val="none"/>
                      <w:vertAlign w:val="baseline"/>
                      <w:lang w:eastAsia="zh-CN"/>
                    </w:rPr>
                    <w:t>类型</w:t>
                  </w:r>
                </w:p>
              </w:tc>
              <w:tc>
                <w:tcPr>
                  <w:tcW w:w="2811" w:type="dxa"/>
                  <w:tcBorders>
                    <w:tl2br w:val="nil"/>
                    <w:tr2bl w:val="nil"/>
                  </w:tcBorders>
                  <w:shd w:val="clear" w:color="auto" w:fill="auto"/>
                  <w:noWrap w:val="0"/>
                  <w:vAlign w:val="center"/>
                </w:tcPr>
                <w:p w14:paraId="5109C0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u w:val="none"/>
                      <w:shd w:val="clear" w:color="auto" w:fill="auto"/>
                      <w:lang w:eastAsia="zh-CN"/>
                    </w:rPr>
                  </w:pPr>
                  <w:r>
                    <w:rPr>
                      <w:rFonts w:hint="default" w:ascii="Times New Roman" w:hAnsi="Times New Roman" w:eastAsia="宋体" w:cs="Times New Roman"/>
                      <w:b/>
                      <w:bCs/>
                      <w:color w:val="auto"/>
                      <w:sz w:val="21"/>
                      <w:szCs w:val="21"/>
                      <w:highlight w:val="none"/>
                      <w:u w:val="none"/>
                      <w:shd w:val="clear" w:color="auto" w:fill="auto"/>
                      <w:lang w:eastAsia="zh-CN"/>
                    </w:rPr>
                    <w:t>管控要求</w:t>
                  </w:r>
                </w:p>
              </w:tc>
              <w:tc>
                <w:tcPr>
                  <w:tcW w:w="3582" w:type="dxa"/>
                  <w:tcBorders>
                    <w:tl2br w:val="nil"/>
                    <w:tr2bl w:val="nil"/>
                  </w:tcBorders>
                  <w:shd w:val="clear" w:color="auto" w:fill="auto"/>
                  <w:noWrap w:val="0"/>
                  <w:vAlign w:val="center"/>
                </w:tcPr>
                <w:p w14:paraId="5CE5053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u w:val="none"/>
                      <w:shd w:val="clear" w:color="auto" w:fill="auto"/>
                      <w:lang w:eastAsia="zh-CN"/>
                    </w:rPr>
                  </w:pPr>
                  <w:r>
                    <w:rPr>
                      <w:rFonts w:hint="default" w:ascii="Times New Roman" w:hAnsi="Times New Roman" w:eastAsia="宋体" w:cs="Times New Roman"/>
                      <w:b/>
                      <w:bCs/>
                      <w:color w:val="auto"/>
                      <w:sz w:val="21"/>
                      <w:szCs w:val="21"/>
                      <w:highlight w:val="none"/>
                      <w:u w:val="none"/>
                      <w:shd w:val="clear" w:color="auto" w:fill="auto"/>
                      <w:lang w:eastAsia="zh-CN"/>
                    </w:rPr>
                    <w:t>本项目</w:t>
                  </w:r>
                </w:p>
              </w:tc>
              <w:tc>
                <w:tcPr>
                  <w:tcW w:w="693" w:type="dxa"/>
                  <w:tcBorders>
                    <w:tl2br w:val="nil"/>
                    <w:tr2bl w:val="nil"/>
                  </w:tcBorders>
                  <w:shd w:val="clear" w:color="auto" w:fill="auto"/>
                  <w:noWrap w:val="0"/>
                  <w:vAlign w:val="center"/>
                </w:tcPr>
                <w:p w14:paraId="36B9F4C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bCs/>
                      <w:color w:val="auto"/>
                      <w:sz w:val="21"/>
                      <w:szCs w:val="21"/>
                      <w:highlight w:val="none"/>
                      <w:u w:val="none"/>
                      <w:shd w:val="clear" w:color="auto" w:fill="auto"/>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6008A2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3" w:hRule="atLeast"/>
              </w:trPr>
              <w:tc>
                <w:tcPr>
                  <w:tcW w:w="978" w:type="dxa"/>
                  <w:vMerge w:val="restart"/>
                  <w:tcBorders>
                    <w:tl2br w:val="nil"/>
                    <w:tr2bl w:val="nil"/>
                  </w:tcBorders>
                  <w:shd w:val="clear" w:color="auto" w:fill="auto"/>
                  <w:noWrap w:val="0"/>
                  <w:vAlign w:val="center"/>
                </w:tcPr>
                <w:p w14:paraId="6487017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shd w:val="clear" w:color="auto" w:fill="auto"/>
                      <w:lang w:eastAsia="zh-CN"/>
                    </w:rPr>
                  </w:pPr>
                  <w:r>
                    <w:rPr>
                      <w:rFonts w:hint="default" w:ascii="Times New Roman" w:hAnsi="Times New Roman" w:eastAsia="宋体" w:cs="Times New Roman"/>
                      <w:color w:val="auto"/>
                      <w:sz w:val="21"/>
                      <w:szCs w:val="21"/>
                      <w:highlight w:val="none"/>
                      <w:shd w:val="clear" w:color="auto" w:fill="auto"/>
                      <w:lang w:eastAsia="zh-CN"/>
                    </w:rPr>
                    <w:t>空间布局约束</w:t>
                  </w:r>
                </w:p>
              </w:tc>
              <w:tc>
                <w:tcPr>
                  <w:tcW w:w="2811" w:type="dxa"/>
                  <w:tcBorders>
                    <w:tl2br w:val="nil"/>
                    <w:tr2bl w:val="nil"/>
                  </w:tcBorders>
                  <w:shd w:val="clear" w:color="auto" w:fill="auto"/>
                  <w:noWrap w:val="0"/>
                  <w:vAlign w:val="center"/>
                </w:tcPr>
                <w:p w14:paraId="7604F0F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rPr>
                  </w:pPr>
                  <w:r>
                    <w:rPr>
                      <w:rFonts w:hint="default" w:ascii="Times New Roman" w:hAnsi="Times New Roman" w:eastAsia="宋体" w:cs="Times New Roman"/>
                      <w:color w:val="auto"/>
                      <w:sz w:val="21"/>
                      <w:szCs w:val="21"/>
                      <w:highlight w:val="none"/>
                      <w:shd w:val="clear" w:color="auto" w:fill="auto"/>
                      <w:lang w:val="en-US" w:eastAsia="zh-CN"/>
                    </w:rPr>
                    <w:t>1.严禁违反国家产业政策、发展规划、行业准入条件和与区域产业类型、规划不相符的建设项目入驻；</w:t>
                  </w:r>
                </w:p>
              </w:tc>
              <w:tc>
                <w:tcPr>
                  <w:tcW w:w="3582" w:type="dxa"/>
                  <w:tcBorders>
                    <w:tl2br w:val="nil"/>
                    <w:tr2bl w:val="nil"/>
                  </w:tcBorders>
                  <w:shd w:val="clear" w:color="auto" w:fill="auto"/>
                  <w:noWrap w:val="0"/>
                  <w:vAlign w:val="center"/>
                </w:tcPr>
                <w:p w14:paraId="41D2CF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rPr>
                  </w:pPr>
                  <w:r>
                    <w:rPr>
                      <w:rFonts w:hint="default" w:ascii="Times New Roman" w:hAnsi="Times New Roman" w:eastAsia="宋体" w:cs="Times New Roman"/>
                      <w:color w:val="auto"/>
                      <w:kern w:val="2"/>
                      <w:sz w:val="21"/>
                      <w:szCs w:val="21"/>
                      <w:highlight w:val="none"/>
                      <w:lang w:val="en-US" w:eastAsia="zh-CN" w:bidi="ar-SA"/>
                    </w:rPr>
                    <w:t>项目为汽车拆解项目，属于废弃资源综合利用行业，</w:t>
                  </w:r>
                  <w:r>
                    <w:rPr>
                      <w:rFonts w:hint="eastAsia"/>
                      <w:color w:val="auto"/>
                      <w:highlight w:val="none"/>
                      <w:lang w:eastAsia="zh-CN"/>
                    </w:rPr>
                    <w:t>项目不在规划环评的负面清单内，不属于园区禁止引入的项目，</w:t>
                  </w:r>
                  <w:r>
                    <w:rPr>
                      <w:rFonts w:hint="default" w:ascii="Times New Roman" w:hAnsi="Times New Roman" w:eastAsia="宋体" w:cs="Times New Roman"/>
                      <w:color w:val="auto"/>
                      <w:kern w:val="2"/>
                      <w:sz w:val="21"/>
                      <w:szCs w:val="21"/>
                      <w:highlight w:val="none"/>
                      <w:lang w:val="en-US" w:eastAsia="zh-CN" w:bidi="ar-SA"/>
                    </w:rPr>
                    <w:t>为《产业结构调整指导目录（2024年本）》中鼓励类项目，企业</w:t>
                  </w:r>
                  <w:r>
                    <w:rPr>
                      <w:rFonts w:hint="eastAsia" w:cs="Times New Roman"/>
                      <w:color w:val="auto"/>
                      <w:kern w:val="2"/>
                      <w:sz w:val="21"/>
                      <w:szCs w:val="21"/>
                      <w:highlight w:val="none"/>
                      <w:lang w:val="en-US" w:eastAsia="zh-CN" w:bidi="ar-SA"/>
                    </w:rPr>
                    <w:t>已</w:t>
                  </w:r>
                  <w:r>
                    <w:rPr>
                      <w:rFonts w:hint="default" w:ascii="Times New Roman" w:hAnsi="Times New Roman" w:eastAsia="宋体" w:cs="Times New Roman"/>
                      <w:color w:val="auto"/>
                      <w:kern w:val="2"/>
                      <w:sz w:val="21"/>
                      <w:szCs w:val="21"/>
                      <w:highlight w:val="none"/>
                      <w:lang w:val="en-US" w:eastAsia="zh-CN" w:bidi="ar-SA"/>
                    </w:rPr>
                    <w:t>取得园区出具的规划说明，符合园区规划。</w:t>
                  </w:r>
                </w:p>
              </w:tc>
              <w:tc>
                <w:tcPr>
                  <w:tcW w:w="693" w:type="dxa"/>
                  <w:tcBorders>
                    <w:tl2br w:val="nil"/>
                    <w:tr2bl w:val="nil"/>
                  </w:tcBorders>
                  <w:shd w:val="clear" w:color="auto" w:fill="auto"/>
                  <w:noWrap w:val="0"/>
                  <w:vAlign w:val="center"/>
                </w:tcPr>
                <w:p w14:paraId="628D0A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shd w:val="clear" w:color="auto" w:fill="auto"/>
                      <w:lang w:eastAsia="zh-CN"/>
                    </w:rPr>
                  </w:pPr>
                  <w:r>
                    <w:rPr>
                      <w:rFonts w:hint="default" w:ascii="Times New Roman" w:hAnsi="Times New Roman" w:eastAsia="宋体" w:cs="Times New Roman"/>
                      <w:color w:val="auto"/>
                      <w:sz w:val="21"/>
                      <w:szCs w:val="21"/>
                      <w:highlight w:val="none"/>
                      <w:shd w:val="clear" w:color="auto" w:fill="auto"/>
                      <w:lang w:eastAsia="zh-CN"/>
                    </w:rPr>
                    <w:t>符合</w:t>
                  </w:r>
                </w:p>
              </w:tc>
            </w:tr>
            <w:tr w14:paraId="3F15CD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07B44B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shd w:val="clear" w:color="auto" w:fill="auto"/>
                      <w:lang w:eastAsia="zh-CN"/>
                    </w:rPr>
                  </w:pPr>
                </w:p>
              </w:tc>
              <w:tc>
                <w:tcPr>
                  <w:tcW w:w="2811" w:type="dxa"/>
                  <w:tcBorders>
                    <w:tl2br w:val="nil"/>
                    <w:tr2bl w:val="nil"/>
                  </w:tcBorders>
                  <w:shd w:val="clear" w:color="auto" w:fill="auto"/>
                  <w:noWrap w:val="0"/>
                  <w:vAlign w:val="center"/>
                </w:tcPr>
                <w:p w14:paraId="393F6D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shd w:val="clear" w:color="auto" w:fill="auto"/>
                      <w:lang w:val="en-US" w:eastAsia="zh-CN"/>
                    </w:rPr>
                    <w:t>2.入驻产业应符合行业准入或行业规范条件要求。</w:t>
                  </w:r>
                </w:p>
              </w:tc>
              <w:tc>
                <w:tcPr>
                  <w:tcW w:w="3582" w:type="dxa"/>
                  <w:tcBorders>
                    <w:tl2br w:val="nil"/>
                    <w:tr2bl w:val="nil"/>
                  </w:tcBorders>
                  <w:shd w:val="clear" w:color="auto" w:fill="auto"/>
                  <w:noWrap w:val="0"/>
                  <w:vAlign w:val="center"/>
                </w:tcPr>
                <w:p w14:paraId="2101705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项目满足《</w:t>
                  </w:r>
                  <w:r>
                    <w:rPr>
                      <w:rFonts w:hint="eastAsia" w:cs="Times New Roman"/>
                      <w:color w:val="auto"/>
                      <w:kern w:val="2"/>
                      <w:sz w:val="21"/>
                      <w:szCs w:val="21"/>
                      <w:highlight w:val="none"/>
                      <w:lang w:val="en-US" w:eastAsia="zh-CN"/>
                    </w:rPr>
                    <w:t>报废机动车回收管理办法</w:t>
                  </w:r>
                  <w:r>
                    <w:rPr>
                      <w:rFonts w:hint="default" w:ascii="Times New Roman" w:hAnsi="Times New Roman" w:eastAsia="宋体" w:cs="Times New Roman"/>
                      <w:color w:val="auto"/>
                      <w:kern w:val="2"/>
                      <w:sz w:val="21"/>
                      <w:szCs w:val="21"/>
                      <w:highlight w:val="none"/>
                      <w:lang w:val="en-US" w:eastAsia="zh-CN"/>
                    </w:rPr>
                    <w:t>》（国务院令第715号）、《报废机动车回收管理办法实施细则》（商务部令2020年第2号）、《报废机动车拆解企业污染控制技术规范》（HJ348—2022）要求。</w:t>
                  </w:r>
                </w:p>
              </w:tc>
              <w:tc>
                <w:tcPr>
                  <w:tcW w:w="693" w:type="dxa"/>
                  <w:tcBorders>
                    <w:tl2br w:val="nil"/>
                    <w:tr2bl w:val="nil"/>
                  </w:tcBorders>
                  <w:shd w:val="clear" w:color="auto" w:fill="auto"/>
                  <w:noWrap w:val="0"/>
                  <w:vAlign w:val="center"/>
                </w:tcPr>
                <w:p w14:paraId="5583DDC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shd w:val="clear" w:color="auto" w:fill="auto"/>
                      <w:lang w:eastAsia="zh-CN"/>
                    </w:rPr>
                  </w:pPr>
                  <w:r>
                    <w:rPr>
                      <w:rFonts w:hint="default" w:ascii="Times New Roman" w:hAnsi="Times New Roman" w:eastAsia="宋体" w:cs="Times New Roman"/>
                      <w:color w:val="auto"/>
                      <w:sz w:val="21"/>
                      <w:szCs w:val="21"/>
                      <w:highlight w:val="none"/>
                      <w:shd w:val="clear" w:color="auto" w:fill="auto"/>
                      <w:lang w:eastAsia="zh-CN"/>
                    </w:rPr>
                    <w:t>符合</w:t>
                  </w:r>
                </w:p>
              </w:tc>
            </w:tr>
            <w:tr w14:paraId="0FE35A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734520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shd w:val="clear" w:color="auto" w:fill="auto"/>
                      <w:lang w:eastAsia="zh-CN"/>
                    </w:rPr>
                  </w:pPr>
                </w:p>
              </w:tc>
              <w:tc>
                <w:tcPr>
                  <w:tcW w:w="2811" w:type="dxa"/>
                  <w:tcBorders>
                    <w:tl2br w:val="nil"/>
                    <w:tr2bl w:val="nil"/>
                  </w:tcBorders>
                  <w:shd w:val="clear" w:color="auto" w:fill="auto"/>
                  <w:noWrap w:val="0"/>
                  <w:vAlign w:val="center"/>
                </w:tcPr>
                <w:p w14:paraId="19605C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shd w:val="clear" w:color="auto" w:fill="auto"/>
                      <w:lang w:val="en-US" w:eastAsia="zh-CN"/>
                    </w:rPr>
                    <w:t>3.深入优化调整产业结构，积极培育制氢、加氢、储氢及应用全产业链条。</w:t>
                  </w:r>
                </w:p>
              </w:tc>
              <w:tc>
                <w:tcPr>
                  <w:tcW w:w="3582" w:type="dxa"/>
                  <w:tcBorders>
                    <w:tl2br w:val="nil"/>
                    <w:tr2bl w:val="nil"/>
                  </w:tcBorders>
                  <w:shd w:val="clear" w:color="auto" w:fill="auto"/>
                  <w:noWrap w:val="0"/>
                  <w:vAlign w:val="center"/>
                </w:tcPr>
                <w:p w14:paraId="7D5FFA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2"/>
                      <w:highlight w:val="none"/>
                      <w:lang w:val="en-US" w:eastAsia="zh-CN" w:bidi="ar"/>
                    </w:rPr>
                    <w:t>项目属于报废汽车回收拆解项目，属于废弃资源综合利用行业，</w:t>
                  </w:r>
                  <w:r>
                    <w:rPr>
                      <w:rFonts w:hint="default" w:ascii="Times New Roman" w:hAnsi="Times New Roman" w:eastAsia="宋体" w:cs="Times New Roman"/>
                      <w:color w:val="auto"/>
                      <w:kern w:val="2"/>
                      <w:sz w:val="21"/>
                      <w:szCs w:val="21"/>
                      <w:highlight w:val="none"/>
                      <w:lang w:val="en-US" w:eastAsia="zh-CN"/>
                    </w:rPr>
                    <w:t>不涉及</w:t>
                  </w:r>
                  <w:r>
                    <w:rPr>
                      <w:rFonts w:hint="default" w:ascii="Times New Roman" w:hAnsi="Times New Roman" w:eastAsia="宋体" w:cs="Times New Roman"/>
                      <w:color w:val="auto"/>
                      <w:sz w:val="21"/>
                      <w:szCs w:val="21"/>
                      <w:highlight w:val="none"/>
                      <w:shd w:val="clear" w:color="auto" w:fill="auto"/>
                      <w:lang w:val="en-US" w:eastAsia="zh-CN"/>
                    </w:rPr>
                    <w:t>培育制氢、加氢、储氢及应用全产业链条。</w:t>
                  </w:r>
                </w:p>
              </w:tc>
              <w:tc>
                <w:tcPr>
                  <w:tcW w:w="693" w:type="dxa"/>
                  <w:tcBorders>
                    <w:tl2br w:val="nil"/>
                    <w:tr2bl w:val="nil"/>
                  </w:tcBorders>
                  <w:shd w:val="clear" w:color="auto" w:fill="auto"/>
                  <w:noWrap w:val="0"/>
                  <w:vAlign w:val="center"/>
                </w:tcPr>
                <w:p w14:paraId="40C2F5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shd w:val="clear" w:color="auto" w:fill="auto"/>
                      <w:lang w:eastAsia="zh-CN"/>
                    </w:rPr>
                  </w:pPr>
                  <w:r>
                    <w:rPr>
                      <w:rFonts w:hint="default" w:ascii="Times New Roman" w:hAnsi="Times New Roman" w:eastAsia="宋体" w:cs="Times New Roman"/>
                      <w:color w:val="auto"/>
                      <w:sz w:val="21"/>
                      <w:szCs w:val="21"/>
                      <w:highlight w:val="none"/>
                      <w:shd w:val="clear" w:color="auto" w:fill="auto"/>
                      <w:lang w:eastAsia="zh-CN"/>
                    </w:rPr>
                    <w:t>符合</w:t>
                  </w:r>
                </w:p>
              </w:tc>
            </w:tr>
            <w:tr w14:paraId="48B01C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restart"/>
                  <w:tcBorders>
                    <w:tl2br w:val="nil"/>
                    <w:tr2bl w:val="nil"/>
                  </w:tcBorders>
                  <w:shd w:val="clear" w:color="auto" w:fill="auto"/>
                  <w:noWrap w:val="0"/>
                  <w:vAlign w:val="center"/>
                </w:tcPr>
                <w:p w14:paraId="71F090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污染物排放管控</w:t>
                  </w:r>
                </w:p>
              </w:tc>
              <w:tc>
                <w:tcPr>
                  <w:tcW w:w="2811" w:type="dxa"/>
                  <w:tcBorders>
                    <w:tl2br w:val="nil"/>
                    <w:tr2bl w:val="nil"/>
                  </w:tcBorders>
                  <w:shd w:val="clear" w:color="auto" w:fill="FFFFFF"/>
                  <w:noWrap w:val="0"/>
                  <w:vAlign w:val="center"/>
                </w:tcPr>
                <w:p w14:paraId="555507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1.禁止直接排放有毒有害污染物</w:t>
                  </w:r>
                </w:p>
              </w:tc>
              <w:tc>
                <w:tcPr>
                  <w:tcW w:w="3582" w:type="dxa"/>
                  <w:tcBorders>
                    <w:tl2br w:val="nil"/>
                    <w:tr2bl w:val="nil"/>
                  </w:tcBorders>
                  <w:shd w:val="clear" w:color="auto" w:fill="FFFFFF"/>
                  <w:noWrap w:val="0"/>
                  <w:vAlign w:val="center"/>
                </w:tcPr>
                <w:p w14:paraId="4D9806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lang w:val="en-US" w:eastAsia="zh-CN"/>
                    </w:rPr>
                    <w:t>项目</w:t>
                  </w:r>
                  <w:r>
                    <w:rPr>
                      <w:rFonts w:hint="default" w:ascii="Times New Roman" w:hAnsi="Times New Roman" w:eastAsia="宋体" w:cs="Times New Roman"/>
                      <w:color w:val="auto"/>
                      <w:kern w:val="0"/>
                      <w:sz w:val="21"/>
                      <w:szCs w:val="21"/>
                      <w:highlight w:val="none"/>
                      <w:vertAlign w:val="baseline"/>
                      <w:lang w:eastAsia="zh-CN"/>
                    </w:rPr>
                    <w:t>车间产生的废气采取措施后</w:t>
                  </w:r>
                  <w:r>
                    <w:rPr>
                      <w:rFonts w:hint="default" w:ascii="Times New Roman" w:hAnsi="Times New Roman" w:eastAsia="宋体" w:cs="Times New Roman"/>
                      <w:color w:val="auto"/>
                      <w:kern w:val="0"/>
                      <w:sz w:val="21"/>
                      <w:szCs w:val="21"/>
                      <w:highlight w:val="none"/>
                      <w:vertAlign w:val="baseline"/>
                      <w:lang w:val="en-US" w:eastAsia="zh-CN"/>
                    </w:rPr>
                    <w:t>污染物达标排放。</w:t>
                  </w:r>
                </w:p>
              </w:tc>
              <w:tc>
                <w:tcPr>
                  <w:tcW w:w="693" w:type="dxa"/>
                  <w:tcBorders>
                    <w:tl2br w:val="nil"/>
                    <w:tr2bl w:val="nil"/>
                  </w:tcBorders>
                  <w:shd w:val="clear" w:color="auto" w:fill="auto"/>
                  <w:noWrap w:val="0"/>
                  <w:vAlign w:val="center"/>
                </w:tcPr>
                <w:p w14:paraId="4829E82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3AD19D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2BB783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394C3A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2.加大综合治理力度，减少多污染物排放；加强大气污染物综合治理</w:t>
                  </w:r>
                </w:p>
              </w:tc>
              <w:tc>
                <w:tcPr>
                  <w:tcW w:w="3582" w:type="dxa"/>
                  <w:tcBorders>
                    <w:tl2br w:val="nil"/>
                    <w:tr2bl w:val="nil"/>
                  </w:tcBorders>
                  <w:shd w:val="clear" w:color="auto" w:fill="FFFFFF"/>
                  <w:noWrap w:val="0"/>
                  <w:vAlign w:val="center"/>
                </w:tcPr>
                <w:p w14:paraId="146C0E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lang w:val="en-US" w:eastAsia="zh-CN"/>
                    </w:rPr>
                    <w:t>项目不排放</w:t>
                  </w:r>
                  <w:r>
                    <w:rPr>
                      <w:rFonts w:hint="default" w:ascii="Times New Roman" w:hAnsi="Times New Roman" w:eastAsia="宋体" w:cs="Times New Roman"/>
                      <w:color w:val="auto"/>
                      <w:kern w:val="0"/>
                      <w:sz w:val="21"/>
                      <w:szCs w:val="21"/>
                      <w:highlight w:val="none"/>
                      <w:vertAlign w:val="baseline"/>
                    </w:rPr>
                    <w:t>有毒有害污染物</w:t>
                  </w:r>
                  <w:r>
                    <w:rPr>
                      <w:rFonts w:hint="default" w:ascii="Times New Roman" w:hAnsi="Times New Roman" w:eastAsia="宋体" w:cs="Times New Roman"/>
                      <w:color w:val="auto"/>
                      <w:kern w:val="0"/>
                      <w:sz w:val="21"/>
                      <w:szCs w:val="21"/>
                      <w:highlight w:val="none"/>
                      <w:vertAlign w:val="baseline"/>
                      <w:lang w:eastAsia="zh-CN"/>
                    </w:rPr>
                    <w:t>，生产车间产生的切割、破碎废气经布袋除尘装置处理后达标排放，拆解废气非甲烷总烃经活性炭吸附后达标排放。</w:t>
                  </w:r>
                </w:p>
              </w:tc>
              <w:tc>
                <w:tcPr>
                  <w:tcW w:w="693" w:type="dxa"/>
                  <w:tcBorders>
                    <w:tl2br w:val="nil"/>
                    <w:tr2bl w:val="nil"/>
                  </w:tcBorders>
                  <w:shd w:val="clear" w:color="auto" w:fill="auto"/>
                  <w:noWrap w:val="0"/>
                  <w:vAlign w:val="center"/>
                </w:tcPr>
                <w:p w14:paraId="44B2FAB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7249A6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797EB12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73EA75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3.严格控制“两高”行业新增产能，新、改、扩建项目应按国家要求实行产能等量或减量置换</w:t>
                  </w:r>
                </w:p>
              </w:tc>
              <w:tc>
                <w:tcPr>
                  <w:tcW w:w="3582" w:type="dxa"/>
                  <w:tcBorders>
                    <w:tl2br w:val="nil"/>
                    <w:tr2bl w:val="nil"/>
                  </w:tcBorders>
                  <w:shd w:val="clear" w:color="auto" w:fill="FFFFFF"/>
                  <w:noWrap w:val="0"/>
                  <w:vAlign w:val="center"/>
                </w:tcPr>
                <w:p w14:paraId="7C59A4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lang w:eastAsia="zh-CN"/>
                    </w:rPr>
                    <w:t>项目为废弃资源综合利用行业，不属于“高污染、高能耗”行业。</w:t>
                  </w:r>
                </w:p>
              </w:tc>
              <w:tc>
                <w:tcPr>
                  <w:tcW w:w="693" w:type="dxa"/>
                  <w:tcBorders>
                    <w:tl2br w:val="nil"/>
                    <w:tr2bl w:val="nil"/>
                  </w:tcBorders>
                  <w:shd w:val="clear" w:color="auto" w:fill="auto"/>
                  <w:noWrap w:val="0"/>
                  <w:vAlign w:val="center"/>
                </w:tcPr>
                <w:p w14:paraId="214EFF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13C1176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6D4771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0A006A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4.加强区域装备制造、液压等产业生产过程中</w:t>
                  </w:r>
                  <w:r>
                    <w:rPr>
                      <w:rFonts w:hint="eastAsia" w:cs="Times New Roman"/>
                      <w:color w:val="auto"/>
                      <w:kern w:val="0"/>
                      <w:sz w:val="21"/>
                      <w:szCs w:val="21"/>
                      <w:highlight w:val="none"/>
                      <w:vertAlign w:val="baseline"/>
                      <w:lang w:eastAsia="zh-CN"/>
                    </w:rPr>
                    <w:t>造成</w:t>
                  </w:r>
                  <w:r>
                    <w:rPr>
                      <w:rFonts w:hint="default" w:ascii="Times New Roman" w:hAnsi="Times New Roman" w:eastAsia="宋体" w:cs="Times New Roman"/>
                      <w:color w:val="auto"/>
                      <w:kern w:val="0"/>
                      <w:sz w:val="21"/>
                      <w:szCs w:val="21"/>
                      <w:highlight w:val="none"/>
                      <w:vertAlign w:val="baseline"/>
                    </w:rPr>
                    <w:t>的大气污染物管控，采取有效措施，减少颗粒物、挥发性有机物等无组织排放</w:t>
                  </w:r>
                </w:p>
              </w:tc>
              <w:tc>
                <w:tcPr>
                  <w:tcW w:w="3582" w:type="dxa"/>
                  <w:tcBorders>
                    <w:tl2br w:val="nil"/>
                    <w:tr2bl w:val="nil"/>
                  </w:tcBorders>
                  <w:shd w:val="clear" w:color="auto" w:fill="FFFFFF"/>
                  <w:noWrap w:val="0"/>
                  <w:vAlign w:val="center"/>
                </w:tcPr>
                <w:p w14:paraId="1793FA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lang w:eastAsia="zh-CN"/>
                    </w:rPr>
                    <w:t>项目车间产生的切割、破碎废气经布袋除尘装置处理后达标排放，拆解废气非甲烷总烃经活性炭吸附后达标排放；</w:t>
                  </w:r>
                  <w:r>
                    <w:rPr>
                      <w:rFonts w:hint="default" w:ascii="Times New Roman" w:hAnsi="Times New Roman" w:eastAsia="宋体" w:cs="Times New Roman"/>
                      <w:color w:val="auto"/>
                      <w:kern w:val="0"/>
                      <w:sz w:val="21"/>
                      <w:szCs w:val="21"/>
                      <w:highlight w:val="none"/>
                      <w:vertAlign w:val="baseline"/>
                      <w:lang w:val="en-US" w:eastAsia="zh-CN"/>
                    </w:rPr>
                    <w:t>项目设置集气罩对废气进行收集减少无组织废气的排放，且设备均位于密闭车间内。</w:t>
                  </w:r>
                </w:p>
              </w:tc>
              <w:tc>
                <w:tcPr>
                  <w:tcW w:w="693" w:type="dxa"/>
                  <w:tcBorders>
                    <w:tl2br w:val="nil"/>
                    <w:tr2bl w:val="nil"/>
                  </w:tcBorders>
                  <w:shd w:val="clear" w:color="auto" w:fill="auto"/>
                  <w:noWrap w:val="0"/>
                  <w:vAlign w:val="center"/>
                </w:tcPr>
                <w:p w14:paraId="321DE68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0990B1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2ABB47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6EAC07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5.禁止燃放烟花、爆竹</w:t>
                  </w:r>
                </w:p>
              </w:tc>
              <w:tc>
                <w:tcPr>
                  <w:tcW w:w="3582" w:type="dxa"/>
                  <w:tcBorders>
                    <w:tl2br w:val="nil"/>
                    <w:tr2bl w:val="nil"/>
                  </w:tcBorders>
                  <w:shd w:val="clear" w:color="auto" w:fill="FFFFFF"/>
                  <w:noWrap w:val="0"/>
                  <w:vAlign w:val="center"/>
                </w:tcPr>
                <w:p w14:paraId="220F5A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eastAsia" w:cs="Times New Roman"/>
                      <w:color w:val="auto"/>
                      <w:kern w:val="0"/>
                      <w:sz w:val="21"/>
                      <w:szCs w:val="21"/>
                      <w:highlight w:val="none"/>
                      <w:vertAlign w:val="baseline"/>
                      <w:lang w:val="en-US" w:eastAsia="zh-CN"/>
                    </w:rPr>
                    <w:t>项目不涉及</w:t>
                  </w:r>
                </w:p>
              </w:tc>
              <w:tc>
                <w:tcPr>
                  <w:tcW w:w="693" w:type="dxa"/>
                  <w:tcBorders>
                    <w:tl2br w:val="nil"/>
                    <w:tr2bl w:val="nil"/>
                  </w:tcBorders>
                  <w:shd w:val="clear" w:color="auto" w:fill="auto"/>
                  <w:noWrap w:val="0"/>
                  <w:vAlign w:val="center"/>
                </w:tcPr>
                <w:p w14:paraId="55CF9D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646B3E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7EAE38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15A8BF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6.禁止焚烧生活垃圾、建筑垃圾、环卫清扫物等废弃物</w:t>
                  </w:r>
                </w:p>
              </w:tc>
              <w:tc>
                <w:tcPr>
                  <w:tcW w:w="3582" w:type="dxa"/>
                  <w:tcBorders>
                    <w:tl2br w:val="nil"/>
                    <w:tr2bl w:val="nil"/>
                  </w:tcBorders>
                  <w:shd w:val="clear" w:color="auto" w:fill="FFFFFF"/>
                  <w:noWrap w:val="0"/>
                  <w:vAlign w:val="center"/>
                </w:tcPr>
                <w:p w14:paraId="6C0B57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eastAsia="zh-CN"/>
                    </w:rPr>
                    <w:t>项目生活垃圾集中收集交由环卫部门处理；项目</w:t>
                  </w:r>
                  <w:r>
                    <w:rPr>
                      <w:rFonts w:hint="eastAsia" w:cs="Times New Roman"/>
                      <w:color w:val="auto"/>
                      <w:kern w:val="0"/>
                      <w:sz w:val="21"/>
                      <w:szCs w:val="21"/>
                      <w:highlight w:val="none"/>
                      <w:vertAlign w:val="baseline"/>
                      <w:lang w:val="en-US" w:eastAsia="zh-CN"/>
                    </w:rPr>
                    <w:t>在</w:t>
                  </w:r>
                  <w:r>
                    <w:rPr>
                      <w:rFonts w:hint="default" w:ascii="Times New Roman" w:hAnsi="Times New Roman" w:eastAsia="宋体" w:cs="Times New Roman"/>
                      <w:color w:val="auto"/>
                      <w:kern w:val="0"/>
                      <w:sz w:val="21"/>
                      <w:szCs w:val="21"/>
                      <w:highlight w:val="none"/>
                      <w:vertAlign w:val="baseline"/>
                      <w:lang w:eastAsia="zh-CN"/>
                    </w:rPr>
                    <w:t>现有车间</w:t>
                  </w:r>
                  <w:r>
                    <w:rPr>
                      <w:rFonts w:hint="eastAsia" w:cs="Times New Roman"/>
                      <w:color w:val="auto"/>
                      <w:kern w:val="0"/>
                      <w:sz w:val="21"/>
                      <w:szCs w:val="21"/>
                      <w:highlight w:val="none"/>
                      <w:vertAlign w:val="baseline"/>
                      <w:lang w:val="en-US" w:eastAsia="zh-CN"/>
                    </w:rPr>
                    <w:t>进行建设</w:t>
                  </w:r>
                  <w:r>
                    <w:rPr>
                      <w:rFonts w:hint="default" w:ascii="Times New Roman" w:hAnsi="Times New Roman" w:eastAsia="宋体" w:cs="Times New Roman"/>
                      <w:color w:val="auto"/>
                      <w:kern w:val="0"/>
                      <w:sz w:val="21"/>
                      <w:szCs w:val="21"/>
                      <w:highlight w:val="none"/>
                      <w:vertAlign w:val="baseline"/>
                      <w:lang w:eastAsia="zh-CN"/>
                    </w:rPr>
                    <w:t>，只进行装修和设备安装，建筑垃圾交由环卫部门处理</w:t>
                  </w:r>
                  <w:r>
                    <w:rPr>
                      <w:rFonts w:hint="eastAsia" w:cs="Times New Roman"/>
                      <w:color w:val="auto"/>
                      <w:kern w:val="0"/>
                      <w:sz w:val="21"/>
                      <w:szCs w:val="21"/>
                      <w:highlight w:val="none"/>
                      <w:vertAlign w:val="baseline"/>
                      <w:lang w:eastAsia="zh-CN"/>
                    </w:rPr>
                    <w:t>，</w:t>
                  </w:r>
                  <w:r>
                    <w:rPr>
                      <w:rFonts w:hint="eastAsia" w:cs="Times New Roman"/>
                      <w:color w:val="auto"/>
                      <w:kern w:val="0"/>
                      <w:sz w:val="21"/>
                      <w:szCs w:val="21"/>
                      <w:highlight w:val="none"/>
                      <w:vertAlign w:val="baseline"/>
                      <w:lang w:val="en-US" w:eastAsia="zh-CN"/>
                    </w:rPr>
                    <w:t>项目固体废物有合理去向。</w:t>
                  </w:r>
                </w:p>
              </w:tc>
              <w:tc>
                <w:tcPr>
                  <w:tcW w:w="693" w:type="dxa"/>
                  <w:tcBorders>
                    <w:tl2br w:val="nil"/>
                    <w:tr2bl w:val="nil"/>
                  </w:tcBorders>
                  <w:shd w:val="clear" w:color="auto" w:fill="auto"/>
                  <w:noWrap w:val="0"/>
                  <w:vAlign w:val="center"/>
                </w:tcPr>
                <w:p w14:paraId="0FE975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79E30F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35DDBE0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65F0B16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7.禁止在人口集中地区和其他依法需要特殊保护的区域内排放有毒有害烟尘和恶臭气体的物质</w:t>
                  </w:r>
                </w:p>
              </w:tc>
              <w:tc>
                <w:tcPr>
                  <w:tcW w:w="3582" w:type="dxa"/>
                  <w:tcBorders>
                    <w:tl2br w:val="nil"/>
                    <w:tr2bl w:val="nil"/>
                  </w:tcBorders>
                  <w:shd w:val="clear" w:color="auto" w:fill="FFFFFF"/>
                  <w:noWrap w:val="0"/>
                  <w:vAlign w:val="center"/>
                </w:tcPr>
                <w:p w14:paraId="460EF8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eastAsia="zh-CN"/>
                    </w:rPr>
                    <w:t>项目位于阜新高新技术开发区内，周围均为工业生产型企业，不属于人口集中地区和其他依法需要特殊</w:t>
                  </w:r>
                  <w:r>
                    <w:rPr>
                      <w:rFonts w:hint="default" w:ascii="Times New Roman" w:hAnsi="Times New Roman" w:eastAsia="宋体" w:cs="Times New Roman"/>
                      <w:color w:val="auto"/>
                      <w:kern w:val="0"/>
                      <w:sz w:val="21"/>
                      <w:szCs w:val="21"/>
                      <w:highlight w:val="none"/>
                      <w:vertAlign w:val="baseline"/>
                      <w:lang w:val="en-US" w:eastAsia="zh-CN"/>
                    </w:rPr>
                    <w:t>保护</w:t>
                  </w:r>
                  <w:r>
                    <w:rPr>
                      <w:rFonts w:hint="default" w:ascii="Times New Roman" w:hAnsi="Times New Roman" w:eastAsia="宋体" w:cs="Times New Roman"/>
                      <w:color w:val="auto"/>
                      <w:kern w:val="0"/>
                      <w:sz w:val="21"/>
                      <w:szCs w:val="21"/>
                      <w:highlight w:val="none"/>
                      <w:vertAlign w:val="baseline"/>
                      <w:lang w:eastAsia="zh-CN"/>
                    </w:rPr>
                    <w:t>的区域。</w:t>
                  </w:r>
                </w:p>
              </w:tc>
              <w:tc>
                <w:tcPr>
                  <w:tcW w:w="693" w:type="dxa"/>
                  <w:tcBorders>
                    <w:tl2br w:val="nil"/>
                    <w:tr2bl w:val="nil"/>
                  </w:tcBorders>
                  <w:shd w:val="clear" w:color="auto" w:fill="auto"/>
                  <w:noWrap w:val="0"/>
                  <w:vAlign w:val="center"/>
                </w:tcPr>
                <w:p w14:paraId="50835B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5FE449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shd w:val="clear" w:color="auto" w:fill="FFFFFF"/>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2C02A9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62F1C6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8.禁燃区内已建成的高污染燃料设施，应当在市政府规定的期限内改用天然气、页岩气、液化石油气、电或者其他清洁能源</w:t>
                  </w:r>
                </w:p>
              </w:tc>
              <w:tc>
                <w:tcPr>
                  <w:tcW w:w="3582" w:type="dxa"/>
                  <w:tcBorders>
                    <w:tl2br w:val="nil"/>
                    <w:tr2bl w:val="nil"/>
                  </w:tcBorders>
                  <w:shd w:val="clear" w:color="auto" w:fill="FFFFFF"/>
                  <w:noWrap w:val="0"/>
                  <w:vAlign w:val="center"/>
                </w:tcPr>
                <w:p w14:paraId="059540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lang w:eastAsia="zh-CN"/>
                    </w:rPr>
                    <w:t>项目不涉及高污染燃料设施，办公室采用电取暖，为清洁能源。</w:t>
                  </w:r>
                </w:p>
              </w:tc>
              <w:tc>
                <w:tcPr>
                  <w:tcW w:w="693" w:type="dxa"/>
                  <w:tcBorders>
                    <w:tl2br w:val="nil"/>
                    <w:tr2bl w:val="nil"/>
                  </w:tcBorders>
                  <w:shd w:val="clear" w:color="auto" w:fill="auto"/>
                  <w:noWrap w:val="0"/>
                  <w:vAlign w:val="center"/>
                </w:tcPr>
                <w:p w14:paraId="481BD8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4C3273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1754F79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0C913D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9.城市建成区新建燃煤锅炉项目大气污染物排放浓度要求满足超低排放要求</w:t>
                  </w:r>
                </w:p>
              </w:tc>
              <w:tc>
                <w:tcPr>
                  <w:tcW w:w="3582" w:type="dxa"/>
                  <w:tcBorders>
                    <w:tl2br w:val="nil"/>
                    <w:tr2bl w:val="nil"/>
                  </w:tcBorders>
                  <w:shd w:val="clear" w:color="auto" w:fill="FFFFFF"/>
                  <w:noWrap w:val="0"/>
                  <w:vAlign w:val="center"/>
                </w:tcPr>
                <w:p w14:paraId="69EFBE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eastAsia="zh-CN"/>
                    </w:rPr>
                    <w:t>项目位于阜新高新技术开发区内，办公室采用电取暖。</w:t>
                  </w:r>
                </w:p>
              </w:tc>
              <w:tc>
                <w:tcPr>
                  <w:tcW w:w="693" w:type="dxa"/>
                  <w:tcBorders>
                    <w:tl2br w:val="nil"/>
                    <w:tr2bl w:val="nil"/>
                  </w:tcBorders>
                  <w:shd w:val="clear" w:color="auto" w:fill="auto"/>
                  <w:noWrap w:val="0"/>
                  <w:vAlign w:val="center"/>
                </w:tcPr>
                <w:p w14:paraId="003551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49E076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6C630B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7B20A4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10.实现集中供热，企业特殊工艺需自建锅炉的必须采取清洁能源</w:t>
                  </w:r>
                </w:p>
              </w:tc>
              <w:tc>
                <w:tcPr>
                  <w:tcW w:w="3582" w:type="dxa"/>
                  <w:tcBorders>
                    <w:tl2br w:val="nil"/>
                    <w:tr2bl w:val="nil"/>
                  </w:tcBorders>
                  <w:shd w:val="clear" w:color="auto" w:fill="FFFFFF"/>
                  <w:noWrap w:val="0"/>
                  <w:vAlign w:val="center"/>
                </w:tcPr>
                <w:p w14:paraId="5E0416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项目办公室采用电取暖。</w:t>
                  </w:r>
                </w:p>
              </w:tc>
              <w:tc>
                <w:tcPr>
                  <w:tcW w:w="693" w:type="dxa"/>
                  <w:tcBorders>
                    <w:tl2br w:val="nil"/>
                    <w:tr2bl w:val="nil"/>
                  </w:tcBorders>
                  <w:shd w:val="clear" w:color="auto" w:fill="auto"/>
                  <w:noWrap w:val="0"/>
                  <w:vAlign w:val="center"/>
                </w:tcPr>
                <w:p w14:paraId="34B372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1A5E81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978" w:type="dxa"/>
                  <w:vMerge w:val="continue"/>
                  <w:tcBorders>
                    <w:tl2br w:val="nil"/>
                    <w:tr2bl w:val="nil"/>
                  </w:tcBorders>
                  <w:shd w:val="clear" w:color="auto" w:fill="auto"/>
                  <w:noWrap w:val="0"/>
                  <w:vAlign w:val="center"/>
                </w:tcPr>
                <w:p w14:paraId="205529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FFFFFF"/>
                  <w:noWrap w:val="0"/>
                  <w:vAlign w:val="center"/>
                </w:tcPr>
                <w:p w14:paraId="7D1440C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bidi="ar-SA"/>
                    </w:rPr>
                  </w:pPr>
                  <w:r>
                    <w:rPr>
                      <w:rFonts w:hint="default" w:ascii="Times New Roman" w:hAnsi="Times New Roman" w:eastAsia="宋体" w:cs="Times New Roman"/>
                      <w:color w:val="auto"/>
                      <w:kern w:val="0"/>
                      <w:sz w:val="21"/>
                      <w:szCs w:val="21"/>
                      <w:highlight w:val="none"/>
                      <w:vertAlign w:val="baseline"/>
                    </w:rPr>
                    <w:t>11.实现“雨污分流、清污分流、污污分流”，污水由污水处理厂统一处理后排放</w:t>
                  </w:r>
                </w:p>
              </w:tc>
              <w:tc>
                <w:tcPr>
                  <w:tcW w:w="3582" w:type="dxa"/>
                  <w:tcBorders>
                    <w:tl2br w:val="nil"/>
                    <w:tr2bl w:val="nil"/>
                  </w:tcBorders>
                  <w:shd w:val="clear" w:color="auto" w:fill="FFFFFF"/>
                  <w:noWrap w:val="0"/>
                  <w:vAlign w:val="center"/>
                </w:tcPr>
                <w:p w14:paraId="59A902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val="en-US" w:eastAsia="zh-CN"/>
                    </w:rPr>
                  </w:pPr>
                  <w:r>
                    <w:rPr>
                      <w:rFonts w:hint="default" w:ascii="Times New Roman" w:hAnsi="Times New Roman" w:eastAsia="宋体" w:cs="Times New Roman"/>
                      <w:color w:val="auto"/>
                      <w:kern w:val="0"/>
                      <w:sz w:val="21"/>
                      <w:szCs w:val="21"/>
                      <w:highlight w:val="none"/>
                      <w:vertAlign w:val="baseline"/>
                      <w:lang w:val="en-US" w:eastAsia="zh-CN"/>
                    </w:rPr>
                    <w:t>项目初期雨水和生产废水经过污水处理设施处理工艺为“均质+隔油池+絮凝+沉淀”处理后经园区管网排入阜新市北控水务有限公司；项目生活污水排入厂区化粪池后经园区管网排入阜新市北控水务有限公司。</w:t>
                  </w:r>
                </w:p>
              </w:tc>
              <w:tc>
                <w:tcPr>
                  <w:tcW w:w="693" w:type="dxa"/>
                  <w:tcBorders>
                    <w:tl2br w:val="nil"/>
                    <w:tr2bl w:val="nil"/>
                  </w:tcBorders>
                  <w:shd w:val="clear" w:color="auto" w:fill="auto"/>
                  <w:noWrap w:val="0"/>
                  <w:vAlign w:val="center"/>
                </w:tcPr>
                <w:p w14:paraId="11C238F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3488270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tcBorders>
                    <w:tl2br w:val="nil"/>
                    <w:tr2bl w:val="nil"/>
                  </w:tcBorders>
                  <w:shd w:val="clear" w:color="auto" w:fill="auto"/>
                  <w:noWrap w:val="0"/>
                  <w:vAlign w:val="center"/>
                </w:tcPr>
                <w:p w14:paraId="223495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环境风险管控</w:t>
                  </w:r>
                </w:p>
              </w:tc>
              <w:tc>
                <w:tcPr>
                  <w:tcW w:w="2811" w:type="dxa"/>
                  <w:tcBorders>
                    <w:tl2br w:val="nil"/>
                    <w:tr2bl w:val="nil"/>
                  </w:tcBorders>
                  <w:shd w:val="clear" w:color="auto" w:fill="auto"/>
                  <w:noWrap w:val="0"/>
                  <w:vAlign w:val="center"/>
                </w:tcPr>
                <w:p w14:paraId="21DCAE5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shd w:val="clear" w:color="auto" w:fill="auto"/>
                      <w:lang w:val="en-US" w:eastAsia="zh-CN"/>
                    </w:rPr>
                    <w:t>严格限制有毒有害污染物排放。</w:t>
                  </w:r>
                </w:p>
              </w:tc>
              <w:tc>
                <w:tcPr>
                  <w:tcW w:w="3582" w:type="dxa"/>
                  <w:tcBorders>
                    <w:tl2br w:val="nil"/>
                    <w:tr2bl w:val="nil"/>
                  </w:tcBorders>
                  <w:shd w:val="clear" w:color="auto" w:fill="auto"/>
                  <w:noWrap w:val="0"/>
                  <w:vAlign w:val="center"/>
                </w:tcPr>
                <w:p w14:paraId="178C63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kern w:val="0"/>
                      <w:sz w:val="21"/>
                      <w:szCs w:val="21"/>
                      <w:highlight w:val="none"/>
                      <w:vertAlign w:val="baseline"/>
                      <w:lang w:val="en-US" w:eastAsia="zh-CN"/>
                    </w:rPr>
                    <w:t>项目不排放</w:t>
                  </w:r>
                  <w:r>
                    <w:rPr>
                      <w:rFonts w:hint="default" w:ascii="Times New Roman" w:hAnsi="Times New Roman" w:eastAsia="宋体" w:cs="Times New Roman"/>
                      <w:color w:val="auto"/>
                      <w:kern w:val="0"/>
                      <w:sz w:val="21"/>
                      <w:szCs w:val="21"/>
                      <w:highlight w:val="none"/>
                      <w:vertAlign w:val="baseline"/>
                    </w:rPr>
                    <w:t>有毒有害污染物</w:t>
                  </w:r>
                  <w:r>
                    <w:rPr>
                      <w:rFonts w:hint="default" w:ascii="Times New Roman" w:hAnsi="Times New Roman" w:eastAsia="宋体" w:cs="Times New Roman"/>
                      <w:color w:val="auto"/>
                      <w:kern w:val="0"/>
                      <w:sz w:val="21"/>
                      <w:szCs w:val="21"/>
                      <w:highlight w:val="none"/>
                      <w:vertAlign w:val="baseline"/>
                      <w:lang w:eastAsia="zh-CN"/>
                    </w:rPr>
                    <w:t>，车间产生的废气采取措施后</w:t>
                  </w:r>
                  <w:r>
                    <w:rPr>
                      <w:rFonts w:hint="default" w:ascii="Times New Roman" w:hAnsi="Times New Roman" w:eastAsia="宋体" w:cs="Times New Roman"/>
                      <w:color w:val="auto"/>
                      <w:kern w:val="0"/>
                      <w:sz w:val="21"/>
                      <w:szCs w:val="21"/>
                      <w:highlight w:val="none"/>
                      <w:vertAlign w:val="baseline"/>
                      <w:lang w:val="en-US" w:eastAsia="zh-CN"/>
                    </w:rPr>
                    <w:t>污染物达标排放。</w:t>
                  </w:r>
                </w:p>
              </w:tc>
              <w:tc>
                <w:tcPr>
                  <w:tcW w:w="693" w:type="dxa"/>
                  <w:tcBorders>
                    <w:tl2br w:val="nil"/>
                    <w:tr2bl w:val="nil"/>
                  </w:tcBorders>
                  <w:shd w:val="clear" w:color="auto" w:fill="auto"/>
                  <w:noWrap w:val="0"/>
                  <w:vAlign w:val="center"/>
                </w:tcPr>
                <w:p w14:paraId="11419BF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6B0B12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restart"/>
                  <w:tcBorders>
                    <w:tl2br w:val="nil"/>
                    <w:tr2bl w:val="nil"/>
                  </w:tcBorders>
                  <w:shd w:val="clear" w:color="auto" w:fill="auto"/>
                  <w:noWrap w:val="0"/>
                  <w:vAlign w:val="center"/>
                </w:tcPr>
                <w:p w14:paraId="702111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r>
                    <w:rPr>
                      <w:rFonts w:hint="default" w:ascii="Times New Roman" w:hAnsi="Times New Roman" w:eastAsia="宋体" w:cs="Times New Roman"/>
                      <w:b w:val="0"/>
                      <w:bCs w:val="0"/>
                      <w:color w:val="auto"/>
                      <w:sz w:val="21"/>
                      <w:szCs w:val="21"/>
                      <w:highlight w:val="none"/>
                      <w:u w:val="none"/>
                      <w:shd w:val="clear" w:color="auto" w:fill="auto"/>
                      <w:lang w:eastAsia="zh-CN"/>
                    </w:rPr>
                    <w:t>资源开发效率要求</w:t>
                  </w:r>
                </w:p>
              </w:tc>
              <w:tc>
                <w:tcPr>
                  <w:tcW w:w="2811" w:type="dxa"/>
                  <w:tcBorders>
                    <w:tl2br w:val="nil"/>
                    <w:tr2bl w:val="nil"/>
                  </w:tcBorders>
                  <w:shd w:val="clear" w:color="auto" w:fill="auto"/>
                  <w:noWrap w:val="0"/>
                  <w:vAlign w:val="center"/>
                </w:tcPr>
                <w:p w14:paraId="15705A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shd w:val="clear" w:color="auto" w:fill="auto"/>
                      <w:lang w:val="en-US" w:eastAsia="zh-CN"/>
                    </w:rPr>
                    <w:t>1.清洁生产水平达到国内先进及以上水平；</w:t>
                  </w:r>
                </w:p>
              </w:tc>
              <w:tc>
                <w:tcPr>
                  <w:tcW w:w="3582" w:type="dxa"/>
                  <w:tcBorders>
                    <w:tl2br w:val="nil"/>
                    <w:tr2bl w:val="nil"/>
                  </w:tcBorders>
                  <w:shd w:val="clear" w:color="auto" w:fill="auto"/>
                  <w:noWrap w:val="0"/>
                  <w:vAlign w:val="center"/>
                </w:tcPr>
                <w:p w14:paraId="188AC3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rPr>
                  </w:pPr>
                  <w:r>
                    <w:rPr>
                      <w:rFonts w:hint="default" w:ascii="Times New Roman" w:hAnsi="Times New Roman" w:eastAsia="宋体" w:cs="Times New Roman"/>
                      <w:color w:val="auto"/>
                      <w:kern w:val="0"/>
                      <w:sz w:val="21"/>
                      <w:szCs w:val="21"/>
                      <w:highlight w:val="none"/>
                      <w:vertAlign w:val="baseline"/>
                      <w:lang w:val="en-US" w:eastAsia="zh-CN"/>
                    </w:rPr>
                    <w:t>通过对该项目生产工艺、设备、资源消耗、产品指标和污染物产生指标的综合分析，定性认为该项目清洁生产水平处于国内先进水平。</w:t>
                  </w:r>
                </w:p>
              </w:tc>
              <w:tc>
                <w:tcPr>
                  <w:tcW w:w="693" w:type="dxa"/>
                  <w:tcBorders>
                    <w:tl2br w:val="nil"/>
                    <w:tr2bl w:val="nil"/>
                  </w:tcBorders>
                  <w:shd w:val="clear" w:color="auto" w:fill="auto"/>
                  <w:noWrap w:val="0"/>
                  <w:vAlign w:val="center"/>
                </w:tcPr>
                <w:p w14:paraId="41A083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r w14:paraId="769DBA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8" w:type="dxa"/>
                  <w:vMerge w:val="continue"/>
                  <w:tcBorders>
                    <w:tl2br w:val="nil"/>
                    <w:tr2bl w:val="nil"/>
                  </w:tcBorders>
                  <w:shd w:val="clear" w:color="auto" w:fill="auto"/>
                  <w:noWrap w:val="0"/>
                  <w:vAlign w:val="center"/>
                </w:tcPr>
                <w:p w14:paraId="4D3B1DE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lang w:eastAsia="zh-CN"/>
                    </w:rPr>
                  </w:pPr>
                </w:p>
              </w:tc>
              <w:tc>
                <w:tcPr>
                  <w:tcW w:w="2811" w:type="dxa"/>
                  <w:tcBorders>
                    <w:tl2br w:val="nil"/>
                    <w:tr2bl w:val="nil"/>
                  </w:tcBorders>
                  <w:shd w:val="clear" w:color="auto" w:fill="auto"/>
                  <w:noWrap w:val="0"/>
                  <w:vAlign w:val="center"/>
                </w:tcPr>
                <w:p w14:paraId="5AE436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sz w:val="21"/>
                      <w:szCs w:val="21"/>
                      <w:highlight w:val="none"/>
                      <w:shd w:val="clear" w:color="auto" w:fill="auto"/>
                      <w:lang w:val="en-US" w:eastAsia="zh-CN"/>
                    </w:rPr>
                  </w:pPr>
                  <w:r>
                    <w:rPr>
                      <w:rFonts w:hint="default" w:ascii="Times New Roman" w:hAnsi="Times New Roman" w:eastAsia="宋体" w:cs="Times New Roman"/>
                      <w:color w:val="auto"/>
                      <w:sz w:val="21"/>
                      <w:szCs w:val="21"/>
                      <w:highlight w:val="none"/>
                      <w:shd w:val="clear" w:color="auto" w:fill="auto"/>
                      <w:lang w:val="en-US" w:eastAsia="zh-CN"/>
                    </w:rPr>
                    <w:t>2.资源利用率满足行业国内先进指标要求。</w:t>
                  </w:r>
                </w:p>
              </w:tc>
              <w:tc>
                <w:tcPr>
                  <w:tcW w:w="3582" w:type="dxa"/>
                  <w:tcBorders>
                    <w:tl2br w:val="nil"/>
                    <w:tr2bl w:val="nil"/>
                  </w:tcBorders>
                  <w:shd w:val="clear" w:color="auto" w:fill="auto"/>
                  <w:noWrap w:val="0"/>
                  <w:vAlign w:val="center"/>
                </w:tcPr>
                <w:p w14:paraId="48F711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both"/>
                    <w:textAlignment w:val="auto"/>
                    <w:rPr>
                      <w:rFonts w:hint="default" w:ascii="Times New Roman" w:hAnsi="Times New Roman" w:eastAsia="宋体" w:cs="Times New Roman"/>
                      <w:color w:val="auto"/>
                      <w:kern w:val="0"/>
                      <w:sz w:val="21"/>
                      <w:szCs w:val="21"/>
                      <w:highlight w:val="none"/>
                      <w:vertAlign w:val="baseline"/>
                    </w:rPr>
                  </w:pPr>
                  <w:r>
                    <w:rPr>
                      <w:rFonts w:hint="default" w:ascii="Times New Roman" w:hAnsi="Times New Roman" w:eastAsia="宋体" w:cs="Times New Roman"/>
                      <w:color w:val="auto"/>
                      <w:kern w:val="0"/>
                      <w:sz w:val="21"/>
                      <w:szCs w:val="21"/>
                      <w:highlight w:val="none"/>
                      <w:vertAlign w:val="baseline"/>
                      <w:lang w:val="en-US" w:eastAsia="zh-CN"/>
                    </w:rPr>
                    <w:t>项目资源利用率满足行业国内先进指标要求。</w:t>
                  </w:r>
                </w:p>
              </w:tc>
              <w:tc>
                <w:tcPr>
                  <w:tcW w:w="693" w:type="dxa"/>
                  <w:tcBorders>
                    <w:tl2br w:val="nil"/>
                    <w:tr2bl w:val="nil"/>
                  </w:tcBorders>
                  <w:shd w:val="clear" w:color="auto" w:fill="auto"/>
                  <w:noWrap w:val="0"/>
                  <w:vAlign w:val="center"/>
                </w:tcPr>
                <w:p w14:paraId="3DE4E08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b w:val="0"/>
                      <w:bCs w:val="0"/>
                      <w:color w:val="auto"/>
                      <w:sz w:val="21"/>
                      <w:szCs w:val="21"/>
                      <w:highlight w:val="none"/>
                      <w:u w:val="none"/>
                      <w:shd w:val="clear" w:color="auto" w:fill="auto"/>
                    </w:rPr>
                  </w:pPr>
                  <w:r>
                    <w:rPr>
                      <w:rFonts w:hint="default" w:ascii="Times New Roman" w:hAnsi="Times New Roman" w:eastAsia="宋体" w:cs="Times New Roman"/>
                      <w:b w:val="0"/>
                      <w:bCs w:val="0"/>
                      <w:color w:val="auto"/>
                      <w:sz w:val="21"/>
                      <w:szCs w:val="21"/>
                      <w:highlight w:val="none"/>
                      <w:u w:val="none"/>
                      <w:shd w:val="clear" w:color="auto" w:fill="auto"/>
                      <w:lang w:eastAsia="zh-CN"/>
                    </w:rPr>
                    <w:t>符合</w:t>
                  </w:r>
                </w:p>
              </w:tc>
            </w:tr>
          </w:tbl>
          <w:p w14:paraId="4EF00C88">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ind w:left="0" w:right="0"/>
              <w:jc w:val="left"/>
              <w:textAlignment w:val="auto"/>
              <w:rPr>
                <w:rFonts w:hint="default"/>
                <w:color w:val="auto"/>
                <w:highlight w:val="none"/>
              </w:rPr>
            </w:pPr>
            <w:r>
              <w:rPr>
                <w:rFonts w:hint="default"/>
                <w:color w:val="auto"/>
                <w:highlight w:val="none"/>
              </w:rPr>
              <w:t>综上所述，本项目的建设符合</w:t>
            </w:r>
            <w:r>
              <w:rPr>
                <w:rFonts w:hint="default"/>
                <w:color w:val="auto"/>
                <w:spacing w:val="-11"/>
                <w:highlight w:val="none"/>
              </w:rPr>
              <w:t>阜新市生态环境准入清</w:t>
            </w:r>
            <w:r>
              <w:rPr>
                <w:rFonts w:hint="default"/>
                <w:color w:val="auto"/>
                <w:spacing w:val="-12"/>
                <w:highlight w:val="none"/>
              </w:rPr>
              <w:t>单（</w:t>
            </w:r>
            <w:r>
              <w:rPr>
                <w:rFonts w:hint="default" w:ascii="Times New Roman" w:hAnsi="Times New Roman" w:eastAsia="Times New Roman" w:cs="Times New Roman"/>
                <w:color w:val="auto"/>
                <w:spacing w:val="-12"/>
                <w:highlight w:val="none"/>
              </w:rPr>
              <w:t>2023</w:t>
            </w:r>
            <w:r>
              <w:rPr>
                <w:rFonts w:hint="default"/>
                <w:color w:val="auto"/>
                <w:spacing w:val="-12"/>
                <w:highlight w:val="none"/>
              </w:rPr>
              <w:t>年版）》</w:t>
            </w:r>
            <w:r>
              <w:rPr>
                <w:rFonts w:hint="default"/>
                <w:color w:val="auto"/>
                <w:highlight w:val="none"/>
              </w:rPr>
              <w:t>要求。</w:t>
            </w:r>
          </w:p>
          <w:p w14:paraId="2064EC90">
            <w:pPr>
              <w:pStyle w:val="73"/>
              <w:keepNext w:val="0"/>
              <w:keepLines w:val="0"/>
              <w:pageBreakBefore w:val="0"/>
              <w:widowControl w:val="0"/>
              <w:suppressLineNumbers w:val="0"/>
              <w:kinsoku/>
              <w:wordWrap/>
              <w:topLinePunct w:val="0"/>
              <w:bidi w:val="0"/>
              <w:adjustRightInd/>
              <w:snapToGrid/>
              <w:spacing w:before="0" w:beforeAutospacing="0" w:after="0" w:afterAutospacing="0" w:line="360" w:lineRule="auto"/>
              <w:ind w:left="0" w:right="0" w:firstLine="483"/>
              <w:jc w:val="left"/>
              <w:textAlignment w:val="auto"/>
              <w:rPr>
                <w:rFonts w:hint="default"/>
                <w:color w:val="auto"/>
                <w:highlight w:val="none"/>
              </w:rPr>
            </w:pPr>
            <w:r>
              <w:rPr>
                <w:rFonts w:hint="eastAsia" w:eastAsia="宋体" w:cs="Times New Roman"/>
                <w:b/>
                <w:bCs/>
                <w:color w:val="auto"/>
                <w:highlight w:val="none"/>
                <w:lang w:val="en-US" w:eastAsia="zh-CN"/>
              </w:rPr>
              <w:t>5</w:t>
            </w:r>
            <w:r>
              <w:rPr>
                <w:rFonts w:hint="default" w:ascii="Times New Roman" w:hAnsi="Times New Roman" w:eastAsia="Times New Roman" w:cs="Times New Roman"/>
                <w:b/>
                <w:bCs/>
                <w:color w:val="auto"/>
                <w:spacing w:val="-34"/>
                <w:highlight w:val="none"/>
              </w:rPr>
              <w:t xml:space="preserve"> </w:t>
            </w:r>
            <w:r>
              <w:rPr>
                <w:rFonts w:hint="default"/>
                <w:b/>
                <w:bCs/>
                <w:color w:val="auto"/>
                <w:highlight w:val="none"/>
              </w:rPr>
              <w:t>、与《阜新市国土空间总体规划（</w:t>
            </w:r>
            <w:r>
              <w:rPr>
                <w:rFonts w:hint="default" w:ascii="Times New Roman" w:hAnsi="Times New Roman" w:eastAsia="Times New Roman" w:cs="Times New Roman"/>
                <w:b/>
                <w:bCs/>
                <w:color w:val="auto"/>
                <w:highlight w:val="none"/>
              </w:rPr>
              <w:t>2021</w:t>
            </w:r>
            <w:r>
              <w:rPr>
                <w:rFonts w:hint="default"/>
                <w:b/>
                <w:bCs/>
                <w:color w:val="auto"/>
                <w:highlight w:val="none"/>
              </w:rPr>
              <w:t>—</w:t>
            </w:r>
            <w:r>
              <w:rPr>
                <w:rFonts w:hint="default" w:ascii="Times New Roman" w:hAnsi="Times New Roman" w:eastAsia="Times New Roman" w:cs="Times New Roman"/>
                <w:b/>
                <w:bCs/>
                <w:color w:val="auto"/>
                <w:highlight w:val="none"/>
              </w:rPr>
              <w:t>2035</w:t>
            </w:r>
            <w:r>
              <w:rPr>
                <w:rFonts w:hint="default"/>
                <w:b/>
                <w:bCs/>
                <w:color w:val="auto"/>
                <w:highlight w:val="none"/>
              </w:rPr>
              <w:t>年）》符合性</w:t>
            </w:r>
            <w:r>
              <w:rPr>
                <w:rFonts w:hint="default"/>
                <w:b/>
                <w:bCs/>
                <w:color w:val="auto"/>
                <w:spacing w:val="-9"/>
                <w:highlight w:val="none"/>
              </w:rPr>
              <w:t>分析</w:t>
            </w:r>
          </w:p>
          <w:p w14:paraId="34736980">
            <w:pPr>
              <w:pStyle w:val="73"/>
              <w:keepNext w:val="0"/>
              <w:keepLines w:val="0"/>
              <w:suppressLineNumbers w:val="0"/>
              <w:bidi w:val="0"/>
              <w:spacing w:before="0" w:beforeAutospacing="0" w:after="0" w:afterAutospacing="0"/>
              <w:ind w:left="0" w:right="0"/>
              <w:rPr>
                <w:rFonts w:hint="default"/>
                <w:color w:val="auto"/>
                <w:highlight w:val="none"/>
              </w:rPr>
            </w:pPr>
            <w:r>
              <w:rPr>
                <w:rFonts w:hint="default"/>
                <w:color w:val="auto"/>
                <w:highlight w:val="none"/>
              </w:rPr>
              <w:t>《阜新市国土空间总体规划（2021—2035 年）》是阜新市空间发展的指南、可持续发展的空间蓝图，是各类开发保护建设活动的基本依据，请认真组织实施。阜新市地处辽宁省西北部、科尔沁沙地南缘，是北方农牧交错带、北方防沙带的重要组成部分，是全国首个资源型城市经济转型试点市。</w:t>
            </w:r>
          </w:p>
          <w:p w14:paraId="424F82C2">
            <w:pPr>
              <w:pStyle w:val="73"/>
              <w:keepNext w:val="0"/>
              <w:keepLines w:val="0"/>
              <w:suppressLineNumbers w:val="0"/>
              <w:bidi w:val="0"/>
              <w:spacing w:before="0" w:beforeAutospacing="0" w:after="0" w:afterAutospacing="0"/>
              <w:ind w:left="0" w:right="0"/>
              <w:rPr>
                <w:rFonts w:hint="default"/>
                <w:color w:val="auto"/>
                <w:highlight w:val="none"/>
              </w:rPr>
            </w:pPr>
            <w:r>
              <w:rPr>
                <w:rFonts w:hint="default"/>
                <w:color w:val="auto"/>
                <w:highlight w:val="none"/>
              </w:rPr>
              <w:t>规划中提出：“以</w:t>
            </w:r>
            <w:r>
              <w:rPr>
                <w:rFonts w:hint="eastAsia"/>
                <w:color w:val="auto"/>
                <w:highlight w:val="none"/>
                <w:lang w:eastAsia="zh-CN"/>
              </w:rPr>
              <w:t>‘</w:t>
            </w:r>
            <w:r>
              <w:rPr>
                <w:rFonts w:hint="default"/>
                <w:color w:val="auto"/>
                <w:highlight w:val="none"/>
              </w:rPr>
              <w:t>三区三线</w:t>
            </w:r>
            <w:r>
              <w:rPr>
                <w:rFonts w:hint="eastAsia"/>
                <w:color w:val="auto"/>
                <w:highlight w:val="none"/>
                <w:lang w:eastAsia="zh-CN"/>
              </w:rPr>
              <w:t>’</w:t>
            </w:r>
            <w:r>
              <w:rPr>
                <w:rFonts w:hint="default"/>
                <w:color w:val="auto"/>
                <w:highlight w:val="none"/>
              </w:rPr>
              <w:t>为基础，落实细化主体功能区划分，统筹农业、生态、城镇空间。优化城镇发展空间，推动城镇空间内涵式集约化绿色发展，引导资源要素向重点城镇集聚，实现工矿型城市向复合型城市转变。保障产业与创新建设空间，深化产业结构调整与接续替代产业培育。提高建设用地使用效率，促进城乡建设方式由扩张增量向盘活存量、优化结构、提升质量转变。 ”</w:t>
            </w:r>
          </w:p>
          <w:p w14:paraId="48355192">
            <w:pPr>
              <w:pStyle w:val="73"/>
              <w:keepNext w:val="0"/>
              <w:keepLines w:val="0"/>
              <w:suppressLineNumbers w:val="0"/>
              <w:bidi w:val="0"/>
              <w:spacing w:before="0" w:beforeAutospacing="0" w:after="0" w:afterAutospacing="0"/>
              <w:ind w:left="0" w:right="0"/>
              <w:rPr>
                <w:rFonts w:hint="default"/>
                <w:color w:val="auto"/>
                <w:highlight w:val="none"/>
              </w:rPr>
            </w:pPr>
            <w:r>
              <w:rPr>
                <w:rFonts w:hint="default"/>
                <w:color w:val="auto"/>
                <w:highlight w:val="none"/>
              </w:rPr>
              <w:t>本项目位于辽宁省阜新市高新技术产业开发区</w:t>
            </w:r>
            <w:r>
              <w:rPr>
                <w:rFonts w:hint="eastAsia" w:ascii="Times New Roman" w:hAnsi="Times New Roman" w:cs="Times New Roman"/>
                <w:color w:val="auto"/>
                <w:sz w:val="24"/>
                <w:highlight w:val="none"/>
                <w:lang w:val="en-US" w:eastAsia="zh-CN"/>
              </w:rPr>
              <w:t>华通路16号</w:t>
            </w:r>
            <w:r>
              <w:rPr>
                <w:rFonts w:hint="default"/>
                <w:color w:val="auto"/>
                <w:highlight w:val="none"/>
              </w:rPr>
              <w:t>，位于规划范围内，用地为工业用地。项目用地范围内不占用永久基本农田，符合生态环境分区管控要求，不在生态红线保护区内。项目占地范围内无文物单位、生活饮用水源保护区、风景名胜区、自然保护区等环境敏感点分布。符合《阜新市国土空间总体规划（2021—2035年）》中相关要求。</w:t>
            </w:r>
          </w:p>
          <w:p w14:paraId="632A5702">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420" w:leftChars="200" w:right="0"/>
              <w:jc w:val="left"/>
              <w:textAlignment w:val="auto"/>
              <w:rPr>
                <w:rFonts w:hint="eastAsia"/>
                <w:b/>
                <w:bCs/>
                <w:color w:val="auto"/>
                <w:highlight w:val="none"/>
                <w:lang w:val="en-US" w:eastAsia="zh-CN"/>
              </w:rPr>
            </w:pPr>
          </w:p>
          <w:p w14:paraId="0C349D2B">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420" w:leftChars="200" w:right="0"/>
              <w:jc w:val="left"/>
              <w:textAlignment w:val="auto"/>
              <w:rPr>
                <w:rFonts w:hint="eastAsia"/>
                <w:b/>
                <w:bCs/>
                <w:color w:val="auto"/>
                <w:highlight w:val="none"/>
                <w:lang w:val="en-US" w:eastAsia="zh-CN"/>
              </w:rPr>
            </w:pPr>
          </w:p>
          <w:p w14:paraId="6889DF80">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420" w:leftChars="200" w:right="0"/>
              <w:jc w:val="left"/>
              <w:textAlignment w:val="auto"/>
              <w:rPr>
                <w:rFonts w:hint="eastAsia"/>
                <w:b/>
                <w:bCs/>
                <w:color w:val="auto"/>
                <w:highlight w:val="none"/>
                <w:lang w:val="en-US" w:eastAsia="zh-CN"/>
              </w:rPr>
            </w:pPr>
            <w:r>
              <w:rPr>
                <w:rFonts w:hint="eastAsia"/>
                <w:b/>
                <w:bCs/>
                <w:color w:val="auto"/>
                <w:highlight w:val="none"/>
                <w:lang w:val="en-US" w:eastAsia="zh-CN"/>
              </w:rPr>
              <w:t>6、环保政策符合性分析</w:t>
            </w:r>
          </w:p>
          <w:p w14:paraId="1C3964E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2" w:firstLineChars="200"/>
              <w:jc w:val="both"/>
              <w:textAlignment w:val="auto"/>
              <w:rPr>
                <w:rFonts w:hint="default" w:ascii="Times New Roman" w:hAnsi="Times New Roman" w:eastAsia="宋体" w:cs="Times New Roman"/>
                <w:b/>
                <w:bCs/>
                <w:color w:val="auto"/>
                <w:szCs w:val="21"/>
                <w:highlight w:val="none"/>
              </w:rPr>
            </w:pPr>
            <w:r>
              <w:rPr>
                <w:rFonts w:hint="eastAsia" w:ascii="Times New Roman" w:hAnsi="Times New Roman" w:eastAsia="宋体" w:cs="Times New Roman"/>
                <w:b/>
                <w:bCs/>
                <w:color w:val="auto"/>
                <w:highlight w:val="none"/>
                <w:lang w:val="en-US" w:eastAsia="zh-CN"/>
              </w:rPr>
              <w:t>①</w:t>
            </w:r>
            <w:r>
              <w:rPr>
                <w:rFonts w:hint="default" w:ascii="Times New Roman" w:hAnsi="Times New Roman" w:eastAsia="宋体" w:cs="Times New Roman"/>
                <w:b/>
                <w:bCs/>
                <w:color w:val="auto"/>
                <w:highlight w:val="none"/>
                <w:lang w:val="en-US" w:eastAsia="zh-CN"/>
              </w:rPr>
              <w:t>与《辽宁</w:t>
            </w:r>
            <w:r>
              <w:rPr>
                <w:rFonts w:hint="eastAsia" w:cs="Times New Roman"/>
                <w:b/>
                <w:bCs/>
                <w:color w:val="auto"/>
                <w:highlight w:val="none"/>
                <w:lang w:val="en-US" w:eastAsia="zh-CN"/>
              </w:rPr>
              <w:t>省</w:t>
            </w:r>
            <w:r>
              <w:rPr>
                <w:rFonts w:hint="default" w:ascii="Times New Roman" w:hAnsi="Times New Roman" w:eastAsia="宋体" w:cs="Times New Roman"/>
                <w:b/>
                <w:bCs/>
                <w:color w:val="auto"/>
                <w:highlight w:val="none"/>
                <w:lang w:val="en-US" w:eastAsia="zh-CN"/>
              </w:rPr>
              <w:t>深入打好污染防治攻坚战实施方案》</w:t>
            </w:r>
            <w:r>
              <w:rPr>
                <w:rFonts w:hint="eastAsia" w:ascii="Times New Roman" w:hAnsi="Times New Roman" w:eastAsia="宋体" w:cs="Times New Roman"/>
                <w:b/>
                <w:bCs/>
                <w:color w:val="auto"/>
                <w:highlight w:val="none"/>
                <w:lang w:val="en-US" w:eastAsia="zh-CN"/>
              </w:rPr>
              <w:t>符合性</w:t>
            </w:r>
            <w:r>
              <w:rPr>
                <w:rFonts w:hint="default" w:ascii="Times New Roman" w:hAnsi="Times New Roman" w:eastAsia="宋体" w:cs="Times New Roman"/>
                <w:b/>
                <w:bCs/>
                <w:color w:val="auto"/>
                <w:highlight w:val="none"/>
                <w:lang w:val="en-US" w:eastAsia="zh-CN"/>
              </w:rPr>
              <w:t>分析</w:t>
            </w:r>
          </w:p>
          <w:p w14:paraId="332D061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表1-</w:t>
            </w:r>
            <w:r>
              <w:rPr>
                <w:rFonts w:hint="eastAsia" w:cs="Times New Roman"/>
                <w:b/>
                <w:bCs/>
                <w:color w:val="auto"/>
                <w:szCs w:val="21"/>
                <w:highlight w:val="none"/>
                <w:lang w:val="en-US" w:eastAsia="zh-CN"/>
              </w:rPr>
              <w:t>5</w:t>
            </w:r>
            <w:r>
              <w:rPr>
                <w:rFonts w:hint="default" w:ascii="Times New Roman" w:hAnsi="Times New Roman" w:eastAsia="宋体" w:cs="Times New Roman"/>
                <w:b/>
                <w:bCs/>
                <w:color w:val="auto"/>
                <w:szCs w:val="21"/>
                <w:highlight w:val="none"/>
              </w:rPr>
              <w:t xml:space="preserve">  与</w:t>
            </w:r>
            <w:r>
              <w:rPr>
                <w:rFonts w:hint="default" w:ascii="Times New Roman" w:hAnsi="Times New Roman" w:eastAsia="宋体" w:cs="Times New Roman"/>
                <w:b/>
                <w:bCs/>
                <w:color w:val="auto"/>
                <w:szCs w:val="21"/>
                <w:highlight w:val="none"/>
                <w:lang w:val="en-US" w:eastAsia="zh-CN"/>
              </w:rPr>
              <w:t>《辽宁</w:t>
            </w:r>
            <w:r>
              <w:rPr>
                <w:rFonts w:hint="eastAsia" w:cs="Times New Roman"/>
                <w:b/>
                <w:bCs/>
                <w:color w:val="auto"/>
                <w:szCs w:val="21"/>
                <w:highlight w:val="none"/>
                <w:lang w:val="en-US" w:eastAsia="zh-CN"/>
              </w:rPr>
              <w:t>省</w:t>
            </w:r>
            <w:r>
              <w:rPr>
                <w:rFonts w:hint="default" w:ascii="Times New Roman" w:hAnsi="Times New Roman" w:eastAsia="宋体" w:cs="Times New Roman"/>
                <w:b/>
                <w:bCs/>
                <w:color w:val="auto"/>
                <w:szCs w:val="21"/>
                <w:highlight w:val="none"/>
                <w:lang w:val="en-US" w:eastAsia="zh-CN"/>
              </w:rPr>
              <w:t>深入打好污染防治攻坚战实施方案》</w:t>
            </w:r>
            <w:r>
              <w:rPr>
                <w:rFonts w:hint="eastAsia" w:cs="Times New Roman"/>
                <w:b/>
                <w:bCs/>
                <w:color w:val="auto"/>
                <w:highlight w:val="none"/>
                <w:vertAlign w:val="baseline"/>
                <w:lang w:val="en-US" w:eastAsia="zh-CN"/>
              </w:rPr>
              <w:t>符合性</w:t>
            </w:r>
            <w:r>
              <w:rPr>
                <w:rFonts w:hint="default" w:ascii="Times New Roman" w:hAnsi="Times New Roman" w:eastAsia="宋体" w:cs="Times New Roman"/>
                <w:b/>
                <w:bCs/>
                <w:color w:val="auto"/>
                <w:szCs w:val="21"/>
                <w:highlight w:val="none"/>
              </w:rPr>
              <w:t>分析</w:t>
            </w:r>
          </w:p>
          <w:tbl>
            <w:tblPr>
              <w:tblStyle w:val="26"/>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28" w:type="dxa"/>
                <w:bottom w:w="0" w:type="dxa"/>
                <w:right w:w="28" w:type="dxa"/>
              </w:tblCellMar>
            </w:tblPr>
            <w:tblGrid>
              <w:gridCol w:w="4913"/>
              <w:gridCol w:w="2365"/>
              <w:gridCol w:w="767"/>
            </w:tblGrid>
            <w:tr w14:paraId="03E3FB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053" w:type="pct"/>
                  <w:tcBorders>
                    <w:tl2br w:val="nil"/>
                    <w:tr2bl w:val="nil"/>
                  </w:tcBorders>
                  <w:noWrap w:val="0"/>
                  <w:vAlign w:val="center"/>
                </w:tcPr>
                <w:p w14:paraId="3777716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环保政策</w:t>
                  </w:r>
                </w:p>
              </w:tc>
              <w:tc>
                <w:tcPr>
                  <w:tcW w:w="1470" w:type="pct"/>
                  <w:tcBorders>
                    <w:tl2br w:val="nil"/>
                    <w:tr2bl w:val="nil"/>
                  </w:tcBorders>
                  <w:noWrap w:val="0"/>
                  <w:vAlign w:val="center"/>
                </w:tcPr>
                <w:p w14:paraId="153AFF8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本项目</w:t>
                  </w:r>
                </w:p>
              </w:tc>
              <w:tc>
                <w:tcPr>
                  <w:tcW w:w="476" w:type="pct"/>
                  <w:tcBorders>
                    <w:tl2br w:val="nil"/>
                    <w:tr2bl w:val="nil"/>
                  </w:tcBorders>
                  <w:noWrap w:val="0"/>
                  <w:vAlign w:val="center"/>
                </w:tcPr>
                <w:p w14:paraId="4894F40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120718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283" w:hRule="atLeast"/>
                <w:jc w:val="center"/>
              </w:trPr>
              <w:tc>
                <w:tcPr>
                  <w:tcW w:w="3053" w:type="pct"/>
                  <w:tcBorders>
                    <w:tl2br w:val="nil"/>
                    <w:tr2bl w:val="nil"/>
                  </w:tcBorders>
                  <w:noWrap w:val="0"/>
                  <w:vAlign w:val="center"/>
                </w:tcPr>
                <w:p w14:paraId="6900AB44">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二、重点任务</w:t>
                  </w:r>
                  <w:r>
                    <w:rPr>
                      <w:rFonts w:hint="eastAsia" w:cs="Times New Roman"/>
                      <w:color w:val="auto"/>
                      <w:highlight w:val="none"/>
                      <w:lang w:eastAsia="zh-CN"/>
                    </w:rPr>
                    <w:t>（</w:t>
                  </w:r>
                  <w:r>
                    <w:rPr>
                      <w:rFonts w:hint="default" w:ascii="Times New Roman" w:hAnsi="Times New Roman" w:eastAsia="宋体" w:cs="Times New Roman"/>
                      <w:color w:val="auto"/>
                      <w:highlight w:val="none"/>
                    </w:rPr>
                    <w:t>二</w:t>
                  </w:r>
                  <w:r>
                    <w:rPr>
                      <w:rFonts w:hint="eastAsia" w:cs="Times New Roman"/>
                      <w:color w:val="auto"/>
                      <w:highlight w:val="none"/>
                      <w:lang w:eastAsia="zh-CN"/>
                    </w:rPr>
                    <w:t>）</w:t>
                  </w:r>
                  <w:r>
                    <w:rPr>
                      <w:rFonts w:hint="default" w:ascii="Times New Roman" w:hAnsi="Times New Roman" w:eastAsia="宋体" w:cs="Times New Roman"/>
                      <w:color w:val="auto"/>
                      <w:highlight w:val="none"/>
                    </w:rPr>
                    <w:t>深入打好蓝天保卫战</w:t>
                  </w:r>
                </w:p>
                <w:p w14:paraId="11F0CF9F">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实施挥发性有机物污染治理达标行动。以石化、化工、涂装、医药、包装印刷和油品储运销等行业领域为重点，安全高效推进挥发性有机物综合治理。到2023年，万吨及以上原油成品油码头</w:t>
                  </w:r>
                  <w:r>
                    <w:rPr>
                      <w:rFonts w:hint="eastAsia" w:cs="Times New Roman"/>
                      <w:color w:val="auto"/>
                      <w:szCs w:val="21"/>
                      <w:highlight w:val="none"/>
                      <w:lang w:eastAsia="zh-CN"/>
                    </w:rPr>
                    <w:t>（</w:t>
                  </w:r>
                  <w:r>
                    <w:rPr>
                      <w:rFonts w:hint="default" w:ascii="Times New Roman" w:hAnsi="Times New Roman" w:eastAsia="宋体" w:cs="Times New Roman"/>
                      <w:color w:val="auto"/>
                      <w:szCs w:val="21"/>
                      <w:highlight w:val="none"/>
                    </w:rPr>
                    <w:t>及对应的储油库</w:t>
                  </w:r>
                  <w:r>
                    <w:rPr>
                      <w:rFonts w:hint="eastAsia" w:cs="Times New Roman"/>
                      <w:color w:val="auto"/>
                      <w:szCs w:val="21"/>
                      <w:highlight w:val="none"/>
                      <w:lang w:eastAsia="zh-CN"/>
                    </w:rPr>
                    <w:t>）</w:t>
                  </w:r>
                  <w:r>
                    <w:rPr>
                      <w:rFonts w:hint="default" w:ascii="Times New Roman" w:hAnsi="Times New Roman" w:eastAsia="宋体" w:cs="Times New Roman"/>
                      <w:color w:val="auto"/>
                      <w:szCs w:val="21"/>
                      <w:highlight w:val="none"/>
                    </w:rPr>
                    <w:t>、现役8000总吨以上的油船基本完成油气回收治理。</w:t>
                  </w:r>
                </w:p>
              </w:tc>
              <w:tc>
                <w:tcPr>
                  <w:tcW w:w="1470" w:type="pct"/>
                  <w:tcBorders>
                    <w:tl2br w:val="nil"/>
                    <w:tr2bl w:val="nil"/>
                  </w:tcBorders>
                  <w:noWrap w:val="0"/>
                  <w:vAlign w:val="center"/>
                </w:tcPr>
                <w:p w14:paraId="5F90804E">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本项目属于</w:t>
                  </w:r>
                  <w:r>
                    <w:rPr>
                      <w:rFonts w:hint="default" w:ascii="Times New Roman" w:hAnsi="Times New Roman" w:eastAsia="宋体" w:cs="Times New Roman"/>
                      <w:color w:val="auto"/>
                      <w:szCs w:val="21"/>
                      <w:highlight w:val="none"/>
                      <w:lang w:val="en-US" w:eastAsia="zh-CN"/>
                    </w:rPr>
                    <w:t>C4210废弃资源综合利用行业</w:t>
                  </w:r>
                  <w:r>
                    <w:rPr>
                      <w:rFonts w:hint="default" w:ascii="Times New Roman" w:hAnsi="Times New Roman" w:eastAsia="宋体" w:cs="Times New Roman"/>
                      <w:color w:val="auto"/>
                      <w:szCs w:val="21"/>
                      <w:highlight w:val="none"/>
                    </w:rPr>
                    <w:t>，不属于使用高VOCs含量的项目。项目有机废气采用</w:t>
                  </w:r>
                  <w:r>
                    <w:rPr>
                      <w:rFonts w:hint="eastAsia" w:cs="Times New Roman"/>
                      <w:color w:val="auto"/>
                      <w:szCs w:val="21"/>
                      <w:highlight w:val="none"/>
                      <w:lang w:val="en-US" w:eastAsia="zh-CN"/>
                    </w:rPr>
                    <w:t>二级</w:t>
                  </w:r>
                  <w:r>
                    <w:rPr>
                      <w:rFonts w:hint="default" w:ascii="Times New Roman" w:hAnsi="Times New Roman" w:eastAsia="宋体" w:cs="Times New Roman"/>
                      <w:color w:val="auto"/>
                      <w:szCs w:val="21"/>
                      <w:highlight w:val="none"/>
                    </w:rPr>
                    <w:t>活性炭吸附装置处理，经处理后由</w:t>
                  </w:r>
                  <w:r>
                    <w:rPr>
                      <w:rFonts w:hint="eastAsia" w:cs="Times New Roman"/>
                      <w:color w:val="auto"/>
                      <w:szCs w:val="21"/>
                      <w:highlight w:val="none"/>
                      <w:lang w:val="en-US" w:eastAsia="zh-CN"/>
                    </w:rPr>
                    <w:t>24</w:t>
                  </w:r>
                  <w:r>
                    <w:rPr>
                      <w:rFonts w:hint="default" w:ascii="Times New Roman" w:hAnsi="Times New Roman" w:eastAsia="宋体" w:cs="Times New Roman"/>
                      <w:color w:val="auto"/>
                      <w:szCs w:val="21"/>
                      <w:highlight w:val="none"/>
                    </w:rPr>
                    <w:t>m高排气筒</w:t>
                  </w:r>
                  <w:r>
                    <w:rPr>
                      <w:rFonts w:hint="eastAsia" w:cs="Times New Roman"/>
                      <w:color w:val="auto"/>
                      <w:szCs w:val="21"/>
                      <w:highlight w:val="none"/>
                      <w:lang w:val="en-US" w:eastAsia="zh-CN"/>
                    </w:rPr>
                    <w:t>DA001</w:t>
                  </w:r>
                  <w:r>
                    <w:rPr>
                      <w:rFonts w:hint="default" w:ascii="Times New Roman" w:hAnsi="Times New Roman" w:eastAsia="宋体" w:cs="Times New Roman"/>
                      <w:color w:val="auto"/>
                      <w:szCs w:val="21"/>
                      <w:highlight w:val="none"/>
                    </w:rPr>
                    <w:t>达标排放。符合</w:t>
                  </w:r>
                  <w:r>
                    <w:rPr>
                      <w:rFonts w:hint="default" w:ascii="Times New Roman" w:hAnsi="Times New Roman" w:eastAsia="宋体" w:cs="Times New Roman"/>
                      <w:color w:val="auto"/>
                      <w:szCs w:val="21"/>
                      <w:highlight w:val="none"/>
                      <w:lang w:eastAsia="zh-CN"/>
                    </w:rPr>
                    <w:t>文件要求</w:t>
                  </w:r>
                  <w:r>
                    <w:rPr>
                      <w:rFonts w:hint="default" w:ascii="Times New Roman" w:hAnsi="Times New Roman" w:eastAsia="宋体" w:cs="Times New Roman"/>
                      <w:color w:val="auto"/>
                      <w:szCs w:val="21"/>
                      <w:highlight w:val="none"/>
                    </w:rPr>
                    <w:t>。</w:t>
                  </w:r>
                </w:p>
              </w:tc>
              <w:tc>
                <w:tcPr>
                  <w:tcW w:w="476" w:type="pct"/>
                  <w:tcBorders>
                    <w:tl2br w:val="nil"/>
                    <w:tr2bl w:val="nil"/>
                  </w:tcBorders>
                  <w:noWrap w:val="0"/>
                  <w:vAlign w:val="center"/>
                </w:tcPr>
                <w:p w14:paraId="54D3615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highlight w:val="none"/>
                      <w:lang w:eastAsia="zh-CN"/>
                    </w:rPr>
                    <w:t>符合</w:t>
                  </w:r>
                </w:p>
              </w:tc>
            </w:tr>
          </w:tbl>
          <w:p w14:paraId="4C02FFE6">
            <w:pPr>
              <w:pStyle w:val="73"/>
              <w:keepNext w:val="0"/>
              <w:keepLines w:val="0"/>
              <w:suppressLineNumbers w:val="0"/>
              <w:spacing w:before="29" w:beforeAutospacing="0" w:after="0" w:afterAutospacing="0" w:line="360" w:lineRule="auto"/>
              <w:ind w:left="11" w:right="0"/>
              <w:jc w:val="left"/>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②</w:t>
            </w:r>
            <w:r>
              <w:rPr>
                <w:rFonts w:hint="default" w:ascii="Times New Roman" w:hAnsi="Times New Roman" w:eastAsia="宋体" w:cs="Times New Roman"/>
                <w:b/>
                <w:bCs/>
                <w:color w:val="auto"/>
                <w:highlight w:val="none"/>
                <w:lang w:val="en-US" w:eastAsia="zh-CN"/>
              </w:rPr>
              <w:t>与</w:t>
            </w:r>
            <w:r>
              <w:rPr>
                <w:rFonts w:hint="default" w:ascii="Times New Roman" w:hAnsi="Times New Roman" w:eastAsia="宋体" w:cs="Times New Roman"/>
                <w:b/>
                <w:bCs/>
                <w:color w:val="auto"/>
                <w:kern w:val="2"/>
                <w:sz w:val="24"/>
                <w:szCs w:val="24"/>
                <w:highlight w:val="none"/>
                <w:lang w:val="en-US" w:eastAsia="zh-CN"/>
              </w:rPr>
              <w:t>《辽宁省空气质量持续改善行动实施方案》（辽政发</w:t>
            </w:r>
            <w:r>
              <w:rPr>
                <w:rFonts w:hint="eastAsia" w:cs="Times New Roman"/>
                <w:b/>
                <w:bCs/>
                <w:color w:val="auto"/>
                <w:kern w:val="2"/>
                <w:sz w:val="24"/>
                <w:szCs w:val="24"/>
                <w:highlight w:val="none"/>
                <w:lang w:val="en-US" w:eastAsia="zh-CN"/>
              </w:rPr>
              <w:t>〔2024〕11号</w:t>
            </w:r>
            <w:r>
              <w:rPr>
                <w:rFonts w:hint="default" w:ascii="Times New Roman" w:hAnsi="Times New Roman" w:eastAsia="宋体" w:cs="Times New Roman"/>
                <w:b/>
                <w:bCs/>
                <w:color w:val="auto"/>
                <w:kern w:val="2"/>
                <w:sz w:val="24"/>
                <w:szCs w:val="24"/>
                <w:highlight w:val="none"/>
                <w:lang w:val="en-US" w:eastAsia="zh-CN"/>
              </w:rPr>
              <w:t>）</w:t>
            </w:r>
            <w:r>
              <w:rPr>
                <w:rFonts w:hint="eastAsia" w:cs="Times New Roman"/>
                <w:b/>
                <w:bCs/>
                <w:color w:val="auto"/>
                <w:kern w:val="2"/>
                <w:sz w:val="24"/>
                <w:szCs w:val="24"/>
                <w:highlight w:val="none"/>
                <w:lang w:val="en-US" w:eastAsia="zh-CN"/>
              </w:rPr>
              <w:t>符合</w:t>
            </w:r>
            <w:r>
              <w:rPr>
                <w:rFonts w:hint="default" w:ascii="Times New Roman" w:hAnsi="Times New Roman" w:eastAsia="宋体" w:cs="Times New Roman"/>
                <w:b/>
                <w:bCs/>
                <w:color w:val="auto"/>
                <w:kern w:val="2"/>
                <w:sz w:val="24"/>
                <w:szCs w:val="24"/>
                <w:highlight w:val="none"/>
                <w:lang w:val="en-US" w:eastAsia="zh-CN"/>
              </w:rPr>
              <w:t>性分析</w:t>
            </w:r>
          </w:p>
          <w:p w14:paraId="13F56D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bCs/>
                <w:color w:val="auto"/>
                <w:szCs w:val="21"/>
                <w:highlight w:val="none"/>
              </w:rPr>
              <w:t>表1-</w:t>
            </w:r>
            <w:r>
              <w:rPr>
                <w:rFonts w:hint="eastAsia" w:cs="Times New Roman"/>
                <w:b/>
                <w:bCs/>
                <w:color w:val="auto"/>
                <w:szCs w:val="21"/>
                <w:highlight w:val="none"/>
                <w:lang w:val="en-US" w:eastAsia="zh-CN"/>
              </w:rPr>
              <w:t>6</w:t>
            </w:r>
            <w:r>
              <w:rPr>
                <w:rFonts w:hint="default" w:ascii="Times New Roman" w:hAnsi="Times New Roman" w:eastAsia="宋体" w:cs="Times New Roman"/>
                <w:b/>
                <w:bCs/>
                <w:color w:val="auto"/>
                <w:szCs w:val="21"/>
                <w:highlight w:val="none"/>
              </w:rPr>
              <w:t xml:space="preserve">  </w:t>
            </w:r>
            <w:r>
              <w:rPr>
                <w:rFonts w:hint="default" w:ascii="Times New Roman" w:hAnsi="Times New Roman" w:eastAsia="宋体" w:cs="Times New Roman"/>
                <w:b/>
                <w:bCs/>
                <w:color w:val="auto"/>
                <w:szCs w:val="21"/>
                <w:highlight w:val="none"/>
                <w:lang w:eastAsia="zh-CN"/>
              </w:rPr>
              <w:t>与</w:t>
            </w:r>
            <w:r>
              <w:rPr>
                <w:rFonts w:hint="default" w:ascii="Times New Roman" w:hAnsi="Times New Roman" w:eastAsia="宋体" w:cs="Times New Roman"/>
                <w:b/>
                <w:bCs/>
                <w:color w:val="auto"/>
                <w:szCs w:val="21"/>
                <w:highlight w:val="none"/>
                <w:lang w:val="en-US" w:eastAsia="zh-CN"/>
              </w:rPr>
              <w:t>《辽宁省空气质量持续改善行动实施方案》（辽政发</w:t>
            </w:r>
            <w:r>
              <w:rPr>
                <w:rFonts w:hint="eastAsia" w:cs="Times New Roman"/>
                <w:b/>
                <w:bCs/>
                <w:color w:val="auto"/>
                <w:szCs w:val="21"/>
                <w:highlight w:val="none"/>
                <w:lang w:val="en-US" w:eastAsia="zh-CN"/>
              </w:rPr>
              <w:t>〔2024〕11号</w:t>
            </w:r>
            <w:r>
              <w:rPr>
                <w:rFonts w:hint="default" w:ascii="Times New Roman" w:hAnsi="Times New Roman" w:eastAsia="宋体" w:cs="Times New Roman"/>
                <w:b/>
                <w:bCs/>
                <w:color w:val="auto"/>
                <w:szCs w:val="21"/>
                <w:highlight w:val="none"/>
                <w:lang w:val="en-US" w:eastAsia="zh-CN"/>
              </w:rPr>
              <w:t>）</w:t>
            </w:r>
            <w:r>
              <w:rPr>
                <w:rFonts w:hint="eastAsia" w:ascii="Times New Roman" w:hAnsi="Times New Roman" w:eastAsia="宋体" w:cs="Times New Roman"/>
                <w:b/>
                <w:bCs/>
                <w:color w:val="auto"/>
                <w:szCs w:val="21"/>
                <w:highlight w:val="none"/>
                <w:lang w:val="en-US" w:eastAsia="zh-CN"/>
              </w:rPr>
              <w:t>符合</w:t>
            </w:r>
            <w:r>
              <w:rPr>
                <w:rFonts w:hint="default" w:ascii="Times New Roman" w:hAnsi="Times New Roman" w:eastAsia="宋体" w:cs="Times New Roman"/>
                <w:b/>
                <w:bCs/>
                <w:color w:val="auto"/>
                <w:szCs w:val="21"/>
                <w:highlight w:val="none"/>
                <w:lang w:val="en-US" w:eastAsia="zh-CN"/>
              </w:rPr>
              <w:t>性</w:t>
            </w:r>
            <w:r>
              <w:rPr>
                <w:rFonts w:hint="default" w:ascii="Times New Roman" w:hAnsi="Times New Roman" w:eastAsia="宋体" w:cs="Times New Roman"/>
                <w:b/>
                <w:bCs/>
                <w:color w:val="auto"/>
                <w:szCs w:val="21"/>
                <w:highlight w:val="none"/>
                <w:lang w:eastAsia="zh-CN"/>
              </w:rPr>
              <w:t>分析</w:t>
            </w:r>
          </w:p>
          <w:tbl>
            <w:tblPr>
              <w:tblStyle w:val="27"/>
              <w:tblW w:w="4997"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07"/>
              <w:gridCol w:w="3976"/>
              <w:gridCol w:w="2198"/>
              <w:gridCol w:w="863"/>
            </w:tblGrid>
            <w:tr w14:paraId="1DB933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096" w:type="pct"/>
                  <w:gridSpan w:val="2"/>
                  <w:tcBorders>
                    <w:tl2br w:val="nil"/>
                    <w:tr2bl w:val="nil"/>
                  </w:tcBorders>
                  <w:noWrap w:val="0"/>
                  <w:vAlign w:val="center"/>
                </w:tcPr>
                <w:p w14:paraId="3639716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lang w:eastAsia="zh-CN"/>
                    </w:rPr>
                  </w:pPr>
                  <w:r>
                    <w:rPr>
                      <w:rFonts w:hint="eastAsia" w:cs="Times New Roman"/>
                      <w:b/>
                      <w:bCs/>
                      <w:color w:val="auto"/>
                      <w:szCs w:val="21"/>
                      <w:highlight w:val="none"/>
                      <w:lang w:val="en-US" w:eastAsia="zh-CN"/>
                    </w:rPr>
                    <w:t>文件</w:t>
                  </w:r>
                  <w:r>
                    <w:rPr>
                      <w:rFonts w:hint="default" w:ascii="Times New Roman" w:hAnsi="Times New Roman" w:eastAsia="宋体" w:cs="Times New Roman"/>
                      <w:b/>
                      <w:bCs/>
                      <w:color w:val="auto"/>
                      <w:szCs w:val="21"/>
                      <w:highlight w:val="none"/>
                      <w:lang w:eastAsia="zh-CN"/>
                    </w:rPr>
                    <w:t>要求</w:t>
                  </w:r>
                </w:p>
              </w:tc>
              <w:tc>
                <w:tcPr>
                  <w:tcW w:w="1366" w:type="pct"/>
                  <w:tcBorders>
                    <w:tl2br w:val="nil"/>
                    <w:tr2bl w:val="nil"/>
                  </w:tcBorders>
                  <w:noWrap w:val="0"/>
                  <w:vAlign w:val="center"/>
                </w:tcPr>
                <w:p w14:paraId="124FB1F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bCs/>
                      <w:color w:val="auto"/>
                      <w:szCs w:val="21"/>
                      <w:highlight w:val="none"/>
                      <w:lang w:eastAsia="zh-CN"/>
                    </w:rPr>
                    <w:t>本项目</w:t>
                  </w:r>
                </w:p>
              </w:tc>
              <w:tc>
                <w:tcPr>
                  <w:tcW w:w="536" w:type="pct"/>
                  <w:tcBorders>
                    <w:tl2br w:val="nil"/>
                    <w:tr2bl w:val="nil"/>
                  </w:tcBorders>
                  <w:noWrap w:val="0"/>
                  <w:vAlign w:val="center"/>
                </w:tcPr>
                <w:p w14:paraId="2F24EE3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lang w:eastAsia="zh-CN"/>
                    </w:rPr>
                  </w:pPr>
                  <w:r>
                    <w:rPr>
                      <w:rFonts w:hint="eastAsia" w:cs="Times New Roman"/>
                      <w:b/>
                      <w:bCs/>
                      <w:color w:val="auto"/>
                      <w:szCs w:val="21"/>
                      <w:highlight w:val="none"/>
                      <w:lang w:val="en-US" w:eastAsia="zh-CN"/>
                    </w:rPr>
                    <w:t>符合</w:t>
                  </w:r>
                  <w:r>
                    <w:rPr>
                      <w:rFonts w:hint="default" w:ascii="Times New Roman" w:hAnsi="Times New Roman" w:eastAsia="宋体" w:cs="Times New Roman"/>
                      <w:b/>
                      <w:bCs/>
                      <w:color w:val="auto"/>
                      <w:szCs w:val="21"/>
                      <w:highlight w:val="none"/>
                      <w:lang w:val="en-US" w:eastAsia="zh-CN"/>
                    </w:rPr>
                    <w:t>性</w:t>
                  </w:r>
                </w:p>
              </w:tc>
            </w:tr>
            <w:tr w14:paraId="5A25EE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6" w:type="pct"/>
                  <w:vMerge w:val="restart"/>
                  <w:tcBorders>
                    <w:tl2br w:val="nil"/>
                    <w:tr2bl w:val="nil"/>
                  </w:tcBorders>
                  <w:noWrap w:val="0"/>
                  <w:vAlign w:val="center"/>
                </w:tcPr>
                <w:p w14:paraId="2D6373B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b/>
                      <w:bCs w:val="0"/>
                      <w:color w:val="auto"/>
                      <w:kern w:val="0"/>
                      <w:sz w:val="21"/>
                      <w:szCs w:val="21"/>
                      <w:highlight w:val="none"/>
                      <w:vertAlign w:val="baseline"/>
                      <w:lang w:eastAsia="zh-CN"/>
                    </w:rPr>
                    <w:t>二、优化产业结构，促进产业产品绿色升级</w:t>
                  </w:r>
                </w:p>
              </w:tc>
              <w:tc>
                <w:tcPr>
                  <w:tcW w:w="2470" w:type="pct"/>
                  <w:tcBorders>
                    <w:tl2br w:val="nil"/>
                    <w:tr2bl w:val="nil"/>
                  </w:tcBorders>
                  <w:noWrap w:val="0"/>
                  <w:vAlign w:val="center"/>
                </w:tcPr>
                <w:p w14:paraId="2B161FC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四）坚决遏制高耗能、高排放、低水平项目盲目上马。新改扩建项目严格落实国家产业规划、产业政策、生态环境分区管控方案、规划环评、项目环评、节能审查、产能置换、重点污染物总量控制、污染物排放区域削减、碳排放达峰目标等相关要求，原则上采用清洁运输方式。涉及产能置换的项目，被置换产能及其配套设施关停后，新建项目方可投产。</w:t>
                  </w:r>
                </w:p>
              </w:tc>
              <w:tc>
                <w:tcPr>
                  <w:tcW w:w="1366" w:type="pct"/>
                  <w:tcBorders>
                    <w:tl2br w:val="nil"/>
                    <w:tr2bl w:val="nil"/>
                  </w:tcBorders>
                  <w:noWrap w:val="0"/>
                  <w:vAlign w:val="center"/>
                </w:tcPr>
                <w:p w14:paraId="32A012DE">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项目不属于</w:t>
                  </w:r>
                  <w:r>
                    <w:rPr>
                      <w:rFonts w:hint="default" w:ascii="Times New Roman" w:hAnsi="Times New Roman" w:eastAsia="宋体" w:cs="Times New Roman"/>
                      <w:color w:val="auto"/>
                      <w:highlight w:val="none"/>
                    </w:rPr>
                    <w:t>高耗能、高排放、低水平项目</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0"/>
                      <w:sz w:val="21"/>
                      <w:szCs w:val="21"/>
                      <w:highlight w:val="none"/>
                      <w:vertAlign w:val="baseline"/>
                      <w:lang w:eastAsia="zh-CN"/>
                    </w:rPr>
                    <w:t>项目属于《产业结构调整指导目录》（20</w:t>
                  </w:r>
                  <w:r>
                    <w:rPr>
                      <w:rFonts w:hint="default" w:ascii="Times New Roman" w:hAnsi="Times New Roman" w:eastAsia="宋体" w:cs="Times New Roman"/>
                      <w:color w:val="auto"/>
                      <w:kern w:val="0"/>
                      <w:sz w:val="21"/>
                      <w:szCs w:val="21"/>
                      <w:highlight w:val="none"/>
                      <w:vertAlign w:val="baseline"/>
                      <w:lang w:val="en-US" w:eastAsia="zh-CN"/>
                    </w:rPr>
                    <w:t>24</w:t>
                  </w:r>
                  <w:r>
                    <w:rPr>
                      <w:rFonts w:hint="default" w:ascii="Times New Roman" w:hAnsi="Times New Roman" w:eastAsia="宋体" w:cs="Times New Roman"/>
                      <w:color w:val="auto"/>
                      <w:kern w:val="0"/>
                      <w:sz w:val="21"/>
                      <w:szCs w:val="21"/>
                      <w:highlight w:val="none"/>
                      <w:vertAlign w:val="baseline"/>
                      <w:lang w:eastAsia="zh-CN"/>
                    </w:rPr>
                    <w:t>年本）中鼓励类项目，符合国家产业政策要求。</w:t>
                  </w:r>
                </w:p>
              </w:tc>
              <w:tc>
                <w:tcPr>
                  <w:tcW w:w="536" w:type="pct"/>
                  <w:tcBorders>
                    <w:tl2br w:val="nil"/>
                    <w:tr2bl w:val="nil"/>
                  </w:tcBorders>
                  <w:noWrap w:val="0"/>
                  <w:vAlign w:val="center"/>
                </w:tcPr>
                <w:p w14:paraId="484AD79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符合</w:t>
                  </w:r>
                </w:p>
              </w:tc>
            </w:tr>
            <w:tr w14:paraId="6FC273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6" w:type="pct"/>
                  <w:vMerge w:val="continue"/>
                  <w:tcBorders>
                    <w:tl2br w:val="nil"/>
                    <w:tr2bl w:val="nil"/>
                  </w:tcBorders>
                  <w:noWrap w:val="0"/>
                  <w:vAlign w:val="center"/>
                </w:tcPr>
                <w:p w14:paraId="0705B625">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p>
              </w:tc>
              <w:tc>
                <w:tcPr>
                  <w:tcW w:w="2470" w:type="pct"/>
                  <w:tcBorders>
                    <w:tl2br w:val="nil"/>
                    <w:tr2bl w:val="nil"/>
                  </w:tcBorders>
                  <w:noWrap w:val="0"/>
                  <w:vAlign w:val="center"/>
                </w:tcPr>
                <w:p w14:paraId="060732D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（五）加快退出重点行业落后产能。修订《产业结构调整指导目录》，研究将污染物或温室气体排放明显高出行业平均水平、能效和清洁生产水平低的工艺和装备纳入淘汰类和限制类名单。</w:t>
                  </w:r>
                </w:p>
              </w:tc>
              <w:tc>
                <w:tcPr>
                  <w:tcW w:w="1366" w:type="pct"/>
                  <w:tcBorders>
                    <w:tl2br w:val="nil"/>
                    <w:tr2bl w:val="nil"/>
                  </w:tcBorders>
                  <w:noWrap w:val="0"/>
                  <w:vAlign w:val="center"/>
                </w:tcPr>
                <w:p w14:paraId="5F5B0EDD">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kern w:val="0"/>
                      <w:sz w:val="21"/>
                      <w:szCs w:val="21"/>
                      <w:highlight w:val="none"/>
                      <w:vertAlign w:val="baseline"/>
                      <w:lang w:eastAsia="zh-CN"/>
                    </w:rPr>
                    <w:t>项目属于《产业结构调整指导目录》（20</w:t>
                  </w:r>
                  <w:r>
                    <w:rPr>
                      <w:rFonts w:hint="default" w:ascii="Times New Roman" w:hAnsi="Times New Roman" w:eastAsia="宋体" w:cs="Times New Roman"/>
                      <w:color w:val="auto"/>
                      <w:kern w:val="0"/>
                      <w:sz w:val="21"/>
                      <w:szCs w:val="21"/>
                      <w:highlight w:val="none"/>
                      <w:vertAlign w:val="baseline"/>
                      <w:lang w:val="en-US" w:eastAsia="zh-CN"/>
                    </w:rPr>
                    <w:t>24</w:t>
                  </w:r>
                  <w:r>
                    <w:rPr>
                      <w:rFonts w:hint="default" w:ascii="Times New Roman" w:hAnsi="Times New Roman" w:eastAsia="宋体" w:cs="Times New Roman"/>
                      <w:color w:val="auto"/>
                      <w:kern w:val="0"/>
                      <w:sz w:val="21"/>
                      <w:szCs w:val="21"/>
                      <w:highlight w:val="none"/>
                      <w:vertAlign w:val="baseline"/>
                      <w:lang w:eastAsia="zh-CN"/>
                    </w:rPr>
                    <w:t>年本）中鼓励类项目，符合国家产业政策要求。</w:t>
                  </w:r>
                </w:p>
              </w:tc>
              <w:tc>
                <w:tcPr>
                  <w:tcW w:w="536" w:type="pct"/>
                  <w:tcBorders>
                    <w:tl2br w:val="nil"/>
                    <w:tr2bl w:val="nil"/>
                  </w:tcBorders>
                  <w:noWrap w:val="0"/>
                  <w:vAlign w:val="center"/>
                </w:tcPr>
                <w:p w14:paraId="48984F5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0"/>
                      <w:sz w:val="21"/>
                      <w:szCs w:val="21"/>
                      <w:highlight w:val="none"/>
                      <w:vertAlign w:val="baseline"/>
                      <w:lang w:eastAsia="zh-CN"/>
                    </w:rPr>
                  </w:pPr>
                  <w:r>
                    <w:rPr>
                      <w:rFonts w:hint="default" w:ascii="Times New Roman" w:hAnsi="Times New Roman" w:eastAsia="宋体" w:cs="Times New Roman"/>
                      <w:color w:val="auto"/>
                      <w:highlight w:val="none"/>
                      <w:lang w:eastAsia="zh-CN"/>
                    </w:rPr>
                    <w:t>符合</w:t>
                  </w:r>
                </w:p>
              </w:tc>
            </w:tr>
            <w:tr w14:paraId="6AD26E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6" w:type="pct"/>
                  <w:vMerge w:val="continue"/>
                  <w:tcBorders>
                    <w:tl2br w:val="nil"/>
                    <w:tr2bl w:val="nil"/>
                  </w:tcBorders>
                  <w:noWrap w:val="0"/>
                  <w:vAlign w:val="center"/>
                </w:tcPr>
                <w:p w14:paraId="4F2E2FB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val="en-US" w:eastAsia="zh-CN"/>
                    </w:rPr>
                  </w:pPr>
                </w:p>
              </w:tc>
              <w:tc>
                <w:tcPr>
                  <w:tcW w:w="2470" w:type="pct"/>
                  <w:tcBorders>
                    <w:tl2br w:val="nil"/>
                    <w:tr2bl w:val="nil"/>
                  </w:tcBorders>
                  <w:noWrap w:val="0"/>
                  <w:vAlign w:val="center"/>
                </w:tcPr>
                <w:p w14:paraId="02E693BC">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（六）全面开展传统产业集群升级改造。中小型传统制造企业集中的城市要制定涉气产业集群发展规划，严格项目审批，严防污染下乡。针对现有产业集群制定专项整治方案，依法淘汰关停一批、搬迁入园一批</w:t>
                  </w:r>
                  <w:r>
                    <w:rPr>
                      <w:rFonts w:hint="eastAsia" w:cs="Times New Roman"/>
                      <w:color w:val="auto"/>
                      <w:highlight w:val="none"/>
                      <w:lang w:val="en-US" w:eastAsia="zh-CN"/>
                    </w:rPr>
                    <w:t>，就</w:t>
                  </w:r>
                  <w:r>
                    <w:rPr>
                      <w:rFonts w:hint="default" w:ascii="Times New Roman" w:hAnsi="Times New Roman" w:eastAsia="宋体" w:cs="Times New Roman"/>
                      <w:color w:val="auto"/>
                      <w:highlight w:val="none"/>
                      <w:lang w:val="en-US" w:eastAsia="zh-CN"/>
                    </w:rPr>
                    <w:t>地改造一批、做优做强一批。</w:t>
                  </w:r>
                </w:p>
              </w:tc>
              <w:tc>
                <w:tcPr>
                  <w:tcW w:w="1366" w:type="pct"/>
                  <w:tcBorders>
                    <w:tl2br w:val="nil"/>
                    <w:tr2bl w:val="nil"/>
                  </w:tcBorders>
                  <w:noWrap w:val="0"/>
                  <w:vAlign w:val="center"/>
                </w:tcPr>
                <w:p w14:paraId="3C50098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项目为报废汽车回收拆解项目，属于废弃资源综合利用行业，为《产业结构调整指导目录（2024年本）》中鼓励类项目，企业</w:t>
                  </w:r>
                  <w:r>
                    <w:rPr>
                      <w:rFonts w:hint="eastAsia" w:cs="Times New Roman"/>
                      <w:color w:val="auto"/>
                      <w:kern w:val="2"/>
                      <w:sz w:val="21"/>
                      <w:szCs w:val="21"/>
                      <w:highlight w:val="none"/>
                      <w:lang w:val="en-US" w:eastAsia="zh-CN" w:bidi="ar-SA"/>
                    </w:rPr>
                    <w:t>已</w:t>
                  </w:r>
                  <w:r>
                    <w:rPr>
                      <w:rFonts w:hint="default" w:ascii="Times New Roman" w:hAnsi="Times New Roman" w:eastAsia="宋体" w:cs="Times New Roman"/>
                      <w:color w:val="auto"/>
                      <w:kern w:val="2"/>
                      <w:sz w:val="21"/>
                      <w:szCs w:val="21"/>
                      <w:highlight w:val="none"/>
                      <w:lang w:val="en-US" w:eastAsia="zh-CN" w:bidi="ar-SA"/>
                    </w:rPr>
                    <w:t>取得园区出具的规划说明，符合园区规划。</w:t>
                  </w:r>
                </w:p>
              </w:tc>
              <w:tc>
                <w:tcPr>
                  <w:tcW w:w="536" w:type="pct"/>
                  <w:tcBorders>
                    <w:tl2br w:val="nil"/>
                    <w:tr2bl w:val="nil"/>
                  </w:tcBorders>
                  <w:noWrap w:val="0"/>
                  <w:vAlign w:val="center"/>
                </w:tcPr>
                <w:p w14:paraId="5D74879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highlight w:val="none"/>
                      <w:lang w:eastAsia="zh-CN"/>
                    </w:rPr>
                    <w:t>符合</w:t>
                  </w:r>
                </w:p>
              </w:tc>
            </w:tr>
            <w:tr w14:paraId="246D5D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6" w:type="pct"/>
                  <w:vMerge w:val="continue"/>
                  <w:tcBorders>
                    <w:tl2br w:val="nil"/>
                    <w:tr2bl w:val="nil"/>
                  </w:tcBorders>
                  <w:noWrap w:val="0"/>
                  <w:vAlign w:val="center"/>
                </w:tcPr>
                <w:p w14:paraId="43AA908C">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p>
              </w:tc>
              <w:tc>
                <w:tcPr>
                  <w:tcW w:w="2470" w:type="pct"/>
                  <w:tcBorders>
                    <w:tl2br w:val="nil"/>
                    <w:tr2bl w:val="nil"/>
                  </w:tcBorders>
                  <w:noWrap w:val="0"/>
                  <w:vAlign w:val="center"/>
                </w:tcPr>
                <w:p w14:paraId="2C393841">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七）优化含VOCs原辅材料和产品结构。严格控制生产和使用高VOCs含量涂料、油墨、胶粘剂、清洗剂等建设项目，提高低（无）VOCs含量产品比重。实施源头替代工程，加大工业涂装、包装印刷和电子行业低（无）VOCs含量原辅材料替代力度。室外构筑物防护和城市道路交通标志推广使用低（无）VOCs含量涂料。在生产、销售、进口、使用等环节严格执行VOCs含量限值标准。</w:t>
                  </w:r>
                </w:p>
              </w:tc>
              <w:tc>
                <w:tcPr>
                  <w:tcW w:w="1366" w:type="pct"/>
                  <w:tcBorders>
                    <w:tl2br w:val="nil"/>
                    <w:tr2bl w:val="nil"/>
                  </w:tcBorders>
                  <w:noWrap w:val="0"/>
                  <w:vAlign w:val="center"/>
                </w:tcPr>
                <w:p w14:paraId="31981FA1">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项目不使用</w:t>
                  </w:r>
                  <w:r>
                    <w:rPr>
                      <w:rFonts w:hint="default" w:ascii="Times New Roman" w:hAnsi="Times New Roman" w:eastAsia="宋体" w:cs="Times New Roman"/>
                      <w:color w:val="auto"/>
                      <w:highlight w:val="none"/>
                    </w:rPr>
                    <w:t>高VOCs含量涂料、油墨、胶粘剂、清洗剂等建设项目，</w:t>
                  </w:r>
                  <w:r>
                    <w:rPr>
                      <w:rFonts w:hint="default" w:ascii="Times New Roman" w:hAnsi="Times New Roman" w:eastAsia="宋体" w:cs="Times New Roman"/>
                      <w:color w:val="auto"/>
                      <w:highlight w:val="none"/>
                      <w:lang w:eastAsia="zh-CN"/>
                    </w:rPr>
                    <w:t>项目产生的污染物VOCs</w:t>
                  </w:r>
                  <w:r>
                    <w:rPr>
                      <w:rFonts w:hint="default" w:ascii="Times New Roman" w:hAnsi="Times New Roman" w:eastAsia="宋体" w:cs="Times New Roman"/>
                      <w:color w:val="auto"/>
                      <w:highlight w:val="none"/>
                      <w:lang w:val="en-US" w:eastAsia="zh-CN"/>
                    </w:rPr>
                    <w:t>集气罩+</w:t>
                  </w:r>
                  <w:r>
                    <w:rPr>
                      <w:rFonts w:hint="eastAsia" w:cs="Times New Roman"/>
                      <w:color w:val="auto"/>
                      <w:highlight w:val="none"/>
                      <w:lang w:val="en-US" w:eastAsia="zh-CN"/>
                    </w:rPr>
                    <w:t>二级</w:t>
                  </w:r>
                  <w:r>
                    <w:rPr>
                      <w:rFonts w:hint="default" w:ascii="Times New Roman" w:hAnsi="Times New Roman" w:eastAsia="宋体" w:cs="Times New Roman"/>
                      <w:color w:val="auto"/>
                      <w:highlight w:val="none"/>
                      <w:lang w:val="en-US" w:eastAsia="zh-CN"/>
                    </w:rPr>
                    <w:t>活性炭装置吸附处理后通过</w:t>
                  </w:r>
                  <w:r>
                    <w:rPr>
                      <w:rFonts w:hint="eastAsia" w:cs="Times New Roman"/>
                      <w:color w:val="auto"/>
                      <w:highlight w:val="none"/>
                      <w:lang w:val="en-US" w:eastAsia="zh-CN"/>
                    </w:rPr>
                    <w:t>24</w:t>
                  </w:r>
                  <w:r>
                    <w:rPr>
                      <w:rFonts w:hint="default" w:ascii="Times New Roman" w:hAnsi="Times New Roman" w:eastAsia="宋体" w:cs="Times New Roman"/>
                      <w:color w:val="auto"/>
                      <w:highlight w:val="none"/>
                      <w:lang w:val="en-US" w:eastAsia="zh-CN"/>
                    </w:rPr>
                    <w:t>m高排气筒DA001排放。</w:t>
                  </w:r>
                </w:p>
              </w:tc>
              <w:tc>
                <w:tcPr>
                  <w:tcW w:w="536" w:type="pct"/>
                  <w:tcBorders>
                    <w:tl2br w:val="nil"/>
                    <w:tr2bl w:val="nil"/>
                  </w:tcBorders>
                  <w:noWrap w:val="0"/>
                  <w:vAlign w:val="center"/>
                </w:tcPr>
                <w:p w14:paraId="5A0E5DF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符合</w:t>
                  </w:r>
                </w:p>
              </w:tc>
            </w:tr>
            <w:tr w14:paraId="2625E6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626" w:type="pct"/>
                  <w:tcBorders>
                    <w:tl2br w:val="nil"/>
                    <w:tr2bl w:val="nil"/>
                  </w:tcBorders>
                  <w:noWrap w:val="0"/>
                  <w:vAlign w:val="center"/>
                </w:tcPr>
                <w:p w14:paraId="6FB58315">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b/>
                      <w:bCs/>
                      <w:color w:val="auto"/>
                      <w:highlight w:val="none"/>
                    </w:rPr>
                    <w:t>三、优化能源结构，加速能源清洁低碳高效发展</w:t>
                  </w:r>
                </w:p>
              </w:tc>
              <w:tc>
                <w:tcPr>
                  <w:tcW w:w="2470" w:type="pct"/>
                  <w:tcBorders>
                    <w:tl2br w:val="nil"/>
                    <w:tr2bl w:val="nil"/>
                  </w:tcBorders>
                  <w:noWrap w:val="0"/>
                  <w:vAlign w:val="center"/>
                </w:tcPr>
                <w:p w14:paraId="78CAA048">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十三）持续推进北方地区清洁取暖。因地制宜成片推进北方地区清洁取暖，确保群众温暖过冬。加大民用、农用散煤替代力度，重点区域平原地区散煤基本清零，逐步推进山区散煤清洁能源替代。纳入中央财政支持北方地区清洁取暖范围的城市，保质保量完成改造任务，其中“煤改气”要落实气源、以供定改。全面提升建筑能效水平，加快既有农房节能改造。各地依法将整体完成清洁取暖改造的地区划定为高污染燃料禁燃区，防止散煤复烧。对暂未实施清洁取暖的地区，强化商品煤质量监管。</w:t>
                  </w:r>
                </w:p>
              </w:tc>
              <w:tc>
                <w:tcPr>
                  <w:tcW w:w="1366" w:type="pct"/>
                  <w:tcBorders>
                    <w:tl2br w:val="nil"/>
                    <w:tr2bl w:val="nil"/>
                  </w:tcBorders>
                  <w:noWrap w:val="0"/>
                  <w:vAlign w:val="center"/>
                </w:tcPr>
                <w:p w14:paraId="6D0044D8">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本项目生产车间不供暖，办公室采用电取暖</w:t>
                  </w:r>
                </w:p>
              </w:tc>
              <w:tc>
                <w:tcPr>
                  <w:tcW w:w="536" w:type="pct"/>
                  <w:tcBorders>
                    <w:tl2br w:val="nil"/>
                    <w:tr2bl w:val="nil"/>
                  </w:tcBorders>
                  <w:noWrap w:val="0"/>
                  <w:vAlign w:val="center"/>
                </w:tcPr>
                <w:p w14:paraId="68B92B8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符合</w:t>
                  </w:r>
                </w:p>
              </w:tc>
            </w:tr>
          </w:tbl>
          <w:p w14:paraId="32096AF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2" w:firstLineChars="200"/>
              <w:jc w:val="both"/>
              <w:textAlignment w:val="auto"/>
              <w:rPr>
                <w:rFonts w:hint="eastAsia" w:ascii="Times New Roman" w:hAnsi="Times New Roman" w:cs="Times New Roman"/>
                <w:b/>
                <w:bCs/>
                <w:color w:val="auto"/>
                <w:sz w:val="21"/>
                <w:szCs w:val="21"/>
                <w:highlight w:val="none"/>
                <w:lang w:val="en-US" w:eastAsia="zh-CN"/>
              </w:rPr>
            </w:pPr>
            <w:r>
              <w:rPr>
                <w:rFonts w:hint="eastAsia" w:ascii="Times New Roman" w:hAnsi="Times New Roman" w:eastAsia="宋体" w:cs="Times New Roman"/>
                <w:b/>
                <w:bCs/>
                <w:color w:val="auto"/>
                <w:highlight w:val="none"/>
                <w:lang w:val="en-US" w:eastAsia="zh-CN"/>
              </w:rPr>
              <w:t>③与</w:t>
            </w:r>
            <w:r>
              <w:rPr>
                <w:rFonts w:hint="default" w:ascii="Times New Roman" w:hAnsi="Times New Roman" w:eastAsia="宋体" w:cs="Times New Roman"/>
                <w:b/>
                <w:bCs/>
                <w:color w:val="auto"/>
                <w:kern w:val="2"/>
                <w:sz w:val="24"/>
                <w:szCs w:val="24"/>
                <w:highlight w:val="none"/>
                <w:lang w:val="en-US" w:eastAsia="zh-CN"/>
              </w:rPr>
              <w:t>《</w:t>
            </w:r>
            <w:r>
              <w:rPr>
                <w:rFonts w:hint="eastAsia" w:cs="Times New Roman"/>
                <w:b/>
                <w:bCs/>
                <w:color w:val="auto"/>
                <w:kern w:val="2"/>
                <w:sz w:val="24"/>
                <w:szCs w:val="24"/>
                <w:highlight w:val="none"/>
                <w:lang w:val="en-US" w:eastAsia="zh-CN"/>
              </w:rPr>
              <w:t>阜新市</w:t>
            </w:r>
            <w:r>
              <w:rPr>
                <w:rFonts w:hint="default" w:ascii="Times New Roman" w:hAnsi="Times New Roman" w:eastAsia="宋体" w:cs="Times New Roman"/>
                <w:b/>
                <w:bCs/>
                <w:color w:val="auto"/>
                <w:kern w:val="2"/>
                <w:sz w:val="24"/>
                <w:szCs w:val="24"/>
                <w:highlight w:val="none"/>
                <w:lang w:val="en-US" w:eastAsia="zh-CN"/>
              </w:rPr>
              <w:t>空气质量持续改善行动实施方案》（</w:t>
            </w:r>
            <w:r>
              <w:rPr>
                <w:rFonts w:hint="eastAsia" w:cs="Times New Roman"/>
                <w:b/>
                <w:bCs/>
                <w:color w:val="auto"/>
                <w:kern w:val="2"/>
                <w:sz w:val="24"/>
                <w:szCs w:val="24"/>
                <w:highlight w:val="none"/>
                <w:lang w:val="en-US" w:eastAsia="zh-CN"/>
              </w:rPr>
              <w:t>阜</w:t>
            </w:r>
            <w:r>
              <w:rPr>
                <w:rFonts w:hint="default" w:ascii="Times New Roman" w:hAnsi="Times New Roman" w:eastAsia="宋体" w:cs="Times New Roman"/>
                <w:b/>
                <w:bCs/>
                <w:color w:val="auto"/>
                <w:kern w:val="2"/>
                <w:sz w:val="24"/>
                <w:szCs w:val="24"/>
                <w:highlight w:val="none"/>
                <w:lang w:val="en-US" w:eastAsia="zh-CN"/>
              </w:rPr>
              <w:t>政发</w:t>
            </w:r>
            <w:r>
              <w:rPr>
                <w:rFonts w:hint="eastAsia" w:cs="Times New Roman"/>
                <w:b/>
                <w:bCs/>
                <w:color w:val="auto"/>
                <w:kern w:val="2"/>
                <w:sz w:val="24"/>
                <w:szCs w:val="24"/>
                <w:highlight w:val="none"/>
                <w:lang w:val="en-US" w:eastAsia="zh-CN"/>
              </w:rPr>
              <w:t>〔2024〕12号</w:t>
            </w:r>
            <w:r>
              <w:rPr>
                <w:rFonts w:hint="default" w:ascii="Times New Roman" w:hAnsi="Times New Roman" w:eastAsia="宋体" w:cs="Times New Roman"/>
                <w:b/>
                <w:bCs/>
                <w:color w:val="auto"/>
                <w:kern w:val="2"/>
                <w:sz w:val="24"/>
                <w:szCs w:val="24"/>
                <w:highlight w:val="none"/>
                <w:lang w:val="en-US" w:eastAsia="zh-CN"/>
              </w:rPr>
              <w:t>）</w:t>
            </w:r>
            <w:r>
              <w:rPr>
                <w:rFonts w:hint="eastAsia" w:cs="Times New Roman"/>
                <w:b/>
                <w:bCs/>
                <w:color w:val="auto"/>
                <w:kern w:val="2"/>
                <w:sz w:val="24"/>
                <w:szCs w:val="24"/>
                <w:highlight w:val="none"/>
                <w:lang w:val="en-US" w:eastAsia="zh-CN"/>
              </w:rPr>
              <w:t>符合</w:t>
            </w:r>
            <w:r>
              <w:rPr>
                <w:rFonts w:hint="default" w:ascii="Times New Roman" w:hAnsi="Times New Roman" w:eastAsia="宋体" w:cs="Times New Roman"/>
                <w:b/>
                <w:bCs/>
                <w:color w:val="auto"/>
                <w:kern w:val="2"/>
                <w:sz w:val="24"/>
                <w:szCs w:val="24"/>
                <w:highlight w:val="none"/>
                <w:lang w:val="en-US" w:eastAsia="zh-CN"/>
              </w:rPr>
              <w:t>性分析</w:t>
            </w:r>
          </w:p>
          <w:p w14:paraId="78D86B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bCs/>
                <w:color w:val="auto"/>
                <w:szCs w:val="21"/>
                <w:highlight w:val="none"/>
              </w:rPr>
              <w:t>表1-</w:t>
            </w:r>
            <w:r>
              <w:rPr>
                <w:rFonts w:hint="eastAsia" w:cs="Times New Roman"/>
                <w:b/>
                <w:bCs/>
                <w:color w:val="auto"/>
                <w:szCs w:val="21"/>
                <w:highlight w:val="none"/>
                <w:lang w:val="en-US" w:eastAsia="zh-CN"/>
              </w:rPr>
              <w:t>7</w:t>
            </w:r>
            <w:r>
              <w:rPr>
                <w:rFonts w:hint="default" w:ascii="Times New Roman" w:hAnsi="Times New Roman" w:eastAsia="宋体" w:cs="Times New Roman"/>
                <w:b/>
                <w:bCs/>
                <w:color w:val="auto"/>
                <w:szCs w:val="21"/>
                <w:highlight w:val="none"/>
                <w:lang w:val="en-US" w:eastAsia="zh-CN"/>
              </w:rPr>
              <w:t xml:space="preserve"> </w:t>
            </w:r>
            <w:r>
              <w:rPr>
                <w:rFonts w:hint="default" w:ascii="Times New Roman" w:hAnsi="Times New Roman" w:eastAsia="宋体" w:cs="Times New Roman"/>
                <w:b/>
                <w:bCs/>
                <w:color w:val="auto"/>
                <w:szCs w:val="21"/>
                <w:highlight w:val="none"/>
              </w:rPr>
              <w:t xml:space="preserve"> </w:t>
            </w:r>
            <w:r>
              <w:rPr>
                <w:rFonts w:hint="default" w:ascii="Times New Roman" w:hAnsi="Times New Roman" w:eastAsia="宋体" w:cs="Times New Roman"/>
                <w:b/>
                <w:bCs/>
                <w:color w:val="auto"/>
                <w:szCs w:val="21"/>
                <w:highlight w:val="none"/>
                <w:lang w:eastAsia="zh-CN"/>
              </w:rPr>
              <w:t>与</w:t>
            </w:r>
            <w:r>
              <w:rPr>
                <w:rFonts w:hint="eastAsia" w:ascii="Times New Roman" w:hAnsi="Times New Roman" w:eastAsia="宋体" w:cs="Times New Roman"/>
                <w:b/>
                <w:bCs/>
                <w:color w:val="auto"/>
                <w:szCs w:val="21"/>
                <w:highlight w:val="none"/>
                <w:lang w:val="en-US" w:eastAsia="zh-CN"/>
              </w:rPr>
              <w:t>阜新市</w:t>
            </w:r>
            <w:r>
              <w:rPr>
                <w:rFonts w:hint="default" w:ascii="Times New Roman" w:hAnsi="Times New Roman" w:eastAsia="宋体" w:cs="Times New Roman"/>
                <w:b/>
                <w:bCs/>
                <w:color w:val="auto"/>
                <w:szCs w:val="21"/>
                <w:highlight w:val="none"/>
                <w:lang w:val="en-US" w:eastAsia="zh-CN"/>
              </w:rPr>
              <w:t>空气质量持续改善行动实施方案》（</w:t>
            </w:r>
            <w:r>
              <w:rPr>
                <w:rFonts w:hint="eastAsia" w:ascii="Times New Roman" w:hAnsi="Times New Roman" w:eastAsia="宋体" w:cs="Times New Roman"/>
                <w:b/>
                <w:bCs/>
                <w:color w:val="auto"/>
                <w:szCs w:val="21"/>
                <w:highlight w:val="none"/>
                <w:lang w:val="en-US" w:eastAsia="zh-CN"/>
              </w:rPr>
              <w:t>阜</w:t>
            </w:r>
            <w:r>
              <w:rPr>
                <w:rFonts w:hint="default" w:ascii="Times New Roman" w:hAnsi="Times New Roman" w:eastAsia="宋体" w:cs="Times New Roman"/>
                <w:b/>
                <w:bCs/>
                <w:color w:val="auto"/>
                <w:szCs w:val="21"/>
                <w:highlight w:val="none"/>
                <w:lang w:val="en-US" w:eastAsia="zh-CN"/>
              </w:rPr>
              <w:t>政发</w:t>
            </w:r>
            <w:r>
              <w:rPr>
                <w:rFonts w:hint="eastAsia" w:cs="Times New Roman"/>
                <w:b/>
                <w:bCs/>
                <w:color w:val="auto"/>
                <w:szCs w:val="21"/>
                <w:highlight w:val="none"/>
                <w:lang w:val="en-US" w:eastAsia="zh-CN"/>
              </w:rPr>
              <w:t>〔2024〕12号</w:t>
            </w:r>
            <w:r>
              <w:rPr>
                <w:rFonts w:hint="default" w:ascii="Times New Roman" w:hAnsi="Times New Roman" w:eastAsia="宋体" w:cs="Times New Roman"/>
                <w:b/>
                <w:bCs/>
                <w:color w:val="auto"/>
                <w:szCs w:val="21"/>
                <w:highlight w:val="none"/>
                <w:lang w:val="en-US" w:eastAsia="zh-CN"/>
              </w:rPr>
              <w:t>）</w:t>
            </w:r>
            <w:r>
              <w:rPr>
                <w:rFonts w:hint="eastAsia" w:ascii="Times New Roman" w:hAnsi="Times New Roman" w:eastAsia="宋体" w:cs="Times New Roman"/>
                <w:b/>
                <w:bCs/>
                <w:color w:val="auto"/>
                <w:szCs w:val="21"/>
                <w:highlight w:val="none"/>
                <w:lang w:val="en-US" w:eastAsia="zh-CN"/>
              </w:rPr>
              <w:t>符合</w:t>
            </w:r>
            <w:r>
              <w:rPr>
                <w:rFonts w:hint="default" w:ascii="Times New Roman" w:hAnsi="Times New Roman" w:eastAsia="宋体" w:cs="Times New Roman"/>
                <w:b/>
                <w:bCs/>
                <w:color w:val="auto"/>
                <w:szCs w:val="21"/>
                <w:highlight w:val="none"/>
                <w:lang w:val="en-US" w:eastAsia="zh-CN"/>
              </w:rPr>
              <w:t>性</w:t>
            </w:r>
            <w:r>
              <w:rPr>
                <w:rFonts w:hint="default" w:ascii="Times New Roman" w:hAnsi="Times New Roman" w:eastAsia="宋体" w:cs="Times New Roman"/>
                <w:b/>
                <w:bCs/>
                <w:color w:val="auto"/>
                <w:szCs w:val="21"/>
                <w:highlight w:val="none"/>
                <w:lang w:eastAsia="zh-CN"/>
              </w:rPr>
              <w:t>分析</w:t>
            </w:r>
          </w:p>
          <w:tbl>
            <w:tblPr>
              <w:tblStyle w:val="27"/>
              <w:tblW w:w="4999"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62"/>
              <w:gridCol w:w="4063"/>
              <w:gridCol w:w="1973"/>
              <w:gridCol w:w="1050"/>
            </w:tblGrid>
            <w:tr w14:paraId="222A21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122" w:type="pct"/>
                  <w:gridSpan w:val="2"/>
                  <w:tcBorders>
                    <w:tl2br w:val="nil"/>
                    <w:tr2bl w:val="nil"/>
                  </w:tcBorders>
                  <w:noWrap w:val="0"/>
                  <w:vAlign w:val="center"/>
                </w:tcPr>
                <w:p w14:paraId="09C9C37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lang w:eastAsia="zh-CN"/>
                    </w:rPr>
                  </w:pPr>
                  <w:r>
                    <w:rPr>
                      <w:rFonts w:hint="eastAsia" w:cs="Times New Roman"/>
                      <w:b/>
                      <w:bCs/>
                      <w:color w:val="auto"/>
                      <w:szCs w:val="21"/>
                      <w:highlight w:val="none"/>
                      <w:lang w:val="en-US" w:eastAsia="zh-CN"/>
                    </w:rPr>
                    <w:t>文件</w:t>
                  </w:r>
                  <w:r>
                    <w:rPr>
                      <w:rFonts w:hint="default" w:ascii="Times New Roman" w:hAnsi="Times New Roman" w:eastAsia="宋体" w:cs="Times New Roman"/>
                      <w:b/>
                      <w:bCs/>
                      <w:color w:val="auto"/>
                      <w:szCs w:val="21"/>
                      <w:highlight w:val="none"/>
                      <w:lang w:eastAsia="zh-CN"/>
                    </w:rPr>
                    <w:t>要求</w:t>
                  </w:r>
                </w:p>
              </w:tc>
              <w:tc>
                <w:tcPr>
                  <w:tcW w:w="1225" w:type="pct"/>
                  <w:tcBorders>
                    <w:tl2br w:val="nil"/>
                    <w:tr2bl w:val="nil"/>
                  </w:tcBorders>
                  <w:noWrap w:val="0"/>
                  <w:vAlign w:val="center"/>
                </w:tcPr>
                <w:p w14:paraId="632C14EC">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lang w:eastAsia="zh-CN"/>
                    </w:rPr>
                  </w:pPr>
                  <w:r>
                    <w:rPr>
                      <w:rFonts w:hint="default" w:ascii="Times New Roman" w:hAnsi="Times New Roman" w:eastAsia="宋体" w:cs="Times New Roman"/>
                      <w:b/>
                      <w:bCs/>
                      <w:color w:val="auto"/>
                      <w:szCs w:val="21"/>
                      <w:highlight w:val="none"/>
                      <w:lang w:eastAsia="zh-CN"/>
                    </w:rPr>
                    <w:t>本项目</w:t>
                  </w:r>
                </w:p>
              </w:tc>
              <w:tc>
                <w:tcPr>
                  <w:tcW w:w="652" w:type="pct"/>
                  <w:tcBorders>
                    <w:tl2br w:val="nil"/>
                    <w:tr2bl w:val="nil"/>
                  </w:tcBorders>
                  <w:noWrap w:val="0"/>
                  <w:vAlign w:val="center"/>
                </w:tcPr>
                <w:p w14:paraId="41E0B5C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lang w:eastAsia="zh-CN"/>
                    </w:rPr>
                  </w:pPr>
                  <w:r>
                    <w:rPr>
                      <w:rFonts w:hint="eastAsia" w:cs="Times New Roman"/>
                      <w:b/>
                      <w:bCs/>
                      <w:color w:val="auto"/>
                      <w:szCs w:val="21"/>
                      <w:highlight w:val="none"/>
                      <w:lang w:val="en-US" w:eastAsia="zh-CN"/>
                    </w:rPr>
                    <w:t>符合</w:t>
                  </w:r>
                  <w:r>
                    <w:rPr>
                      <w:rFonts w:hint="default" w:ascii="Times New Roman" w:hAnsi="Times New Roman" w:eastAsia="宋体" w:cs="Times New Roman"/>
                      <w:b/>
                      <w:bCs/>
                      <w:color w:val="auto"/>
                      <w:szCs w:val="21"/>
                      <w:highlight w:val="none"/>
                      <w:lang w:val="en-US" w:eastAsia="zh-CN"/>
                    </w:rPr>
                    <w:t>性</w:t>
                  </w:r>
                </w:p>
              </w:tc>
            </w:tr>
            <w:tr w14:paraId="5F4CCE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8" w:type="pct"/>
                  <w:vMerge w:val="restart"/>
                  <w:tcBorders>
                    <w:tl2br w:val="nil"/>
                    <w:tr2bl w:val="nil"/>
                  </w:tcBorders>
                  <w:noWrap w:val="0"/>
                  <w:vAlign w:val="center"/>
                </w:tcPr>
                <w:p w14:paraId="5C14C83B">
                  <w:pPr>
                    <w:keepNext w:val="0"/>
                    <w:keepLines w:val="0"/>
                    <w:suppressLineNumbers w:val="0"/>
                    <w:spacing w:before="0" w:beforeAutospacing="0" w:after="0" w:afterAutospacing="0"/>
                    <w:ind w:left="0" w:right="0"/>
                    <w:jc w:val="both"/>
                    <w:rPr>
                      <w:rFonts w:hint="eastAsia" w:cs="Times New Roman"/>
                      <w:color w:val="auto"/>
                      <w:highlight w:val="none"/>
                      <w:lang w:val="en-US" w:eastAsia="zh-CN"/>
                    </w:rPr>
                  </w:pPr>
                  <w:r>
                    <w:rPr>
                      <w:rFonts w:hint="default" w:ascii="Times New Roman" w:hAnsi="Times New Roman" w:eastAsia="宋体" w:cs="Times New Roman"/>
                      <w:b/>
                      <w:bCs w:val="0"/>
                      <w:color w:val="auto"/>
                      <w:kern w:val="0"/>
                      <w:sz w:val="21"/>
                      <w:szCs w:val="21"/>
                      <w:highlight w:val="none"/>
                      <w:vertAlign w:val="baseline"/>
                      <w:lang w:eastAsia="zh-CN"/>
                    </w:rPr>
                    <w:t>二、优化产业结构，促进产业产品绿色升级</w:t>
                  </w:r>
                </w:p>
              </w:tc>
              <w:tc>
                <w:tcPr>
                  <w:tcW w:w="2523" w:type="pct"/>
                  <w:tcBorders>
                    <w:tl2br w:val="nil"/>
                    <w:tr2bl w:val="nil"/>
                  </w:tcBorders>
                  <w:noWrap w:val="0"/>
                  <w:vAlign w:val="center"/>
                </w:tcPr>
                <w:p w14:paraId="61997DA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1.</w:t>
                  </w:r>
                  <w:r>
                    <w:rPr>
                      <w:rFonts w:hint="eastAsia" w:ascii="Times New Roman" w:hAnsi="Times New Roman" w:eastAsia="宋体" w:cs="Times New Roman"/>
                      <w:color w:val="auto"/>
                      <w:highlight w:val="none"/>
                      <w:lang w:val="en-US" w:eastAsia="zh-CN"/>
                    </w:rPr>
                    <w:t>推动和优化产业结构和布局。推动在建和拟建项目能效、环保水平提升，新改扩建项目必须落实国家产业规划、产业政策、生态环境分区管控方案、碳排放达峰目标等相关要求。加快退出重点行业落后产能，推动重点领域设备更新升级和工艺流程优化改造，加快淘汰落后低效设备、超期服役老旧设备。</w:t>
                  </w:r>
                </w:p>
              </w:tc>
              <w:tc>
                <w:tcPr>
                  <w:tcW w:w="1225" w:type="pct"/>
                  <w:tcBorders>
                    <w:tl2br w:val="nil"/>
                    <w:tr2bl w:val="nil"/>
                  </w:tcBorders>
                  <w:noWrap w:val="0"/>
                  <w:vAlign w:val="center"/>
                </w:tcPr>
                <w:p w14:paraId="303A0391">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val="en-US" w:eastAsia="zh-CN"/>
                    </w:rPr>
                  </w:pPr>
                  <w:r>
                    <w:rPr>
                      <w:rFonts w:hint="default" w:ascii="Times New Roman" w:hAnsi="Times New Roman" w:eastAsia="宋体" w:cs="Times New Roman"/>
                      <w:color w:val="auto"/>
                      <w:highlight w:val="none"/>
                      <w:lang w:val="en-US" w:eastAsia="zh-CN"/>
                    </w:rPr>
                    <w:t>项目不属于高耗能、高排放、低水平项目，项目属于《产业结构调整指导目录》（2024年本）中鼓励类项目，符合国家产业政策要求。</w:t>
                  </w:r>
                </w:p>
              </w:tc>
              <w:tc>
                <w:tcPr>
                  <w:tcW w:w="652" w:type="pct"/>
                  <w:tcBorders>
                    <w:tl2br w:val="nil"/>
                    <w:tr2bl w:val="nil"/>
                  </w:tcBorders>
                  <w:noWrap w:val="0"/>
                  <w:vAlign w:val="center"/>
                </w:tcPr>
                <w:p w14:paraId="247425B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符合</w:t>
                  </w:r>
                </w:p>
              </w:tc>
            </w:tr>
            <w:tr w14:paraId="105426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8" w:type="pct"/>
                  <w:vMerge w:val="continue"/>
                  <w:tcBorders>
                    <w:tl2br w:val="nil"/>
                    <w:tr2bl w:val="nil"/>
                  </w:tcBorders>
                  <w:noWrap w:val="0"/>
                  <w:vAlign w:val="center"/>
                </w:tcPr>
                <w:p w14:paraId="2FEA0937">
                  <w:pPr>
                    <w:keepNext w:val="0"/>
                    <w:keepLines w:val="0"/>
                    <w:suppressLineNumbers w:val="0"/>
                    <w:spacing w:before="0" w:beforeAutospacing="0" w:after="0" w:afterAutospacing="0"/>
                    <w:ind w:left="0" w:right="0"/>
                    <w:jc w:val="both"/>
                    <w:rPr>
                      <w:rFonts w:hint="eastAsia" w:cs="Times New Roman"/>
                      <w:color w:val="auto"/>
                      <w:highlight w:val="none"/>
                      <w:lang w:val="en-US" w:eastAsia="zh-CN"/>
                    </w:rPr>
                  </w:pPr>
                </w:p>
              </w:tc>
              <w:tc>
                <w:tcPr>
                  <w:tcW w:w="2523" w:type="pct"/>
                  <w:tcBorders>
                    <w:tl2br w:val="nil"/>
                    <w:tr2bl w:val="nil"/>
                  </w:tcBorders>
                  <w:noWrap w:val="0"/>
                  <w:vAlign w:val="center"/>
                </w:tcPr>
                <w:p w14:paraId="470C5C44">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eastAsia" w:cs="Times New Roman"/>
                      <w:color w:val="auto"/>
                      <w:highlight w:val="none"/>
                      <w:lang w:val="en-US" w:eastAsia="zh-CN"/>
                    </w:rPr>
                    <w:t>3.</w:t>
                  </w:r>
                  <w:r>
                    <w:rPr>
                      <w:rFonts w:hint="default" w:ascii="Times New Roman" w:hAnsi="Times New Roman" w:eastAsia="宋体" w:cs="Times New Roman"/>
                      <w:color w:val="auto"/>
                      <w:highlight w:val="none"/>
                    </w:rPr>
                    <w:t>实施VOCs源头替代工程。开展部门联合监督检查，确保生产、销售、进口、使用等环节严格执行VOCs含量限值标准。以工业涂装、包装印刷和胶黏剂使用等为重点，推广使用低（无）VOCs含量涂料和胶粘剂；针对汽车整车制造（底漆、中涂、色漆）、木质家具、汽车零部件、工程机械、钢结构行业企业，在技术成熟的工艺环节，实施低VOCs含量原辅材料替代。在房屋建筑和市政工程中，全面推广使用低VOCs含量涂料和胶粘剂。</w:t>
                  </w:r>
                </w:p>
              </w:tc>
              <w:tc>
                <w:tcPr>
                  <w:tcW w:w="1225" w:type="pct"/>
                  <w:tcBorders>
                    <w:tl2br w:val="nil"/>
                    <w:tr2bl w:val="nil"/>
                  </w:tcBorders>
                  <w:noWrap w:val="0"/>
                  <w:vAlign w:val="center"/>
                </w:tcPr>
                <w:p w14:paraId="709DFA31">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eastAsia="zh-CN"/>
                    </w:rPr>
                    <w:t>项目不使用</w:t>
                  </w:r>
                  <w:r>
                    <w:rPr>
                      <w:rFonts w:hint="default" w:ascii="Times New Roman" w:hAnsi="Times New Roman" w:eastAsia="宋体" w:cs="Times New Roman"/>
                      <w:color w:val="auto"/>
                      <w:highlight w:val="none"/>
                    </w:rPr>
                    <w:t>高VOCs含量涂料、油墨、胶粘剂、清洗剂等建设项目，</w:t>
                  </w:r>
                  <w:r>
                    <w:rPr>
                      <w:rFonts w:hint="default" w:ascii="Times New Roman" w:hAnsi="Times New Roman" w:eastAsia="宋体" w:cs="Times New Roman"/>
                      <w:color w:val="auto"/>
                      <w:highlight w:val="none"/>
                      <w:lang w:eastAsia="zh-CN"/>
                    </w:rPr>
                    <w:t>项目产生的VOCs</w:t>
                  </w:r>
                  <w:r>
                    <w:rPr>
                      <w:rFonts w:hint="eastAsia" w:cs="Times New Roman"/>
                      <w:color w:val="auto"/>
                      <w:highlight w:val="none"/>
                      <w:lang w:val="en-US" w:eastAsia="zh-CN"/>
                    </w:rPr>
                    <w:t>经</w:t>
                  </w:r>
                  <w:r>
                    <w:rPr>
                      <w:rFonts w:hint="default" w:ascii="Times New Roman" w:hAnsi="Times New Roman" w:eastAsia="宋体" w:cs="Times New Roman"/>
                      <w:color w:val="auto"/>
                      <w:highlight w:val="none"/>
                      <w:lang w:val="en-US" w:eastAsia="zh-CN"/>
                    </w:rPr>
                    <w:t>集气罩+</w:t>
                  </w:r>
                  <w:r>
                    <w:rPr>
                      <w:rFonts w:hint="eastAsia" w:cs="Times New Roman"/>
                      <w:color w:val="auto"/>
                      <w:highlight w:val="none"/>
                      <w:lang w:val="en-US" w:eastAsia="zh-CN"/>
                    </w:rPr>
                    <w:t>二级</w:t>
                  </w:r>
                  <w:r>
                    <w:rPr>
                      <w:rFonts w:hint="default" w:ascii="Times New Roman" w:hAnsi="Times New Roman" w:eastAsia="宋体" w:cs="Times New Roman"/>
                      <w:color w:val="auto"/>
                      <w:highlight w:val="none"/>
                      <w:lang w:val="en-US" w:eastAsia="zh-CN"/>
                    </w:rPr>
                    <w:t>活性炭装置吸附处理后通过</w:t>
                  </w:r>
                  <w:r>
                    <w:rPr>
                      <w:rFonts w:hint="eastAsia" w:cs="Times New Roman"/>
                      <w:color w:val="auto"/>
                      <w:highlight w:val="none"/>
                      <w:lang w:val="en-US" w:eastAsia="zh-CN"/>
                    </w:rPr>
                    <w:t>24</w:t>
                  </w:r>
                  <w:r>
                    <w:rPr>
                      <w:rFonts w:hint="default" w:ascii="Times New Roman" w:hAnsi="Times New Roman" w:eastAsia="宋体" w:cs="Times New Roman"/>
                      <w:color w:val="auto"/>
                      <w:highlight w:val="none"/>
                      <w:lang w:val="en-US" w:eastAsia="zh-CN"/>
                    </w:rPr>
                    <w:t>m高排气筒DA001</w:t>
                  </w:r>
                  <w:r>
                    <w:rPr>
                      <w:rFonts w:hint="eastAsia" w:cs="Times New Roman"/>
                      <w:color w:val="auto"/>
                      <w:highlight w:val="none"/>
                      <w:lang w:val="en-US" w:eastAsia="zh-CN"/>
                    </w:rPr>
                    <w:t>达标</w:t>
                  </w:r>
                  <w:r>
                    <w:rPr>
                      <w:rFonts w:hint="default" w:ascii="Times New Roman" w:hAnsi="Times New Roman" w:eastAsia="宋体" w:cs="Times New Roman"/>
                      <w:color w:val="auto"/>
                      <w:highlight w:val="none"/>
                      <w:lang w:val="en-US" w:eastAsia="zh-CN"/>
                    </w:rPr>
                    <w:t>排放。</w:t>
                  </w:r>
                </w:p>
              </w:tc>
              <w:tc>
                <w:tcPr>
                  <w:tcW w:w="652" w:type="pct"/>
                  <w:tcBorders>
                    <w:tl2br w:val="nil"/>
                    <w:tr2bl w:val="nil"/>
                  </w:tcBorders>
                  <w:noWrap w:val="0"/>
                  <w:vAlign w:val="center"/>
                </w:tcPr>
                <w:p w14:paraId="2BC0447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符合</w:t>
                  </w:r>
                </w:p>
              </w:tc>
            </w:tr>
            <w:tr w14:paraId="16CC72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8" w:type="pct"/>
                  <w:tcBorders>
                    <w:tl2br w:val="nil"/>
                    <w:tr2bl w:val="nil"/>
                  </w:tcBorders>
                  <w:noWrap w:val="0"/>
                  <w:vAlign w:val="center"/>
                </w:tcPr>
                <w:p w14:paraId="31EDF695">
                  <w:pPr>
                    <w:keepNext w:val="0"/>
                    <w:keepLines w:val="0"/>
                    <w:suppressLineNumbers w:val="0"/>
                    <w:spacing w:before="0" w:beforeAutospacing="0" w:after="0" w:afterAutospacing="0"/>
                    <w:ind w:left="0" w:right="0"/>
                    <w:jc w:val="both"/>
                    <w:rPr>
                      <w:rFonts w:hint="eastAsia" w:ascii="Times New Roman" w:hAnsi="Times New Roman" w:eastAsia="宋体" w:cs="Times New Roman"/>
                      <w:color w:val="auto"/>
                      <w:highlight w:val="none"/>
                      <w:lang w:eastAsia="zh-CN"/>
                    </w:rPr>
                  </w:pPr>
                  <w:r>
                    <w:rPr>
                      <w:rFonts w:hint="default" w:ascii="Times New Roman" w:hAnsi="Times New Roman" w:eastAsia="宋体" w:cs="Times New Roman"/>
                      <w:b/>
                      <w:bCs/>
                      <w:color w:val="auto"/>
                      <w:highlight w:val="none"/>
                    </w:rPr>
                    <w:t>三、优化能源结构，加速能源清洁低碳高效发展</w:t>
                  </w:r>
                </w:p>
              </w:tc>
              <w:tc>
                <w:tcPr>
                  <w:tcW w:w="2523" w:type="pct"/>
                  <w:tcBorders>
                    <w:tl2br w:val="nil"/>
                    <w:tr2bl w:val="nil"/>
                  </w:tcBorders>
                  <w:noWrap w:val="0"/>
                  <w:vAlign w:val="center"/>
                </w:tcPr>
                <w:p w14:paraId="5192423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积极开展燃煤锅炉关停整合。整合供热资源，加快供热区域热网互联互通。县级及以上城市建成区原则上不再新建35蒸吨/小时及以下燃煤锅炉。到2025年，城市建成区基本淘汰35蒸吨/小时及以下燃煤锅炉。</w:t>
                  </w:r>
                </w:p>
              </w:tc>
              <w:tc>
                <w:tcPr>
                  <w:tcW w:w="1225" w:type="pct"/>
                  <w:tcBorders>
                    <w:tl2br w:val="nil"/>
                    <w:tr2bl w:val="nil"/>
                  </w:tcBorders>
                  <w:noWrap w:val="0"/>
                  <w:vAlign w:val="center"/>
                </w:tcPr>
                <w:p w14:paraId="794F7FCD">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本项目生产车间不供暖，办公室采用电取暖</w:t>
                  </w:r>
                </w:p>
              </w:tc>
              <w:tc>
                <w:tcPr>
                  <w:tcW w:w="652" w:type="pct"/>
                  <w:tcBorders>
                    <w:tl2br w:val="nil"/>
                    <w:tr2bl w:val="nil"/>
                  </w:tcBorders>
                  <w:noWrap w:val="0"/>
                  <w:vAlign w:val="center"/>
                </w:tcPr>
                <w:p w14:paraId="0E5F5B6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eastAsia="zh-CN"/>
                    </w:rPr>
                  </w:pPr>
                  <w:r>
                    <w:rPr>
                      <w:rFonts w:hint="default" w:ascii="Times New Roman" w:hAnsi="Times New Roman" w:eastAsia="宋体" w:cs="Times New Roman"/>
                      <w:color w:val="auto"/>
                      <w:highlight w:val="none"/>
                      <w:lang w:eastAsia="zh-CN"/>
                    </w:rPr>
                    <w:t>符合</w:t>
                  </w:r>
                </w:p>
              </w:tc>
            </w:tr>
          </w:tbl>
          <w:p w14:paraId="1A2586C0">
            <w:pPr>
              <w:pStyle w:val="73"/>
              <w:keepNext w:val="0"/>
              <w:keepLines w:val="0"/>
              <w:suppressLineNumbers w:val="0"/>
              <w:bidi w:val="0"/>
              <w:spacing w:before="0" w:beforeAutospacing="0" w:after="0" w:afterAutospacing="0"/>
              <w:ind w:left="0" w:right="0"/>
              <w:rPr>
                <w:rFonts w:hint="eastAsia" w:ascii="Times New Roman" w:hAnsi="Times New Roman" w:cs="Times New Roman"/>
                <w:b/>
                <w:bCs/>
                <w:color w:val="auto"/>
                <w:sz w:val="21"/>
                <w:szCs w:val="21"/>
                <w:highlight w:val="none"/>
                <w:lang w:val="en-US" w:eastAsia="zh-CN"/>
              </w:rPr>
            </w:pPr>
            <w:r>
              <w:rPr>
                <w:rFonts w:hint="eastAsia"/>
                <w:b/>
                <w:bCs/>
                <w:color w:val="auto"/>
                <w:highlight w:val="none"/>
                <w:lang w:val="en-US" w:eastAsia="zh-CN"/>
              </w:rPr>
              <w:t>④与</w:t>
            </w:r>
            <w:r>
              <w:rPr>
                <w:rFonts w:hint="default"/>
                <w:b/>
                <w:bCs/>
                <w:color w:val="auto"/>
                <w:spacing w:val="-4"/>
                <w:highlight w:val="none"/>
              </w:rPr>
              <w:t>《阜新市“十四五</w:t>
            </w:r>
            <w:r>
              <w:rPr>
                <w:rFonts w:hint="default"/>
                <w:color w:val="auto"/>
                <w:spacing w:val="-75"/>
                <w:highlight w:val="none"/>
              </w:rPr>
              <w:t xml:space="preserve"> </w:t>
            </w:r>
            <w:r>
              <w:rPr>
                <w:rFonts w:hint="default"/>
                <w:b/>
                <w:bCs/>
                <w:color w:val="auto"/>
                <w:spacing w:val="-4"/>
                <w:highlight w:val="none"/>
              </w:rPr>
              <w:t>”生态环境保护规划》</w:t>
            </w:r>
            <w:r>
              <w:rPr>
                <w:rFonts w:hint="default"/>
                <w:b/>
                <w:bCs/>
                <w:color w:val="auto"/>
                <w:highlight w:val="none"/>
              </w:rPr>
              <w:t>符合性分析</w:t>
            </w:r>
          </w:p>
          <w:p w14:paraId="69A61CA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default" w:ascii="Times New Roman" w:hAnsi="Times New Roman" w:cs="Times New Roman"/>
                <w:color w:val="auto"/>
                <w:highlight w:val="none"/>
                <w:lang w:val="en-US" w:eastAsia="zh-CN"/>
              </w:rPr>
            </w:pPr>
            <w:r>
              <w:rPr>
                <w:rFonts w:hint="eastAsia" w:ascii="Times New Roman" w:hAnsi="Times New Roman" w:cs="Times New Roman"/>
                <w:b/>
                <w:bCs/>
                <w:color w:val="auto"/>
                <w:sz w:val="21"/>
                <w:szCs w:val="21"/>
                <w:highlight w:val="none"/>
                <w:lang w:val="en-US" w:eastAsia="zh-CN"/>
              </w:rPr>
              <w:t>表1-</w:t>
            </w:r>
            <w:r>
              <w:rPr>
                <w:rFonts w:hint="eastAsia" w:cs="Times New Roman"/>
                <w:b/>
                <w:bCs/>
                <w:color w:val="auto"/>
                <w:sz w:val="21"/>
                <w:szCs w:val="21"/>
                <w:highlight w:val="none"/>
                <w:lang w:val="en-US" w:eastAsia="zh-CN"/>
              </w:rPr>
              <w:t>8</w:t>
            </w:r>
            <w:r>
              <w:rPr>
                <w:rFonts w:hint="eastAsia" w:ascii="Times New Roman" w:hAnsi="Times New Roman" w:cs="Times New Roman"/>
                <w:b/>
                <w:bCs/>
                <w:color w:val="auto"/>
                <w:sz w:val="21"/>
                <w:szCs w:val="21"/>
                <w:highlight w:val="none"/>
                <w:lang w:val="en-US" w:eastAsia="zh-CN"/>
              </w:rPr>
              <w:t xml:space="preserve">  </w:t>
            </w:r>
            <w:r>
              <w:rPr>
                <w:rFonts w:hint="eastAsia" w:ascii="Times New Roman" w:hAnsi="Times New Roman" w:eastAsia="宋体" w:cs="Times New Roman"/>
                <w:b/>
                <w:bCs/>
                <w:color w:val="auto"/>
                <w:sz w:val="21"/>
                <w:szCs w:val="21"/>
                <w:highlight w:val="none"/>
                <w:lang w:val="en-US" w:eastAsia="zh-CN"/>
              </w:rPr>
              <w:t>与</w:t>
            </w:r>
            <w:r>
              <w:rPr>
                <w:rFonts w:hint="default"/>
                <w:b/>
                <w:bCs/>
                <w:color w:val="auto"/>
                <w:sz w:val="21"/>
                <w:szCs w:val="21"/>
                <w:highlight w:val="none"/>
              </w:rPr>
              <w:t>《辽宁省固体废物污染环境防治条例》</w:t>
            </w:r>
            <w:r>
              <w:rPr>
                <w:rFonts w:hint="eastAsia" w:ascii="Times New Roman" w:hAnsi="Times New Roman" w:eastAsia="宋体" w:cs="Times New Roman"/>
                <w:b/>
                <w:bCs/>
                <w:color w:val="auto"/>
                <w:sz w:val="21"/>
                <w:szCs w:val="21"/>
                <w:highlight w:val="none"/>
                <w:lang w:val="en-US" w:eastAsia="zh-CN"/>
              </w:rPr>
              <w:t>符合性分析</w:t>
            </w:r>
          </w:p>
          <w:tbl>
            <w:tblPr>
              <w:tblStyle w:val="74"/>
              <w:tblW w:w="4999" w:type="pct"/>
              <w:tblInd w:w="-8"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3890"/>
              <w:gridCol w:w="3400"/>
              <w:gridCol w:w="758"/>
            </w:tblGrid>
            <w:tr w14:paraId="06FFAC0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417" w:type="pct"/>
                  <w:tcBorders>
                    <w:tl2br w:val="nil"/>
                    <w:tr2bl w:val="nil"/>
                  </w:tcBorders>
                  <w:vAlign w:val="center"/>
                </w:tcPr>
                <w:p w14:paraId="0387D64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cs="Times New Roman"/>
                      <w:color w:val="auto"/>
                      <w:highlight w:val="none"/>
                      <w:lang w:val="en-US" w:eastAsia="zh-CN"/>
                    </w:rPr>
                    <w:t>文件</w:t>
                  </w:r>
                  <w:r>
                    <w:rPr>
                      <w:rFonts w:hint="eastAsia" w:ascii="Times New Roman" w:hAnsi="Times New Roman" w:eastAsia="宋体" w:cs="Times New Roman"/>
                      <w:color w:val="auto"/>
                      <w:highlight w:val="none"/>
                      <w:lang w:eastAsia="zh-CN"/>
                    </w:rPr>
                    <w:t>要求</w:t>
                  </w:r>
                </w:p>
              </w:tc>
              <w:tc>
                <w:tcPr>
                  <w:tcW w:w="2112" w:type="pct"/>
                  <w:tcBorders>
                    <w:tl2br w:val="nil"/>
                    <w:tr2bl w:val="nil"/>
                  </w:tcBorders>
                  <w:vAlign w:val="center"/>
                </w:tcPr>
                <w:p w14:paraId="318C621C">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项目具体情况</w:t>
                  </w:r>
                </w:p>
              </w:tc>
              <w:tc>
                <w:tcPr>
                  <w:tcW w:w="470" w:type="pct"/>
                  <w:tcBorders>
                    <w:tl2br w:val="nil"/>
                    <w:tr2bl w:val="nil"/>
                  </w:tcBorders>
                  <w:vAlign w:val="center"/>
                </w:tcPr>
                <w:p w14:paraId="7D5517A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cs="Times New Roman"/>
                      <w:color w:val="auto"/>
                      <w:highlight w:val="none"/>
                      <w:lang w:val="en-US" w:eastAsia="zh-CN"/>
                    </w:rPr>
                    <w:t>符合性</w:t>
                  </w:r>
                </w:p>
              </w:tc>
            </w:tr>
            <w:tr w14:paraId="1E8D98D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417" w:type="pct"/>
                  <w:tcBorders>
                    <w:tl2br w:val="nil"/>
                    <w:tr2bl w:val="nil"/>
                  </w:tcBorders>
                  <w:vAlign w:val="center"/>
                </w:tcPr>
                <w:p w14:paraId="14D5BBC2">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持续推进涉气污染源治理；重点行业 NOx 等污染物深度治理。以钢铁、建材、有色金属冶炼、铸造等行业为重点，按照“淘汰一批、替代一批、治理一批”的原则，深入开展工业炉窑治理，分类推动工业炉窑全面实现达标排放。全面加强无组织排放管控，严格控制铸造、铁合金、水泥、砖瓦、石灰、耐火材料、有色金属冶炼等行业物料储存、输送及生产工艺过程无组织排放。按照国家、省总体部署，制定和实施超低排放改造计划。</w:t>
                  </w:r>
                </w:p>
              </w:tc>
              <w:tc>
                <w:tcPr>
                  <w:tcW w:w="2112" w:type="pct"/>
                  <w:tcBorders>
                    <w:tl2br w:val="nil"/>
                    <w:tr2bl w:val="nil"/>
                  </w:tcBorders>
                  <w:vAlign w:val="center"/>
                </w:tcPr>
                <w:p w14:paraId="1D25F08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eastAsia="zh-CN"/>
                    </w:rPr>
                    <w:t>本项目</w:t>
                  </w:r>
                  <w:r>
                    <w:rPr>
                      <w:rFonts w:hint="eastAsia" w:cs="Times New Roman"/>
                      <w:color w:val="auto"/>
                      <w:highlight w:val="none"/>
                      <w:lang w:val="en-US" w:eastAsia="zh-CN"/>
                    </w:rPr>
                    <w:t>生产设备</w:t>
                  </w:r>
                  <w:r>
                    <w:rPr>
                      <w:rFonts w:hint="eastAsia" w:ascii="Times New Roman" w:hAnsi="Times New Roman" w:eastAsia="宋体" w:cs="Times New Roman"/>
                      <w:color w:val="auto"/>
                      <w:highlight w:val="none"/>
                      <w:lang w:eastAsia="zh-CN"/>
                    </w:rPr>
                    <w:t>上方设置集气罩，有机废气收集后经二级活性炭吸附箱处理后，由1根</w:t>
                  </w:r>
                  <w:r>
                    <w:rPr>
                      <w:rFonts w:hint="eastAsia" w:cs="Times New Roman"/>
                      <w:color w:val="auto"/>
                      <w:highlight w:val="none"/>
                      <w:lang w:val="en-US" w:eastAsia="zh-CN"/>
                    </w:rPr>
                    <w:t>24</w:t>
                  </w:r>
                  <w:r>
                    <w:rPr>
                      <w:rFonts w:hint="eastAsia" w:ascii="Times New Roman" w:hAnsi="Times New Roman" w:eastAsia="宋体" w:cs="Times New Roman"/>
                      <w:color w:val="auto"/>
                      <w:highlight w:val="none"/>
                      <w:lang w:eastAsia="zh-CN"/>
                    </w:rPr>
                    <w:t>m高排气筒DA001有组织排放</w:t>
                  </w:r>
                  <w:r>
                    <w:rPr>
                      <w:rFonts w:hint="eastAsia" w:cs="Times New Roman"/>
                      <w:color w:val="auto"/>
                      <w:highlight w:val="none"/>
                      <w:lang w:eastAsia="zh-CN"/>
                    </w:rPr>
                    <w:t>；</w:t>
                  </w:r>
                  <w:r>
                    <w:rPr>
                      <w:rFonts w:hint="eastAsia" w:ascii="Times New Roman" w:hAnsi="Times New Roman" w:eastAsia="宋体" w:cs="Times New Roman"/>
                      <w:color w:val="auto"/>
                      <w:highlight w:val="none"/>
                      <w:lang w:eastAsia="zh-CN"/>
                    </w:rPr>
                    <w:t>切割、剪切过程产生的粉尘收集后，经布袋除尘器处理后，由1根</w:t>
                  </w:r>
                  <w:r>
                    <w:rPr>
                      <w:rFonts w:hint="eastAsia" w:cs="Times New Roman"/>
                      <w:color w:val="auto"/>
                      <w:highlight w:val="none"/>
                      <w:lang w:val="en-US" w:eastAsia="zh-CN"/>
                    </w:rPr>
                    <w:t>24</w:t>
                  </w:r>
                  <w:r>
                    <w:rPr>
                      <w:rFonts w:hint="eastAsia" w:ascii="Times New Roman" w:hAnsi="Times New Roman" w:eastAsia="宋体" w:cs="Times New Roman"/>
                      <w:color w:val="auto"/>
                      <w:highlight w:val="none"/>
                      <w:lang w:eastAsia="zh-CN"/>
                    </w:rPr>
                    <w:t>m高排气筒</w:t>
                  </w:r>
                  <w:r>
                    <w:rPr>
                      <w:rFonts w:hint="eastAsia" w:cs="Times New Roman"/>
                      <w:color w:val="auto"/>
                      <w:highlight w:val="none"/>
                      <w:lang w:val="en-US" w:eastAsia="zh-CN"/>
                    </w:rPr>
                    <w:t>DA002</w:t>
                  </w:r>
                  <w:r>
                    <w:rPr>
                      <w:rFonts w:hint="eastAsia" w:ascii="Times New Roman" w:hAnsi="Times New Roman" w:eastAsia="宋体" w:cs="Times New Roman"/>
                      <w:color w:val="auto"/>
                      <w:highlight w:val="none"/>
                      <w:lang w:eastAsia="zh-CN"/>
                    </w:rPr>
                    <w:t>有组织排放</w:t>
                  </w:r>
                  <w:r>
                    <w:rPr>
                      <w:rFonts w:hint="eastAsia" w:cs="Times New Roman"/>
                      <w:color w:val="auto"/>
                      <w:highlight w:val="none"/>
                      <w:lang w:eastAsia="zh-CN"/>
                    </w:rPr>
                    <w:t>；</w:t>
                  </w:r>
                  <w:r>
                    <w:rPr>
                      <w:rFonts w:hint="eastAsia" w:cs="Times New Roman"/>
                      <w:color w:val="auto"/>
                      <w:highlight w:val="none"/>
                      <w:lang w:val="en-US" w:eastAsia="zh-CN"/>
                    </w:rPr>
                    <w:t>废钢加工工序产生的粉尘经收集后，经布袋除尘器处理，由</w:t>
                  </w:r>
                  <w:r>
                    <w:rPr>
                      <w:rFonts w:hint="eastAsia" w:ascii="Times New Roman" w:hAnsi="Times New Roman" w:eastAsia="宋体" w:cs="Times New Roman"/>
                      <w:color w:val="auto"/>
                      <w:highlight w:val="none"/>
                      <w:lang w:eastAsia="zh-CN"/>
                    </w:rPr>
                    <w:t>1根</w:t>
                  </w:r>
                  <w:r>
                    <w:rPr>
                      <w:rFonts w:hint="eastAsia" w:cs="Times New Roman"/>
                      <w:color w:val="auto"/>
                      <w:highlight w:val="none"/>
                      <w:lang w:val="en-US" w:eastAsia="zh-CN"/>
                    </w:rPr>
                    <w:t>24</w:t>
                  </w:r>
                  <w:r>
                    <w:rPr>
                      <w:rFonts w:hint="eastAsia" w:ascii="Times New Roman" w:hAnsi="Times New Roman" w:eastAsia="宋体" w:cs="Times New Roman"/>
                      <w:color w:val="auto"/>
                      <w:highlight w:val="none"/>
                      <w:lang w:eastAsia="zh-CN"/>
                    </w:rPr>
                    <w:t>m高排气筒</w:t>
                  </w:r>
                  <w:r>
                    <w:rPr>
                      <w:rFonts w:hint="eastAsia" w:cs="Times New Roman"/>
                      <w:color w:val="auto"/>
                      <w:highlight w:val="none"/>
                      <w:lang w:val="en-US" w:eastAsia="zh-CN"/>
                    </w:rPr>
                    <w:t>DA003</w:t>
                  </w:r>
                  <w:r>
                    <w:rPr>
                      <w:rFonts w:hint="eastAsia" w:ascii="Times New Roman" w:hAnsi="Times New Roman" w:eastAsia="宋体" w:cs="Times New Roman"/>
                      <w:color w:val="auto"/>
                      <w:highlight w:val="none"/>
                      <w:lang w:eastAsia="zh-CN"/>
                    </w:rPr>
                    <w:t>有组织排放</w:t>
                  </w:r>
                </w:p>
              </w:tc>
              <w:tc>
                <w:tcPr>
                  <w:tcW w:w="470" w:type="pct"/>
                  <w:tcBorders>
                    <w:tl2br w:val="nil"/>
                    <w:tr2bl w:val="nil"/>
                  </w:tcBorders>
                  <w:vAlign w:val="center"/>
                </w:tcPr>
                <w:p w14:paraId="668A351C">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符合</w:t>
                  </w:r>
                </w:p>
              </w:tc>
            </w:tr>
            <w:tr w14:paraId="10B26C9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417" w:type="pct"/>
                  <w:tcBorders>
                    <w:tl2br w:val="nil"/>
                    <w:tr2bl w:val="nil"/>
                  </w:tcBorders>
                  <w:vAlign w:val="center"/>
                </w:tcPr>
                <w:p w14:paraId="6F97DF4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持续推进工业污染防治。加强工业污染源排放监管，全面推进工业园区污水管网排查整治和污水收集处理设施建设，加快实施管网错接改造、管网更新、破损修复改造等，依法推动工业园区生产废水应纳尽纳。</w:t>
                  </w:r>
                </w:p>
              </w:tc>
              <w:tc>
                <w:tcPr>
                  <w:tcW w:w="2112" w:type="pct"/>
                  <w:tcBorders>
                    <w:tl2br w:val="nil"/>
                    <w:tr2bl w:val="nil"/>
                  </w:tcBorders>
                  <w:vAlign w:val="center"/>
                </w:tcPr>
                <w:p w14:paraId="28BD494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本项目厂区排水雨污分流。初期雨水经初期雨水池收集后，</w:t>
                  </w:r>
                  <w:r>
                    <w:rPr>
                      <w:rFonts w:hint="eastAsia" w:cs="Times New Roman"/>
                      <w:color w:val="auto"/>
                      <w:highlight w:val="none"/>
                      <w:lang w:val="en-US" w:eastAsia="zh-CN"/>
                    </w:rPr>
                    <w:t>与地面清洗废水一同</w:t>
                  </w:r>
                  <w:r>
                    <w:rPr>
                      <w:rFonts w:hint="eastAsia" w:ascii="Times New Roman" w:hAnsi="Times New Roman" w:eastAsia="宋体" w:cs="Times New Roman"/>
                      <w:color w:val="auto"/>
                      <w:highlight w:val="none"/>
                      <w:lang w:eastAsia="zh-CN"/>
                    </w:rPr>
                    <w:t>经厂区内污水处理设施处理，由市政污水管网排入阜新市北控水务有限公司污水处理厂集中处理后排放；餐饮废水经隔油池处理后，与生活污水经化粪池处理后，由市政污水管网排入阜新市北控水务有限公司污水处理</w:t>
                  </w:r>
                  <w:r>
                    <w:rPr>
                      <w:rFonts w:hint="default"/>
                      <w:color w:val="auto"/>
                      <w:spacing w:val="6"/>
                      <w:sz w:val="20"/>
                      <w:szCs w:val="20"/>
                      <w:highlight w:val="none"/>
                    </w:rPr>
                    <w:t>厂集中处理。</w:t>
                  </w:r>
                </w:p>
              </w:tc>
              <w:tc>
                <w:tcPr>
                  <w:tcW w:w="470" w:type="pct"/>
                  <w:tcBorders>
                    <w:tl2br w:val="nil"/>
                    <w:tr2bl w:val="nil"/>
                  </w:tcBorders>
                  <w:vAlign w:val="center"/>
                </w:tcPr>
                <w:p w14:paraId="1E3C455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符合</w:t>
                  </w:r>
                </w:p>
              </w:tc>
            </w:tr>
            <w:tr w14:paraId="6F7A60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844" w:hRule="atLeast"/>
              </w:trPr>
              <w:tc>
                <w:tcPr>
                  <w:tcW w:w="2417" w:type="pct"/>
                  <w:tcBorders>
                    <w:tl2br w:val="nil"/>
                    <w:tr2bl w:val="nil"/>
                  </w:tcBorders>
                  <w:shd w:val="clear" w:color="auto" w:fill="auto"/>
                  <w:vAlign w:val="center"/>
                </w:tcPr>
                <w:p w14:paraId="41332A06">
                  <w:pPr>
                    <w:keepNext w:val="0"/>
                    <w:keepLines w:val="0"/>
                    <w:suppressLineNumbers w:val="0"/>
                    <w:spacing w:before="0" w:beforeAutospacing="0" w:after="0" w:afterAutospacing="0"/>
                    <w:ind w:left="0" w:right="0"/>
                    <w:jc w:val="center"/>
                    <w:rPr>
                      <w:rFonts w:hint="eastAsia"/>
                      <w:color w:val="auto"/>
                      <w:lang w:val="en-US" w:eastAsia="zh-CN"/>
                    </w:rPr>
                  </w:pPr>
                  <w:r>
                    <w:rPr>
                      <w:rFonts w:hint="default"/>
                      <w:color w:val="auto"/>
                      <w:spacing w:val="9"/>
                      <w:sz w:val="20"/>
                      <w:szCs w:val="20"/>
                    </w:rPr>
                    <w:t>加强空间布局管控。根据土壤污染状况和风险，合理规划土地用途。永久基本农田集中区域禁止规划新建可能造成土壤污染的建设项目。居住区和学校、医院、疗养院、养老院等单位周边，禁止新（改、扩）建可能造成土壤</w:t>
                  </w:r>
                  <w:r>
                    <w:rPr>
                      <w:rFonts w:hint="default"/>
                      <w:color w:val="auto"/>
                      <w:spacing w:val="8"/>
                      <w:sz w:val="20"/>
                      <w:szCs w:val="20"/>
                    </w:rPr>
                    <w:t>污染的建设项目。新（改、扩）</w:t>
                  </w:r>
                  <w:r>
                    <w:rPr>
                      <w:rFonts w:hint="default"/>
                      <w:color w:val="auto"/>
                      <w:spacing w:val="9"/>
                      <w:sz w:val="20"/>
                      <w:szCs w:val="20"/>
                    </w:rPr>
                    <w:t>建涉及有毒有害物质可能造成土壤污染的建设项目，应提出并落</w:t>
                  </w:r>
                  <w:r>
                    <w:rPr>
                      <w:rFonts w:hint="default"/>
                      <w:color w:val="auto"/>
                      <w:spacing w:val="8"/>
                      <w:sz w:val="20"/>
                      <w:szCs w:val="20"/>
                    </w:rPr>
                    <w:t>实土壤和地下水污染防治要求。</w:t>
                  </w:r>
                </w:p>
              </w:tc>
              <w:tc>
                <w:tcPr>
                  <w:tcW w:w="2112" w:type="pct"/>
                  <w:tcBorders>
                    <w:tl2br w:val="nil"/>
                    <w:tr2bl w:val="nil"/>
                  </w:tcBorders>
                  <w:shd w:val="clear" w:color="auto" w:fill="auto"/>
                  <w:vAlign w:val="center"/>
                </w:tcPr>
                <w:p w14:paraId="52302B8A">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本项目位于阜新高新技术开发</w:t>
                  </w:r>
                </w:p>
                <w:p w14:paraId="5B93A44F">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区，用地性质为工业用地，不涉</w:t>
                  </w:r>
                </w:p>
                <w:p w14:paraId="0A97342B">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及有毒有害物质排放，对土壤、</w:t>
                  </w:r>
                </w:p>
                <w:p w14:paraId="0C6A5CE4">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eastAsia="zh-CN"/>
                    </w:rPr>
                    <w:t>地下水环境影响较小。</w:t>
                  </w:r>
                </w:p>
              </w:tc>
              <w:tc>
                <w:tcPr>
                  <w:tcW w:w="470" w:type="pct"/>
                  <w:tcBorders>
                    <w:tl2br w:val="nil"/>
                    <w:tr2bl w:val="nil"/>
                  </w:tcBorders>
                  <w:vAlign w:val="center"/>
                </w:tcPr>
                <w:p w14:paraId="3FAA9FAF">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符合</w:t>
                  </w:r>
                </w:p>
              </w:tc>
            </w:tr>
            <w:tr w14:paraId="19C581B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70" w:hRule="atLeast"/>
              </w:trPr>
              <w:tc>
                <w:tcPr>
                  <w:tcW w:w="2417" w:type="pct"/>
                  <w:shd w:val="clear" w:color="auto" w:fill="auto"/>
                  <w:vAlign w:val="center"/>
                </w:tcPr>
                <w:p w14:paraId="67E3549E">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eastAsia="zh-CN"/>
                    </w:rPr>
                    <w:t>加强风险物质环境管理；优化危险废物收集处置能力。按照国家、省总体部署，本着“总体匹配、适度富余”的原则，统筹推进危险废物利用处置能力建设。审慎发展危险废物焚烧处置设施，严格管控填埋处置设施建设，最大限度减少焚烧减量的危险废物直接填埋，积极推进危险废物资源化利用。</w:t>
                  </w:r>
                </w:p>
              </w:tc>
              <w:tc>
                <w:tcPr>
                  <w:tcW w:w="2112" w:type="pct"/>
                  <w:shd w:val="clear" w:color="auto" w:fill="auto"/>
                  <w:vAlign w:val="center"/>
                </w:tcPr>
                <w:p w14:paraId="7022AC83">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eastAsia="zh-CN"/>
                    </w:rPr>
                    <w:t>本项目针对危险废物设有危废贮存库，废油液、污水处理设施污泥、废铅蓄电池、</w:t>
                  </w:r>
                  <w:r>
                    <w:rPr>
                      <w:rFonts w:hint="eastAsia" w:cs="Times New Roman"/>
                      <w:color w:val="auto"/>
                      <w:highlight w:val="none"/>
                      <w:lang w:val="en-US" w:eastAsia="zh-CN"/>
                    </w:rPr>
                    <w:t>废动力电池、</w:t>
                  </w:r>
                  <w:r>
                    <w:rPr>
                      <w:rFonts w:hint="eastAsia" w:ascii="Times New Roman" w:hAnsi="Times New Roman" w:eastAsia="宋体" w:cs="Times New Roman"/>
                      <w:color w:val="auto"/>
                      <w:highlight w:val="none"/>
                      <w:lang w:eastAsia="zh-CN"/>
                    </w:rPr>
                    <w:t>废电路板及电容器、废尾气催化剂、废机油滤清器、废油箱、含油手套抹布、废活性炭、废催化剂净化装置、石棉废物分类收集，暂存于危废贮存库，定期委托有资质危废处置单位进行安全处置。</w:t>
                  </w:r>
                </w:p>
              </w:tc>
              <w:tc>
                <w:tcPr>
                  <w:tcW w:w="470" w:type="pct"/>
                  <w:vAlign w:val="center"/>
                </w:tcPr>
                <w:p w14:paraId="277BB4D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color w:val="auto"/>
                      <w:highlight w:val="none"/>
                      <w:lang w:eastAsia="zh-CN"/>
                    </w:rPr>
                    <w:t>符合</w:t>
                  </w:r>
                </w:p>
              </w:tc>
            </w:tr>
          </w:tbl>
          <w:p w14:paraId="3EEAEC1B">
            <w:pPr>
              <w:pStyle w:val="73"/>
              <w:keepNext w:val="0"/>
              <w:keepLines w:val="0"/>
              <w:suppressLineNumbers w:val="0"/>
              <w:bidi w:val="0"/>
              <w:spacing w:before="0" w:beforeAutospacing="0" w:after="0" w:afterAutospacing="0"/>
              <w:ind w:left="0" w:right="0"/>
              <w:rPr>
                <w:rFonts w:hint="eastAsia"/>
                <w:b/>
                <w:bCs/>
                <w:color w:val="auto"/>
                <w:highlight w:val="none"/>
                <w:lang w:val="en-US" w:eastAsia="zh-CN"/>
              </w:rPr>
            </w:pPr>
          </w:p>
          <w:p w14:paraId="79F036F6">
            <w:pPr>
              <w:pStyle w:val="73"/>
              <w:keepNext w:val="0"/>
              <w:keepLines w:val="0"/>
              <w:suppressLineNumbers w:val="0"/>
              <w:bidi w:val="0"/>
              <w:spacing w:before="0" w:beforeAutospacing="0" w:after="0" w:afterAutospacing="0"/>
              <w:ind w:left="0" w:right="0"/>
              <w:rPr>
                <w:rFonts w:hint="eastAsia"/>
                <w:b/>
                <w:bCs/>
                <w:color w:val="auto"/>
                <w:highlight w:val="none"/>
                <w:lang w:val="en-US" w:eastAsia="zh-CN"/>
              </w:rPr>
            </w:pPr>
          </w:p>
          <w:p w14:paraId="1AE15FAE">
            <w:pPr>
              <w:pStyle w:val="73"/>
              <w:keepNext w:val="0"/>
              <w:keepLines w:val="0"/>
              <w:suppressLineNumbers w:val="0"/>
              <w:bidi w:val="0"/>
              <w:spacing w:before="0" w:beforeAutospacing="0" w:after="0" w:afterAutospacing="0"/>
              <w:ind w:left="0" w:right="0"/>
              <w:rPr>
                <w:rFonts w:hint="eastAsia"/>
                <w:b/>
                <w:bCs/>
                <w:color w:val="auto"/>
                <w:highlight w:val="none"/>
                <w:lang w:val="en-US" w:eastAsia="zh-CN"/>
              </w:rPr>
            </w:pPr>
          </w:p>
          <w:p w14:paraId="4D7D6596">
            <w:pPr>
              <w:pStyle w:val="73"/>
              <w:keepNext w:val="0"/>
              <w:keepLines w:val="0"/>
              <w:suppressLineNumbers w:val="0"/>
              <w:bidi w:val="0"/>
              <w:spacing w:before="0" w:beforeAutospacing="0" w:after="0" w:afterAutospacing="0"/>
              <w:ind w:left="0" w:right="0"/>
              <w:rPr>
                <w:rFonts w:hint="eastAsia"/>
                <w:b/>
                <w:bCs/>
                <w:color w:val="auto"/>
                <w:highlight w:val="none"/>
                <w:lang w:val="en-US" w:eastAsia="zh-CN"/>
              </w:rPr>
            </w:pPr>
          </w:p>
          <w:p w14:paraId="46E8F724">
            <w:pPr>
              <w:pStyle w:val="73"/>
              <w:keepNext w:val="0"/>
              <w:keepLines w:val="0"/>
              <w:suppressLineNumbers w:val="0"/>
              <w:bidi w:val="0"/>
              <w:spacing w:before="0" w:beforeAutospacing="0" w:after="0" w:afterAutospacing="0"/>
              <w:ind w:left="0" w:right="0"/>
              <w:rPr>
                <w:rFonts w:hint="eastAsia"/>
                <w:b/>
                <w:bCs/>
                <w:color w:val="auto"/>
                <w:highlight w:val="none"/>
                <w:lang w:val="en-US" w:eastAsia="zh-CN"/>
              </w:rPr>
            </w:pPr>
          </w:p>
          <w:p w14:paraId="491D9B30">
            <w:pPr>
              <w:pStyle w:val="73"/>
              <w:keepNext w:val="0"/>
              <w:keepLines w:val="0"/>
              <w:suppressLineNumbers w:val="0"/>
              <w:bidi w:val="0"/>
              <w:spacing w:before="0" w:beforeAutospacing="0" w:after="0" w:afterAutospacing="0"/>
              <w:ind w:left="0" w:right="0"/>
              <w:rPr>
                <w:rFonts w:hint="default"/>
                <w:b/>
                <w:bCs/>
                <w:color w:val="auto"/>
                <w:highlight w:val="none"/>
                <w:lang w:val="en-US" w:eastAsia="zh-CN"/>
              </w:rPr>
            </w:pPr>
            <w:r>
              <w:rPr>
                <w:rFonts w:hint="eastAsia"/>
                <w:b/>
                <w:bCs/>
                <w:color w:val="auto"/>
                <w:highlight w:val="none"/>
                <w:lang w:val="en-US" w:eastAsia="zh-CN"/>
              </w:rPr>
              <w:t>⑤</w:t>
            </w:r>
            <w:r>
              <w:rPr>
                <w:rFonts w:hint="default"/>
                <w:b/>
                <w:bCs/>
                <w:color w:val="auto"/>
                <w:highlight w:val="none"/>
                <w:lang w:val="en-US" w:eastAsia="zh-CN"/>
              </w:rPr>
              <w:t>与</w:t>
            </w:r>
            <w:r>
              <w:rPr>
                <w:rFonts w:hint="eastAsia"/>
                <w:b/>
                <w:bCs/>
                <w:color w:val="auto"/>
                <w:highlight w:val="none"/>
                <w:lang w:val="en-US" w:eastAsia="zh-CN"/>
              </w:rPr>
              <w:t>《“十四五 ”噪声污染防治行动计划》（2023年1月5日）</w:t>
            </w:r>
            <w:r>
              <w:rPr>
                <w:rFonts w:hint="default"/>
                <w:b/>
                <w:bCs/>
                <w:color w:val="auto"/>
                <w:highlight w:val="none"/>
                <w:lang w:val="en-US" w:eastAsia="zh-CN"/>
              </w:rPr>
              <w:t>符合性分析</w:t>
            </w:r>
          </w:p>
          <w:p w14:paraId="191DFE6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0" w:firstLineChars="0"/>
              <w:jc w:val="center"/>
              <w:textAlignment w:val="auto"/>
              <w:rPr>
                <w:rFonts w:hint="eastAsia"/>
                <w:b/>
                <w:bCs/>
                <w:color w:val="auto"/>
                <w:sz w:val="21"/>
                <w:szCs w:val="21"/>
                <w:highlight w:val="none"/>
                <w:lang w:val="en-US" w:eastAsia="zh-CN"/>
              </w:rPr>
            </w:pPr>
            <w:r>
              <w:rPr>
                <w:rFonts w:hint="default"/>
                <w:b/>
                <w:bCs/>
                <w:color w:val="auto"/>
                <w:sz w:val="21"/>
                <w:szCs w:val="21"/>
                <w:highlight w:val="none"/>
              </w:rPr>
              <w:t>表1-</w:t>
            </w:r>
            <w:r>
              <w:rPr>
                <w:rFonts w:hint="eastAsia"/>
                <w:b/>
                <w:bCs/>
                <w:color w:val="auto"/>
                <w:sz w:val="21"/>
                <w:szCs w:val="21"/>
                <w:highlight w:val="none"/>
                <w:lang w:val="en-US" w:eastAsia="zh-CN"/>
              </w:rPr>
              <w:t xml:space="preserve">9 </w:t>
            </w:r>
            <w:r>
              <w:rPr>
                <w:rFonts w:hint="default"/>
                <w:b/>
                <w:bCs/>
                <w:color w:val="auto"/>
                <w:sz w:val="21"/>
                <w:szCs w:val="21"/>
                <w:highlight w:val="none"/>
              </w:rPr>
              <w:t xml:space="preserve"> 与</w:t>
            </w:r>
            <w:r>
              <w:rPr>
                <w:rFonts w:hint="eastAsia"/>
                <w:b/>
                <w:bCs/>
                <w:color w:val="auto"/>
                <w:highlight w:val="none"/>
                <w:lang w:val="en-US" w:eastAsia="zh-CN"/>
              </w:rPr>
              <w:t>《</w:t>
            </w:r>
            <w:r>
              <w:rPr>
                <w:rFonts w:hint="eastAsia"/>
                <w:b/>
                <w:bCs/>
                <w:color w:val="auto"/>
                <w:sz w:val="21"/>
                <w:szCs w:val="21"/>
                <w:highlight w:val="none"/>
                <w:lang w:val="en-US" w:eastAsia="zh-CN"/>
              </w:rPr>
              <w:t>“十四五 ”噪声污染防治行动计划》</w:t>
            </w:r>
            <w:r>
              <w:rPr>
                <w:rFonts w:hint="default"/>
                <w:b/>
                <w:bCs/>
                <w:color w:val="auto"/>
                <w:sz w:val="21"/>
                <w:szCs w:val="21"/>
                <w:highlight w:val="none"/>
              </w:rPr>
              <w:t>符合性分析</w:t>
            </w:r>
          </w:p>
          <w:tbl>
            <w:tblPr>
              <w:tblStyle w:val="27"/>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940"/>
              <w:gridCol w:w="4069"/>
              <w:gridCol w:w="2282"/>
              <w:gridCol w:w="759"/>
            </w:tblGrid>
            <w:tr w14:paraId="01B824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52" w:type="dxa"/>
                  <w:tcBorders>
                    <w:tl2br w:val="nil"/>
                    <w:tr2bl w:val="nil"/>
                  </w:tcBorders>
                  <w:noWrap w:val="0"/>
                  <w:vAlign w:val="center"/>
                </w:tcPr>
                <w:p w14:paraId="19BA03D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文件名称</w:t>
                  </w:r>
                </w:p>
              </w:tc>
              <w:tc>
                <w:tcPr>
                  <w:tcW w:w="3688" w:type="dxa"/>
                  <w:tcBorders>
                    <w:tl2br w:val="nil"/>
                    <w:tr2bl w:val="nil"/>
                  </w:tcBorders>
                  <w:noWrap w:val="0"/>
                  <w:vAlign w:val="center"/>
                </w:tcPr>
                <w:p w14:paraId="3ED628B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内容</w:t>
                  </w:r>
                </w:p>
              </w:tc>
              <w:tc>
                <w:tcPr>
                  <w:tcW w:w="2069" w:type="dxa"/>
                  <w:tcBorders>
                    <w:tl2br w:val="nil"/>
                    <w:tr2bl w:val="nil"/>
                  </w:tcBorders>
                  <w:noWrap w:val="0"/>
                  <w:vAlign w:val="center"/>
                </w:tcPr>
                <w:p w14:paraId="1D0AC9A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项目情况</w:t>
                  </w:r>
                </w:p>
              </w:tc>
              <w:tc>
                <w:tcPr>
                  <w:tcW w:w="688" w:type="dxa"/>
                  <w:tcBorders>
                    <w:tl2br w:val="nil"/>
                    <w:tr2bl w:val="nil"/>
                  </w:tcBorders>
                  <w:noWrap w:val="0"/>
                  <w:vAlign w:val="center"/>
                </w:tcPr>
                <w:p w14:paraId="08828A4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b/>
                      <w:bCs/>
                      <w:color w:val="auto"/>
                      <w:sz w:val="21"/>
                      <w:szCs w:val="21"/>
                      <w:highlight w:val="none"/>
                      <w:vertAlign w:val="baseline"/>
                      <w:lang w:val="en-US" w:eastAsia="zh-CN"/>
                    </w:rPr>
                  </w:pPr>
                  <w:r>
                    <w:rPr>
                      <w:rFonts w:hint="eastAsia" w:cs="Times New Roman"/>
                      <w:b/>
                      <w:bCs/>
                      <w:color w:val="auto"/>
                      <w:sz w:val="21"/>
                      <w:szCs w:val="21"/>
                      <w:highlight w:val="none"/>
                      <w:vertAlign w:val="baseline"/>
                      <w:lang w:val="en-US" w:eastAsia="zh-CN"/>
                    </w:rPr>
                    <w:t>符合性</w:t>
                  </w:r>
                </w:p>
              </w:tc>
            </w:tr>
            <w:tr w14:paraId="423E8D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52" w:type="dxa"/>
                  <w:vMerge w:val="restart"/>
                  <w:tcBorders>
                    <w:tl2br w:val="nil"/>
                    <w:tr2bl w:val="nil"/>
                  </w:tcBorders>
                  <w:noWrap w:val="0"/>
                  <w:vAlign w:val="center"/>
                </w:tcPr>
                <w:p w14:paraId="4A8E494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b w:val="0"/>
                      <w:bCs w:val="0"/>
                      <w:color w:val="auto"/>
                      <w:sz w:val="21"/>
                      <w:szCs w:val="21"/>
                      <w:highlight w:val="none"/>
                      <w:vertAlign w:val="baseline"/>
                      <w:lang w:val="en-US" w:eastAsia="zh-CN"/>
                    </w:rPr>
                  </w:pPr>
                  <w:r>
                    <w:rPr>
                      <w:rFonts w:hint="eastAsia"/>
                      <w:b/>
                      <w:bCs/>
                      <w:color w:val="auto"/>
                      <w:sz w:val="21"/>
                      <w:szCs w:val="21"/>
                      <w:highlight w:val="none"/>
                      <w:lang w:val="en-US" w:eastAsia="zh-CN"/>
                    </w:rPr>
                    <w:t>《“十四五 ”噪声污染防治行动计划》</w:t>
                  </w:r>
                </w:p>
              </w:tc>
              <w:tc>
                <w:tcPr>
                  <w:tcW w:w="3688" w:type="dxa"/>
                  <w:tcBorders>
                    <w:tl2br w:val="nil"/>
                    <w:tr2bl w:val="nil"/>
                  </w:tcBorders>
                  <w:shd w:val="clear" w:color="auto" w:fill="auto"/>
                  <w:noWrap w:val="0"/>
                  <w:vAlign w:val="center"/>
                </w:tcPr>
                <w:p w14:paraId="5D4125C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1"/>
                      <w:szCs w:val="21"/>
                      <w:highlight w:val="none"/>
                      <w:lang w:val="en-US" w:eastAsia="zh-CN" w:bidi="ar-SA"/>
                    </w:rPr>
                  </w:pPr>
                  <w:r>
                    <w:rPr>
                      <w:rFonts w:hint="default"/>
                      <w:color w:val="auto"/>
                      <w:spacing w:val="9"/>
                      <w:sz w:val="21"/>
                      <w:szCs w:val="21"/>
                      <w:highlight w:val="none"/>
                    </w:rPr>
                    <w:t>严格落实噪声污染防治要求。制定修改相关规划、建设对环境有影响的项目时，应依法开展环评，对可能产生噪声与振动的影响进行分析、预测和评估，积极采取噪声污染防治对策措施。建设项目的噪声污</w:t>
                  </w:r>
                  <w:r>
                    <w:rPr>
                      <w:rFonts w:hint="default"/>
                      <w:color w:val="auto"/>
                      <w:spacing w:val="10"/>
                      <w:sz w:val="21"/>
                      <w:szCs w:val="21"/>
                      <w:highlight w:val="none"/>
                    </w:rPr>
                    <w:t>染防治设施应当与主体工程同时设计、同</w:t>
                  </w:r>
                  <w:r>
                    <w:rPr>
                      <w:rFonts w:hint="default"/>
                      <w:color w:val="auto"/>
                      <w:spacing w:val="8"/>
                      <w:sz w:val="21"/>
                      <w:szCs w:val="21"/>
                      <w:highlight w:val="none"/>
                    </w:rPr>
                    <w:t>时施工、同时投产使用。督促建设单位依</w:t>
                  </w:r>
                  <w:r>
                    <w:rPr>
                      <w:rFonts w:hint="default"/>
                      <w:color w:val="auto"/>
                      <w:spacing w:val="9"/>
                      <w:sz w:val="21"/>
                      <w:szCs w:val="21"/>
                      <w:highlight w:val="none"/>
                    </w:rPr>
                    <w:t>法开展竣工环境保护验收，加大事中事后</w:t>
                  </w:r>
                  <w:r>
                    <w:rPr>
                      <w:rFonts w:hint="default"/>
                      <w:color w:val="auto"/>
                      <w:spacing w:val="8"/>
                      <w:sz w:val="21"/>
                      <w:szCs w:val="21"/>
                      <w:highlight w:val="none"/>
                    </w:rPr>
                    <w:t>监管力度，确保各项措施落地见效。</w:t>
                  </w:r>
                </w:p>
              </w:tc>
              <w:tc>
                <w:tcPr>
                  <w:tcW w:w="2069" w:type="dxa"/>
                  <w:tcBorders>
                    <w:tl2br w:val="nil"/>
                    <w:tr2bl w:val="nil"/>
                  </w:tcBorders>
                  <w:shd w:val="clear" w:color="auto" w:fill="auto"/>
                  <w:noWrap w:val="0"/>
                  <w:vAlign w:val="center"/>
                </w:tcPr>
                <w:p w14:paraId="10035EA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宋体"/>
                      <w:color w:val="auto"/>
                      <w:kern w:val="2"/>
                      <w:sz w:val="20"/>
                      <w:szCs w:val="20"/>
                      <w:highlight w:val="none"/>
                      <w:lang w:val="en-US" w:eastAsia="zh-CN" w:bidi="ar-SA"/>
                    </w:rPr>
                  </w:pPr>
                  <w:r>
                    <w:rPr>
                      <w:rFonts w:hint="default"/>
                      <w:color w:val="auto"/>
                      <w:spacing w:val="8"/>
                      <w:sz w:val="20"/>
                      <w:szCs w:val="20"/>
                      <w:highlight w:val="none"/>
                    </w:rPr>
                    <w:t>本项目选用低噪</w:t>
                  </w:r>
                  <w:r>
                    <w:rPr>
                      <w:rFonts w:hint="default"/>
                      <w:color w:val="auto"/>
                      <w:spacing w:val="6"/>
                      <w:sz w:val="20"/>
                      <w:szCs w:val="20"/>
                      <w:highlight w:val="none"/>
                    </w:rPr>
                    <w:t>声设备，基础减振，建筑隔声，本项目噪声污</w:t>
                  </w:r>
                  <w:r>
                    <w:rPr>
                      <w:rFonts w:hint="default"/>
                      <w:color w:val="auto"/>
                      <w:spacing w:val="19"/>
                      <w:sz w:val="20"/>
                      <w:szCs w:val="20"/>
                      <w:highlight w:val="none"/>
                    </w:rPr>
                    <w:t>染防治设施与主体工程同时设计、同时施</w:t>
                  </w:r>
                  <w:r>
                    <w:rPr>
                      <w:rFonts w:hint="default"/>
                      <w:color w:val="auto"/>
                      <w:spacing w:val="6"/>
                      <w:sz w:val="20"/>
                      <w:szCs w:val="20"/>
                      <w:highlight w:val="none"/>
                    </w:rPr>
                    <w:t>工、同时投产使用。</w:t>
                  </w:r>
                  <w:r>
                    <w:rPr>
                      <w:rFonts w:hint="default"/>
                      <w:color w:val="auto"/>
                      <w:spacing w:val="19"/>
                      <w:sz w:val="20"/>
                      <w:szCs w:val="20"/>
                      <w:highlight w:val="none"/>
                    </w:rPr>
                    <w:t>项目建成后将依法开</w:t>
                  </w:r>
                  <w:r>
                    <w:rPr>
                      <w:rFonts w:hint="default"/>
                      <w:color w:val="auto"/>
                      <w:spacing w:val="5"/>
                      <w:sz w:val="20"/>
                      <w:szCs w:val="20"/>
                      <w:highlight w:val="none"/>
                    </w:rPr>
                    <w:t>展竣工环境保护验收。</w:t>
                  </w:r>
                </w:p>
              </w:tc>
              <w:tc>
                <w:tcPr>
                  <w:tcW w:w="688" w:type="dxa"/>
                  <w:tcBorders>
                    <w:tl2br w:val="nil"/>
                    <w:tr2bl w:val="nil"/>
                  </w:tcBorders>
                  <w:noWrap w:val="0"/>
                  <w:vAlign w:val="center"/>
                </w:tcPr>
                <w:p w14:paraId="25BA2A2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F51B0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52" w:type="dxa"/>
                  <w:vMerge w:val="continue"/>
                  <w:tcBorders>
                    <w:tl2br w:val="nil"/>
                    <w:tr2bl w:val="nil"/>
                  </w:tcBorders>
                  <w:noWrap w:val="0"/>
                  <w:vAlign w:val="center"/>
                </w:tcPr>
                <w:p w14:paraId="7D9BB15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3688" w:type="dxa"/>
                  <w:tcBorders>
                    <w:tl2br w:val="nil"/>
                    <w:tr2bl w:val="nil"/>
                  </w:tcBorders>
                  <w:shd w:val="clear" w:color="auto" w:fill="auto"/>
                  <w:noWrap w:val="0"/>
                  <w:vAlign w:val="center"/>
                </w:tcPr>
                <w:p w14:paraId="48CE67D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1"/>
                      <w:szCs w:val="21"/>
                      <w:highlight w:val="none"/>
                      <w:lang w:val="en-US" w:eastAsia="zh-CN" w:bidi="ar-SA"/>
                    </w:rPr>
                  </w:pPr>
                  <w:r>
                    <w:rPr>
                      <w:rFonts w:hint="default"/>
                      <w:color w:val="auto"/>
                      <w:spacing w:val="9"/>
                      <w:sz w:val="21"/>
                      <w:szCs w:val="21"/>
                      <w:highlight w:val="none"/>
                    </w:rPr>
                    <w:t>鼓励低噪声工艺和设备的研究开发和推广应用，适时更新产业结构调整指导目录和</w:t>
                  </w:r>
                  <w:r>
                    <w:rPr>
                      <w:rFonts w:hint="default"/>
                      <w:color w:val="auto"/>
                      <w:spacing w:val="8"/>
                      <w:sz w:val="21"/>
                      <w:szCs w:val="21"/>
                      <w:highlight w:val="none"/>
                    </w:rPr>
                    <w:t>噪声与振动污染防治领域国家先进污染防</w:t>
                  </w:r>
                  <w:r>
                    <w:rPr>
                      <w:rFonts w:hint="default"/>
                      <w:color w:val="auto"/>
                      <w:spacing w:val="9"/>
                      <w:sz w:val="21"/>
                      <w:szCs w:val="21"/>
                      <w:highlight w:val="none"/>
                    </w:rPr>
                    <w:t>治技术目录，推动相关行业绿色高质量发</w:t>
                  </w:r>
                  <w:r>
                    <w:rPr>
                      <w:rFonts w:hint="default"/>
                      <w:color w:val="auto"/>
                      <w:spacing w:val="-1"/>
                      <w:sz w:val="21"/>
                      <w:szCs w:val="21"/>
                      <w:highlight w:val="none"/>
                    </w:rPr>
                    <w:t>展。</w:t>
                  </w:r>
                </w:p>
              </w:tc>
              <w:tc>
                <w:tcPr>
                  <w:tcW w:w="2069" w:type="dxa"/>
                  <w:tcBorders>
                    <w:tl2br w:val="nil"/>
                    <w:tr2bl w:val="nil"/>
                  </w:tcBorders>
                  <w:shd w:val="clear" w:color="auto" w:fill="auto"/>
                  <w:noWrap w:val="0"/>
                  <w:vAlign w:val="center"/>
                </w:tcPr>
                <w:p w14:paraId="7F251EA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0"/>
                      <w:szCs w:val="20"/>
                      <w:highlight w:val="none"/>
                      <w:lang w:val="en-US" w:eastAsia="zh-CN" w:bidi="ar-SA"/>
                    </w:rPr>
                  </w:pPr>
                  <w:r>
                    <w:rPr>
                      <w:rFonts w:hint="default"/>
                      <w:color w:val="auto"/>
                      <w:spacing w:val="8"/>
                      <w:sz w:val="20"/>
                      <w:szCs w:val="20"/>
                      <w:highlight w:val="none"/>
                    </w:rPr>
                    <w:t>本项目选用低噪</w:t>
                  </w:r>
                  <w:r>
                    <w:rPr>
                      <w:rFonts w:hint="default"/>
                      <w:color w:val="auto"/>
                      <w:spacing w:val="6"/>
                      <w:sz w:val="20"/>
                      <w:szCs w:val="20"/>
                      <w:highlight w:val="none"/>
                    </w:rPr>
                    <w:t>声设备，基础减振，建筑隔声，高噪声设备均</w:t>
                  </w:r>
                  <w:r>
                    <w:rPr>
                      <w:rFonts w:hint="default"/>
                      <w:color w:val="auto"/>
                      <w:spacing w:val="7"/>
                      <w:sz w:val="20"/>
                      <w:szCs w:val="20"/>
                      <w:highlight w:val="none"/>
                    </w:rPr>
                    <w:t>置于封闭厂房内。</w:t>
                  </w:r>
                </w:p>
              </w:tc>
              <w:tc>
                <w:tcPr>
                  <w:tcW w:w="688" w:type="dxa"/>
                  <w:tcBorders>
                    <w:tl2br w:val="nil"/>
                    <w:tr2bl w:val="nil"/>
                  </w:tcBorders>
                  <w:noWrap w:val="0"/>
                  <w:vAlign w:val="center"/>
                </w:tcPr>
                <w:p w14:paraId="79E0FA5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1D7490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52" w:type="dxa"/>
                  <w:vMerge w:val="continue"/>
                  <w:tcBorders>
                    <w:tl2br w:val="nil"/>
                    <w:tr2bl w:val="nil"/>
                  </w:tcBorders>
                  <w:noWrap w:val="0"/>
                  <w:vAlign w:val="center"/>
                </w:tcPr>
                <w:p w14:paraId="2D2919E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3688" w:type="dxa"/>
                  <w:tcBorders>
                    <w:tl2br w:val="nil"/>
                    <w:tr2bl w:val="nil"/>
                  </w:tcBorders>
                  <w:shd w:val="clear" w:color="auto" w:fill="auto"/>
                  <w:noWrap w:val="0"/>
                  <w:vAlign w:val="center"/>
                </w:tcPr>
                <w:p w14:paraId="3F7EE4F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0"/>
                      <w:szCs w:val="20"/>
                      <w:highlight w:val="none"/>
                      <w:lang w:val="en-US" w:eastAsia="zh-CN" w:bidi="ar-SA"/>
                    </w:rPr>
                  </w:pPr>
                  <w:r>
                    <w:rPr>
                      <w:rFonts w:hint="default"/>
                      <w:color w:val="auto"/>
                      <w:spacing w:val="9"/>
                      <w:sz w:val="20"/>
                      <w:szCs w:val="20"/>
                      <w:highlight w:val="none"/>
                    </w:rPr>
                    <w:t>加强工业园区管控。鼓励工业园区进行噪声污染分区管控，优化设备布局和物流运输路线，采用低噪声设备和运输工具。严控噪声污染严重的工业企业向乡村居住区</w:t>
                  </w:r>
                  <w:r>
                    <w:rPr>
                      <w:rFonts w:hint="default"/>
                      <w:color w:val="auto"/>
                      <w:spacing w:val="4"/>
                      <w:sz w:val="20"/>
                      <w:szCs w:val="20"/>
                      <w:highlight w:val="none"/>
                    </w:rPr>
                    <w:t>域转移。</w:t>
                  </w:r>
                </w:p>
              </w:tc>
              <w:tc>
                <w:tcPr>
                  <w:tcW w:w="2069" w:type="dxa"/>
                  <w:tcBorders>
                    <w:tl2br w:val="nil"/>
                    <w:tr2bl w:val="nil"/>
                  </w:tcBorders>
                  <w:shd w:val="clear" w:color="auto" w:fill="auto"/>
                  <w:noWrap w:val="0"/>
                  <w:vAlign w:val="center"/>
                </w:tcPr>
                <w:p w14:paraId="31C1F32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0"/>
                      <w:szCs w:val="20"/>
                      <w:highlight w:val="none"/>
                      <w:lang w:val="en-US" w:eastAsia="zh-CN" w:bidi="ar-SA"/>
                    </w:rPr>
                  </w:pPr>
                  <w:r>
                    <w:rPr>
                      <w:rFonts w:hint="default"/>
                      <w:color w:val="auto"/>
                      <w:spacing w:val="8"/>
                      <w:sz w:val="21"/>
                      <w:szCs w:val="21"/>
                      <w:highlight w:val="none"/>
                    </w:rPr>
                    <w:t>本项目选用低噪</w:t>
                  </w:r>
                  <w:r>
                    <w:rPr>
                      <w:rFonts w:hint="default"/>
                      <w:color w:val="auto"/>
                      <w:spacing w:val="6"/>
                      <w:sz w:val="21"/>
                      <w:szCs w:val="21"/>
                      <w:highlight w:val="none"/>
                    </w:rPr>
                    <w:t>声设备，基础减振，建筑隔声，</w:t>
                  </w:r>
                  <w:r>
                    <w:rPr>
                      <w:rFonts w:hint="eastAsia"/>
                      <w:color w:val="auto"/>
                      <w:spacing w:val="6"/>
                      <w:sz w:val="21"/>
                      <w:szCs w:val="21"/>
                      <w:highlight w:val="none"/>
                      <w:lang w:val="en-US" w:eastAsia="zh-CN"/>
                    </w:rPr>
                    <w:t>室外风机设置隔声罩</w:t>
                  </w:r>
                  <w:r>
                    <w:rPr>
                      <w:rFonts w:hint="default"/>
                      <w:color w:val="auto"/>
                      <w:spacing w:val="6"/>
                      <w:sz w:val="21"/>
                      <w:szCs w:val="21"/>
                      <w:highlight w:val="none"/>
                    </w:rPr>
                    <w:t>，高噪声设备均</w:t>
                  </w:r>
                  <w:r>
                    <w:rPr>
                      <w:rFonts w:hint="default"/>
                      <w:color w:val="auto"/>
                      <w:spacing w:val="7"/>
                      <w:sz w:val="21"/>
                      <w:szCs w:val="21"/>
                      <w:highlight w:val="none"/>
                    </w:rPr>
                    <w:t>置于封闭厂房内。</w:t>
                  </w:r>
                </w:p>
              </w:tc>
              <w:tc>
                <w:tcPr>
                  <w:tcW w:w="688" w:type="dxa"/>
                  <w:tcBorders>
                    <w:tl2br w:val="nil"/>
                    <w:tr2bl w:val="nil"/>
                  </w:tcBorders>
                  <w:noWrap w:val="0"/>
                  <w:vAlign w:val="center"/>
                </w:tcPr>
                <w:p w14:paraId="37243EB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r w14:paraId="4901C1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852" w:type="dxa"/>
                  <w:vMerge w:val="continue"/>
                  <w:tcBorders>
                    <w:tl2br w:val="nil"/>
                    <w:tr2bl w:val="nil"/>
                  </w:tcBorders>
                  <w:noWrap w:val="0"/>
                  <w:vAlign w:val="center"/>
                </w:tcPr>
                <w:p w14:paraId="6E09CBE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3688" w:type="dxa"/>
                  <w:tcBorders>
                    <w:tl2br w:val="nil"/>
                    <w:tr2bl w:val="nil"/>
                  </w:tcBorders>
                  <w:shd w:val="clear" w:color="auto" w:fill="auto"/>
                  <w:noWrap w:val="0"/>
                  <w:vAlign w:val="center"/>
                </w:tcPr>
                <w:p w14:paraId="59A1C92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0"/>
                      <w:szCs w:val="20"/>
                      <w:highlight w:val="none"/>
                      <w:lang w:val="en-US" w:eastAsia="zh-CN" w:bidi="ar-SA"/>
                    </w:rPr>
                  </w:pPr>
                  <w:r>
                    <w:rPr>
                      <w:rFonts w:hint="default"/>
                      <w:color w:val="auto"/>
                      <w:spacing w:val="9"/>
                      <w:sz w:val="20"/>
                      <w:szCs w:val="20"/>
                      <w:highlight w:val="none"/>
                    </w:rPr>
                    <w:t>推广低噪声施工设备。制定房屋建筑和市政基础设施工程禁止和限制使用技术目录，限制或禁用易产生噪声污染的落后施</w:t>
                  </w:r>
                  <w:r>
                    <w:rPr>
                      <w:rFonts w:hint="default"/>
                      <w:color w:val="auto"/>
                      <w:spacing w:val="6"/>
                      <w:sz w:val="20"/>
                      <w:szCs w:val="20"/>
                      <w:highlight w:val="none"/>
                    </w:rPr>
                    <w:t>工工艺和设备。</w:t>
                  </w:r>
                </w:p>
              </w:tc>
              <w:tc>
                <w:tcPr>
                  <w:tcW w:w="2069" w:type="dxa"/>
                  <w:tcBorders>
                    <w:tl2br w:val="nil"/>
                    <w:tr2bl w:val="nil"/>
                  </w:tcBorders>
                  <w:shd w:val="clear" w:color="auto" w:fill="auto"/>
                  <w:noWrap w:val="0"/>
                  <w:vAlign w:val="center"/>
                </w:tcPr>
                <w:p w14:paraId="4FB1857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kern w:val="2"/>
                      <w:sz w:val="20"/>
                      <w:szCs w:val="20"/>
                      <w:highlight w:val="none"/>
                      <w:lang w:val="en-US" w:eastAsia="zh-CN" w:bidi="ar-SA"/>
                    </w:rPr>
                  </w:pPr>
                  <w:r>
                    <w:rPr>
                      <w:rFonts w:hint="default"/>
                      <w:color w:val="auto"/>
                      <w:spacing w:val="8"/>
                      <w:sz w:val="21"/>
                      <w:szCs w:val="21"/>
                      <w:highlight w:val="none"/>
                    </w:rPr>
                    <w:t>本项目选用低噪</w:t>
                  </w:r>
                  <w:r>
                    <w:rPr>
                      <w:rFonts w:hint="default"/>
                      <w:color w:val="auto"/>
                      <w:spacing w:val="6"/>
                      <w:sz w:val="21"/>
                      <w:szCs w:val="21"/>
                      <w:highlight w:val="none"/>
                    </w:rPr>
                    <w:t>声设备，基础减振，建筑隔声，</w:t>
                  </w:r>
                  <w:r>
                    <w:rPr>
                      <w:rFonts w:hint="eastAsia"/>
                      <w:color w:val="auto"/>
                      <w:spacing w:val="6"/>
                      <w:sz w:val="21"/>
                      <w:szCs w:val="21"/>
                      <w:highlight w:val="none"/>
                      <w:lang w:val="en-US" w:eastAsia="zh-CN"/>
                    </w:rPr>
                    <w:t>室外风机设置隔声罩</w:t>
                  </w:r>
                  <w:r>
                    <w:rPr>
                      <w:rFonts w:hint="default"/>
                      <w:color w:val="auto"/>
                      <w:spacing w:val="6"/>
                      <w:sz w:val="21"/>
                      <w:szCs w:val="21"/>
                      <w:highlight w:val="none"/>
                    </w:rPr>
                    <w:t>，高噪声设备均</w:t>
                  </w:r>
                  <w:r>
                    <w:rPr>
                      <w:rFonts w:hint="default"/>
                      <w:color w:val="auto"/>
                      <w:spacing w:val="7"/>
                      <w:sz w:val="21"/>
                      <w:szCs w:val="21"/>
                      <w:highlight w:val="none"/>
                    </w:rPr>
                    <w:t>置于封闭厂房内。</w:t>
                  </w:r>
                </w:p>
              </w:tc>
              <w:tc>
                <w:tcPr>
                  <w:tcW w:w="688" w:type="dxa"/>
                  <w:tcBorders>
                    <w:tl2br w:val="nil"/>
                    <w:tr2bl w:val="nil"/>
                  </w:tcBorders>
                  <w:noWrap w:val="0"/>
                  <w:vAlign w:val="center"/>
                </w:tcPr>
                <w:p w14:paraId="3B797F4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符合</w:t>
                  </w:r>
                </w:p>
              </w:tc>
            </w:tr>
          </w:tbl>
          <w:p w14:paraId="72633854">
            <w:pPr>
              <w:pStyle w:val="73"/>
              <w:keepNext w:val="0"/>
              <w:keepLines w:val="0"/>
              <w:suppressLineNumbers w:val="0"/>
              <w:spacing w:before="108" w:beforeAutospacing="0" w:after="0" w:afterAutospacing="0" w:line="360" w:lineRule="auto"/>
              <w:ind w:left="115" w:right="103" w:firstLine="476"/>
              <w:rPr>
                <w:rFonts w:hint="default"/>
                <w:color w:val="auto"/>
                <w:highlight w:val="none"/>
              </w:rPr>
            </w:pPr>
            <w:r>
              <w:rPr>
                <w:rFonts w:hint="eastAsia"/>
                <w:b/>
                <w:bCs/>
                <w:color w:val="auto"/>
                <w:highlight w:val="none"/>
                <w:lang w:val="en-US" w:eastAsia="zh-CN"/>
              </w:rPr>
              <w:t>⑥</w:t>
            </w:r>
            <w:r>
              <w:rPr>
                <w:rFonts w:hint="default"/>
                <w:b/>
                <w:bCs/>
                <w:color w:val="auto"/>
                <w:spacing w:val="-2"/>
                <w:highlight w:val="none"/>
              </w:rPr>
              <w:t>与《关于印发重点行业挥发性有机物综合治理方案的通</w:t>
            </w:r>
            <w:r>
              <w:rPr>
                <w:rFonts w:hint="default"/>
                <w:b/>
                <w:bCs/>
                <w:color w:val="auto"/>
                <w:spacing w:val="-4"/>
                <w:highlight w:val="none"/>
              </w:rPr>
              <w:t>知》的符合性分析</w:t>
            </w:r>
          </w:p>
          <w:p w14:paraId="4C7EB844">
            <w:pPr>
              <w:pStyle w:val="73"/>
              <w:keepNext w:val="0"/>
              <w:keepLines w:val="0"/>
              <w:suppressLineNumbers w:val="0"/>
              <w:bidi w:val="0"/>
              <w:spacing w:before="0" w:beforeAutospacing="0" w:after="0" w:afterAutospacing="0"/>
              <w:ind w:left="0" w:leftChars="0" w:right="0" w:firstLine="0" w:firstLineChars="0"/>
              <w:jc w:val="center"/>
              <w:rPr>
                <w:rFonts w:hint="eastAsia"/>
                <w:b/>
                <w:bCs/>
                <w:color w:val="auto"/>
                <w:spacing w:val="-4"/>
                <w:highlight w:val="none"/>
                <w:lang w:val="en-US" w:eastAsia="zh-CN"/>
              </w:rPr>
            </w:pPr>
            <w:r>
              <w:rPr>
                <w:rFonts w:hint="default"/>
                <w:b/>
                <w:bCs/>
                <w:color w:val="auto"/>
                <w:sz w:val="21"/>
                <w:szCs w:val="21"/>
                <w:highlight w:val="none"/>
              </w:rPr>
              <w:t>表1-</w:t>
            </w:r>
            <w:r>
              <w:rPr>
                <w:rFonts w:hint="eastAsia"/>
                <w:b/>
                <w:bCs/>
                <w:color w:val="auto"/>
                <w:sz w:val="21"/>
                <w:szCs w:val="21"/>
                <w:highlight w:val="none"/>
                <w:lang w:val="en-US" w:eastAsia="zh-CN"/>
              </w:rPr>
              <w:t xml:space="preserve">10 </w:t>
            </w:r>
            <w:r>
              <w:rPr>
                <w:rFonts w:hint="default"/>
                <w:b/>
                <w:bCs/>
                <w:color w:val="auto"/>
                <w:sz w:val="21"/>
                <w:szCs w:val="21"/>
                <w:highlight w:val="none"/>
              </w:rPr>
              <w:t xml:space="preserve"> </w:t>
            </w:r>
            <w:r>
              <w:rPr>
                <w:rFonts w:hint="default"/>
                <w:b/>
                <w:bCs/>
                <w:color w:val="auto"/>
                <w:spacing w:val="-4"/>
                <w:highlight w:val="none"/>
              </w:rPr>
              <w:t>与《关于印发重点行业挥发性有机物综合治理方案的通知》符合性分析</w:t>
            </w:r>
          </w:p>
          <w:tbl>
            <w:tblPr>
              <w:tblStyle w:val="74"/>
              <w:tblW w:w="4999"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4344"/>
              <w:gridCol w:w="2964"/>
              <w:gridCol w:w="740"/>
            </w:tblGrid>
            <w:tr w14:paraId="1EDA255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698" w:type="pct"/>
                  <w:tcBorders>
                    <w:tl2br w:val="nil"/>
                    <w:tr2bl w:val="nil"/>
                  </w:tcBorders>
                  <w:vAlign w:val="center"/>
                </w:tcPr>
                <w:p w14:paraId="62BAE8E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文件要求</w:t>
                  </w:r>
                </w:p>
              </w:tc>
              <w:tc>
                <w:tcPr>
                  <w:tcW w:w="1841" w:type="pct"/>
                  <w:tcBorders>
                    <w:tl2br w:val="nil"/>
                    <w:tr2bl w:val="nil"/>
                  </w:tcBorders>
                  <w:vAlign w:val="center"/>
                </w:tcPr>
                <w:p w14:paraId="6039E0E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项目情况</w:t>
                  </w:r>
                </w:p>
              </w:tc>
              <w:tc>
                <w:tcPr>
                  <w:tcW w:w="459" w:type="pct"/>
                  <w:tcBorders>
                    <w:tl2br w:val="nil"/>
                    <w:tr2bl w:val="nil"/>
                  </w:tcBorders>
                  <w:vAlign w:val="center"/>
                </w:tcPr>
                <w:p w14:paraId="4108D78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eastAsia="宋体"/>
                      <w:color w:val="auto"/>
                      <w:sz w:val="21"/>
                      <w:szCs w:val="21"/>
                      <w:highlight w:val="none"/>
                      <w:lang w:val="en-US" w:eastAsia="zh-CN"/>
                    </w:rPr>
                  </w:pPr>
                  <w:r>
                    <w:rPr>
                      <w:rFonts w:hint="eastAsia"/>
                      <w:color w:val="auto"/>
                      <w:sz w:val="21"/>
                      <w:szCs w:val="21"/>
                      <w:highlight w:val="none"/>
                      <w:lang w:val="en-US" w:eastAsia="zh-CN"/>
                    </w:rPr>
                    <w:t>符合性</w:t>
                  </w:r>
                </w:p>
              </w:tc>
            </w:tr>
            <w:tr w14:paraId="168445B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698" w:type="pct"/>
                  <w:tcBorders>
                    <w:tl2br w:val="nil"/>
                    <w:tr2bl w:val="nil"/>
                  </w:tcBorders>
                  <w:vAlign w:val="center"/>
                </w:tcPr>
                <w:p w14:paraId="4CEA815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ascii="Times New Roman" w:hAnsi="Times New Roman" w:eastAsia="Times New Roman" w:cs="Times New Roman"/>
                      <w:color w:val="auto"/>
                      <w:spacing w:val="11"/>
                      <w:sz w:val="21"/>
                      <w:szCs w:val="21"/>
                      <w:highlight w:val="none"/>
                    </w:rPr>
                    <w:t>“</w:t>
                  </w:r>
                  <w:r>
                    <w:rPr>
                      <w:rFonts w:hint="default"/>
                      <w:color w:val="auto"/>
                      <w:spacing w:val="11"/>
                      <w:sz w:val="21"/>
                      <w:szCs w:val="21"/>
                      <w:highlight w:val="none"/>
                    </w:rPr>
                    <w:t>工业园区和产业集群</w:t>
                  </w:r>
                  <w:r>
                    <w:rPr>
                      <w:rFonts w:hint="default"/>
                      <w:color w:val="auto"/>
                      <w:spacing w:val="-33"/>
                      <w:sz w:val="21"/>
                      <w:szCs w:val="21"/>
                      <w:highlight w:val="none"/>
                    </w:rPr>
                    <w:t xml:space="preserve"> </w:t>
                  </w:r>
                  <w:r>
                    <w:rPr>
                      <w:rFonts w:hint="default" w:ascii="Times New Roman" w:hAnsi="Times New Roman" w:eastAsia="Times New Roman" w:cs="Times New Roman"/>
                      <w:color w:val="auto"/>
                      <w:sz w:val="21"/>
                      <w:szCs w:val="21"/>
                      <w:highlight w:val="none"/>
                    </w:rPr>
                    <w:t>VOCs</w:t>
                  </w:r>
                  <w:r>
                    <w:rPr>
                      <w:rFonts w:hint="default" w:ascii="Times New Roman" w:hAnsi="Times New Roman" w:eastAsia="Times New Roman" w:cs="Times New Roman"/>
                      <w:color w:val="auto"/>
                      <w:spacing w:val="17"/>
                      <w:sz w:val="21"/>
                      <w:szCs w:val="21"/>
                      <w:highlight w:val="none"/>
                    </w:rPr>
                    <w:t xml:space="preserve"> </w:t>
                  </w:r>
                  <w:r>
                    <w:rPr>
                      <w:rFonts w:hint="default"/>
                      <w:color w:val="auto"/>
                      <w:spacing w:val="11"/>
                      <w:sz w:val="21"/>
                      <w:szCs w:val="21"/>
                      <w:highlight w:val="none"/>
                    </w:rPr>
                    <w:t>综合治理。</w:t>
                  </w:r>
                  <w:r>
                    <w:rPr>
                      <w:rFonts w:hint="default"/>
                      <w:color w:val="auto"/>
                      <w:spacing w:val="14"/>
                      <w:sz w:val="21"/>
                      <w:szCs w:val="21"/>
                      <w:highlight w:val="none"/>
                    </w:rPr>
                    <w:t>各地应加大涉</w:t>
                  </w:r>
                  <w:r>
                    <w:rPr>
                      <w:rFonts w:hint="default"/>
                      <w:color w:val="auto"/>
                      <w:spacing w:val="-42"/>
                      <w:sz w:val="21"/>
                      <w:szCs w:val="21"/>
                      <w:highlight w:val="none"/>
                    </w:rPr>
                    <w:t xml:space="preserve"> </w:t>
                  </w:r>
                  <w:r>
                    <w:rPr>
                      <w:rFonts w:hint="default" w:ascii="Times New Roman" w:hAnsi="Times New Roman" w:eastAsia="Times New Roman" w:cs="Times New Roman"/>
                      <w:color w:val="auto"/>
                      <w:sz w:val="21"/>
                      <w:szCs w:val="21"/>
                      <w:highlight w:val="none"/>
                    </w:rPr>
                    <w:t>VOCs</w:t>
                  </w:r>
                  <w:r>
                    <w:rPr>
                      <w:rFonts w:hint="default"/>
                      <w:color w:val="auto"/>
                      <w:spacing w:val="14"/>
                      <w:sz w:val="21"/>
                      <w:szCs w:val="21"/>
                      <w:highlight w:val="none"/>
                    </w:rPr>
                    <w:t>排放工业园区和产</w:t>
                  </w:r>
                  <w:r>
                    <w:rPr>
                      <w:rFonts w:hint="default"/>
                      <w:color w:val="auto"/>
                      <w:spacing w:val="8"/>
                      <w:sz w:val="21"/>
                      <w:szCs w:val="21"/>
                      <w:highlight w:val="none"/>
                    </w:rPr>
                    <w:t>业集群综合整治力度，加强资源共享，</w:t>
                  </w:r>
                  <w:r>
                    <w:rPr>
                      <w:rFonts w:hint="default"/>
                      <w:color w:val="auto"/>
                      <w:spacing w:val="9"/>
                      <w:sz w:val="21"/>
                      <w:szCs w:val="21"/>
                      <w:highlight w:val="none"/>
                    </w:rPr>
                    <w:t>实施集中治理，开展园区监测评估，建</w:t>
                  </w:r>
                  <w:r>
                    <w:rPr>
                      <w:rFonts w:hint="default"/>
                      <w:color w:val="auto"/>
                      <w:spacing w:val="8"/>
                      <w:sz w:val="21"/>
                      <w:szCs w:val="21"/>
                      <w:highlight w:val="none"/>
                    </w:rPr>
                    <w:t>立环境信息共享平台。</w:t>
                  </w:r>
                </w:p>
              </w:tc>
              <w:tc>
                <w:tcPr>
                  <w:tcW w:w="1841" w:type="pct"/>
                  <w:tcBorders>
                    <w:tl2br w:val="nil"/>
                    <w:tr2bl w:val="nil"/>
                  </w:tcBorders>
                  <w:vAlign w:val="center"/>
                </w:tcPr>
                <w:p w14:paraId="6126BB1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8"/>
                      <w:sz w:val="21"/>
                      <w:szCs w:val="21"/>
                      <w:highlight w:val="none"/>
                    </w:rPr>
                    <w:t>本项目位于工业园区内，</w:t>
                  </w:r>
                  <w:r>
                    <w:rPr>
                      <w:rFonts w:hint="default"/>
                      <w:color w:val="auto"/>
                      <w:spacing w:val="9"/>
                      <w:sz w:val="21"/>
                      <w:szCs w:val="21"/>
                      <w:highlight w:val="none"/>
                    </w:rPr>
                    <w:t>对报废汽车进</w:t>
                  </w:r>
                  <w:r>
                    <w:rPr>
                      <w:rFonts w:hint="default"/>
                      <w:color w:val="auto"/>
                      <w:spacing w:val="8"/>
                      <w:sz w:val="21"/>
                      <w:szCs w:val="21"/>
                      <w:highlight w:val="none"/>
                    </w:rPr>
                    <w:t>行拆解</w:t>
                  </w:r>
                  <w:r>
                    <w:rPr>
                      <w:rFonts w:hint="eastAsia"/>
                      <w:color w:val="auto"/>
                      <w:spacing w:val="8"/>
                      <w:sz w:val="21"/>
                      <w:szCs w:val="21"/>
                      <w:highlight w:val="none"/>
                      <w:lang w:val="en-US" w:eastAsia="zh-CN"/>
                    </w:rPr>
                    <w:t>过程</w:t>
                  </w:r>
                  <w:r>
                    <w:rPr>
                      <w:rFonts w:hint="default"/>
                      <w:color w:val="auto"/>
                      <w:spacing w:val="8"/>
                      <w:sz w:val="21"/>
                      <w:szCs w:val="21"/>
                      <w:highlight w:val="none"/>
                    </w:rPr>
                    <w:t>涉及VOCs</w:t>
                  </w:r>
                  <w:r>
                    <w:rPr>
                      <w:rFonts w:hint="eastAsia"/>
                      <w:color w:val="auto"/>
                      <w:spacing w:val="8"/>
                      <w:sz w:val="21"/>
                      <w:szCs w:val="21"/>
                      <w:highlight w:val="none"/>
                      <w:lang w:val="en-US" w:eastAsia="zh-CN"/>
                    </w:rPr>
                    <w:t>废气产生</w:t>
                  </w:r>
                  <w:r>
                    <w:rPr>
                      <w:rFonts w:hint="default"/>
                      <w:color w:val="auto"/>
                      <w:spacing w:val="8"/>
                      <w:sz w:val="21"/>
                      <w:szCs w:val="21"/>
                      <w:highlight w:val="none"/>
                    </w:rPr>
                    <w:t>。</w:t>
                  </w:r>
                  <w:r>
                    <w:rPr>
                      <w:rFonts w:hint="eastAsia"/>
                      <w:color w:val="auto"/>
                      <w:spacing w:val="8"/>
                      <w:sz w:val="21"/>
                      <w:szCs w:val="21"/>
                      <w:highlight w:val="none"/>
                      <w:lang w:eastAsia="zh-CN"/>
                    </w:rPr>
                    <w:t>本项目</w:t>
                  </w:r>
                  <w:r>
                    <w:rPr>
                      <w:rFonts w:hint="eastAsia"/>
                      <w:color w:val="auto"/>
                      <w:spacing w:val="8"/>
                      <w:sz w:val="21"/>
                      <w:szCs w:val="21"/>
                      <w:highlight w:val="none"/>
                      <w:lang w:val="en-US" w:eastAsia="zh-CN"/>
                    </w:rPr>
                    <w:t>生产设备</w:t>
                  </w:r>
                  <w:r>
                    <w:rPr>
                      <w:rFonts w:hint="eastAsia"/>
                      <w:color w:val="auto"/>
                      <w:spacing w:val="8"/>
                      <w:sz w:val="21"/>
                      <w:szCs w:val="21"/>
                      <w:highlight w:val="none"/>
                      <w:lang w:eastAsia="zh-CN"/>
                    </w:rPr>
                    <w:t>上方设置集气罩，</w:t>
                  </w:r>
                  <w:r>
                    <w:rPr>
                      <w:rFonts w:hint="eastAsia"/>
                      <w:color w:val="auto"/>
                      <w:spacing w:val="8"/>
                      <w:sz w:val="21"/>
                      <w:szCs w:val="21"/>
                      <w:highlight w:val="none"/>
                      <w:lang w:val="en-US" w:eastAsia="zh-CN"/>
                    </w:rPr>
                    <w:t>VOCs经集气罩收集+</w:t>
                  </w:r>
                  <w:r>
                    <w:rPr>
                      <w:rFonts w:hint="eastAsia"/>
                      <w:color w:val="auto"/>
                      <w:spacing w:val="8"/>
                      <w:sz w:val="21"/>
                      <w:szCs w:val="21"/>
                      <w:highlight w:val="none"/>
                      <w:lang w:eastAsia="zh-CN"/>
                    </w:rPr>
                    <w:t>二级活性炭吸附箱处理后，由1根</w:t>
                  </w:r>
                  <w:r>
                    <w:rPr>
                      <w:rFonts w:hint="eastAsia"/>
                      <w:color w:val="auto"/>
                      <w:spacing w:val="8"/>
                      <w:sz w:val="21"/>
                      <w:szCs w:val="21"/>
                      <w:highlight w:val="none"/>
                      <w:lang w:val="en-US" w:eastAsia="zh-CN"/>
                    </w:rPr>
                    <w:t>24</w:t>
                  </w:r>
                  <w:r>
                    <w:rPr>
                      <w:rFonts w:hint="eastAsia"/>
                      <w:color w:val="auto"/>
                      <w:spacing w:val="8"/>
                      <w:sz w:val="21"/>
                      <w:szCs w:val="21"/>
                      <w:highlight w:val="none"/>
                      <w:lang w:eastAsia="zh-CN"/>
                    </w:rPr>
                    <w:t>m高排气筒DA001有组织排放</w:t>
                  </w:r>
                  <w:r>
                    <w:rPr>
                      <w:rFonts w:hint="default"/>
                      <w:color w:val="auto"/>
                      <w:spacing w:val="8"/>
                      <w:sz w:val="21"/>
                      <w:szCs w:val="21"/>
                      <w:highlight w:val="none"/>
                    </w:rPr>
                    <w:t>。</w:t>
                  </w:r>
                </w:p>
              </w:tc>
              <w:tc>
                <w:tcPr>
                  <w:tcW w:w="459" w:type="pct"/>
                  <w:tcBorders>
                    <w:tl2br w:val="nil"/>
                    <w:tr2bl w:val="nil"/>
                  </w:tcBorders>
                  <w:vAlign w:val="center"/>
                </w:tcPr>
                <w:p w14:paraId="69C4567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3"/>
                      <w:sz w:val="21"/>
                      <w:szCs w:val="21"/>
                      <w:highlight w:val="none"/>
                    </w:rPr>
                    <w:t>符合</w:t>
                  </w:r>
                </w:p>
              </w:tc>
            </w:tr>
            <w:tr w14:paraId="05F85FB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2698" w:type="pct"/>
                  <w:tcBorders>
                    <w:tl2br w:val="nil"/>
                    <w:tr2bl w:val="nil"/>
                  </w:tcBorders>
                  <w:vAlign w:val="center"/>
                </w:tcPr>
                <w:p w14:paraId="6C2A8E8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9"/>
                      <w:sz w:val="21"/>
                      <w:szCs w:val="21"/>
                      <w:highlight w:val="none"/>
                    </w:rPr>
                    <w:t>强化工业园区和产业集群统一管理。树立行业标杆，制定综合整治方案，引导</w:t>
                  </w:r>
                  <w:r>
                    <w:rPr>
                      <w:rFonts w:hint="default"/>
                      <w:color w:val="auto"/>
                      <w:spacing w:val="8"/>
                      <w:sz w:val="21"/>
                      <w:szCs w:val="21"/>
                      <w:highlight w:val="none"/>
                    </w:rPr>
                    <w:t>工业园区和产业集群整体升级。石化、</w:t>
                  </w:r>
                  <w:r>
                    <w:rPr>
                      <w:rFonts w:hint="default"/>
                      <w:color w:val="auto"/>
                      <w:spacing w:val="9"/>
                      <w:sz w:val="21"/>
                      <w:szCs w:val="21"/>
                      <w:highlight w:val="none"/>
                    </w:rPr>
                    <w:t>化工类工业园区和产业集群，要建立健</w:t>
                  </w:r>
                  <w:r>
                    <w:rPr>
                      <w:rFonts w:hint="default"/>
                      <w:color w:val="auto"/>
                      <w:spacing w:val="3"/>
                      <w:sz w:val="21"/>
                      <w:szCs w:val="21"/>
                      <w:highlight w:val="none"/>
                    </w:rPr>
                    <w:t>全档案管理制度，明确企业</w:t>
                  </w:r>
                  <w:r>
                    <w:rPr>
                      <w:rFonts w:hint="default"/>
                      <w:color w:val="auto"/>
                      <w:spacing w:val="-35"/>
                      <w:sz w:val="21"/>
                      <w:szCs w:val="21"/>
                      <w:highlight w:val="none"/>
                    </w:rPr>
                    <w:t xml:space="preserve"> </w:t>
                  </w:r>
                  <w:r>
                    <w:rPr>
                      <w:rFonts w:hint="default" w:ascii="Times New Roman" w:hAnsi="Times New Roman" w:eastAsia="Times New Roman" w:cs="Times New Roman"/>
                      <w:color w:val="auto"/>
                      <w:sz w:val="21"/>
                      <w:szCs w:val="21"/>
                      <w:highlight w:val="none"/>
                    </w:rPr>
                    <w:t>VOCs</w:t>
                  </w:r>
                  <w:r>
                    <w:rPr>
                      <w:rFonts w:hint="default" w:ascii="Times New Roman" w:hAnsi="Times New Roman" w:eastAsia="Times New Roman" w:cs="Times New Roman"/>
                      <w:color w:val="auto"/>
                      <w:spacing w:val="3"/>
                      <w:sz w:val="21"/>
                      <w:szCs w:val="21"/>
                      <w:highlight w:val="none"/>
                    </w:rPr>
                    <w:t xml:space="preserve"> </w:t>
                  </w:r>
                  <w:r>
                    <w:rPr>
                      <w:rFonts w:hint="default"/>
                      <w:color w:val="auto"/>
                      <w:spacing w:val="3"/>
                      <w:sz w:val="21"/>
                      <w:szCs w:val="21"/>
                      <w:highlight w:val="none"/>
                    </w:rPr>
                    <w:t>源谱，</w:t>
                  </w:r>
                  <w:r>
                    <w:rPr>
                      <w:rFonts w:hint="default"/>
                      <w:color w:val="auto"/>
                      <w:spacing w:val="9"/>
                      <w:sz w:val="21"/>
                      <w:szCs w:val="21"/>
                      <w:highlight w:val="none"/>
                    </w:rPr>
                    <w:t>识别特征污染物，载明企业废气收集与治理设施建设情况、重污染天气应急预案、企业违法处罚等环保信息。鼓励对</w:t>
                  </w:r>
                  <w:r>
                    <w:rPr>
                      <w:rFonts w:hint="default"/>
                      <w:color w:val="auto"/>
                      <w:spacing w:val="8"/>
                      <w:sz w:val="21"/>
                      <w:szCs w:val="21"/>
                      <w:highlight w:val="none"/>
                    </w:rPr>
                    <w:t>园区和产业集群开展监测、排查、环保设施建设运营等一体化服务。</w:t>
                  </w:r>
                </w:p>
              </w:tc>
              <w:tc>
                <w:tcPr>
                  <w:tcW w:w="1841" w:type="pct"/>
                  <w:tcBorders>
                    <w:tl2br w:val="nil"/>
                    <w:tr2bl w:val="nil"/>
                  </w:tcBorders>
                  <w:vAlign w:val="center"/>
                </w:tcPr>
                <w:p w14:paraId="47B94F5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8"/>
                      <w:sz w:val="21"/>
                      <w:szCs w:val="21"/>
                      <w:highlight w:val="none"/>
                    </w:rPr>
                    <w:t>本项目建立台账管理制</w:t>
                  </w:r>
                  <w:r>
                    <w:rPr>
                      <w:rFonts w:hint="default"/>
                      <w:color w:val="auto"/>
                      <w:spacing w:val="6"/>
                      <w:sz w:val="21"/>
                      <w:szCs w:val="21"/>
                      <w:highlight w:val="none"/>
                    </w:rPr>
                    <w:t>度，定期开展跟踪监测。</w:t>
                  </w:r>
                </w:p>
              </w:tc>
              <w:tc>
                <w:tcPr>
                  <w:tcW w:w="459" w:type="pct"/>
                  <w:tcBorders>
                    <w:tl2br w:val="nil"/>
                    <w:tr2bl w:val="nil"/>
                  </w:tcBorders>
                  <w:vAlign w:val="center"/>
                </w:tcPr>
                <w:p w14:paraId="22F034D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3"/>
                      <w:sz w:val="21"/>
                      <w:szCs w:val="21"/>
                      <w:highlight w:val="none"/>
                    </w:rPr>
                    <w:t>符合</w:t>
                  </w:r>
                </w:p>
              </w:tc>
            </w:tr>
          </w:tbl>
          <w:p w14:paraId="79BCC98F">
            <w:pPr>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2" w:firstLineChars="200"/>
              <w:jc w:val="both"/>
              <w:textAlignment w:val="auto"/>
              <w:outlineLvl w:val="1"/>
              <w:rPr>
                <w:rFonts w:hint="default" w:ascii="Times New Roman" w:hAnsi="Times New Roman" w:eastAsia="宋体" w:cs="Times New Roman"/>
                <w:b/>
                <w:bCs/>
                <w:color w:val="auto"/>
                <w:sz w:val="24"/>
                <w:szCs w:val="24"/>
                <w:highlight w:val="none"/>
                <w:u w:val="none" w:color="auto"/>
                <w:lang w:val="en-US" w:eastAsia="zh-CN"/>
              </w:rPr>
            </w:pPr>
            <w:r>
              <w:rPr>
                <w:rFonts w:hint="eastAsia" w:cs="Times New Roman"/>
                <w:b/>
                <w:bCs/>
                <w:color w:val="auto"/>
                <w:sz w:val="24"/>
                <w:szCs w:val="24"/>
                <w:highlight w:val="none"/>
                <w:u w:val="none" w:color="auto"/>
                <w:lang w:val="en-US" w:eastAsia="zh-CN"/>
              </w:rPr>
              <w:t>⑦</w:t>
            </w:r>
            <w:r>
              <w:rPr>
                <w:rFonts w:hint="default" w:ascii="Times New Roman" w:hAnsi="Times New Roman" w:eastAsia="宋体" w:cs="Times New Roman"/>
                <w:b/>
                <w:bCs/>
                <w:color w:val="auto"/>
                <w:sz w:val="24"/>
                <w:szCs w:val="24"/>
                <w:highlight w:val="none"/>
                <w:u w:val="none" w:color="auto"/>
                <w:lang w:val="en-US" w:eastAsia="zh-CN"/>
              </w:rPr>
              <w:t>与《废铅蓄电池处理污染控制技术规范》（HJ519－2020）</w:t>
            </w:r>
            <w:r>
              <w:rPr>
                <w:rFonts w:hint="eastAsia" w:cs="Times New Roman"/>
                <w:b/>
                <w:bCs/>
                <w:color w:val="auto"/>
                <w:sz w:val="24"/>
                <w:szCs w:val="24"/>
                <w:highlight w:val="none"/>
                <w:u w:val="none" w:color="auto"/>
                <w:lang w:val="en-US" w:eastAsia="zh-CN"/>
              </w:rPr>
              <w:t>符合性</w:t>
            </w:r>
            <w:r>
              <w:rPr>
                <w:rFonts w:hint="default" w:ascii="Times New Roman" w:hAnsi="Times New Roman" w:eastAsia="宋体" w:cs="Times New Roman"/>
                <w:b/>
                <w:bCs/>
                <w:color w:val="auto"/>
                <w:sz w:val="24"/>
                <w:szCs w:val="24"/>
                <w:highlight w:val="none"/>
                <w:u w:val="none" w:color="auto"/>
                <w:lang w:val="en-US" w:eastAsia="zh-CN"/>
              </w:rPr>
              <w:t>分析</w:t>
            </w:r>
          </w:p>
          <w:p w14:paraId="20B82CF5">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表1-1</w:t>
            </w:r>
            <w:r>
              <w:rPr>
                <w:rFonts w:hint="eastAsia" w:cs="Times New Roman"/>
                <w:b/>
                <w:bCs/>
                <w:color w:val="auto"/>
                <w:szCs w:val="21"/>
                <w:highlight w:val="none"/>
                <w:lang w:val="en-US" w:eastAsia="zh-CN"/>
              </w:rPr>
              <w:t>1</w:t>
            </w:r>
            <w:r>
              <w:rPr>
                <w:rFonts w:hint="default" w:ascii="Times New Roman" w:hAnsi="Times New Roman" w:eastAsia="宋体" w:cs="Times New Roman"/>
                <w:b/>
                <w:bCs/>
                <w:color w:val="auto"/>
                <w:szCs w:val="21"/>
                <w:highlight w:val="none"/>
                <w:lang w:val="en-US" w:eastAsia="zh-CN"/>
              </w:rPr>
              <w:t xml:space="preserve">  与《废铅蓄电池处理污染控制技术规范》</w:t>
            </w:r>
            <w:r>
              <w:rPr>
                <w:rFonts w:hint="eastAsia" w:cs="Times New Roman"/>
                <w:b/>
                <w:bCs/>
                <w:color w:val="auto"/>
                <w:highlight w:val="none"/>
                <w:vertAlign w:val="baseline"/>
                <w:lang w:val="en-US" w:eastAsia="zh-CN"/>
              </w:rPr>
              <w:t>符合性</w:t>
            </w:r>
            <w:r>
              <w:rPr>
                <w:rFonts w:hint="default" w:ascii="Times New Roman" w:hAnsi="Times New Roman" w:eastAsia="宋体" w:cs="Times New Roman"/>
                <w:b/>
                <w:bCs/>
                <w:color w:val="auto"/>
                <w:szCs w:val="21"/>
                <w:highlight w:val="none"/>
                <w:lang w:val="en-US" w:eastAsia="zh-CN"/>
              </w:rPr>
              <w:t>分析</w:t>
            </w:r>
          </w:p>
          <w:tbl>
            <w:tblPr>
              <w:tblStyle w:val="27"/>
              <w:tblW w:w="4996"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47"/>
              <w:gridCol w:w="3821"/>
              <w:gridCol w:w="2839"/>
              <w:gridCol w:w="937"/>
            </w:tblGrid>
            <w:tr w14:paraId="281B39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652" w:type="pct"/>
                  <w:gridSpan w:val="2"/>
                  <w:tcBorders>
                    <w:tl2br w:val="nil"/>
                    <w:tr2bl w:val="nil"/>
                  </w:tcBorders>
                  <w:noWrap w:val="0"/>
                  <w:vAlign w:val="center"/>
                </w:tcPr>
                <w:p w14:paraId="30F2F95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vertAlign w:val="baseline"/>
                      <w:lang w:val="en-US" w:eastAsia="zh-CN"/>
                    </w:rPr>
                  </w:pPr>
                  <w:r>
                    <w:rPr>
                      <w:rFonts w:hint="default" w:ascii="Times New Roman" w:hAnsi="Times New Roman" w:eastAsia="宋体" w:cs="Times New Roman"/>
                      <w:b/>
                      <w:bCs/>
                      <w:color w:val="auto"/>
                      <w:szCs w:val="21"/>
                      <w:highlight w:val="none"/>
                      <w:vertAlign w:val="baseline"/>
                      <w:lang w:val="en-US" w:eastAsia="zh-CN"/>
                    </w:rPr>
                    <w:t>文件要求</w:t>
                  </w:r>
                </w:p>
              </w:tc>
              <w:tc>
                <w:tcPr>
                  <w:tcW w:w="1764" w:type="pct"/>
                  <w:tcBorders>
                    <w:tl2br w:val="nil"/>
                    <w:tr2bl w:val="nil"/>
                  </w:tcBorders>
                  <w:noWrap w:val="0"/>
                  <w:vAlign w:val="center"/>
                </w:tcPr>
                <w:p w14:paraId="65EE267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vertAlign w:val="baseline"/>
                      <w:lang w:val="en-US" w:eastAsia="zh-CN"/>
                    </w:rPr>
                  </w:pPr>
                  <w:r>
                    <w:rPr>
                      <w:rFonts w:hint="default" w:ascii="Times New Roman" w:hAnsi="Times New Roman" w:eastAsia="宋体" w:cs="Times New Roman"/>
                      <w:b/>
                      <w:bCs/>
                      <w:color w:val="auto"/>
                      <w:szCs w:val="21"/>
                      <w:highlight w:val="none"/>
                      <w:vertAlign w:val="baseline"/>
                      <w:lang w:val="en-US" w:eastAsia="zh-CN"/>
                    </w:rPr>
                    <w:t>本项目</w:t>
                  </w:r>
                </w:p>
              </w:tc>
              <w:tc>
                <w:tcPr>
                  <w:tcW w:w="582" w:type="pct"/>
                  <w:tcBorders>
                    <w:tl2br w:val="nil"/>
                    <w:tr2bl w:val="nil"/>
                  </w:tcBorders>
                  <w:noWrap w:val="0"/>
                  <w:vAlign w:val="center"/>
                </w:tcPr>
                <w:p w14:paraId="35DAF0CF">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vertAlign w:val="baseline"/>
                      <w:lang w:val="en-US" w:eastAsia="zh-CN"/>
                    </w:rPr>
                  </w:pPr>
                  <w:r>
                    <w:rPr>
                      <w:rFonts w:hint="eastAsia" w:cs="Times New Roman"/>
                      <w:b/>
                      <w:bCs/>
                      <w:color w:val="auto"/>
                      <w:szCs w:val="21"/>
                      <w:highlight w:val="none"/>
                      <w:vertAlign w:val="baseline"/>
                      <w:lang w:val="en-US" w:eastAsia="zh-CN"/>
                    </w:rPr>
                    <w:t>符合</w:t>
                  </w:r>
                  <w:r>
                    <w:rPr>
                      <w:rFonts w:hint="default" w:ascii="Times New Roman" w:hAnsi="Times New Roman" w:eastAsia="宋体" w:cs="Times New Roman"/>
                      <w:b/>
                      <w:bCs/>
                      <w:color w:val="auto"/>
                      <w:szCs w:val="21"/>
                      <w:highlight w:val="none"/>
                      <w:vertAlign w:val="baseline"/>
                      <w:lang w:val="en-US" w:eastAsia="zh-CN"/>
                    </w:rPr>
                    <w:t>性</w:t>
                  </w:r>
                </w:p>
              </w:tc>
            </w:tr>
            <w:tr w14:paraId="01003A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77" w:type="pct"/>
                  <w:tcBorders>
                    <w:tl2br w:val="nil"/>
                    <w:tr2bl w:val="nil"/>
                  </w:tcBorders>
                  <w:noWrap w:val="0"/>
                  <w:vAlign w:val="center"/>
                </w:tcPr>
                <w:p w14:paraId="25AACFC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总体要求</w:t>
                  </w:r>
                </w:p>
              </w:tc>
              <w:tc>
                <w:tcPr>
                  <w:tcW w:w="2374" w:type="pct"/>
                  <w:tcBorders>
                    <w:tl2br w:val="nil"/>
                    <w:tr2bl w:val="nil"/>
                  </w:tcBorders>
                  <w:noWrap w:val="0"/>
                  <w:vAlign w:val="center"/>
                </w:tcPr>
                <w:p w14:paraId="119C4FF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收集、运输、贮存废铅蓄电池的容器或托盘，应根据废铅蓄电池的特性设计，不易破损、变形，其所用材料能有效地防止渗漏、扩散，并耐酸腐蚀。装有废铅蓄电池的容器或托盘必须粘贴符合GB18597要求的危险废物标签。</w:t>
                  </w:r>
                </w:p>
                <w:p w14:paraId="77354C0E">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2.禁止在收集、运输和贮存过程中擅自拆解、破碎、丢弃废铅蓄电池；禁止倾倒含铅酸性电解质。</w:t>
                  </w:r>
                </w:p>
              </w:tc>
              <w:tc>
                <w:tcPr>
                  <w:tcW w:w="1764" w:type="pct"/>
                  <w:tcBorders>
                    <w:tl2br w:val="nil"/>
                    <w:tr2bl w:val="nil"/>
                  </w:tcBorders>
                  <w:noWrap w:val="0"/>
                  <w:vAlign w:val="center"/>
                </w:tcPr>
                <w:p w14:paraId="14B323E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1.本项目收集、贮存蓄电池的容器、托盘均为不易变形、防渗透、防扩散且耐腐蚀的专用器具，并按要求粘贴相关有关标签。</w:t>
                  </w:r>
                </w:p>
                <w:p w14:paraId="038D40E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2.本项目对报废车辆的废铅蓄电池进行</w:t>
                  </w:r>
                  <w:r>
                    <w:rPr>
                      <w:rFonts w:hint="eastAsia" w:cs="Times New Roman"/>
                      <w:color w:val="auto"/>
                      <w:szCs w:val="21"/>
                      <w:highlight w:val="none"/>
                      <w:vertAlign w:val="baseline"/>
                      <w:lang w:val="en-US" w:eastAsia="zh-CN"/>
                    </w:rPr>
                    <w:t>采取</w:t>
                  </w:r>
                  <w:r>
                    <w:rPr>
                      <w:rFonts w:hint="default" w:ascii="Times New Roman" w:hAnsi="Times New Roman" w:eastAsia="宋体" w:cs="Times New Roman"/>
                      <w:color w:val="auto"/>
                      <w:szCs w:val="21"/>
                      <w:highlight w:val="none"/>
                      <w:vertAlign w:val="baseline"/>
                      <w:lang w:val="en-US" w:eastAsia="zh-CN"/>
                    </w:rPr>
                    <w:t>专门的容器</w:t>
                  </w:r>
                  <w:r>
                    <w:rPr>
                      <w:rFonts w:hint="eastAsia" w:cs="Times New Roman"/>
                      <w:color w:val="auto"/>
                      <w:szCs w:val="21"/>
                      <w:highlight w:val="none"/>
                      <w:vertAlign w:val="baseline"/>
                      <w:lang w:val="en-US" w:eastAsia="zh-CN"/>
                    </w:rPr>
                    <w:t>进行储存</w:t>
                  </w:r>
                  <w:r>
                    <w:rPr>
                      <w:rFonts w:hint="default" w:ascii="Times New Roman" w:hAnsi="Times New Roman" w:eastAsia="宋体" w:cs="Times New Roman"/>
                      <w:color w:val="auto"/>
                      <w:szCs w:val="21"/>
                      <w:highlight w:val="none"/>
                      <w:vertAlign w:val="baseline"/>
                      <w:lang w:val="en-US" w:eastAsia="zh-CN"/>
                    </w:rPr>
                    <w:t>。</w:t>
                  </w:r>
                </w:p>
              </w:tc>
              <w:tc>
                <w:tcPr>
                  <w:tcW w:w="582" w:type="pct"/>
                  <w:tcBorders>
                    <w:tl2br w:val="nil"/>
                    <w:tr2bl w:val="nil"/>
                  </w:tcBorders>
                  <w:noWrap w:val="0"/>
                  <w:vAlign w:val="center"/>
                </w:tcPr>
                <w:p w14:paraId="319EEA4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12EB0A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77" w:type="pct"/>
                  <w:tcBorders>
                    <w:tl2br w:val="nil"/>
                    <w:tr2bl w:val="nil"/>
                  </w:tcBorders>
                  <w:noWrap w:val="0"/>
                  <w:vAlign w:val="center"/>
                </w:tcPr>
                <w:p w14:paraId="542A289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收集</w:t>
                  </w:r>
                </w:p>
              </w:tc>
              <w:tc>
                <w:tcPr>
                  <w:tcW w:w="2374" w:type="pct"/>
                  <w:tcBorders>
                    <w:tl2br w:val="nil"/>
                    <w:tr2bl w:val="nil"/>
                  </w:tcBorders>
                  <w:noWrap w:val="0"/>
                  <w:vAlign w:val="center"/>
                </w:tcPr>
                <w:p w14:paraId="790398D1">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1.废铅蓄电池收集过程应采取以下防范措施，避免发生环境污染事故：</w:t>
                  </w:r>
                </w:p>
                <w:p w14:paraId="6A8E5BC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a）废铅蓄电池应进行合理包装，防止运输过程破损和电解质泄漏。</w:t>
                  </w:r>
                </w:p>
                <w:p w14:paraId="094F0EE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b）废铅蓄电池有破损或电解质渗漏的，应将废铅蓄电池及其渗漏液贮存于耐酸容器中。</w:t>
                  </w:r>
                </w:p>
              </w:tc>
              <w:tc>
                <w:tcPr>
                  <w:tcW w:w="1764" w:type="pct"/>
                  <w:tcBorders>
                    <w:tl2br w:val="nil"/>
                    <w:tr2bl w:val="nil"/>
                  </w:tcBorders>
                  <w:noWrap w:val="0"/>
                  <w:vAlign w:val="center"/>
                </w:tcPr>
                <w:p w14:paraId="6DC8C4B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1.本项目</w:t>
                  </w:r>
                  <w:r>
                    <w:rPr>
                      <w:rFonts w:hint="eastAsia" w:cs="Times New Roman"/>
                      <w:color w:val="auto"/>
                      <w:szCs w:val="21"/>
                      <w:highlight w:val="none"/>
                      <w:vertAlign w:val="baseline"/>
                      <w:lang w:val="en-US" w:eastAsia="zh-CN"/>
                    </w:rPr>
                    <w:t>汽车拆解产生</w:t>
                  </w:r>
                  <w:r>
                    <w:rPr>
                      <w:rFonts w:hint="default" w:ascii="Times New Roman" w:hAnsi="Times New Roman" w:eastAsia="宋体" w:cs="Times New Roman"/>
                      <w:color w:val="auto"/>
                      <w:szCs w:val="21"/>
                      <w:highlight w:val="none"/>
                      <w:vertAlign w:val="baseline"/>
                      <w:lang w:val="en-US" w:eastAsia="zh-CN"/>
                    </w:rPr>
                    <w:t>的废蓄电池</w:t>
                  </w:r>
                  <w:r>
                    <w:rPr>
                      <w:rFonts w:hint="eastAsia" w:cs="Times New Roman"/>
                      <w:color w:val="auto"/>
                      <w:szCs w:val="21"/>
                      <w:highlight w:val="none"/>
                      <w:vertAlign w:val="baseline"/>
                      <w:lang w:val="en-US" w:eastAsia="zh-CN"/>
                    </w:rPr>
                    <w:t>在危险废物贮存库贮存，定期交资质单位处置</w:t>
                  </w:r>
                  <w:r>
                    <w:rPr>
                      <w:rFonts w:hint="default" w:ascii="Times New Roman" w:hAnsi="Times New Roman" w:eastAsia="宋体" w:cs="Times New Roman"/>
                      <w:color w:val="auto"/>
                      <w:szCs w:val="21"/>
                      <w:highlight w:val="none"/>
                      <w:vertAlign w:val="baseline"/>
                      <w:lang w:val="en-US" w:eastAsia="zh-CN"/>
                    </w:rPr>
                    <w:t>。</w:t>
                  </w:r>
                </w:p>
                <w:p w14:paraId="5514844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2.本项目将破损或电解质渗漏的铅蓄电池存放于专业的防渗、耐腐蚀容器中。</w:t>
                  </w:r>
                </w:p>
              </w:tc>
              <w:tc>
                <w:tcPr>
                  <w:tcW w:w="582" w:type="pct"/>
                  <w:tcBorders>
                    <w:tl2br w:val="nil"/>
                    <w:tr2bl w:val="nil"/>
                  </w:tcBorders>
                  <w:noWrap w:val="0"/>
                  <w:vAlign w:val="center"/>
                </w:tcPr>
                <w:p w14:paraId="342126D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1DB9D9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77" w:type="pct"/>
                  <w:tcBorders>
                    <w:tl2br w:val="nil"/>
                    <w:tr2bl w:val="nil"/>
                  </w:tcBorders>
                  <w:noWrap w:val="0"/>
                  <w:vAlign w:val="center"/>
                </w:tcPr>
                <w:p w14:paraId="33EDE282">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暂存和贮存</w:t>
                  </w:r>
                </w:p>
              </w:tc>
              <w:tc>
                <w:tcPr>
                  <w:tcW w:w="2374" w:type="pct"/>
                  <w:tcBorders>
                    <w:tl2br w:val="nil"/>
                    <w:tr2bl w:val="nil"/>
                  </w:tcBorders>
                  <w:noWrap w:val="0"/>
                  <w:vAlign w:val="center"/>
                </w:tcPr>
                <w:p w14:paraId="103F644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1.禁止将废铅蓄电池堆放在露天场地，避免废铅蓄电池遭受雨淋水浸。</w:t>
                  </w:r>
                </w:p>
              </w:tc>
              <w:tc>
                <w:tcPr>
                  <w:tcW w:w="1764" w:type="pct"/>
                  <w:tcBorders>
                    <w:tl2br w:val="nil"/>
                    <w:tr2bl w:val="nil"/>
                  </w:tcBorders>
                  <w:noWrap w:val="0"/>
                  <w:vAlign w:val="center"/>
                </w:tcPr>
                <w:p w14:paraId="71C57B98">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1.报废车辆拆解下的废蓄电池立即转移至专门的</w:t>
                  </w:r>
                  <w:r>
                    <w:rPr>
                      <w:rFonts w:hint="eastAsia" w:cs="Times New Roman"/>
                      <w:color w:val="auto"/>
                      <w:szCs w:val="21"/>
                      <w:highlight w:val="none"/>
                      <w:vertAlign w:val="baseline"/>
                      <w:lang w:val="en-US" w:eastAsia="zh-CN"/>
                    </w:rPr>
                    <w:t>危险废物贮存库</w:t>
                  </w:r>
                  <w:r>
                    <w:rPr>
                      <w:rFonts w:hint="default" w:ascii="Times New Roman" w:hAnsi="Times New Roman" w:eastAsia="宋体" w:cs="Times New Roman"/>
                      <w:color w:val="auto"/>
                      <w:szCs w:val="21"/>
                      <w:highlight w:val="none"/>
                      <w:vertAlign w:val="baseline"/>
                      <w:lang w:val="en-US" w:eastAsia="zh-CN"/>
                    </w:rPr>
                    <w:t>，严禁露天堆放。</w:t>
                  </w:r>
                </w:p>
              </w:tc>
              <w:tc>
                <w:tcPr>
                  <w:tcW w:w="582" w:type="pct"/>
                  <w:tcBorders>
                    <w:tl2br w:val="nil"/>
                    <w:tr2bl w:val="nil"/>
                  </w:tcBorders>
                  <w:noWrap w:val="0"/>
                  <w:vAlign w:val="center"/>
                </w:tcPr>
                <w:p w14:paraId="2B14B54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bl>
          <w:p w14:paraId="46F80B0B">
            <w:pPr>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2" w:firstLineChars="200"/>
              <w:jc w:val="both"/>
              <w:textAlignment w:val="auto"/>
              <w:outlineLvl w:val="1"/>
              <w:rPr>
                <w:rFonts w:hint="default" w:cs="Times New Roman"/>
                <w:b/>
                <w:bCs/>
                <w:color w:val="auto"/>
                <w:sz w:val="24"/>
                <w:szCs w:val="24"/>
                <w:highlight w:val="none"/>
                <w:u w:val="none" w:color="auto"/>
                <w:lang w:val="en-US" w:eastAsia="zh-CN"/>
              </w:rPr>
            </w:pPr>
            <w:r>
              <w:rPr>
                <w:rFonts w:hint="eastAsia" w:cs="Times New Roman"/>
                <w:b/>
                <w:bCs/>
                <w:color w:val="auto"/>
                <w:sz w:val="24"/>
                <w:szCs w:val="24"/>
                <w:highlight w:val="none"/>
                <w:u w:val="none" w:color="auto"/>
                <w:lang w:val="en-US" w:eastAsia="zh-CN"/>
              </w:rPr>
              <w:t>⑧</w:t>
            </w:r>
            <w:r>
              <w:rPr>
                <w:rFonts w:hint="default" w:cs="Times New Roman"/>
                <w:b/>
                <w:bCs/>
                <w:color w:val="auto"/>
                <w:sz w:val="24"/>
                <w:szCs w:val="24"/>
                <w:highlight w:val="none"/>
                <w:u w:val="none" w:color="auto"/>
                <w:lang w:val="en-US" w:eastAsia="zh-CN"/>
              </w:rPr>
              <w:t>与《废塑料污染控制技术规范》（HJ364-2022）符合性分析</w:t>
            </w:r>
          </w:p>
          <w:p w14:paraId="0ACAED4A">
            <w:pPr>
              <w:keepNext w:val="0"/>
              <w:keepLines w:val="0"/>
              <w:pageBreakBefore w:val="0"/>
              <w:widowControl w:val="0"/>
              <w:numPr>
                <w:ilvl w:val="0"/>
                <w:numId w:val="0"/>
              </w:numPr>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表1-1</w:t>
            </w:r>
            <w:r>
              <w:rPr>
                <w:rFonts w:hint="eastAsia" w:cs="Times New Roman"/>
                <w:b/>
                <w:bCs/>
                <w:color w:val="auto"/>
                <w:szCs w:val="21"/>
                <w:highlight w:val="none"/>
                <w:lang w:val="en-US" w:eastAsia="zh-CN"/>
              </w:rPr>
              <w:t>2</w:t>
            </w:r>
            <w:r>
              <w:rPr>
                <w:rFonts w:hint="default" w:ascii="Times New Roman" w:hAnsi="Times New Roman" w:eastAsia="宋体" w:cs="Times New Roman"/>
                <w:b/>
                <w:bCs/>
                <w:color w:val="auto"/>
                <w:szCs w:val="21"/>
                <w:highlight w:val="none"/>
                <w:lang w:val="en-US" w:eastAsia="zh-CN"/>
              </w:rPr>
              <w:t xml:space="preserve">   与《废塑料污染控制技术规范》</w:t>
            </w:r>
            <w:r>
              <w:rPr>
                <w:rFonts w:hint="eastAsia" w:cs="Times New Roman"/>
                <w:b/>
                <w:bCs/>
                <w:color w:val="auto"/>
                <w:szCs w:val="21"/>
                <w:highlight w:val="none"/>
                <w:lang w:val="en-US" w:eastAsia="zh-CN"/>
              </w:rPr>
              <w:t>符合性</w:t>
            </w:r>
            <w:r>
              <w:rPr>
                <w:rFonts w:hint="default" w:ascii="Times New Roman" w:hAnsi="Times New Roman" w:eastAsia="宋体" w:cs="Times New Roman"/>
                <w:b/>
                <w:bCs/>
                <w:color w:val="auto"/>
                <w:szCs w:val="21"/>
                <w:highlight w:val="none"/>
                <w:lang w:val="en-US" w:eastAsia="zh-CN"/>
              </w:rPr>
              <w:t>分析</w:t>
            </w:r>
          </w:p>
          <w:tbl>
            <w:tblPr>
              <w:tblStyle w:val="27"/>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582"/>
              <w:gridCol w:w="2671"/>
              <w:gridCol w:w="792"/>
            </w:tblGrid>
            <w:tr w14:paraId="01DF79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5EA77DC8">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
                      <w:bCs/>
                      <w:color w:val="auto"/>
                      <w:highlight w:val="none"/>
                      <w:vertAlign w:val="baseline"/>
                      <w:lang w:val="en-US" w:eastAsia="zh-CN"/>
                    </w:rPr>
                  </w:pPr>
                  <w:r>
                    <w:rPr>
                      <w:rFonts w:hint="default" w:ascii="Times New Roman" w:hAnsi="Times New Roman" w:eastAsia="宋体" w:cs="Times New Roman"/>
                      <w:b/>
                      <w:bCs/>
                      <w:color w:val="auto"/>
                      <w:highlight w:val="none"/>
                      <w:vertAlign w:val="baseline"/>
                      <w:lang w:val="en-US" w:eastAsia="zh-CN"/>
                    </w:rPr>
                    <w:t>文件要求</w:t>
                  </w:r>
                </w:p>
              </w:tc>
              <w:tc>
                <w:tcPr>
                  <w:tcW w:w="1660" w:type="pct"/>
                  <w:tcBorders>
                    <w:tl2br w:val="nil"/>
                    <w:tr2bl w:val="nil"/>
                  </w:tcBorders>
                  <w:noWrap w:val="0"/>
                  <w:vAlign w:val="center"/>
                </w:tcPr>
                <w:p w14:paraId="00AFA83C">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
                      <w:bCs/>
                      <w:color w:val="auto"/>
                      <w:highlight w:val="none"/>
                      <w:vertAlign w:val="baseline"/>
                      <w:lang w:val="en-US" w:eastAsia="zh-CN"/>
                    </w:rPr>
                  </w:pPr>
                  <w:r>
                    <w:rPr>
                      <w:rFonts w:hint="default" w:ascii="Times New Roman" w:hAnsi="Times New Roman" w:eastAsia="宋体" w:cs="Times New Roman"/>
                      <w:b/>
                      <w:bCs/>
                      <w:color w:val="auto"/>
                      <w:highlight w:val="none"/>
                      <w:vertAlign w:val="baseline"/>
                      <w:lang w:val="en-US" w:eastAsia="zh-CN"/>
                    </w:rPr>
                    <w:t>本项目</w:t>
                  </w:r>
                </w:p>
              </w:tc>
              <w:tc>
                <w:tcPr>
                  <w:tcW w:w="492" w:type="pct"/>
                  <w:tcBorders>
                    <w:tl2br w:val="nil"/>
                    <w:tr2bl w:val="nil"/>
                  </w:tcBorders>
                  <w:noWrap w:val="0"/>
                  <w:vAlign w:val="center"/>
                </w:tcPr>
                <w:p w14:paraId="26C78ECC">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b/>
                      <w:bCs/>
                      <w:color w:val="auto"/>
                      <w:highlight w:val="none"/>
                      <w:vertAlign w:val="baseline"/>
                      <w:lang w:val="en-US" w:eastAsia="zh-CN"/>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0C20EF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712D4AB6">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涉及废塑料的产生、收集、运输、贮存、利用、处置的单位和其他生产经营者，应根据产生的污染物采取防扬散、防流失、防渗漏或者其他防止污染环境的措施，并执行国家和地方相关排放标准。</w:t>
                  </w:r>
                </w:p>
              </w:tc>
              <w:tc>
                <w:tcPr>
                  <w:tcW w:w="1660" w:type="pct"/>
                  <w:tcBorders>
                    <w:tl2br w:val="nil"/>
                    <w:tr2bl w:val="nil"/>
                  </w:tcBorders>
                  <w:noWrap w:val="0"/>
                  <w:vAlign w:val="center"/>
                </w:tcPr>
                <w:p w14:paraId="30527C37">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项目对机动车上部分塑料进行破碎，企业建设符合要求的贮存场所。</w:t>
                  </w:r>
                </w:p>
              </w:tc>
              <w:tc>
                <w:tcPr>
                  <w:tcW w:w="492" w:type="pct"/>
                  <w:tcBorders>
                    <w:tl2br w:val="nil"/>
                    <w:tr2bl w:val="nil"/>
                  </w:tcBorders>
                  <w:noWrap w:val="0"/>
                  <w:vAlign w:val="center"/>
                </w:tcPr>
                <w:p w14:paraId="3EC4BCC3">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04C46C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6A2D6114">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废塑料的产生、收集、贮存、预处理和再生利用企业内应单独划分贮存场地，不同种类的废塑料宜分开贮存，贮存场地应具有防雨、防扬散、防渗漏等措施，并按 GB 15562.2 的要求设置标识。</w:t>
                  </w:r>
                </w:p>
              </w:tc>
              <w:tc>
                <w:tcPr>
                  <w:tcW w:w="1660" w:type="pct"/>
                  <w:tcBorders>
                    <w:tl2br w:val="nil"/>
                    <w:tr2bl w:val="nil"/>
                  </w:tcBorders>
                  <w:noWrap w:val="0"/>
                  <w:vAlign w:val="center"/>
                </w:tcPr>
                <w:p w14:paraId="76A8BF9C">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项目对机动车上部分塑料进行破碎，企业建设符合要求的贮存场所。</w:t>
                  </w:r>
                </w:p>
              </w:tc>
              <w:tc>
                <w:tcPr>
                  <w:tcW w:w="492" w:type="pct"/>
                  <w:tcBorders>
                    <w:tl2br w:val="nil"/>
                    <w:tr2bl w:val="nil"/>
                  </w:tcBorders>
                  <w:noWrap w:val="0"/>
                  <w:vAlign w:val="center"/>
                </w:tcPr>
                <w:p w14:paraId="23EA1870">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44C859E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6AE8F2BA">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属于危险废物的废塑料，按照危险废物进行管理和利用处置。</w:t>
                  </w:r>
                </w:p>
              </w:tc>
              <w:tc>
                <w:tcPr>
                  <w:tcW w:w="1660" w:type="pct"/>
                  <w:tcBorders>
                    <w:tl2br w:val="nil"/>
                    <w:tr2bl w:val="nil"/>
                  </w:tcBorders>
                  <w:noWrap w:val="0"/>
                  <w:vAlign w:val="center"/>
                </w:tcPr>
                <w:p w14:paraId="47ED5B11">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项目属于危险废物的废塑料，按照危险废物进行管理和利用处置。</w:t>
                  </w:r>
                </w:p>
              </w:tc>
              <w:tc>
                <w:tcPr>
                  <w:tcW w:w="492" w:type="pct"/>
                  <w:tcBorders>
                    <w:tl2br w:val="nil"/>
                    <w:tr2bl w:val="nil"/>
                  </w:tcBorders>
                  <w:noWrap w:val="0"/>
                  <w:vAlign w:val="center"/>
                </w:tcPr>
                <w:p w14:paraId="13A68DA1">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03FDFE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21BD2762">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废塑料产生企业应根据材质特性以及再生利用和处置方式，对下脚料、边角料、残次品、废弃塑料制品、废弃塑料包装物等进行分类收集、贮存，并建立废塑料管理台账，内容包括废塑料的种类、数量、去向等，相关台账应保存至少3年。</w:t>
                  </w:r>
                </w:p>
              </w:tc>
              <w:tc>
                <w:tcPr>
                  <w:tcW w:w="1660" w:type="pct"/>
                  <w:tcBorders>
                    <w:tl2br w:val="nil"/>
                    <w:tr2bl w:val="nil"/>
                  </w:tcBorders>
                  <w:noWrap w:val="0"/>
                  <w:vAlign w:val="center"/>
                </w:tcPr>
                <w:p w14:paraId="3189A9B3">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项目废塑料产生企业根据材质特性以及再生利用和处置方式，对下脚料、边角料、残次品、废弃塑料制品、废弃塑料包装物等进行分类收集、贮存，并建立废塑料管理台账，内容包括废塑料的种类、数量、去向等，台账应保存至少3年。</w:t>
                  </w:r>
                </w:p>
              </w:tc>
              <w:tc>
                <w:tcPr>
                  <w:tcW w:w="492" w:type="pct"/>
                  <w:tcBorders>
                    <w:tl2br w:val="nil"/>
                    <w:tr2bl w:val="nil"/>
                  </w:tcBorders>
                  <w:noWrap w:val="0"/>
                  <w:vAlign w:val="center"/>
                </w:tcPr>
                <w:p w14:paraId="66754736">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1B9313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6134FEE6">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废塑料的预处理应控制二次污染。大气污染物排放应符合 GB 31572 或 GB 16297、GB 37822 等标准的规定。恶臭污染物排放应符合 GB 14554 的规定。废水控制应根据出水受纳水体的功能要求或纳管要求，执行国家和地方相关排放标准，重点控制的污染物指标包括悬浮物、pH 值、色度、石油类和化学需氧量等。噪声排放应符合 GB 12348 的规定。</w:t>
                  </w:r>
                </w:p>
              </w:tc>
              <w:tc>
                <w:tcPr>
                  <w:tcW w:w="1660" w:type="pct"/>
                  <w:tcBorders>
                    <w:tl2br w:val="nil"/>
                    <w:tr2bl w:val="nil"/>
                  </w:tcBorders>
                  <w:noWrap w:val="0"/>
                  <w:vAlign w:val="center"/>
                </w:tcPr>
                <w:p w14:paraId="04064B9F">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项目对机动车上部分塑料进行破碎，该部分无生产废水，破碎废气通过布袋除尘器处理后有组织排放，可满足GB 16297要求</w:t>
                  </w:r>
                </w:p>
              </w:tc>
              <w:tc>
                <w:tcPr>
                  <w:tcW w:w="492" w:type="pct"/>
                  <w:tcBorders>
                    <w:tl2br w:val="nil"/>
                    <w:tr2bl w:val="nil"/>
                  </w:tcBorders>
                  <w:noWrap w:val="0"/>
                  <w:vAlign w:val="center"/>
                </w:tcPr>
                <w:p w14:paraId="6CD5A854">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478B0D4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2847" w:type="pct"/>
                  <w:tcBorders>
                    <w:tl2br w:val="nil"/>
                    <w:tr2bl w:val="nil"/>
                  </w:tcBorders>
                  <w:noWrap w:val="0"/>
                  <w:vAlign w:val="center"/>
                </w:tcPr>
                <w:p w14:paraId="4BAE35C2">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废塑料的破碎方法可分为干法破碎和湿法破碎。使用干法破碎时，应配备相应的防尘、防噪声设备。使用湿法破碎时，应有配套的污水收集和处理设施。</w:t>
                  </w:r>
                </w:p>
              </w:tc>
              <w:tc>
                <w:tcPr>
                  <w:tcW w:w="1660" w:type="pct"/>
                  <w:tcBorders>
                    <w:tl2br w:val="nil"/>
                    <w:tr2bl w:val="nil"/>
                  </w:tcBorders>
                  <w:noWrap w:val="0"/>
                  <w:vAlign w:val="center"/>
                </w:tcPr>
                <w:p w14:paraId="4A5DD1DC">
                  <w:pPr>
                    <w:keepNext w:val="0"/>
                    <w:keepLines w:val="0"/>
                    <w:suppressLineNumbers w:val="0"/>
                    <w:spacing w:before="0" w:beforeAutospacing="0" w:after="0" w:afterAutospacing="0"/>
                    <w:ind w:left="0" w:leftChars="0" w:right="0" w:rightChars="0" w:firstLine="0" w:firstLineChars="0"/>
                    <w:jc w:val="both"/>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highlight w:val="none"/>
                      <w:vertAlign w:val="baseline"/>
                      <w:lang w:val="en-US" w:eastAsia="zh-CN"/>
                    </w:rPr>
                    <w:t>项目在车间内使用干法破碎，已配备布袋除尘器</w:t>
                  </w:r>
                </w:p>
              </w:tc>
              <w:tc>
                <w:tcPr>
                  <w:tcW w:w="492" w:type="pct"/>
                  <w:tcBorders>
                    <w:tl2br w:val="nil"/>
                    <w:tr2bl w:val="nil"/>
                  </w:tcBorders>
                  <w:noWrap w:val="0"/>
                  <w:vAlign w:val="center"/>
                </w:tcPr>
                <w:p w14:paraId="6697E5C9">
                  <w:pPr>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bl>
          <w:p w14:paraId="4C50BD9F">
            <w:pPr>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firstLine="482" w:firstLineChars="200"/>
              <w:jc w:val="both"/>
              <w:textAlignment w:val="auto"/>
              <w:outlineLvl w:val="1"/>
              <w:rPr>
                <w:rFonts w:hint="eastAsia" w:cs="Times New Roman"/>
                <w:b/>
                <w:bCs/>
                <w:color w:val="auto"/>
                <w:sz w:val="24"/>
                <w:szCs w:val="24"/>
                <w:highlight w:val="none"/>
                <w:u w:val="none" w:color="auto"/>
                <w:lang w:val="en-US" w:eastAsia="zh-CN"/>
              </w:rPr>
            </w:pPr>
          </w:p>
          <w:p w14:paraId="489259F5">
            <w:pPr>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firstLine="482" w:firstLineChars="200"/>
              <w:jc w:val="both"/>
              <w:textAlignment w:val="auto"/>
              <w:outlineLvl w:val="1"/>
              <w:rPr>
                <w:rFonts w:hint="default" w:cs="Times New Roman"/>
                <w:b/>
                <w:bCs/>
                <w:color w:val="auto"/>
                <w:sz w:val="24"/>
                <w:szCs w:val="24"/>
                <w:highlight w:val="none"/>
                <w:u w:val="none" w:color="auto"/>
                <w:lang w:val="en-US" w:eastAsia="zh-CN"/>
              </w:rPr>
            </w:pPr>
            <w:r>
              <w:rPr>
                <w:rFonts w:hint="eastAsia" w:cs="Times New Roman"/>
                <w:b/>
                <w:bCs/>
                <w:color w:val="auto"/>
                <w:sz w:val="24"/>
                <w:szCs w:val="24"/>
                <w:highlight w:val="none"/>
                <w:u w:val="none" w:color="auto"/>
                <w:lang w:val="en-US" w:eastAsia="zh-CN"/>
              </w:rPr>
              <w:t>⑨</w:t>
            </w:r>
            <w:r>
              <w:rPr>
                <w:rFonts w:hint="default" w:cs="Times New Roman"/>
                <w:b/>
                <w:bCs/>
                <w:color w:val="auto"/>
                <w:sz w:val="24"/>
                <w:szCs w:val="24"/>
                <w:highlight w:val="none"/>
                <w:u w:val="none" w:color="auto"/>
                <w:lang w:val="en-US" w:eastAsia="zh-CN"/>
              </w:rPr>
              <w:t>与《废蓄电池回收管理规范》（WB/T1061-2016）</w:t>
            </w:r>
            <w:r>
              <w:rPr>
                <w:rFonts w:hint="eastAsia" w:cs="Times New Roman"/>
                <w:b/>
                <w:bCs/>
                <w:color w:val="auto"/>
                <w:sz w:val="24"/>
                <w:szCs w:val="24"/>
                <w:highlight w:val="none"/>
                <w:u w:val="none" w:color="auto"/>
                <w:lang w:val="en-US" w:eastAsia="zh-CN"/>
              </w:rPr>
              <w:t>符合性</w:t>
            </w:r>
            <w:r>
              <w:rPr>
                <w:rFonts w:hint="default" w:cs="Times New Roman"/>
                <w:b/>
                <w:bCs/>
                <w:color w:val="auto"/>
                <w:sz w:val="24"/>
                <w:szCs w:val="24"/>
                <w:highlight w:val="none"/>
                <w:u w:val="none" w:color="auto"/>
                <w:lang w:val="en-US" w:eastAsia="zh-CN"/>
              </w:rPr>
              <w:t>分析</w:t>
            </w:r>
          </w:p>
          <w:p w14:paraId="2FC37D5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表1-1</w:t>
            </w:r>
            <w:r>
              <w:rPr>
                <w:rFonts w:hint="eastAsia" w:cs="Times New Roman"/>
                <w:b/>
                <w:bCs/>
                <w:color w:val="auto"/>
                <w:szCs w:val="21"/>
                <w:highlight w:val="none"/>
                <w:lang w:val="en-US" w:eastAsia="zh-CN"/>
              </w:rPr>
              <w:t>3</w:t>
            </w:r>
            <w:r>
              <w:rPr>
                <w:rFonts w:hint="default" w:ascii="Times New Roman" w:hAnsi="Times New Roman" w:eastAsia="宋体" w:cs="Times New Roman"/>
                <w:b/>
                <w:bCs/>
                <w:color w:val="auto"/>
                <w:szCs w:val="21"/>
                <w:highlight w:val="none"/>
                <w:lang w:val="en-US" w:eastAsia="zh-CN"/>
              </w:rPr>
              <w:t xml:space="preserve">  与《废蓄电池回收管理规范》</w:t>
            </w:r>
            <w:r>
              <w:rPr>
                <w:rFonts w:hint="eastAsia" w:cs="Times New Roman"/>
                <w:b/>
                <w:bCs/>
                <w:color w:val="auto"/>
                <w:highlight w:val="none"/>
                <w:vertAlign w:val="baseline"/>
                <w:lang w:val="en-US" w:eastAsia="zh-CN"/>
              </w:rPr>
              <w:t>符合性</w:t>
            </w:r>
            <w:r>
              <w:rPr>
                <w:rFonts w:hint="default" w:ascii="Times New Roman" w:hAnsi="Times New Roman" w:eastAsia="宋体" w:cs="Times New Roman"/>
                <w:b/>
                <w:bCs/>
                <w:color w:val="auto"/>
                <w:szCs w:val="21"/>
                <w:highlight w:val="none"/>
                <w:lang w:val="en-US" w:eastAsia="zh-CN"/>
              </w:rPr>
              <w:t>分析</w:t>
            </w:r>
          </w:p>
          <w:tbl>
            <w:tblPr>
              <w:tblStyle w:val="27"/>
              <w:tblW w:w="4997"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6"/>
              <w:gridCol w:w="3571"/>
              <w:gridCol w:w="3013"/>
              <w:gridCol w:w="806"/>
            </w:tblGrid>
            <w:tr w14:paraId="025D88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627" w:type="pct"/>
                  <w:gridSpan w:val="2"/>
                  <w:tcBorders>
                    <w:tl2br w:val="nil"/>
                    <w:tr2bl w:val="nil"/>
                  </w:tcBorders>
                  <w:noWrap w:val="0"/>
                  <w:vAlign w:val="top"/>
                </w:tcPr>
                <w:p w14:paraId="13542A6C">
                  <w:pPr>
                    <w:pStyle w:val="92"/>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color w:val="auto"/>
                      <w:sz w:val="21"/>
                      <w:szCs w:val="21"/>
                      <w:highlight w:val="none"/>
                      <w:vertAlign w:val="baseline"/>
                      <w:lang w:eastAsia="zh-CN"/>
                    </w:rPr>
                    <w:t>文件要求</w:t>
                  </w:r>
                </w:p>
              </w:tc>
              <w:tc>
                <w:tcPr>
                  <w:tcW w:w="1872" w:type="pct"/>
                  <w:tcBorders>
                    <w:tl2br w:val="nil"/>
                    <w:tr2bl w:val="nil"/>
                  </w:tcBorders>
                  <w:noWrap w:val="0"/>
                  <w:vAlign w:val="center"/>
                </w:tcPr>
                <w:p w14:paraId="001BD693">
                  <w:pPr>
                    <w:pStyle w:val="92"/>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color w:val="auto"/>
                      <w:sz w:val="21"/>
                      <w:szCs w:val="21"/>
                      <w:highlight w:val="none"/>
                      <w:vertAlign w:val="baseline"/>
                      <w:lang w:eastAsia="zh-CN"/>
                    </w:rPr>
                    <w:t>本项目</w:t>
                  </w:r>
                </w:p>
              </w:tc>
              <w:tc>
                <w:tcPr>
                  <w:tcW w:w="500" w:type="pct"/>
                  <w:tcBorders>
                    <w:tl2br w:val="nil"/>
                    <w:tr2bl w:val="nil"/>
                  </w:tcBorders>
                  <w:noWrap w:val="0"/>
                  <w:vAlign w:val="center"/>
                </w:tcPr>
                <w:p w14:paraId="28C761A7">
                  <w:pPr>
                    <w:pStyle w:val="92"/>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717184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408" w:type="pct"/>
                  <w:tcBorders>
                    <w:tl2br w:val="nil"/>
                    <w:tr2bl w:val="nil"/>
                  </w:tcBorders>
                  <w:noWrap w:val="0"/>
                  <w:vAlign w:val="center"/>
                </w:tcPr>
                <w:p w14:paraId="51E8A4F4">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基本要求</w:t>
                  </w:r>
                </w:p>
              </w:tc>
              <w:tc>
                <w:tcPr>
                  <w:tcW w:w="2219" w:type="pct"/>
                  <w:tcBorders>
                    <w:tl2br w:val="nil"/>
                    <w:tr2bl w:val="nil"/>
                  </w:tcBorders>
                  <w:noWrap w:val="0"/>
                  <w:vAlign w:val="center"/>
                </w:tcPr>
                <w:p w14:paraId="45039A87">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1.应对收集的废蓄电池进行检查，发现外壳破损并有酸性/碱性电解液流出的废蓄电池时，应使用耐酸/耐碱容器盛装。</w:t>
                  </w:r>
                </w:p>
                <w:p w14:paraId="71A4847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2.不应擅自对废蓄电池进行拆解，尤其不应擅自倾倒、</w:t>
                  </w:r>
                  <w:r>
                    <w:rPr>
                      <w:rFonts w:hint="eastAsia" w:cs="Times New Roman"/>
                      <w:color w:val="auto"/>
                      <w:szCs w:val="21"/>
                      <w:highlight w:val="none"/>
                      <w:vertAlign w:val="baseline"/>
                      <w:lang w:val="en-US" w:eastAsia="zh-CN"/>
                    </w:rPr>
                    <w:t>丢</w:t>
                  </w:r>
                  <w:r>
                    <w:rPr>
                      <w:rFonts w:hint="default" w:ascii="Times New Roman" w:hAnsi="Times New Roman" w:eastAsia="宋体" w:cs="Times New Roman"/>
                      <w:color w:val="auto"/>
                      <w:szCs w:val="21"/>
                      <w:highlight w:val="none"/>
                      <w:vertAlign w:val="baseline"/>
                      <w:lang w:val="en-US" w:eastAsia="zh-CN"/>
                    </w:rPr>
                    <w:t>弃废蓄电池中的酸性及碱性电解液。</w:t>
                  </w:r>
                </w:p>
              </w:tc>
              <w:tc>
                <w:tcPr>
                  <w:tcW w:w="1872" w:type="pct"/>
                  <w:tcBorders>
                    <w:tl2br w:val="nil"/>
                    <w:tr2bl w:val="nil"/>
                  </w:tcBorders>
                  <w:noWrap w:val="0"/>
                  <w:vAlign w:val="center"/>
                </w:tcPr>
                <w:p w14:paraId="0FECFBA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1.本项目只对报废车辆的废蓄电池进行储存，破损的蓄电池存放在专门的容器内。</w:t>
                  </w:r>
                </w:p>
                <w:p w14:paraId="0962D82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2.本项目</w:t>
                  </w:r>
                  <w:r>
                    <w:rPr>
                      <w:rFonts w:hint="eastAsia" w:cs="Times New Roman"/>
                      <w:color w:val="auto"/>
                      <w:szCs w:val="21"/>
                      <w:highlight w:val="none"/>
                      <w:vertAlign w:val="baseline"/>
                      <w:lang w:val="en-US" w:eastAsia="zh-CN"/>
                    </w:rPr>
                    <w:t>不对废蓄电池进行拆解，</w:t>
                  </w:r>
                  <w:r>
                    <w:rPr>
                      <w:rFonts w:hint="default" w:ascii="Times New Roman" w:hAnsi="Times New Roman" w:eastAsia="宋体" w:cs="Times New Roman"/>
                      <w:color w:val="auto"/>
                      <w:szCs w:val="21"/>
                      <w:highlight w:val="none"/>
                      <w:vertAlign w:val="baseline"/>
                      <w:lang w:val="en-US" w:eastAsia="zh-CN"/>
                    </w:rPr>
                    <w:t>废蓄电池暂存于</w:t>
                  </w:r>
                  <w:r>
                    <w:rPr>
                      <w:rFonts w:hint="eastAsia" w:cs="Times New Roman"/>
                      <w:color w:val="auto"/>
                      <w:szCs w:val="21"/>
                      <w:highlight w:val="none"/>
                      <w:vertAlign w:val="baseline"/>
                      <w:lang w:val="en-US" w:eastAsia="zh-CN"/>
                    </w:rPr>
                    <w:t>危废贮存库，定期交有资质单位处置</w:t>
                  </w:r>
                  <w:r>
                    <w:rPr>
                      <w:rFonts w:hint="default" w:ascii="Times New Roman" w:hAnsi="Times New Roman" w:eastAsia="宋体" w:cs="Times New Roman"/>
                      <w:color w:val="auto"/>
                      <w:szCs w:val="21"/>
                      <w:highlight w:val="none"/>
                      <w:vertAlign w:val="baseline"/>
                      <w:lang w:val="en-US" w:eastAsia="zh-CN"/>
                    </w:rPr>
                    <w:t>。</w:t>
                  </w:r>
                </w:p>
              </w:tc>
              <w:tc>
                <w:tcPr>
                  <w:tcW w:w="500" w:type="pct"/>
                  <w:tcBorders>
                    <w:tl2br w:val="nil"/>
                    <w:tr2bl w:val="nil"/>
                  </w:tcBorders>
                  <w:noWrap w:val="0"/>
                  <w:vAlign w:val="center"/>
                </w:tcPr>
                <w:p w14:paraId="46E36826">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r w14:paraId="544552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408" w:type="pct"/>
                  <w:tcBorders>
                    <w:tl2br w:val="nil"/>
                    <w:tr2bl w:val="nil"/>
                  </w:tcBorders>
                  <w:noWrap w:val="0"/>
                  <w:vAlign w:val="center"/>
                </w:tcPr>
                <w:p w14:paraId="5DE7698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其他要求</w:t>
                  </w:r>
                </w:p>
              </w:tc>
              <w:tc>
                <w:tcPr>
                  <w:tcW w:w="2219" w:type="pct"/>
                  <w:tcBorders>
                    <w:tl2br w:val="nil"/>
                    <w:tr2bl w:val="nil"/>
                  </w:tcBorders>
                  <w:noWrap w:val="0"/>
                  <w:vAlign w:val="center"/>
                </w:tcPr>
                <w:p w14:paraId="30B0329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1.收集到的废蓄电池应分类转移至具有再生利用处理资质或行政许可的场所，进行资源再生或无害化处理。</w:t>
                  </w:r>
                </w:p>
              </w:tc>
              <w:tc>
                <w:tcPr>
                  <w:tcW w:w="1872" w:type="pct"/>
                  <w:tcBorders>
                    <w:tl2br w:val="nil"/>
                    <w:tr2bl w:val="nil"/>
                  </w:tcBorders>
                  <w:noWrap w:val="0"/>
                  <w:vAlign w:val="center"/>
                </w:tcPr>
                <w:p w14:paraId="7E08D6E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1.本项目回收的废蓄电池暂存于</w:t>
                  </w:r>
                  <w:r>
                    <w:rPr>
                      <w:rFonts w:hint="eastAsia" w:cs="Times New Roman"/>
                      <w:color w:val="auto"/>
                      <w:szCs w:val="21"/>
                      <w:highlight w:val="none"/>
                      <w:vertAlign w:val="baseline"/>
                      <w:lang w:val="en-US" w:eastAsia="zh-CN"/>
                    </w:rPr>
                    <w:t>危废贮存库，定期交有资质单位处置</w:t>
                  </w:r>
                  <w:r>
                    <w:rPr>
                      <w:rFonts w:hint="default" w:ascii="Times New Roman" w:hAnsi="Times New Roman" w:eastAsia="宋体" w:cs="Times New Roman"/>
                      <w:color w:val="auto"/>
                      <w:szCs w:val="21"/>
                      <w:highlight w:val="none"/>
                      <w:vertAlign w:val="baseline"/>
                      <w:lang w:val="en-US" w:eastAsia="zh-CN"/>
                    </w:rPr>
                    <w:t>。</w:t>
                  </w:r>
                </w:p>
              </w:tc>
              <w:tc>
                <w:tcPr>
                  <w:tcW w:w="500" w:type="pct"/>
                  <w:tcBorders>
                    <w:tl2br w:val="nil"/>
                    <w:tr2bl w:val="nil"/>
                  </w:tcBorders>
                  <w:noWrap w:val="0"/>
                  <w:vAlign w:val="center"/>
                </w:tcPr>
                <w:p w14:paraId="28BAC8CD">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bl>
          <w:p w14:paraId="585A86DF">
            <w:pPr>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rightChars="0" w:firstLine="482" w:firstLineChars="200"/>
              <w:jc w:val="left"/>
              <w:textAlignment w:val="auto"/>
              <w:outlineLvl w:val="1"/>
              <w:rPr>
                <w:rFonts w:hint="default" w:cs="Times New Roman"/>
                <w:b/>
                <w:bCs/>
                <w:color w:val="auto"/>
                <w:sz w:val="21"/>
                <w:szCs w:val="21"/>
                <w:highlight w:val="none"/>
                <w:u w:val="none" w:color="auto"/>
                <w:lang w:val="en-US" w:eastAsia="zh-CN"/>
              </w:rPr>
            </w:pPr>
            <w:r>
              <w:rPr>
                <w:rFonts w:hint="default" w:ascii="Times New Roman" w:hAnsi="Times New Roman" w:cs="Times New Roman"/>
                <w:b/>
                <w:bCs/>
                <w:color w:val="auto"/>
                <w:sz w:val="24"/>
                <w:szCs w:val="24"/>
                <w:highlight w:val="none"/>
                <w:u w:val="none" w:color="auto"/>
                <w:lang w:val="en-US" w:eastAsia="zh-CN"/>
              </w:rPr>
              <w:t>⑩</w:t>
            </w:r>
            <w:r>
              <w:rPr>
                <w:rFonts w:hint="default" w:cs="Times New Roman"/>
                <w:b/>
                <w:bCs/>
                <w:color w:val="auto"/>
                <w:sz w:val="21"/>
                <w:szCs w:val="21"/>
                <w:highlight w:val="none"/>
                <w:u w:val="none" w:color="auto"/>
                <w:lang w:val="en-US" w:eastAsia="zh-CN"/>
              </w:rPr>
              <w:t>与《废铅蓄电池污染防治行动方案》（环办固体〔2019〕3号）</w:t>
            </w:r>
            <w:r>
              <w:rPr>
                <w:rFonts w:hint="eastAsia" w:cs="Times New Roman"/>
                <w:b/>
                <w:bCs/>
                <w:color w:val="auto"/>
                <w:sz w:val="21"/>
                <w:szCs w:val="21"/>
                <w:highlight w:val="none"/>
                <w:u w:val="none" w:color="auto"/>
                <w:lang w:val="en-US" w:eastAsia="zh-CN"/>
              </w:rPr>
              <w:t>符合性</w:t>
            </w:r>
            <w:r>
              <w:rPr>
                <w:rFonts w:hint="default" w:cs="Times New Roman"/>
                <w:b/>
                <w:bCs/>
                <w:color w:val="auto"/>
                <w:sz w:val="21"/>
                <w:szCs w:val="21"/>
                <w:highlight w:val="none"/>
                <w:u w:val="none" w:color="auto"/>
                <w:lang w:val="en-US" w:eastAsia="zh-CN"/>
              </w:rPr>
              <w:t>分析</w:t>
            </w:r>
          </w:p>
          <w:p w14:paraId="37B56BD0">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b/>
                <w:bCs/>
                <w:color w:val="auto"/>
                <w:szCs w:val="21"/>
                <w:highlight w:val="none"/>
                <w:lang w:val="en-US" w:eastAsia="zh-CN"/>
              </w:rPr>
            </w:pPr>
          </w:p>
          <w:p w14:paraId="6C1899AC">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b/>
                <w:bCs/>
                <w:color w:val="auto"/>
                <w:szCs w:val="21"/>
                <w:highlight w:val="none"/>
                <w:lang w:val="en-US" w:eastAsia="zh-CN"/>
              </w:rPr>
              <w:t>表1-1</w:t>
            </w:r>
            <w:r>
              <w:rPr>
                <w:rFonts w:hint="eastAsia" w:cs="Times New Roman"/>
                <w:b/>
                <w:bCs/>
                <w:color w:val="auto"/>
                <w:szCs w:val="21"/>
                <w:highlight w:val="none"/>
                <w:lang w:val="en-US" w:eastAsia="zh-CN"/>
              </w:rPr>
              <w:t>4</w:t>
            </w:r>
            <w:r>
              <w:rPr>
                <w:rFonts w:hint="default" w:ascii="Times New Roman" w:hAnsi="Times New Roman" w:eastAsia="宋体" w:cs="Times New Roman"/>
                <w:b/>
                <w:bCs/>
                <w:color w:val="auto"/>
                <w:szCs w:val="21"/>
                <w:highlight w:val="none"/>
                <w:lang w:val="en-US" w:eastAsia="zh-CN"/>
              </w:rPr>
              <w:t xml:space="preserve">  与《废铅蓄电池污染防治行动方案》</w:t>
            </w:r>
            <w:r>
              <w:rPr>
                <w:rFonts w:hint="eastAsia" w:cs="Times New Roman"/>
                <w:b/>
                <w:bCs/>
                <w:color w:val="auto"/>
                <w:highlight w:val="none"/>
                <w:vertAlign w:val="baseline"/>
                <w:lang w:val="en-US" w:eastAsia="zh-CN"/>
              </w:rPr>
              <w:t>符合性</w:t>
            </w:r>
            <w:r>
              <w:rPr>
                <w:rFonts w:hint="default" w:ascii="Times New Roman" w:hAnsi="Times New Roman" w:eastAsia="宋体" w:cs="Times New Roman"/>
                <w:b/>
                <w:bCs/>
                <w:color w:val="auto"/>
                <w:szCs w:val="21"/>
                <w:highlight w:val="none"/>
                <w:lang w:val="en-US" w:eastAsia="zh-CN"/>
              </w:rPr>
              <w:t>分析</w:t>
            </w:r>
          </w:p>
          <w:tbl>
            <w:tblPr>
              <w:tblStyle w:val="27"/>
              <w:tblW w:w="4998"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3888"/>
              <w:gridCol w:w="3263"/>
              <w:gridCol w:w="896"/>
            </w:tblGrid>
            <w:tr w14:paraId="432553B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c>
                <w:tcPr>
                  <w:tcW w:w="2415" w:type="pct"/>
                  <w:tcBorders>
                    <w:tl2br w:val="nil"/>
                    <w:tr2bl w:val="nil"/>
                  </w:tcBorders>
                  <w:noWrap w:val="0"/>
                  <w:vAlign w:val="center"/>
                </w:tcPr>
                <w:p w14:paraId="1D92285E">
                  <w:pPr>
                    <w:pStyle w:val="92"/>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color w:val="auto"/>
                      <w:sz w:val="21"/>
                      <w:szCs w:val="21"/>
                      <w:highlight w:val="none"/>
                      <w:vertAlign w:val="baseline"/>
                      <w:lang w:eastAsia="zh-CN"/>
                    </w:rPr>
                    <w:t>文件要求</w:t>
                  </w:r>
                </w:p>
              </w:tc>
              <w:tc>
                <w:tcPr>
                  <w:tcW w:w="2027" w:type="pct"/>
                  <w:tcBorders>
                    <w:tl2br w:val="nil"/>
                    <w:tr2bl w:val="nil"/>
                  </w:tcBorders>
                  <w:noWrap w:val="0"/>
                  <w:vAlign w:val="center"/>
                </w:tcPr>
                <w:p w14:paraId="2AD09CF9">
                  <w:pPr>
                    <w:pStyle w:val="92"/>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default" w:ascii="Times New Roman" w:hAnsi="Times New Roman" w:eastAsia="宋体" w:cs="Times New Roman"/>
                      <w:b/>
                      <w:color w:val="auto"/>
                      <w:sz w:val="21"/>
                      <w:szCs w:val="21"/>
                      <w:highlight w:val="none"/>
                      <w:vertAlign w:val="baseline"/>
                      <w:lang w:eastAsia="zh-CN"/>
                    </w:rPr>
                    <w:t>本项目</w:t>
                  </w:r>
                </w:p>
              </w:tc>
              <w:tc>
                <w:tcPr>
                  <w:tcW w:w="556" w:type="pct"/>
                  <w:tcBorders>
                    <w:tl2br w:val="nil"/>
                    <w:tr2bl w:val="nil"/>
                  </w:tcBorders>
                  <w:noWrap w:val="0"/>
                  <w:vAlign w:val="center"/>
                </w:tcPr>
                <w:p w14:paraId="10D409CC">
                  <w:pPr>
                    <w:pStyle w:val="92"/>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kern w:val="0"/>
                      <w:sz w:val="21"/>
                      <w:szCs w:val="21"/>
                      <w:highlight w:val="none"/>
                      <w:lang w:val="en-US" w:eastAsia="zh-CN" w:bidi="ar-SA"/>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372B8B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2415" w:type="pct"/>
                  <w:tcBorders>
                    <w:tl2br w:val="nil"/>
                    <w:tr2bl w:val="nil"/>
                  </w:tcBorders>
                  <w:noWrap w:val="0"/>
                  <w:vAlign w:val="center"/>
                </w:tcPr>
                <w:p w14:paraId="0B0668B5">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1.严厉打击非法生产销售行为。将铅蓄电池作为重点商品，持续依法打击违法生产、销售假冒伪劣铅蓄电池行为。</w:t>
                  </w:r>
                </w:p>
                <w:p w14:paraId="68F2B93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2.严厉打击和严肃查处涉废铅蓄电池企业违法犯罪行为。严厉打击非法收集拆解废铅蓄电池、非法冶炼再生铅等环境违法犯罪行为。</w:t>
                  </w:r>
                </w:p>
              </w:tc>
              <w:tc>
                <w:tcPr>
                  <w:tcW w:w="2027" w:type="pct"/>
                  <w:tcBorders>
                    <w:tl2br w:val="nil"/>
                    <w:tr2bl w:val="nil"/>
                  </w:tcBorders>
                  <w:noWrap w:val="0"/>
                  <w:vAlign w:val="center"/>
                </w:tcPr>
                <w:p w14:paraId="7320865B">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1.本项目回收的</w:t>
                  </w:r>
                  <w:r>
                    <w:rPr>
                      <w:rFonts w:hint="eastAsia" w:cs="Times New Roman"/>
                      <w:color w:val="auto"/>
                      <w:szCs w:val="21"/>
                      <w:highlight w:val="none"/>
                      <w:vertAlign w:val="baseline"/>
                      <w:lang w:val="en-US" w:eastAsia="zh-CN"/>
                    </w:rPr>
                    <w:t>废蓄电池</w:t>
                  </w:r>
                  <w:r>
                    <w:rPr>
                      <w:rFonts w:hint="default" w:ascii="Times New Roman" w:hAnsi="Times New Roman" w:eastAsia="宋体" w:cs="Times New Roman"/>
                      <w:color w:val="auto"/>
                      <w:szCs w:val="21"/>
                      <w:highlight w:val="none"/>
                      <w:vertAlign w:val="baseline"/>
                      <w:lang w:val="en-US" w:eastAsia="zh-CN"/>
                    </w:rPr>
                    <w:t>暂存于</w:t>
                  </w:r>
                  <w:r>
                    <w:rPr>
                      <w:rFonts w:hint="eastAsia" w:cs="Times New Roman"/>
                      <w:color w:val="auto"/>
                      <w:szCs w:val="21"/>
                      <w:highlight w:val="none"/>
                      <w:vertAlign w:val="baseline"/>
                      <w:lang w:val="en-US" w:eastAsia="zh-CN"/>
                    </w:rPr>
                    <w:t>危废贮存库，定期交有资质单位处置</w:t>
                  </w:r>
                  <w:r>
                    <w:rPr>
                      <w:rFonts w:hint="default" w:ascii="Times New Roman" w:hAnsi="Times New Roman" w:eastAsia="宋体" w:cs="Times New Roman"/>
                      <w:color w:val="auto"/>
                      <w:szCs w:val="21"/>
                      <w:highlight w:val="none"/>
                      <w:vertAlign w:val="baseline"/>
                      <w:lang w:val="en-US" w:eastAsia="zh-CN"/>
                    </w:rPr>
                    <w:t>。</w:t>
                  </w:r>
                </w:p>
                <w:p w14:paraId="6161C9C9">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both"/>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2.本项目只将铅蓄电池从报废车辆整体拆解，不对铅蓄电池本身进行拆解、再生等。</w:t>
                  </w:r>
                </w:p>
              </w:tc>
              <w:tc>
                <w:tcPr>
                  <w:tcW w:w="556" w:type="pct"/>
                  <w:tcBorders>
                    <w:tl2br w:val="nil"/>
                    <w:tr2bl w:val="nil"/>
                  </w:tcBorders>
                  <w:noWrap w:val="0"/>
                  <w:vAlign w:val="center"/>
                </w:tcPr>
                <w:p w14:paraId="064B6ACA">
                  <w:pPr>
                    <w:keepNext w:val="0"/>
                    <w:keepLines w:val="0"/>
                    <w:pageBreakBefore w:val="0"/>
                    <w:widowControl w:val="0"/>
                    <w:suppressLineNumbers w:val="0"/>
                    <w:kinsoku/>
                    <w:wordWrap/>
                    <w:overflowPunct/>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vertAlign w:val="baseline"/>
                      <w:lang w:val="en-US" w:eastAsia="zh-CN"/>
                    </w:rPr>
                  </w:pPr>
                  <w:r>
                    <w:rPr>
                      <w:rFonts w:hint="default" w:ascii="Times New Roman" w:hAnsi="Times New Roman" w:eastAsia="宋体" w:cs="Times New Roman"/>
                      <w:color w:val="auto"/>
                      <w:szCs w:val="21"/>
                      <w:highlight w:val="none"/>
                      <w:vertAlign w:val="baseline"/>
                      <w:lang w:val="en-US" w:eastAsia="zh-CN"/>
                    </w:rPr>
                    <w:t>符合</w:t>
                  </w:r>
                </w:p>
              </w:tc>
            </w:tr>
          </w:tbl>
          <w:p w14:paraId="482BC99D">
            <w:pPr>
              <w:keepNext w:val="0"/>
              <w:keepLines w:val="0"/>
              <w:suppressLineNumbers w:val="0"/>
              <w:bidi w:val="0"/>
              <w:spacing w:before="0" w:beforeAutospacing="0" w:after="0" w:afterAutospacing="0"/>
              <w:ind w:left="0" w:right="0"/>
              <w:jc w:val="left"/>
              <w:rPr>
                <w:rFonts w:hint="default"/>
                <w:color w:val="auto"/>
                <w:lang w:val="en-US" w:eastAsia="zh-CN"/>
              </w:rPr>
            </w:pPr>
          </w:p>
        </w:tc>
      </w:tr>
    </w:tbl>
    <w:p w14:paraId="7199BD09">
      <w:pPr>
        <w:spacing w:line="360" w:lineRule="auto"/>
        <w:outlineLvl w:val="9"/>
        <w:rPr>
          <w:color w:val="auto"/>
          <w:sz w:val="30"/>
          <w:highlight w:val="none"/>
        </w:rPr>
        <w:sectPr>
          <w:footerReference r:id="rId5" w:type="default"/>
          <w:pgSz w:w="11906" w:h="16838"/>
          <w:pgMar w:top="1440" w:right="1080" w:bottom="1440" w:left="1080" w:header="851" w:footer="1134" w:gutter="0"/>
          <w:pgBorders>
            <w:top w:val="none" w:sz="0" w:space="0"/>
            <w:left w:val="none" w:sz="0" w:space="0"/>
            <w:bottom w:val="none" w:sz="0" w:space="0"/>
            <w:right w:val="none" w:sz="0" w:space="0"/>
          </w:pgBorders>
          <w:pgNumType w:fmt="decimal" w:start="1"/>
          <w:cols w:space="720" w:num="1"/>
          <w:docGrid w:linePitch="312" w:charSpace="0"/>
        </w:sectPr>
      </w:pPr>
    </w:p>
    <w:tbl>
      <w:tblPr>
        <w:tblStyle w:val="2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9"/>
        <w:gridCol w:w="14295"/>
      </w:tblGrid>
      <w:tr w14:paraId="45A66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201" w:type="pct"/>
            <w:vAlign w:val="top"/>
          </w:tcPr>
          <w:p w14:paraId="3A1A4746">
            <w:pPr>
              <w:keepNext w:val="0"/>
              <w:keepLines w:val="0"/>
              <w:suppressLineNumbers w:val="0"/>
              <w:bidi w:val="0"/>
              <w:spacing w:before="0" w:beforeAutospacing="0" w:after="0" w:afterAutospacing="0"/>
              <w:ind w:left="0" w:right="0"/>
              <w:rPr>
                <w:rFonts w:hint="default"/>
                <w:color w:val="auto"/>
                <w:highlight w:val="none"/>
                <w:vertAlign w:val="baseline"/>
              </w:rPr>
            </w:pPr>
          </w:p>
        </w:tc>
        <w:tc>
          <w:tcPr>
            <w:tcW w:w="4798" w:type="pct"/>
            <w:vAlign w:val="top"/>
          </w:tcPr>
          <w:p w14:paraId="6A398D9A">
            <w:pPr>
              <w:pStyle w:val="73"/>
              <w:keepNext w:val="0"/>
              <w:keepLines w:val="0"/>
              <w:suppressLineNumbers w:val="0"/>
              <w:spacing w:before="108" w:beforeAutospacing="0" w:after="0" w:afterAutospacing="0" w:line="240" w:lineRule="auto"/>
              <w:ind w:left="115" w:right="103" w:firstLine="476"/>
              <w:jc w:val="left"/>
              <w:rPr>
                <w:rFonts w:hint="eastAsia"/>
                <w:b/>
                <w:bCs/>
                <w:color w:val="auto"/>
                <w:highlight w:val="none"/>
                <w:lang w:val="en-US" w:eastAsia="zh-CN"/>
              </w:rPr>
            </w:pPr>
            <w:r>
              <w:rPr>
                <w:rFonts w:hint="eastAsia"/>
                <w:b/>
                <w:bCs/>
                <w:color w:val="auto"/>
                <w:sz w:val="21"/>
                <w:szCs w:val="21"/>
                <w:highlight w:val="none"/>
                <w:u w:val="none" w:color="auto"/>
              </w:rPr>
              <w:fldChar w:fldCharType="begin"/>
            </w:r>
            <w:r>
              <w:rPr>
                <w:rFonts w:hint="eastAsia"/>
                <w:b/>
                <w:bCs/>
                <w:color w:val="auto"/>
                <w:sz w:val="21"/>
                <w:szCs w:val="21"/>
                <w:highlight w:val="none"/>
                <w:u w:val="none" w:color="auto"/>
              </w:rPr>
              <w:instrText xml:space="preserve"> EQ \o\ac(</w:instrText>
            </w:r>
            <w:r>
              <w:rPr>
                <w:rFonts w:hint="eastAsia" w:ascii="Times New Roman" w:hAnsi="Times New Roman" w:eastAsia="宋体" w:cs="宋体"/>
                <w:b/>
                <w:bCs/>
                <w:color w:val="auto"/>
                <w:kern w:val="2"/>
                <w:position w:val="-4"/>
                <w:sz w:val="31"/>
                <w:szCs w:val="21"/>
                <w:highlight w:val="none"/>
                <w:u w:val="none" w:color="auto"/>
                <w:lang w:val="en-US" w:eastAsia="en-US" w:bidi="ar-SA"/>
              </w:rPr>
              <w:instrText xml:space="preserve">○</w:instrText>
            </w:r>
            <w:r>
              <w:rPr>
                <w:rFonts w:hint="eastAsia"/>
                <w:b/>
                <w:bCs/>
                <w:color w:val="auto"/>
                <w:position w:val="0"/>
                <w:sz w:val="21"/>
                <w:szCs w:val="21"/>
                <w:highlight w:val="none"/>
                <w:u w:val="none" w:color="auto"/>
              </w:rPr>
              <w:instrText xml:space="preserve">,</w:instrText>
            </w:r>
            <w:r>
              <w:rPr>
                <w:rFonts w:hint="eastAsia" w:ascii="Times New Roman" w:hAnsi="Times New Roman" w:eastAsia="宋体" w:cs="宋体"/>
                <w:b/>
                <w:bCs/>
                <w:color w:val="auto"/>
                <w:kern w:val="2"/>
                <w:position w:val="0"/>
                <w:sz w:val="21"/>
                <w:szCs w:val="21"/>
                <w:highlight w:val="none"/>
                <w:u w:val="none" w:color="auto"/>
                <w:lang w:val="en-US" w:eastAsia="en-US" w:bidi="ar-SA"/>
              </w:rPr>
              <w:instrText xml:space="preserve">11</w:instrText>
            </w:r>
            <w:r>
              <w:rPr>
                <w:rFonts w:hint="eastAsia"/>
                <w:b/>
                <w:bCs/>
                <w:color w:val="auto"/>
                <w:position w:val="0"/>
                <w:sz w:val="21"/>
                <w:szCs w:val="21"/>
                <w:highlight w:val="none"/>
                <w:u w:val="none" w:color="auto"/>
              </w:rPr>
              <w:instrText xml:space="preserve">)</w:instrText>
            </w:r>
            <w:r>
              <w:rPr>
                <w:rFonts w:hint="eastAsia"/>
                <w:b/>
                <w:bCs/>
                <w:color w:val="auto"/>
                <w:sz w:val="21"/>
                <w:szCs w:val="21"/>
                <w:highlight w:val="none"/>
                <w:u w:val="none" w:color="auto"/>
              </w:rPr>
              <w:fldChar w:fldCharType="end"/>
            </w:r>
            <w:r>
              <w:rPr>
                <w:rFonts w:hint="eastAsia"/>
                <w:b/>
                <w:bCs/>
                <w:color w:val="auto"/>
                <w:sz w:val="24"/>
                <w:szCs w:val="32"/>
                <w:highlight w:val="none"/>
                <w:u w:val="none" w:color="auto"/>
              </w:rPr>
              <w:t>与《报废机动车回收拆解企业技术规范》（GB22128-2019）</w:t>
            </w:r>
            <w:r>
              <w:rPr>
                <w:rFonts w:hint="eastAsia"/>
                <w:b/>
                <w:bCs/>
                <w:color w:val="auto"/>
                <w:sz w:val="24"/>
                <w:szCs w:val="32"/>
                <w:highlight w:val="none"/>
                <w:u w:val="none" w:color="auto"/>
                <w:lang w:eastAsia="zh-CN"/>
              </w:rPr>
              <w:t>符合性</w:t>
            </w:r>
            <w:r>
              <w:rPr>
                <w:rFonts w:hint="eastAsia"/>
                <w:b/>
                <w:bCs/>
                <w:color w:val="auto"/>
                <w:sz w:val="24"/>
                <w:szCs w:val="32"/>
                <w:highlight w:val="none"/>
                <w:u w:val="none" w:color="auto"/>
              </w:rPr>
              <w:t>分析</w:t>
            </w:r>
          </w:p>
          <w:p w14:paraId="7AA4B45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color w:val="auto"/>
                <w:szCs w:val="21"/>
                <w:highlight w:val="none"/>
                <w:u w:val="none" w:color="auto"/>
                <w:lang w:val="zh-CN"/>
              </w:rPr>
            </w:pPr>
            <w:r>
              <w:rPr>
                <w:rFonts w:hint="default" w:ascii="Times New Roman" w:hAnsi="Times New Roman" w:eastAsia="宋体" w:cs="Times New Roman"/>
                <w:b/>
                <w:color w:val="auto"/>
                <w:szCs w:val="21"/>
                <w:highlight w:val="none"/>
                <w:u w:val="none" w:color="auto"/>
                <w:lang w:val="zh-CN"/>
              </w:rPr>
              <w:t>表1-</w:t>
            </w:r>
            <w:r>
              <w:rPr>
                <w:rFonts w:hint="eastAsia" w:cs="Times New Roman"/>
                <w:b/>
                <w:color w:val="auto"/>
                <w:szCs w:val="21"/>
                <w:highlight w:val="none"/>
                <w:u w:val="none" w:color="auto"/>
                <w:lang w:val="en-US" w:eastAsia="zh-CN"/>
              </w:rPr>
              <w:t>15</w:t>
            </w:r>
            <w:r>
              <w:rPr>
                <w:rFonts w:hint="eastAsia" w:ascii="Times New Roman" w:hAnsi="Times New Roman" w:eastAsia="宋体" w:cs="Times New Roman"/>
                <w:b/>
                <w:color w:val="auto"/>
                <w:szCs w:val="21"/>
                <w:highlight w:val="none"/>
                <w:u w:val="none" w:color="auto"/>
              </w:rPr>
              <w:t xml:space="preserve">  </w:t>
            </w:r>
            <w:r>
              <w:rPr>
                <w:rFonts w:hint="default" w:ascii="Times New Roman" w:hAnsi="Times New Roman" w:eastAsia="宋体" w:cs="Times New Roman"/>
                <w:b/>
                <w:color w:val="auto"/>
                <w:szCs w:val="21"/>
                <w:highlight w:val="none"/>
                <w:u w:val="none" w:color="auto"/>
                <w:lang w:val="zh-CN"/>
              </w:rPr>
              <w:t>与《</w:t>
            </w:r>
            <w:r>
              <w:rPr>
                <w:rFonts w:hint="eastAsia" w:ascii="Times New Roman" w:hAnsi="Times New Roman" w:eastAsia="宋体" w:cs="Times New Roman"/>
                <w:b/>
                <w:color w:val="auto"/>
                <w:szCs w:val="21"/>
                <w:highlight w:val="none"/>
                <w:u w:val="none" w:color="auto"/>
                <w:lang w:val="zh-CN"/>
              </w:rPr>
              <w:t>报废机动车</w:t>
            </w:r>
            <w:r>
              <w:rPr>
                <w:rFonts w:hint="default" w:ascii="Times New Roman" w:hAnsi="Times New Roman" w:eastAsia="宋体" w:cs="Times New Roman"/>
                <w:b/>
                <w:color w:val="auto"/>
                <w:szCs w:val="21"/>
                <w:highlight w:val="none"/>
                <w:u w:val="none" w:color="auto"/>
                <w:lang w:val="zh-CN"/>
              </w:rPr>
              <w:t>回收拆解企业技术规范》</w:t>
            </w:r>
            <w:r>
              <w:rPr>
                <w:rFonts w:hint="eastAsia" w:cs="Times New Roman"/>
                <w:b/>
                <w:color w:val="auto"/>
                <w:szCs w:val="21"/>
                <w:highlight w:val="none"/>
                <w:u w:val="none" w:color="auto"/>
                <w:lang w:val="zh-CN"/>
              </w:rPr>
              <w:t>符合性</w:t>
            </w:r>
            <w:r>
              <w:rPr>
                <w:rFonts w:hint="default" w:ascii="Times New Roman" w:hAnsi="Times New Roman" w:eastAsia="宋体" w:cs="Times New Roman"/>
                <w:b/>
                <w:color w:val="auto"/>
                <w:szCs w:val="21"/>
                <w:highlight w:val="none"/>
                <w:u w:val="none" w:color="auto"/>
                <w:lang w:val="zh-CN"/>
              </w:rPr>
              <w:t>分析</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13"/>
              <w:gridCol w:w="5917"/>
              <w:gridCol w:w="6269"/>
              <w:gridCol w:w="1060"/>
            </w:tblGrid>
            <w:tr w14:paraId="31C873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393" w:type="pct"/>
                  <w:gridSpan w:val="2"/>
                  <w:tcBorders>
                    <w:tl2br w:val="nil"/>
                    <w:tr2bl w:val="nil"/>
                  </w:tcBorders>
                  <w:noWrap w:val="0"/>
                  <w:vAlign w:val="center"/>
                </w:tcPr>
                <w:p w14:paraId="03F2B940">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u w:val="none" w:color="auto"/>
                      <w:lang w:val="zh-CN"/>
                    </w:rPr>
                  </w:pPr>
                  <w:r>
                    <w:rPr>
                      <w:rFonts w:hint="default" w:ascii="Times New Roman" w:hAnsi="Times New Roman" w:eastAsia="宋体" w:cs="Times New Roman"/>
                      <w:b/>
                      <w:bCs/>
                      <w:color w:val="auto"/>
                      <w:kern w:val="0"/>
                      <w:szCs w:val="21"/>
                      <w:highlight w:val="none"/>
                      <w:u w:val="none" w:color="auto"/>
                    </w:rPr>
                    <w:t>技术规范要求</w:t>
                  </w:r>
                </w:p>
              </w:tc>
              <w:tc>
                <w:tcPr>
                  <w:tcW w:w="2229" w:type="pct"/>
                  <w:tcBorders>
                    <w:tl2br w:val="nil"/>
                    <w:tr2bl w:val="nil"/>
                  </w:tcBorders>
                  <w:noWrap w:val="0"/>
                  <w:vAlign w:val="center"/>
                </w:tcPr>
                <w:p w14:paraId="6FC215D0">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b/>
                      <w:bCs/>
                      <w:color w:val="auto"/>
                      <w:kern w:val="0"/>
                      <w:szCs w:val="21"/>
                      <w:highlight w:val="none"/>
                      <w:u w:val="none" w:color="auto"/>
                      <w:lang w:val="zh-CN"/>
                    </w:rPr>
                  </w:pPr>
                  <w:r>
                    <w:rPr>
                      <w:rFonts w:hint="eastAsia" w:ascii="Times New Roman" w:hAnsi="Times New Roman" w:eastAsia="宋体" w:cs="Times New Roman"/>
                      <w:b/>
                      <w:bCs/>
                      <w:color w:val="auto"/>
                      <w:kern w:val="0"/>
                      <w:szCs w:val="21"/>
                      <w:highlight w:val="none"/>
                      <w:u w:val="none" w:color="auto"/>
                      <w:lang w:val="zh-CN"/>
                    </w:rPr>
                    <w:t>本项目</w:t>
                  </w:r>
                </w:p>
              </w:tc>
              <w:tc>
                <w:tcPr>
                  <w:tcW w:w="376" w:type="pct"/>
                  <w:tcBorders>
                    <w:tl2br w:val="nil"/>
                    <w:tr2bl w:val="nil"/>
                  </w:tcBorders>
                  <w:noWrap w:val="0"/>
                  <w:vAlign w:val="center"/>
                </w:tcPr>
                <w:p w14:paraId="57CCBA96">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b/>
                      <w:bCs/>
                      <w:color w:val="auto"/>
                      <w:kern w:val="0"/>
                      <w:szCs w:val="21"/>
                      <w:highlight w:val="none"/>
                      <w:u w:val="none" w:color="auto"/>
                      <w:lang w:val="zh-CN"/>
                    </w:rPr>
                  </w:pPr>
                  <w:r>
                    <w:rPr>
                      <w:rFonts w:hint="eastAsia" w:cs="Times New Roman"/>
                      <w:b/>
                      <w:bCs/>
                      <w:color w:val="auto"/>
                      <w:kern w:val="0"/>
                      <w:szCs w:val="21"/>
                      <w:highlight w:val="none"/>
                      <w:u w:val="none" w:color="auto"/>
                      <w:lang w:val="zh-CN"/>
                    </w:rPr>
                    <w:t>符合</w:t>
                  </w:r>
                  <w:r>
                    <w:rPr>
                      <w:rFonts w:hint="eastAsia" w:ascii="Times New Roman" w:hAnsi="Times New Roman" w:eastAsia="宋体" w:cs="Times New Roman"/>
                      <w:b/>
                      <w:bCs/>
                      <w:color w:val="auto"/>
                      <w:kern w:val="0"/>
                      <w:szCs w:val="21"/>
                      <w:highlight w:val="none"/>
                      <w:u w:val="none" w:color="auto"/>
                      <w:lang w:val="zh-CN"/>
                    </w:rPr>
                    <w:t>性</w:t>
                  </w:r>
                </w:p>
              </w:tc>
            </w:tr>
            <w:tr w14:paraId="7D2D6D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9" w:hRule="atLeast"/>
                <w:jc w:val="center"/>
              </w:trPr>
              <w:tc>
                <w:tcPr>
                  <w:tcW w:w="289" w:type="pct"/>
                  <w:vMerge w:val="restart"/>
                  <w:tcBorders>
                    <w:tl2br w:val="nil"/>
                    <w:tr2bl w:val="nil"/>
                  </w:tcBorders>
                  <w:noWrap w:val="0"/>
                  <w:vAlign w:val="center"/>
                </w:tcPr>
                <w:p w14:paraId="0F84A2D9">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u w:val="none" w:color="auto"/>
                      <w:lang w:val="en-US" w:eastAsia="zh-CN"/>
                    </w:rPr>
                  </w:pPr>
                  <w:r>
                    <w:rPr>
                      <w:rFonts w:hint="eastAsia" w:cs="Times New Roman"/>
                      <w:b/>
                      <w:bCs/>
                      <w:color w:val="auto"/>
                      <w:kern w:val="0"/>
                      <w:szCs w:val="21"/>
                      <w:highlight w:val="none"/>
                      <w:u w:val="none" w:color="auto"/>
                      <w:lang w:val="en-US" w:eastAsia="zh-CN"/>
                    </w:rPr>
                    <w:t>拆解产能要求</w:t>
                  </w:r>
                </w:p>
              </w:tc>
              <w:tc>
                <w:tcPr>
                  <w:tcW w:w="2104" w:type="pct"/>
                  <w:tcBorders>
                    <w:tl2br w:val="nil"/>
                    <w:tr2bl w:val="nil"/>
                  </w:tcBorders>
                  <w:noWrap w:val="0"/>
                  <w:vAlign w:val="center"/>
                </w:tcPr>
                <w:p w14:paraId="098B0B74">
                  <w:pPr>
                    <w:keepNext w:val="0"/>
                    <w:keepLines w:val="0"/>
                    <w:suppressLineNumbers w:val="0"/>
                    <w:autoSpaceDE w:val="0"/>
                    <w:autoSpaceDN w:val="0"/>
                    <w:spacing w:before="0" w:beforeAutospacing="0" w:after="0" w:afterAutospacing="0"/>
                    <w:ind w:left="0" w:right="0"/>
                    <w:jc w:val="center"/>
                    <w:rPr>
                      <w:rFonts w:hint="default"/>
                      <w:color w:val="auto"/>
                      <w:spacing w:val="7"/>
                      <w:sz w:val="20"/>
                      <w:szCs w:val="20"/>
                      <w:highlight w:val="none"/>
                    </w:rPr>
                  </w:pPr>
                  <w:r>
                    <w:rPr>
                      <w:rFonts w:hint="default"/>
                      <w:color w:val="auto"/>
                      <w:spacing w:val="11"/>
                      <w:sz w:val="20"/>
                      <w:szCs w:val="20"/>
                      <w:highlight w:val="none"/>
                    </w:rPr>
                    <w:t>企业所在地区（地级市）类型依据年机动车保有量确定，企业数量依据地区年总拆解产能确定。地区年总拆解产能按当地年机动车保有量</w:t>
                  </w:r>
                  <w:r>
                    <w:rPr>
                      <w:rFonts w:hint="default"/>
                      <w:color w:val="auto"/>
                      <w:spacing w:val="8"/>
                      <w:sz w:val="20"/>
                      <w:szCs w:val="20"/>
                      <w:highlight w:val="none"/>
                    </w:rPr>
                    <w:t>的</w:t>
                  </w:r>
                  <w:r>
                    <w:rPr>
                      <w:rFonts w:hint="default"/>
                      <w:color w:val="auto"/>
                      <w:spacing w:val="-44"/>
                      <w:sz w:val="20"/>
                      <w:szCs w:val="20"/>
                      <w:highlight w:val="none"/>
                    </w:rPr>
                    <w:t xml:space="preserve"> </w:t>
                  </w:r>
                  <w:r>
                    <w:rPr>
                      <w:rFonts w:hint="eastAsia"/>
                      <w:color w:val="auto"/>
                      <w:spacing w:val="-44"/>
                      <w:sz w:val="20"/>
                      <w:szCs w:val="20"/>
                      <w:highlight w:val="none"/>
                      <w:lang w:eastAsia="zh-CN"/>
                    </w:rPr>
                    <w:t>4%～5%</w:t>
                  </w:r>
                  <w:r>
                    <w:rPr>
                      <w:rFonts w:hint="default"/>
                      <w:color w:val="auto"/>
                      <w:spacing w:val="8"/>
                      <w:sz w:val="20"/>
                      <w:szCs w:val="20"/>
                      <w:highlight w:val="none"/>
                    </w:rPr>
                    <w:t>设定。地区类型分档和年总拆</w:t>
                  </w:r>
                  <w:r>
                    <w:rPr>
                      <w:rFonts w:hint="default"/>
                      <w:color w:val="auto"/>
                      <w:spacing w:val="7"/>
                      <w:sz w:val="20"/>
                      <w:szCs w:val="20"/>
                      <w:highlight w:val="none"/>
                    </w:rPr>
                    <w:t>解产能计算方式详见表</w:t>
                  </w:r>
                  <w:r>
                    <w:rPr>
                      <w:rFonts w:hint="default"/>
                      <w:color w:val="auto"/>
                      <w:spacing w:val="-20"/>
                      <w:sz w:val="20"/>
                      <w:szCs w:val="20"/>
                      <w:highlight w:val="none"/>
                    </w:rPr>
                    <w:t xml:space="preserve"> </w:t>
                  </w:r>
                  <w:r>
                    <w:rPr>
                      <w:rFonts w:hint="default" w:ascii="Times New Roman" w:hAnsi="Times New Roman" w:eastAsia="Times New Roman" w:cs="Times New Roman"/>
                      <w:color w:val="auto"/>
                      <w:spacing w:val="7"/>
                      <w:sz w:val="20"/>
                      <w:szCs w:val="20"/>
                      <w:highlight w:val="none"/>
                    </w:rPr>
                    <w:t>1</w:t>
                  </w:r>
                  <w:r>
                    <w:rPr>
                      <w:rFonts w:hint="default"/>
                      <w:color w:val="auto"/>
                      <w:spacing w:val="7"/>
                      <w:sz w:val="20"/>
                      <w:szCs w:val="20"/>
                      <w:highlight w:val="none"/>
                    </w:rPr>
                    <w:t>。</w:t>
                  </w:r>
                </w:p>
                <w:p w14:paraId="5FA6ECF7">
                  <w:pPr>
                    <w:pStyle w:val="73"/>
                    <w:keepNext w:val="0"/>
                    <w:keepLines w:val="0"/>
                    <w:suppressLineNumbers w:val="0"/>
                    <w:spacing w:before="0" w:beforeAutospacing="0" w:after="0" w:afterAutospacing="0" w:line="227" w:lineRule="auto"/>
                    <w:ind w:left="0" w:leftChars="0" w:right="0" w:firstLine="0" w:firstLineChars="0"/>
                    <w:jc w:val="center"/>
                    <w:rPr>
                      <w:rFonts w:hint="default"/>
                      <w:color w:val="auto"/>
                      <w:sz w:val="18"/>
                      <w:szCs w:val="18"/>
                      <w:highlight w:val="none"/>
                    </w:rPr>
                  </w:pPr>
                  <w:r>
                    <w:rPr>
                      <w:rFonts w:hint="default"/>
                      <w:b/>
                      <w:bCs/>
                      <w:color w:val="auto"/>
                      <w:spacing w:val="5"/>
                      <w:sz w:val="18"/>
                      <w:szCs w:val="18"/>
                      <w:highlight w:val="none"/>
                    </w:rPr>
                    <w:t>表</w:t>
                  </w:r>
                  <w:r>
                    <w:rPr>
                      <w:rFonts w:hint="default" w:ascii="Times New Roman" w:hAnsi="Times New Roman" w:eastAsia="Times New Roman" w:cs="Times New Roman"/>
                      <w:b/>
                      <w:bCs/>
                      <w:color w:val="auto"/>
                      <w:spacing w:val="5"/>
                      <w:sz w:val="18"/>
                      <w:szCs w:val="18"/>
                      <w:highlight w:val="none"/>
                    </w:rPr>
                    <w:t xml:space="preserve">1  </w:t>
                  </w:r>
                  <w:r>
                    <w:rPr>
                      <w:rFonts w:hint="default"/>
                      <w:b/>
                      <w:bCs/>
                      <w:color w:val="auto"/>
                      <w:spacing w:val="5"/>
                      <w:sz w:val="18"/>
                      <w:szCs w:val="18"/>
                      <w:highlight w:val="none"/>
                    </w:rPr>
                    <w:t>地区类型及年总拆解产能</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4"/>
                    <w:gridCol w:w="1891"/>
                    <w:gridCol w:w="2084"/>
                  </w:tblGrid>
                  <w:tr w14:paraId="424CB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23086E31">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地区类型</w:t>
                        </w:r>
                      </w:p>
                    </w:tc>
                    <w:tc>
                      <w:tcPr>
                        <w:tcW w:w="1891" w:type="dxa"/>
                        <w:vAlign w:val="center"/>
                      </w:tcPr>
                      <w:p w14:paraId="708E9AEA">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地区年机动车保有量/万辆</w:t>
                        </w:r>
                      </w:p>
                    </w:tc>
                    <w:tc>
                      <w:tcPr>
                        <w:tcW w:w="2084" w:type="dxa"/>
                        <w:vAlign w:val="center"/>
                      </w:tcPr>
                      <w:p w14:paraId="56658D69">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地区总拆解产能计算公式</w:t>
                        </w:r>
                      </w:p>
                    </w:tc>
                  </w:tr>
                  <w:tr w14:paraId="1B2D43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520D2E4B">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rPr>
                          <w:t>Ⅰ</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1891" w:type="dxa"/>
                        <w:vAlign w:val="center"/>
                      </w:tcPr>
                      <w:p w14:paraId="52B9ED04">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500（含）以上</w:t>
                        </w:r>
                      </w:p>
                    </w:tc>
                    <w:tc>
                      <w:tcPr>
                        <w:tcW w:w="2084" w:type="dxa"/>
                        <w:vMerge w:val="restart"/>
                        <w:vAlign w:val="center"/>
                      </w:tcPr>
                      <w:p w14:paraId="3896572A">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eastAsia" w:ascii="宋体" w:hAnsi="宋体" w:eastAsia="宋体" w:cs="宋体"/>
                            <w:b w:val="0"/>
                            <w:bCs w:val="0"/>
                            <w:color w:val="auto"/>
                            <w:spacing w:val="7"/>
                            <w:sz w:val="18"/>
                            <w:szCs w:val="18"/>
                            <w:highlight w:val="none"/>
                            <w:vertAlign w:val="baseline"/>
                          </w:rPr>
                          <w:t>城区年机动车保有量×</w:t>
                        </w:r>
                        <w:r>
                          <w:rPr>
                            <w:rFonts w:hint="default" w:ascii="Times New Roman" w:hAnsi="Times New Roman" w:eastAsia="宋体" w:cs="Times New Roman"/>
                            <w:b w:val="0"/>
                            <w:bCs w:val="0"/>
                            <w:color w:val="auto"/>
                            <w:spacing w:val="7"/>
                            <w:sz w:val="18"/>
                            <w:szCs w:val="18"/>
                            <w:highlight w:val="none"/>
                            <w:vertAlign w:val="baseline"/>
                          </w:rPr>
                          <w:t>（4%～5%）</w:t>
                        </w:r>
                      </w:p>
                      <w:p w14:paraId="635EBCB9">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21"/>
                            <w:szCs w:val="21"/>
                            <w:highlight w:val="none"/>
                            <w:vertAlign w:val="baseline"/>
                          </w:rPr>
                        </w:pPr>
                      </w:p>
                    </w:tc>
                  </w:tr>
                  <w:tr w14:paraId="0E090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59D7E231">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Ⅱ</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1891" w:type="dxa"/>
                        <w:vAlign w:val="center"/>
                      </w:tcPr>
                      <w:p w14:paraId="372918A1">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lang w:val="en-US" w:eastAsia="zh-CN"/>
                          </w:rPr>
                          <w:t>200（含）</w:t>
                        </w:r>
                        <w:r>
                          <w:rPr>
                            <w:rFonts w:hint="eastAsia" w:ascii="Times New Roman" w:hAnsi="Times New Roman" w:eastAsia="宋体" w:cs="Times New Roman"/>
                            <w:b w:val="0"/>
                            <w:bCs w:val="0"/>
                            <w:color w:val="auto"/>
                            <w:spacing w:val="7"/>
                            <w:sz w:val="18"/>
                            <w:szCs w:val="18"/>
                            <w:highlight w:val="none"/>
                            <w:vertAlign w:val="baseline"/>
                            <w:lang w:val="en-US" w:eastAsia="zh-CN"/>
                          </w:rPr>
                          <w:t>～</w:t>
                        </w:r>
                        <w:r>
                          <w:rPr>
                            <w:rFonts w:hint="default" w:ascii="Times New Roman" w:hAnsi="Times New Roman" w:eastAsia="宋体" w:cs="Times New Roman"/>
                            <w:b w:val="0"/>
                            <w:bCs w:val="0"/>
                            <w:color w:val="auto"/>
                            <w:spacing w:val="7"/>
                            <w:sz w:val="18"/>
                            <w:szCs w:val="18"/>
                            <w:highlight w:val="none"/>
                            <w:vertAlign w:val="baseline"/>
                            <w:lang w:val="en-US" w:eastAsia="zh-CN"/>
                          </w:rPr>
                          <w:t>500</w:t>
                        </w:r>
                      </w:p>
                    </w:tc>
                    <w:tc>
                      <w:tcPr>
                        <w:tcW w:w="2084" w:type="dxa"/>
                        <w:vMerge w:val="continue"/>
                        <w:vAlign w:val="center"/>
                      </w:tcPr>
                      <w:p w14:paraId="4FB617B5">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21"/>
                            <w:szCs w:val="21"/>
                            <w:highlight w:val="none"/>
                            <w:vertAlign w:val="baseline"/>
                          </w:rPr>
                        </w:pPr>
                      </w:p>
                    </w:tc>
                  </w:tr>
                  <w:tr w14:paraId="2963D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448FC2A2">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Ⅲ</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1891" w:type="dxa"/>
                        <w:vAlign w:val="center"/>
                      </w:tcPr>
                      <w:p w14:paraId="73187B4A">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lang w:val="en-US" w:eastAsia="zh-CN"/>
                          </w:rPr>
                          <w:t>100（含）</w:t>
                        </w:r>
                        <w:r>
                          <w:rPr>
                            <w:rFonts w:hint="eastAsia" w:ascii="Times New Roman" w:hAnsi="Times New Roman" w:eastAsia="宋体" w:cs="Times New Roman"/>
                            <w:b w:val="0"/>
                            <w:bCs w:val="0"/>
                            <w:color w:val="auto"/>
                            <w:spacing w:val="7"/>
                            <w:sz w:val="18"/>
                            <w:szCs w:val="18"/>
                            <w:highlight w:val="none"/>
                            <w:vertAlign w:val="baseline"/>
                            <w:lang w:val="en-US" w:eastAsia="zh-CN"/>
                          </w:rPr>
                          <w:t>～</w:t>
                        </w:r>
                        <w:r>
                          <w:rPr>
                            <w:rFonts w:hint="default" w:ascii="Times New Roman" w:hAnsi="Times New Roman" w:eastAsia="宋体" w:cs="Times New Roman"/>
                            <w:b w:val="0"/>
                            <w:bCs w:val="0"/>
                            <w:color w:val="auto"/>
                            <w:spacing w:val="7"/>
                            <w:sz w:val="18"/>
                            <w:szCs w:val="18"/>
                            <w:highlight w:val="none"/>
                            <w:vertAlign w:val="baseline"/>
                            <w:lang w:val="en-US" w:eastAsia="zh-CN"/>
                          </w:rPr>
                          <w:t>200</w:t>
                        </w:r>
                      </w:p>
                    </w:tc>
                    <w:tc>
                      <w:tcPr>
                        <w:tcW w:w="2084" w:type="dxa"/>
                        <w:vMerge w:val="continue"/>
                        <w:vAlign w:val="center"/>
                      </w:tcPr>
                      <w:p w14:paraId="5C82E0E9">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21"/>
                            <w:szCs w:val="21"/>
                            <w:highlight w:val="none"/>
                            <w:vertAlign w:val="baseline"/>
                          </w:rPr>
                        </w:pPr>
                      </w:p>
                    </w:tc>
                  </w:tr>
                  <w:tr w14:paraId="38BC8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47958BD6">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Ⅳ</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1891" w:type="dxa"/>
                        <w:vAlign w:val="center"/>
                      </w:tcPr>
                      <w:p w14:paraId="3C812100">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rPr>
                        </w:pPr>
                        <w:r>
                          <w:rPr>
                            <w:rFonts w:hint="default" w:ascii="Times New Roman" w:hAnsi="Times New Roman" w:eastAsia="宋体" w:cs="Times New Roman"/>
                            <w:b w:val="0"/>
                            <w:bCs w:val="0"/>
                            <w:color w:val="auto"/>
                            <w:spacing w:val="7"/>
                            <w:sz w:val="18"/>
                            <w:szCs w:val="18"/>
                            <w:highlight w:val="none"/>
                            <w:vertAlign w:val="baseline"/>
                            <w:lang w:val="en-US" w:eastAsia="zh-CN"/>
                          </w:rPr>
                          <w:t>50（含）</w:t>
                        </w:r>
                        <w:r>
                          <w:rPr>
                            <w:rFonts w:hint="eastAsia" w:ascii="Times New Roman" w:hAnsi="Times New Roman" w:eastAsia="宋体" w:cs="Times New Roman"/>
                            <w:b w:val="0"/>
                            <w:bCs w:val="0"/>
                            <w:color w:val="auto"/>
                            <w:spacing w:val="7"/>
                            <w:sz w:val="18"/>
                            <w:szCs w:val="18"/>
                            <w:highlight w:val="none"/>
                            <w:vertAlign w:val="baseline"/>
                            <w:lang w:val="en-US" w:eastAsia="zh-CN"/>
                          </w:rPr>
                          <w:t>～</w:t>
                        </w:r>
                        <w:r>
                          <w:rPr>
                            <w:rFonts w:hint="default" w:ascii="Times New Roman" w:hAnsi="Times New Roman" w:eastAsia="宋体" w:cs="Times New Roman"/>
                            <w:b w:val="0"/>
                            <w:bCs w:val="0"/>
                            <w:color w:val="auto"/>
                            <w:spacing w:val="7"/>
                            <w:sz w:val="18"/>
                            <w:szCs w:val="18"/>
                            <w:highlight w:val="none"/>
                            <w:vertAlign w:val="baseline"/>
                            <w:lang w:val="en-US" w:eastAsia="zh-CN"/>
                          </w:rPr>
                          <w:t>100</w:t>
                        </w:r>
                      </w:p>
                    </w:tc>
                    <w:tc>
                      <w:tcPr>
                        <w:tcW w:w="2084" w:type="dxa"/>
                        <w:vMerge w:val="continue"/>
                        <w:vAlign w:val="center"/>
                      </w:tcPr>
                      <w:p w14:paraId="4DF75648">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21"/>
                            <w:szCs w:val="21"/>
                            <w:highlight w:val="none"/>
                            <w:vertAlign w:val="baseline"/>
                          </w:rPr>
                        </w:pPr>
                      </w:p>
                    </w:tc>
                  </w:tr>
                  <w:tr w14:paraId="78EE0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6D3BB603">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Ⅴ</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1891" w:type="dxa"/>
                        <w:vAlign w:val="center"/>
                      </w:tcPr>
                      <w:p w14:paraId="39736C4B">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lang w:val="en-US" w:eastAsia="zh-CN"/>
                          </w:rPr>
                          <w:t>20（含）</w:t>
                        </w:r>
                        <w:r>
                          <w:rPr>
                            <w:rFonts w:hint="eastAsia" w:ascii="Times New Roman" w:hAnsi="Times New Roman" w:eastAsia="宋体" w:cs="Times New Roman"/>
                            <w:b w:val="0"/>
                            <w:bCs w:val="0"/>
                            <w:color w:val="auto"/>
                            <w:spacing w:val="7"/>
                            <w:sz w:val="18"/>
                            <w:szCs w:val="18"/>
                            <w:highlight w:val="none"/>
                            <w:vertAlign w:val="baseline"/>
                            <w:lang w:val="en-US" w:eastAsia="zh-CN"/>
                          </w:rPr>
                          <w:t>～</w:t>
                        </w:r>
                        <w:r>
                          <w:rPr>
                            <w:rFonts w:hint="default" w:ascii="Times New Roman" w:hAnsi="Times New Roman" w:eastAsia="宋体" w:cs="Times New Roman"/>
                            <w:b w:val="0"/>
                            <w:bCs w:val="0"/>
                            <w:color w:val="auto"/>
                            <w:spacing w:val="7"/>
                            <w:sz w:val="18"/>
                            <w:szCs w:val="18"/>
                            <w:highlight w:val="none"/>
                            <w:vertAlign w:val="baseline"/>
                            <w:lang w:val="en-US" w:eastAsia="zh-CN"/>
                          </w:rPr>
                          <w:t>50</w:t>
                        </w:r>
                      </w:p>
                    </w:tc>
                    <w:tc>
                      <w:tcPr>
                        <w:tcW w:w="2084" w:type="dxa"/>
                        <w:vMerge w:val="continue"/>
                        <w:vAlign w:val="center"/>
                      </w:tcPr>
                      <w:p w14:paraId="3B116197">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21"/>
                            <w:szCs w:val="21"/>
                            <w:highlight w:val="none"/>
                            <w:vertAlign w:val="baseline"/>
                          </w:rPr>
                        </w:pPr>
                      </w:p>
                    </w:tc>
                  </w:tr>
                  <w:tr w14:paraId="07E15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04" w:type="dxa"/>
                        <w:vAlign w:val="center"/>
                      </w:tcPr>
                      <w:p w14:paraId="784F4D30">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Ⅵ</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1891" w:type="dxa"/>
                        <w:vAlign w:val="center"/>
                      </w:tcPr>
                      <w:p w14:paraId="6BF990CF">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rPr>
                        </w:pPr>
                        <w:r>
                          <w:rPr>
                            <w:rFonts w:hint="default" w:ascii="Times New Roman" w:hAnsi="Times New Roman" w:eastAsia="宋体" w:cs="Times New Roman"/>
                            <w:b w:val="0"/>
                            <w:bCs w:val="0"/>
                            <w:color w:val="auto"/>
                            <w:spacing w:val="7"/>
                            <w:sz w:val="18"/>
                            <w:szCs w:val="18"/>
                            <w:highlight w:val="none"/>
                            <w:vertAlign w:val="baseline"/>
                            <w:lang w:val="en-US" w:eastAsia="zh-CN"/>
                          </w:rPr>
                          <w:t>20以下</w:t>
                        </w:r>
                      </w:p>
                    </w:tc>
                    <w:tc>
                      <w:tcPr>
                        <w:tcW w:w="2084" w:type="dxa"/>
                        <w:vMerge w:val="continue"/>
                        <w:vAlign w:val="center"/>
                      </w:tcPr>
                      <w:p w14:paraId="4C104618">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21"/>
                            <w:szCs w:val="21"/>
                            <w:highlight w:val="none"/>
                            <w:vertAlign w:val="baseline"/>
                          </w:rPr>
                        </w:pPr>
                      </w:p>
                    </w:tc>
                  </w:tr>
                </w:tbl>
                <w:p w14:paraId="56403908">
                  <w:pPr>
                    <w:keepNext w:val="0"/>
                    <w:keepLines w:val="0"/>
                    <w:suppressLineNumbers w:val="0"/>
                    <w:spacing w:before="0" w:beforeAutospacing="0" w:after="0" w:afterAutospacing="0"/>
                    <w:ind w:left="0" w:right="0"/>
                    <w:rPr>
                      <w:rFonts w:hint="default"/>
                      <w:color w:val="auto"/>
                      <w:highlight w:val="none"/>
                    </w:rPr>
                  </w:pPr>
                </w:p>
              </w:tc>
              <w:tc>
                <w:tcPr>
                  <w:tcW w:w="2229" w:type="pct"/>
                  <w:tcBorders>
                    <w:tl2br w:val="nil"/>
                    <w:tr2bl w:val="nil"/>
                  </w:tcBorders>
                  <w:noWrap w:val="0"/>
                  <w:vAlign w:val="center"/>
                </w:tcPr>
                <w:p w14:paraId="6C8382AB">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本项目所在地区汽车保有量约40万</w:t>
                  </w:r>
                  <w:r>
                    <w:rPr>
                      <w:rFonts w:hint="eastAsia" w:cs="Times New Roman"/>
                      <w:color w:val="auto"/>
                      <w:kern w:val="0"/>
                      <w:szCs w:val="21"/>
                      <w:highlight w:val="none"/>
                      <w:u w:val="none" w:color="auto"/>
                      <w:lang w:val="zh-CN"/>
                    </w:rPr>
                    <w:t>辆</w:t>
                  </w:r>
                  <w:r>
                    <w:rPr>
                      <w:rFonts w:hint="default" w:ascii="Times New Roman" w:hAnsi="Times New Roman" w:eastAsia="宋体" w:cs="Times New Roman"/>
                      <w:color w:val="auto"/>
                      <w:kern w:val="0"/>
                      <w:szCs w:val="21"/>
                      <w:highlight w:val="none"/>
                      <w:u w:val="none" w:color="auto"/>
                      <w:lang w:val="zh-CN"/>
                    </w:rPr>
                    <w:t>，属于V档</w:t>
                  </w:r>
                </w:p>
              </w:tc>
              <w:tc>
                <w:tcPr>
                  <w:tcW w:w="376" w:type="pct"/>
                  <w:tcBorders>
                    <w:tl2br w:val="nil"/>
                    <w:tr2bl w:val="nil"/>
                  </w:tcBorders>
                  <w:noWrap w:val="0"/>
                  <w:vAlign w:val="center"/>
                </w:tcPr>
                <w:p w14:paraId="1FB710A2">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符合</w:t>
                  </w:r>
                </w:p>
              </w:tc>
            </w:tr>
            <w:tr w14:paraId="10F876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66111B10">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u w:val="none" w:color="auto"/>
                    </w:rPr>
                  </w:pPr>
                </w:p>
              </w:tc>
              <w:tc>
                <w:tcPr>
                  <w:tcW w:w="2104" w:type="pct"/>
                  <w:tcBorders>
                    <w:tl2br w:val="nil"/>
                    <w:tr2bl w:val="nil"/>
                  </w:tcBorders>
                  <w:noWrap w:val="0"/>
                  <w:vAlign w:val="center"/>
                </w:tcPr>
                <w:p w14:paraId="08011280">
                  <w:pPr>
                    <w:keepNext w:val="0"/>
                    <w:keepLines w:val="0"/>
                    <w:suppressLineNumbers w:val="0"/>
                    <w:autoSpaceDE w:val="0"/>
                    <w:autoSpaceDN w:val="0"/>
                    <w:spacing w:before="0" w:beforeAutospacing="0" w:after="0" w:afterAutospacing="0"/>
                    <w:ind w:left="0" w:right="0"/>
                    <w:jc w:val="center"/>
                    <w:rPr>
                      <w:rFonts w:hint="default"/>
                      <w:color w:val="auto"/>
                      <w:spacing w:val="11"/>
                      <w:sz w:val="20"/>
                      <w:szCs w:val="20"/>
                      <w:highlight w:val="none"/>
                    </w:rPr>
                  </w:pPr>
                  <w:r>
                    <w:rPr>
                      <w:rFonts w:hint="default"/>
                      <w:color w:val="auto"/>
                      <w:spacing w:val="11"/>
                      <w:sz w:val="20"/>
                      <w:szCs w:val="20"/>
                      <w:highlight w:val="none"/>
                    </w:rPr>
                    <w:t>单个企业最低年拆解产能应满足表2要求。表2中单个企业年拆解产能标准车型为GA802中所定义的小型载客汽车，其他车型依据整备质量换算，标准车型整备质量为1.4t。</w:t>
                  </w:r>
                </w:p>
                <w:p w14:paraId="2B47DAD1">
                  <w:pPr>
                    <w:pStyle w:val="73"/>
                    <w:keepNext w:val="0"/>
                    <w:keepLines w:val="0"/>
                    <w:suppressLineNumbers w:val="0"/>
                    <w:spacing w:before="0" w:beforeAutospacing="0" w:after="0" w:afterAutospacing="0" w:line="227" w:lineRule="auto"/>
                    <w:ind w:left="0" w:leftChars="0" w:right="0" w:firstLine="0" w:firstLineChars="0"/>
                    <w:jc w:val="center"/>
                    <w:rPr>
                      <w:rFonts w:hint="default"/>
                      <w:b/>
                      <w:bCs/>
                      <w:color w:val="auto"/>
                      <w:spacing w:val="5"/>
                      <w:sz w:val="18"/>
                      <w:szCs w:val="18"/>
                      <w:highlight w:val="none"/>
                    </w:rPr>
                  </w:pPr>
                  <w:r>
                    <w:rPr>
                      <w:rFonts w:hint="default"/>
                      <w:b/>
                      <w:bCs/>
                      <w:color w:val="auto"/>
                      <w:spacing w:val="5"/>
                      <w:sz w:val="18"/>
                      <w:szCs w:val="18"/>
                      <w:highlight w:val="none"/>
                    </w:rPr>
                    <w:t>表</w:t>
                  </w:r>
                  <w:r>
                    <w:rPr>
                      <w:rFonts w:hint="eastAsia"/>
                      <w:b/>
                      <w:bCs/>
                      <w:color w:val="auto"/>
                      <w:spacing w:val="5"/>
                      <w:sz w:val="18"/>
                      <w:szCs w:val="18"/>
                      <w:highlight w:val="none"/>
                      <w:lang w:val="en-US" w:eastAsia="zh-CN"/>
                    </w:rPr>
                    <w:t>2</w:t>
                  </w:r>
                  <w:r>
                    <w:rPr>
                      <w:rFonts w:hint="default"/>
                      <w:b/>
                      <w:bCs/>
                      <w:color w:val="auto"/>
                      <w:spacing w:val="5"/>
                      <w:sz w:val="18"/>
                      <w:szCs w:val="18"/>
                      <w:highlight w:val="none"/>
                    </w:rPr>
                    <w:t xml:space="preserve">  </w:t>
                  </w:r>
                  <w:r>
                    <w:rPr>
                      <w:rFonts w:hint="eastAsia"/>
                      <w:b/>
                      <w:bCs/>
                      <w:color w:val="auto"/>
                      <w:spacing w:val="5"/>
                      <w:sz w:val="18"/>
                      <w:szCs w:val="18"/>
                      <w:highlight w:val="none"/>
                      <w:lang w:val="en-US" w:eastAsia="zh-CN"/>
                    </w:rPr>
                    <w:t>单个企业最低年</w:t>
                  </w:r>
                  <w:r>
                    <w:rPr>
                      <w:rFonts w:hint="default"/>
                      <w:b/>
                      <w:bCs/>
                      <w:color w:val="auto"/>
                      <w:spacing w:val="5"/>
                      <w:sz w:val="18"/>
                      <w:szCs w:val="18"/>
                      <w:highlight w:val="none"/>
                    </w:rPr>
                    <w:t>拆解产能</w:t>
                  </w:r>
                </w:p>
                <w:tbl>
                  <w:tblPr>
                    <w:tblStyle w:val="2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13"/>
                    <w:gridCol w:w="3477"/>
                  </w:tblGrid>
                  <w:tr w14:paraId="52883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29891A3D">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地区类型</w:t>
                        </w:r>
                      </w:p>
                    </w:tc>
                    <w:tc>
                      <w:tcPr>
                        <w:tcW w:w="3055" w:type="pct"/>
                        <w:vAlign w:val="center"/>
                      </w:tcPr>
                      <w:p w14:paraId="5A02CDE1">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eastAsia" w:ascii="Times New Roman" w:hAnsi="Times New Roman" w:eastAsia="宋体" w:cs="Times New Roman"/>
                            <w:b w:val="0"/>
                            <w:bCs w:val="0"/>
                            <w:color w:val="auto"/>
                            <w:spacing w:val="7"/>
                            <w:sz w:val="18"/>
                            <w:szCs w:val="18"/>
                            <w:highlight w:val="none"/>
                            <w:vertAlign w:val="baseline"/>
                            <w:lang w:val="en-US" w:eastAsia="zh-CN"/>
                          </w:rPr>
                          <w:t>单个企业最低年拆解产能/万辆</w:t>
                        </w:r>
                      </w:p>
                    </w:tc>
                  </w:tr>
                  <w:tr w14:paraId="5BD0D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63BAF967">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rPr>
                          <w:t>Ⅰ</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3055" w:type="pct"/>
                        <w:vAlign w:val="center"/>
                      </w:tcPr>
                      <w:p w14:paraId="50F93473">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3</w:t>
                        </w:r>
                      </w:p>
                    </w:tc>
                  </w:tr>
                  <w:tr w14:paraId="770EB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6CC37116">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Ⅱ</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3055" w:type="pct"/>
                        <w:vAlign w:val="center"/>
                      </w:tcPr>
                      <w:p w14:paraId="352A19D7">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2</w:t>
                        </w:r>
                      </w:p>
                    </w:tc>
                  </w:tr>
                  <w:tr w14:paraId="31872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21A5E649">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Ⅲ</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3055" w:type="pct"/>
                        <w:vAlign w:val="center"/>
                      </w:tcPr>
                      <w:p w14:paraId="57236243">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1.5</w:t>
                        </w:r>
                      </w:p>
                    </w:tc>
                  </w:tr>
                  <w:tr w14:paraId="1767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1DD18315">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Ⅳ</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3055" w:type="pct"/>
                        <w:vMerge w:val="restart"/>
                        <w:vAlign w:val="center"/>
                      </w:tcPr>
                      <w:p w14:paraId="5168B88A">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1</w:t>
                        </w:r>
                      </w:p>
                    </w:tc>
                  </w:tr>
                  <w:tr w14:paraId="4DC11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39109954">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Ⅴ</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3055" w:type="pct"/>
                        <w:vMerge w:val="continue"/>
                        <w:vAlign w:val="center"/>
                      </w:tcPr>
                      <w:p w14:paraId="0CA43928">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p>
                    </w:tc>
                  </w:tr>
                  <w:tr w14:paraId="2FDD5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4" w:type="pct"/>
                        <w:vAlign w:val="center"/>
                      </w:tcPr>
                      <w:p w14:paraId="0FA82F1A">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rPr>
                        </w:pPr>
                        <w:r>
                          <w:rPr>
                            <w:rFonts w:hint="default" w:ascii="Times New Roman" w:hAnsi="Times New Roman" w:eastAsia="宋体" w:cs="Times New Roman"/>
                            <w:b w:val="0"/>
                            <w:bCs w:val="0"/>
                            <w:color w:val="auto"/>
                            <w:spacing w:val="7"/>
                            <w:sz w:val="18"/>
                            <w:szCs w:val="18"/>
                            <w:highlight w:val="none"/>
                            <w:vertAlign w:val="baseline"/>
                          </w:rPr>
                          <w:t>Ⅵ</w:t>
                        </w:r>
                        <w:r>
                          <w:rPr>
                            <w:rFonts w:hint="default" w:ascii="Times New Roman" w:hAnsi="Times New Roman" w:eastAsia="宋体" w:cs="Times New Roman"/>
                            <w:b w:val="0"/>
                            <w:bCs w:val="0"/>
                            <w:color w:val="auto"/>
                            <w:spacing w:val="7"/>
                            <w:sz w:val="18"/>
                            <w:szCs w:val="18"/>
                            <w:highlight w:val="none"/>
                            <w:vertAlign w:val="baseline"/>
                            <w:lang w:val="en-US" w:eastAsia="zh-CN"/>
                          </w:rPr>
                          <w:t>档</w:t>
                        </w:r>
                      </w:p>
                    </w:tc>
                    <w:tc>
                      <w:tcPr>
                        <w:tcW w:w="3055" w:type="pct"/>
                        <w:vAlign w:val="center"/>
                      </w:tcPr>
                      <w:p w14:paraId="23C6D9E2">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val="0"/>
                            <w:bCs w:val="0"/>
                            <w:color w:val="auto"/>
                            <w:spacing w:val="7"/>
                            <w:sz w:val="18"/>
                            <w:szCs w:val="18"/>
                            <w:highlight w:val="none"/>
                            <w:vertAlign w:val="baseline"/>
                            <w:lang w:val="en-US" w:eastAsia="zh-CN"/>
                          </w:rPr>
                        </w:pPr>
                        <w:r>
                          <w:rPr>
                            <w:rFonts w:hint="default" w:ascii="Times New Roman" w:hAnsi="Times New Roman" w:eastAsia="宋体" w:cs="Times New Roman"/>
                            <w:b w:val="0"/>
                            <w:bCs w:val="0"/>
                            <w:color w:val="auto"/>
                            <w:spacing w:val="7"/>
                            <w:sz w:val="18"/>
                            <w:szCs w:val="18"/>
                            <w:highlight w:val="none"/>
                            <w:vertAlign w:val="baseline"/>
                            <w:lang w:val="en-US" w:eastAsia="zh-CN"/>
                          </w:rPr>
                          <w:t>0.5</w:t>
                        </w:r>
                      </w:p>
                    </w:tc>
                  </w:tr>
                </w:tbl>
                <w:p w14:paraId="6C64EC42">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u w:val="none" w:color="auto"/>
                    </w:rPr>
                  </w:pPr>
                </w:p>
              </w:tc>
              <w:tc>
                <w:tcPr>
                  <w:tcW w:w="2229" w:type="pct"/>
                  <w:tcBorders>
                    <w:tl2br w:val="nil"/>
                    <w:tr2bl w:val="nil"/>
                  </w:tcBorders>
                  <w:noWrap w:val="0"/>
                  <w:vAlign w:val="center"/>
                </w:tcPr>
                <w:p w14:paraId="3B961A79">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本项目计划年拆解机动车1万辆，满足</w:t>
                  </w:r>
                  <w:r>
                    <w:rPr>
                      <w:rFonts w:hint="default" w:ascii="Times New Roman" w:hAnsi="Times New Roman" w:eastAsia="宋体" w:cs="Times New Roman"/>
                      <w:color w:val="auto"/>
                      <w:kern w:val="0"/>
                      <w:szCs w:val="21"/>
                      <w:highlight w:val="none"/>
                      <w:u w:val="none" w:color="auto"/>
                      <w:lang w:val="zh-CN"/>
                    </w:rPr>
                    <w:t>V档</w:t>
                  </w:r>
                  <w:r>
                    <w:rPr>
                      <w:rFonts w:hint="eastAsia" w:ascii="Times New Roman" w:hAnsi="Times New Roman" w:eastAsia="宋体" w:cs="Times New Roman"/>
                      <w:color w:val="auto"/>
                      <w:kern w:val="0"/>
                      <w:szCs w:val="21"/>
                      <w:highlight w:val="none"/>
                      <w:u w:val="none" w:color="auto"/>
                      <w:lang w:val="en-US" w:eastAsia="zh-CN"/>
                    </w:rPr>
                    <w:t>地区中单个企业最低拆解产能要求</w:t>
                  </w:r>
                </w:p>
              </w:tc>
              <w:tc>
                <w:tcPr>
                  <w:tcW w:w="376" w:type="pct"/>
                  <w:tcBorders>
                    <w:tl2br w:val="nil"/>
                    <w:tr2bl w:val="nil"/>
                  </w:tcBorders>
                  <w:noWrap w:val="0"/>
                  <w:vAlign w:val="center"/>
                </w:tcPr>
                <w:p w14:paraId="30833DF2">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符合</w:t>
                  </w:r>
                </w:p>
              </w:tc>
            </w:tr>
            <w:tr w14:paraId="3BC404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restart"/>
                  <w:tcBorders>
                    <w:tl2br w:val="nil"/>
                    <w:tr2bl w:val="nil"/>
                  </w:tcBorders>
                  <w:noWrap w:val="0"/>
                  <w:vAlign w:val="center"/>
                </w:tcPr>
                <w:p w14:paraId="1EAD7192">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eastAsia="zh-CN"/>
                    </w:rPr>
                  </w:pPr>
                  <w:r>
                    <w:rPr>
                      <w:rFonts w:hint="eastAsia" w:ascii="Times New Roman" w:hAnsi="Times New Roman" w:eastAsia="宋体" w:cs="Times New Roman"/>
                      <w:color w:val="auto"/>
                      <w:kern w:val="0"/>
                      <w:szCs w:val="21"/>
                      <w:highlight w:val="none"/>
                      <w:u w:val="none" w:color="auto"/>
                      <w:lang w:val="zh-CN"/>
                    </w:rPr>
                    <w:t>场地要求</w:t>
                  </w:r>
                </w:p>
              </w:tc>
              <w:tc>
                <w:tcPr>
                  <w:tcW w:w="2104" w:type="pct"/>
                  <w:tcBorders>
                    <w:tl2br w:val="nil"/>
                    <w:tr2bl w:val="nil"/>
                  </w:tcBorders>
                  <w:noWrap w:val="0"/>
                  <w:vAlign w:val="center"/>
                </w:tcPr>
                <w:p w14:paraId="69A550C1">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企业建设项目选址应满足如下要求：</w:t>
                  </w:r>
                </w:p>
                <w:p w14:paraId="4B805DC0">
                  <w:pPr>
                    <w:keepNext w:val="0"/>
                    <w:keepLines w:val="0"/>
                    <w:numPr>
                      <w:ilvl w:val="0"/>
                      <w:numId w:val="2"/>
                    </w:numPr>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符合所在地城市总体规划或国土空间规划；</w:t>
                  </w:r>
                </w:p>
                <w:p w14:paraId="654380D0">
                  <w:pPr>
                    <w:keepNext w:val="0"/>
                    <w:keepLines w:val="0"/>
                    <w:numPr>
                      <w:ilvl w:val="0"/>
                      <w:numId w:val="2"/>
                    </w:numPr>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符合GB 50187、HJ 348的选址要求，不得建在城市居民区、商业区、饮用水水源保护区及其他环境敏感区内，且避开受环境威胁的地</w:t>
                  </w:r>
                  <w:r>
                    <w:rPr>
                      <w:rFonts w:hint="eastAsia" w:ascii="Times New Roman" w:hAnsi="Times New Roman" w:eastAsia="宋体" w:cs="Times New Roman"/>
                      <w:color w:val="auto"/>
                      <w:kern w:val="0"/>
                      <w:szCs w:val="21"/>
                      <w:highlight w:val="none"/>
                      <w:u w:val="none" w:color="auto"/>
                      <w:lang w:val="zh-CN"/>
                    </w:rPr>
                    <w:t>带</w:t>
                  </w:r>
                  <w:r>
                    <w:rPr>
                      <w:rFonts w:hint="default" w:ascii="Times New Roman" w:hAnsi="Times New Roman" w:eastAsia="宋体" w:cs="Times New Roman"/>
                      <w:color w:val="auto"/>
                      <w:kern w:val="0"/>
                      <w:szCs w:val="21"/>
                      <w:highlight w:val="none"/>
                      <w:u w:val="none" w:color="auto"/>
                      <w:lang w:val="zh-CN"/>
                    </w:rPr>
                    <w:t>、地段和地区；</w:t>
                  </w:r>
                </w:p>
                <w:p w14:paraId="3558C48E">
                  <w:pPr>
                    <w:keepNext w:val="0"/>
                    <w:keepLines w:val="0"/>
                    <w:numPr>
                      <w:ilvl w:val="0"/>
                      <w:numId w:val="2"/>
                    </w:numPr>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项目所在地有工业园区或再生利用园区的应建设在园区内</w:t>
                  </w:r>
                  <w:r>
                    <w:rPr>
                      <w:rFonts w:hint="eastAsia" w:ascii="Times New Roman" w:hAnsi="Times New Roman" w:eastAsia="宋体" w:cs="Times New Roman"/>
                      <w:color w:val="auto"/>
                      <w:kern w:val="0"/>
                      <w:szCs w:val="21"/>
                      <w:highlight w:val="none"/>
                      <w:u w:val="none" w:color="auto"/>
                      <w:lang w:val="zh-CN"/>
                    </w:rPr>
                    <w:t>。</w:t>
                  </w:r>
                </w:p>
                <w:p w14:paraId="58F8F59B">
                  <w:pPr>
                    <w:keepNext w:val="0"/>
                    <w:keepLines w:val="0"/>
                    <w:widowControl/>
                    <w:suppressLineNumbers w:val="0"/>
                    <w:spacing w:before="0" w:beforeAutospacing="0" w:after="0" w:afterAutospacing="0"/>
                    <w:ind w:left="0" w:right="0"/>
                    <w:jc w:val="left"/>
                    <w:rPr>
                      <w:rFonts w:hint="eastAsia"/>
                      <w:color w:val="auto"/>
                      <w:highlight w:val="none"/>
                      <w:lang w:val="zh-CN"/>
                    </w:rPr>
                  </w:pPr>
                  <w:r>
                    <w:rPr>
                      <w:rFonts w:hint="eastAsia" w:ascii="宋体" w:hAnsi="宋体" w:eastAsia="宋体" w:cs="宋体"/>
                      <w:color w:val="auto"/>
                      <w:kern w:val="0"/>
                      <w:sz w:val="20"/>
                      <w:szCs w:val="20"/>
                      <w:highlight w:val="none"/>
                      <w:lang w:val="en-US" w:eastAsia="zh-CN" w:bidi="ar"/>
                    </w:rPr>
                    <w:t xml:space="preserve">4）企业最低经营面积（占地面积）应满足如下要求：其中作业场地（包括拆解和贮存场地）面积不低于经营面积的 </w:t>
                  </w:r>
                  <w:r>
                    <w:rPr>
                      <w:rFonts w:hint="default" w:ascii="Times New Roman" w:hAnsi="Times New Roman" w:eastAsia="宋体" w:cs="Times New Roman"/>
                      <w:color w:val="auto"/>
                      <w:kern w:val="0"/>
                      <w:sz w:val="20"/>
                      <w:szCs w:val="20"/>
                      <w:highlight w:val="none"/>
                      <w:lang w:val="en-US" w:eastAsia="zh-CN" w:bidi="ar"/>
                    </w:rPr>
                    <w:t>60%</w:t>
                  </w:r>
                  <w:r>
                    <w:rPr>
                      <w:rFonts w:hint="eastAsia" w:ascii="Times New Roman" w:hAnsi="Times New Roman" w:eastAsia="宋体" w:cs="Times New Roman"/>
                      <w:color w:val="auto"/>
                      <w:kern w:val="0"/>
                      <w:sz w:val="20"/>
                      <w:szCs w:val="20"/>
                      <w:highlight w:val="none"/>
                      <w:lang w:val="en-US" w:eastAsia="zh-CN" w:bidi="ar"/>
                    </w:rPr>
                    <w:t>.</w:t>
                  </w:r>
                </w:p>
              </w:tc>
              <w:tc>
                <w:tcPr>
                  <w:tcW w:w="2229" w:type="pct"/>
                  <w:tcBorders>
                    <w:tl2br w:val="nil"/>
                    <w:tr2bl w:val="nil"/>
                  </w:tcBorders>
                  <w:noWrap w:val="0"/>
                  <w:vAlign w:val="center"/>
                </w:tcPr>
                <w:p w14:paraId="6C97ACDB">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1）本项目用地性质为工业用地。</w:t>
                  </w:r>
                </w:p>
                <w:p w14:paraId="03BE86B1">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 xml:space="preserve">2）本项目不在城市居民区、商业区、饮用水源保护区及其他环境敏感区内，且避开受环境威胁的地带、地段和地区，符合 </w:t>
                  </w:r>
                  <w:r>
                    <w:rPr>
                      <w:rFonts w:hint="default" w:ascii="Times New Roman" w:hAnsi="Times New Roman" w:eastAsia="宋体" w:cs="Times New Roman"/>
                      <w:color w:val="auto"/>
                      <w:kern w:val="0"/>
                      <w:szCs w:val="21"/>
                      <w:highlight w:val="none"/>
                      <w:u w:val="none" w:color="auto"/>
                      <w:lang w:val="en-US" w:eastAsia="zh-CN"/>
                    </w:rPr>
                    <w:t>GB50187</w:t>
                  </w:r>
                  <w:r>
                    <w:rPr>
                      <w:rFonts w:hint="eastAsia" w:ascii="Times New Roman" w:hAnsi="Times New Roman" w:eastAsia="宋体" w:cs="Times New Roman"/>
                      <w:color w:val="auto"/>
                      <w:kern w:val="0"/>
                      <w:szCs w:val="21"/>
                      <w:highlight w:val="none"/>
                      <w:u w:val="none" w:color="auto"/>
                      <w:lang w:val="en-US" w:eastAsia="zh-CN"/>
                    </w:rPr>
                    <w:t>、</w:t>
                  </w:r>
                  <w:r>
                    <w:rPr>
                      <w:rFonts w:hint="default" w:ascii="Times New Roman" w:hAnsi="Times New Roman" w:eastAsia="宋体" w:cs="Times New Roman"/>
                      <w:color w:val="auto"/>
                      <w:kern w:val="0"/>
                      <w:szCs w:val="21"/>
                      <w:highlight w:val="none"/>
                      <w:u w:val="none" w:color="auto"/>
                      <w:lang w:val="en-US" w:eastAsia="zh-CN"/>
                    </w:rPr>
                    <w:t xml:space="preserve">HJ348 </w:t>
                  </w:r>
                  <w:r>
                    <w:rPr>
                      <w:rFonts w:hint="eastAsia" w:ascii="Times New Roman" w:hAnsi="Times New Roman" w:eastAsia="宋体" w:cs="Times New Roman"/>
                      <w:color w:val="auto"/>
                      <w:kern w:val="0"/>
                      <w:szCs w:val="21"/>
                      <w:highlight w:val="none"/>
                      <w:u w:val="none" w:color="auto"/>
                      <w:lang w:val="en-US" w:eastAsia="zh-CN"/>
                    </w:rPr>
                    <w:t xml:space="preserve">的选址要求。 </w:t>
                  </w:r>
                </w:p>
                <w:p w14:paraId="58AF538E">
                  <w:pPr>
                    <w:keepNext w:val="0"/>
                    <w:keepLines w:val="0"/>
                    <w:suppressLineNumbers w:val="0"/>
                    <w:autoSpaceDE w:val="0"/>
                    <w:autoSpaceDN w:val="0"/>
                    <w:spacing w:before="0" w:beforeAutospacing="0" w:after="0" w:afterAutospacing="0"/>
                    <w:ind w:left="0" w:right="0"/>
                    <w:jc w:val="both"/>
                    <w:rPr>
                      <w:rFonts w:hint="default"/>
                      <w:color w:val="auto"/>
                      <w:highlight w:val="none"/>
                      <w:lang w:val="en-US" w:eastAsia="zh-CN"/>
                    </w:rPr>
                  </w:pP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w:t>
                  </w:r>
                  <w:r>
                    <w:rPr>
                      <w:rFonts w:hint="default" w:ascii="Times New Roman" w:hAnsi="Times New Roman" w:eastAsia="宋体" w:cs="Times New Roman"/>
                      <w:color w:val="auto"/>
                      <w:kern w:val="0"/>
                      <w:szCs w:val="21"/>
                      <w:highlight w:val="none"/>
                      <w:u w:val="none" w:color="auto"/>
                      <w:lang w:val="zh-CN"/>
                    </w:rPr>
                    <w:t>本项目位于阜新市高新技术产业开发区</w:t>
                  </w:r>
                  <w:r>
                    <w:rPr>
                      <w:rFonts w:hint="eastAsia" w:cs="Times New Roman"/>
                      <w:color w:val="auto"/>
                      <w:kern w:val="0"/>
                      <w:szCs w:val="21"/>
                      <w:highlight w:val="none"/>
                      <w:u w:val="none" w:color="auto"/>
                      <w:lang w:val="zh-CN"/>
                    </w:rPr>
                    <w:t>，</w:t>
                  </w:r>
                  <w:r>
                    <w:rPr>
                      <w:rFonts w:hint="default" w:ascii="Times New Roman" w:hAnsi="Times New Roman" w:eastAsia="宋体" w:cs="Times New Roman"/>
                      <w:color w:val="auto"/>
                      <w:kern w:val="0"/>
                      <w:szCs w:val="21"/>
                      <w:highlight w:val="none"/>
                      <w:u w:val="none" w:color="auto"/>
                      <w:lang w:val="en-US" w:eastAsia="zh-CN"/>
                    </w:rPr>
                    <w:t>项目的建设满足用地规划</w:t>
                  </w:r>
                  <w:r>
                    <w:rPr>
                      <w:rFonts w:hint="eastAsia" w:ascii="Times New Roman" w:hAnsi="Times New Roman" w:eastAsia="宋体" w:cs="Times New Roman"/>
                      <w:color w:val="auto"/>
                      <w:kern w:val="0"/>
                      <w:szCs w:val="21"/>
                      <w:highlight w:val="none"/>
                      <w:u w:val="none" w:color="auto"/>
                      <w:lang w:val="en-US" w:eastAsia="zh-CN"/>
                    </w:rPr>
                    <w:t>，符合园区规划</w:t>
                  </w:r>
                  <w:r>
                    <w:rPr>
                      <w:rFonts w:hint="eastAsia" w:cs="Times New Roman"/>
                      <w:color w:val="auto"/>
                      <w:kern w:val="0"/>
                      <w:szCs w:val="21"/>
                      <w:highlight w:val="none"/>
                      <w:u w:val="none" w:color="auto"/>
                      <w:lang w:val="en-US" w:eastAsia="zh-CN"/>
                    </w:rPr>
                    <w:t>。</w:t>
                  </w:r>
                </w:p>
              </w:tc>
              <w:tc>
                <w:tcPr>
                  <w:tcW w:w="376" w:type="pct"/>
                  <w:tcBorders>
                    <w:tl2br w:val="nil"/>
                    <w:tr2bl w:val="nil"/>
                  </w:tcBorders>
                  <w:noWrap w:val="0"/>
                  <w:vAlign w:val="center"/>
                </w:tcPr>
                <w:p w14:paraId="4F073094">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51F11B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0AA09954">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4C789682">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企业应严格执行《工业项目建设用地控制指标》建设用地标准，且场地建设符合HJ 348的企业建设环境保护要求。</w:t>
                  </w:r>
                </w:p>
              </w:tc>
              <w:tc>
                <w:tcPr>
                  <w:tcW w:w="2229" w:type="pct"/>
                  <w:tcBorders>
                    <w:tl2br w:val="nil"/>
                    <w:tr2bl w:val="nil"/>
                  </w:tcBorders>
                  <w:noWrap w:val="0"/>
                  <w:vAlign w:val="center"/>
                </w:tcPr>
                <w:p w14:paraId="77C9F00F">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 xml:space="preserve">项目执行《工业项目建设用地控制指标》建设用地标准，且场地建设符合 </w:t>
                  </w:r>
                  <w:r>
                    <w:rPr>
                      <w:rFonts w:hint="default" w:ascii="Times New Roman" w:hAnsi="Times New Roman" w:eastAsia="宋体" w:cs="Times New Roman"/>
                      <w:color w:val="auto"/>
                      <w:kern w:val="0"/>
                      <w:szCs w:val="21"/>
                      <w:highlight w:val="none"/>
                      <w:u w:val="none" w:color="auto"/>
                      <w:lang w:val="en-US" w:eastAsia="zh-CN"/>
                    </w:rPr>
                    <w:t xml:space="preserve">HJ348 </w:t>
                  </w:r>
                  <w:r>
                    <w:rPr>
                      <w:rFonts w:hint="eastAsia" w:ascii="Times New Roman" w:hAnsi="Times New Roman" w:eastAsia="宋体" w:cs="Times New Roman"/>
                      <w:color w:val="auto"/>
                      <w:kern w:val="0"/>
                      <w:szCs w:val="21"/>
                      <w:highlight w:val="none"/>
                      <w:u w:val="none" w:color="auto"/>
                      <w:lang w:val="en-US" w:eastAsia="zh-CN"/>
                    </w:rPr>
                    <w:t>的企业建设环境保护要求。</w:t>
                  </w:r>
                </w:p>
              </w:tc>
              <w:tc>
                <w:tcPr>
                  <w:tcW w:w="376" w:type="pct"/>
                  <w:tcBorders>
                    <w:tl2br w:val="nil"/>
                    <w:tr2bl w:val="nil"/>
                  </w:tcBorders>
                  <w:noWrap w:val="0"/>
                  <w:vAlign w:val="center"/>
                </w:tcPr>
                <w:p w14:paraId="67C442A8">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693D35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29CC0F42">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1465A31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企业场地应具备拆解场地、贮存场地和办公场地。其中，拆解场地和贮存场地（包括临时贮存）的地面应硬化并防渗漏，满足GB50037的防油渗地面要求。</w:t>
                  </w:r>
                </w:p>
              </w:tc>
              <w:tc>
                <w:tcPr>
                  <w:tcW w:w="2229" w:type="pct"/>
                  <w:tcBorders>
                    <w:tl2br w:val="nil"/>
                    <w:tr2bl w:val="nil"/>
                  </w:tcBorders>
                  <w:noWrap w:val="0"/>
                  <w:vAlign w:val="center"/>
                </w:tcPr>
                <w:p w14:paraId="0760CD26">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企业场地具备拆解场地、贮存场地和办公场地，拆解场地和贮存场地（包括临时贮存）的地面应硬化并防渗漏，满足GB50037的耐磨和耐撞击地面及防油渗地面要求。</w:t>
                  </w:r>
                </w:p>
              </w:tc>
              <w:tc>
                <w:tcPr>
                  <w:tcW w:w="376" w:type="pct"/>
                  <w:tcBorders>
                    <w:tl2br w:val="nil"/>
                    <w:tr2bl w:val="nil"/>
                  </w:tcBorders>
                  <w:noWrap w:val="0"/>
                  <w:vAlign w:val="center"/>
                </w:tcPr>
                <w:p w14:paraId="05003772">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7CACE42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1E90082D">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56F389B5">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拆解场地应为封闭或半封闭构建物，应通风、光线良好，安全环保设施设备齐全。</w:t>
                  </w:r>
                </w:p>
              </w:tc>
              <w:tc>
                <w:tcPr>
                  <w:tcW w:w="2229" w:type="pct"/>
                  <w:tcBorders>
                    <w:tl2br w:val="nil"/>
                    <w:tr2bl w:val="nil"/>
                  </w:tcBorders>
                  <w:noWrap w:val="0"/>
                  <w:vAlign w:val="center"/>
                </w:tcPr>
                <w:p w14:paraId="155FD6D3">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 xml:space="preserve">项目拆解场地位于生产车间内，车间整体为全封闭结构，各分区采用 </w:t>
                  </w:r>
                </w:p>
                <w:p w14:paraId="4DA2658A">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护栏或半封闭形式分隔，车间地面采取防腐防渗措施，通风、光线良好，安全防范设施齐全</w:t>
                  </w:r>
                </w:p>
              </w:tc>
              <w:tc>
                <w:tcPr>
                  <w:tcW w:w="376" w:type="pct"/>
                  <w:tcBorders>
                    <w:tl2br w:val="nil"/>
                    <w:tr2bl w:val="nil"/>
                  </w:tcBorders>
                  <w:noWrap w:val="0"/>
                  <w:vAlign w:val="center"/>
                </w:tcPr>
                <w:p w14:paraId="4CFDE202">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51B87B4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0C663175">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1C994A0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贮存场地应分为报废机动车贮存场地、回用件贮存场地及固体废物贮存场地。固体废物贮存场地应具有满足GB 18599要求的一般工业固体废物贮存设施和满足GB 18597要求的危险废物贮存设施。</w:t>
                  </w:r>
                </w:p>
              </w:tc>
              <w:tc>
                <w:tcPr>
                  <w:tcW w:w="2229" w:type="pct"/>
                  <w:tcBorders>
                    <w:tl2br w:val="nil"/>
                    <w:tr2bl w:val="nil"/>
                  </w:tcBorders>
                  <w:noWrap w:val="0"/>
                  <w:vAlign w:val="center"/>
                </w:tcPr>
                <w:p w14:paraId="359351EB">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项目厂区设置车辆存放区，车间内设置五大总成储存区、产品储存区，设置一般固废贮存库用于暂存不可利用物，并设有</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个危险废物贮存库分别存放废、废蓄电池及其他危废。危险废物贮存库满足 </w:t>
                  </w:r>
                  <w:r>
                    <w:rPr>
                      <w:rFonts w:hint="default" w:ascii="Times New Roman" w:hAnsi="Times New Roman" w:eastAsia="宋体" w:cs="Times New Roman"/>
                      <w:color w:val="auto"/>
                      <w:kern w:val="0"/>
                      <w:szCs w:val="21"/>
                      <w:highlight w:val="none"/>
                      <w:u w:val="none" w:color="auto"/>
                      <w:lang w:val="en-US" w:eastAsia="zh-CN"/>
                    </w:rPr>
                    <w:t xml:space="preserve">GB18597 </w:t>
                  </w:r>
                  <w:r>
                    <w:rPr>
                      <w:rFonts w:hint="eastAsia" w:ascii="Times New Roman" w:hAnsi="Times New Roman" w:eastAsia="宋体" w:cs="Times New Roman"/>
                      <w:color w:val="auto"/>
                      <w:kern w:val="0"/>
                      <w:szCs w:val="21"/>
                      <w:highlight w:val="none"/>
                      <w:u w:val="none" w:color="auto"/>
                      <w:lang w:val="en-US" w:eastAsia="zh-CN"/>
                    </w:rPr>
                    <w:t>要求，车辆存放区、一般工业固废库满足</w:t>
                  </w:r>
                  <w:r>
                    <w:rPr>
                      <w:rFonts w:hint="default" w:ascii="Times New Roman" w:hAnsi="Times New Roman" w:eastAsia="宋体" w:cs="Times New Roman"/>
                      <w:color w:val="auto"/>
                      <w:kern w:val="0"/>
                      <w:szCs w:val="21"/>
                      <w:highlight w:val="none"/>
                      <w:u w:val="none" w:color="auto"/>
                      <w:lang w:val="en-US" w:eastAsia="zh-CN"/>
                    </w:rPr>
                    <w:t xml:space="preserve">GB18599 </w:t>
                  </w:r>
                  <w:r>
                    <w:rPr>
                      <w:rFonts w:hint="eastAsia" w:ascii="Times New Roman" w:hAnsi="Times New Roman" w:eastAsia="宋体" w:cs="Times New Roman"/>
                      <w:color w:val="auto"/>
                      <w:kern w:val="0"/>
                      <w:szCs w:val="21"/>
                      <w:highlight w:val="none"/>
                      <w:u w:val="none" w:color="auto"/>
                      <w:lang w:val="en-US" w:eastAsia="zh-CN"/>
                    </w:rPr>
                    <w:t>要求的一般工业固体废物贮存设施要求。</w:t>
                  </w:r>
                </w:p>
              </w:tc>
              <w:tc>
                <w:tcPr>
                  <w:tcW w:w="376" w:type="pct"/>
                  <w:tcBorders>
                    <w:tl2br w:val="nil"/>
                    <w:tr2bl w:val="nil"/>
                  </w:tcBorders>
                  <w:noWrap w:val="0"/>
                  <w:vAlign w:val="center"/>
                </w:tcPr>
                <w:p w14:paraId="6E3D060B">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114A8C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05D7A23A">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eastAsia="zh-CN"/>
                    </w:rPr>
                  </w:pPr>
                </w:p>
              </w:tc>
              <w:tc>
                <w:tcPr>
                  <w:tcW w:w="2104" w:type="pct"/>
                  <w:tcBorders>
                    <w:tl2br w:val="nil"/>
                    <w:tr2bl w:val="nil"/>
                  </w:tcBorders>
                  <w:noWrap w:val="0"/>
                  <w:vAlign w:val="center"/>
                </w:tcPr>
                <w:p w14:paraId="4B1EAF7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拆解新能源汽车的企业还应满足以下场地建设要求：</w:t>
                  </w:r>
                </w:p>
                <w:p w14:paraId="681D5ED4">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rPr>
                    <w:t>a）具备新能源汽车贮存场地、动力蓄电池贮存场地和动力蓄电池拆卸专用场地。场地应设高压警示、区域隔离及危险识别标志，并具有防腐防渗紧急收集池及专用容器。用于收集动力蓄电池等破损时</w:t>
                  </w:r>
                  <w:r>
                    <w:rPr>
                      <w:rFonts w:hint="eastAsia" w:ascii="Times New Roman" w:hAnsi="Times New Roman" w:eastAsia="宋体" w:cs="Times New Roman"/>
                      <w:color w:val="auto"/>
                      <w:kern w:val="0"/>
                      <w:szCs w:val="21"/>
                      <w:highlight w:val="none"/>
                      <w:u w:val="none" w:color="auto"/>
                      <w:lang w:eastAsia="zh-CN"/>
                    </w:rPr>
                    <w:t>泄漏</w:t>
                  </w:r>
                  <w:r>
                    <w:rPr>
                      <w:rFonts w:hint="eastAsia" w:ascii="Times New Roman" w:hAnsi="Times New Roman" w:eastAsia="宋体" w:cs="Times New Roman"/>
                      <w:color w:val="auto"/>
                      <w:kern w:val="0"/>
                      <w:szCs w:val="21"/>
                      <w:highlight w:val="none"/>
                      <w:u w:val="none" w:color="auto"/>
                    </w:rPr>
                    <w:t>出的电解液、冷却液等有毒有害液体。b</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新能源汽车贮存场地应单独管理，并保持通风。c）动力蓄电池贮存场地应设在易燃、易爆等危险品仓库及高压输电线路防护区域以外，并设烟雾报警器等火灾自动报警设施。d</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动力蓄电池拆卸专用场地地面应做绝缘处理。</w:t>
                  </w:r>
                </w:p>
              </w:tc>
              <w:tc>
                <w:tcPr>
                  <w:tcW w:w="2229" w:type="pct"/>
                  <w:tcBorders>
                    <w:tl2br w:val="nil"/>
                    <w:tr2bl w:val="nil"/>
                  </w:tcBorders>
                  <w:noWrap w:val="0"/>
                  <w:vAlign w:val="center"/>
                </w:tcPr>
                <w:p w14:paraId="48533CF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项目</w:t>
                  </w:r>
                  <w:r>
                    <w:rPr>
                      <w:rFonts w:hint="eastAsia" w:cs="Times New Roman"/>
                      <w:color w:val="auto"/>
                      <w:kern w:val="0"/>
                      <w:szCs w:val="21"/>
                      <w:highlight w:val="none"/>
                      <w:u w:val="none" w:color="auto"/>
                      <w:lang w:val="zh-CN"/>
                    </w:rPr>
                    <w:t>拟</w:t>
                  </w:r>
                  <w:r>
                    <w:rPr>
                      <w:rFonts w:hint="eastAsia" w:ascii="Times New Roman" w:hAnsi="Times New Roman" w:eastAsia="宋体" w:cs="Times New Roman"/>
                      <w:color w:val="auto"/>
                      <w:kern w:val="0"/>
                      <w:szCs w:val="21"/>
                      <w:highlight w:val="none"/>
                      <w:u w:val="none" w:color="auto"/>
                      <w:lang w:val="zh-CN"/>
                    </w:rPr>
                    <w:t>设置</w:t>
                  </w:r>
                  <w:r>
                    <w:rPr>
                      <w:rFonts w:hint="eastAsia" w:ascii="Times New Roman" w:hAnsi="Times New Roman" w:eastAsia="宋体" w:cs="Times New Roman"/>
                      <w:color w:val="auto"/>
                      <w:kern w:val="0"/>
                      <w:szCs w:val="21"/>
                      <w:highlight w:val="none"/>
                      <w:u w:val="none" w:color="auto"/>
                    </w:rPr>
                    <w:t>新能源汽车贮存场地、动力蓄电池贮存场地和动力蓄电池拆卸专用场地</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lang w:val="zh-CN"/>
                    </w:rPr>
                    <w:t>动力蓄电池放入动力电池暂存区，拟设置</w:t>
                  </w:r>
                  <w:r>
                    <w:rPr>
                      <w:rFonts w:hint="eastAsia" w:ascii="Times New Roman" w:hAnsi="Times New Roman" w:eastAsia="宋体" w:cs="Times New Roman"/>
                      <w:color w:val="auto"/>
                      <w:kern w:val="0"/>
                      <w:szCs w:val="21"/>
                      <w:highlight w:val="none"/>
                      <w:u w:val="none" w:color="auto"/>
                    </w:rPr>
                    <w:t>防腐防渗紧急收集池及专用容器</w:t>
                  </w:r>
                  <w:r>
                    <w:rPr>
                      <w:rFonts w:hint="eastAsia" w:ascii="Times New Roman" w:hAnsi="Times New Roman" w:eastAsia="宋体" w:cs="Times New Roman"/>
                      <w:color w:val="auto"/>
                      <w:kern w:val="0"/>
                      <w:szCs w:val="21"/>
                      <w:highlight w:val="none"/>
                      <w:u w:val="none" w:color="auto"/>
                      <w:lang w:val="zh-CN"/>
                    </w:rPr>
                    <w:t>；动力蓄电池拆卸场地拟设高压警示、区域隔离及危险识别标志、</w:t>
                  </w:r>
                  <w:r>
                    <w:rPr>
                      <w:rFonts w:hint="eastAsia" w:ascii="Times New Roman" w:hAnsi="Times New Roman" w:eastAsia="宋体" w:cs="Times New Roman"/>
                      <w:color w:val="auto"/>
                      <w:kern w:val="0"/>
                      <w:szCs w:val="21"/>
                      <w:highlight w:val="none"/>
                      <w:u w:val="none" w:color="auto"/>
                    </w:rPr>
                    <w:t>地面做绝缘处理</w:t>
                  </w:r>
                  <w:r>
                    <w:rPr>
                      <w:rFonts w:hint="eastAsia" w:ascii="Times New Roman" w:hAnsi="Times New Roman" w:eastAsia="宋体" w:cs="Times New Roman"/>
                      <w:color w:val="auto"/>
                      <w:kern w:val="0"/>
                      <w:szCs w:val="21"/>
                      <w:highlight w:val="none"/>
                      <w:u w:val="none" w:color="auto"/>
                      <w:lang w:val="zh-CN"/>
                    </w:rPr>
                    <w:t>。</w:t>
                  </w:r>
                </w:p>
                <w:p w14:paraId="7346D4D0">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贮存区、拆解区拟设消防栓、灭火器、报警器等安全防范设施，现场配备专人负责安全、环保等工作，满足相关要求。</w:t>
                  </w:r>
                </w:p>
              </w:tc>
              <w:tc>
                <w:tcPr>
                  <w:tcW w:w="376" w:type="pct"/>
                  <w:tcBorders>
                    <w:tl2br w:val="nil"/>
                    <w:tr2bl w:val="nil"/>
                  </w:tcBorders>
                  <w:noWrap w:val="0"/>
                  <w:vAlign w:val="center"/>
                </w:tcPr>
                <w:p w14:paraId="7FA05B11">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rPr>
                    <w:t>符合</w:t>
                  </w:r>
                </w:p>
              </w:tc>
            </w:tr>
            <w:tr w14:paraId="37A243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restart"/>
                  <w:tcBorders>
                    <w:tl2br w:val="nil"/>
                    <w:tr2bl w:val="nil"/>
                  </w:tcBorders>
                  <w:noWrap w:val="0"/>
                  <w:vAlign w:val="center"/>
                </w:tcPr>
                <w:p w14:paraId="73DC2251">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zh-CN"/>
                    </w:rPr>
                    <w:t>设备设施</w:t>
                  </w:r>
                </w:p>
              </w:tc>
              <w:tc>
                <w:tcPr>
                  <w:tcW w:w="2104" w:type="pct"/>
                  <w:tcBorders>
                    <w:tl2br w:val="nil"/>
                    <w:tr2bl w:val="nil"/>
                  </w:tcBorders>
                  <w:noWrap w:val="0"/>
                  <w:vAlign w:val="center"/>
                </w:tcPr>
                <w:p w14:paraId="73451ADD">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应具备以下一般拆解设施设备：</w:t>
                  </w:r>
                </w:p>
                <w:p w14:paraId="73CB2E87">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a）机动车称重设备；b）室内或有防雨顶棚的拆解预处理平台；c）车架（车身）剪断、切制设备或压扁设备，不得仅以氧制设备代替；d）起重、运输或专用拖车等设备；e）总成拆解平台；d）气动拆解工具；g）简易拆解工具。</w:t>
                  </w:r>
                </w:p>
              </w:tc>
              <w:tc>
                <w:tcPr>
                  <w:tcW w:w="2229" w:type="pct"/>
                  <w:tcBorders>
                    <w:tl2br w:val="nil"/>
                    <w:tr2bl w:val="nil"/>
                  </w:tcBorders>
                  <w:noWrap w:val="0"/>
                  <w:vAlign w:val="center"/>
                </w:tcPr>
                <w:p w14:paraId="70FC7820">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项目厂区设有地磅，厂区配备地磅等称重设备，满足报废机动车进厂和拆解产品出厂计量的要求；拆解预处理平台位于车间内东部区域；破碎机和压块机；项目厂区内设有行车、叉车等设备；拆解车间设有总成拆解平台；气动拆解工具；简易拆解工具。</w:t>
                  </w:r>
                </w:p>
              </w:tc>
              <w:tc>
                <w:tcPr>
                  <w:tcW w:w="376" w:type="pct"/>
                  <w:tcBorders>
                    <w:tl2br w:val="nil"/>
                    <w:tr2bl w:val="nil"/>
                  </w:tcBorders>
                  <w:noWrap w:val="0"/>
                  <w:vAlign w:val="center"/>
                </w:tcPr>
                <w:p w14:paraId="6ECD77D8">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348BAC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6C0398DA">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057C9C03">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应具备以下安全设施设备：</w:t>
                  </w:r>
                </w:p>
                <w:p w14:paraId="4809ED5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a）安全气囊直接引爆装置或者拆除、贮存、引爆装置；b）满足GB 50016 规定的消防设施设备；c）应急救援设备。</w:t>
                  </w:r>
                </w:p>
              </w:tc>
              <w:tc>
                <w:tcPr>
                  <w:tcW w:w="2229" w:type="pct"/>
                  <w:tcBorders>
                    <w:tl2br w:val="nil"/>
                    <w:tr2bl w:val="nil"/>
                  </w:tcBorders>
                  <w:noWrap w:val="0"/>
                  <w:vAlign w:val="center"/>
                </w:tcPr>
                <w:p w14:paraId="3E476459">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lang w:val="zh-CN"/>
                    </w:rPr>
                    <w:t>项目</w:t>
                  </w:r>
                  <w:r>
                    <w:rPr>
                      <w:rFonts w:hint="eastAsia" w:ascii="Times New Roman" w:hAnsi="Times New Roman" w:eastAsia="宋体" w:cs="Times New Roman"/>
                      <w:color w:val="auto"/>
                      <w:kern w:val="0"/>
                      <w:szCs w:val="21"/>
                      <w:highlight w:val="none"/>
                      <w:u w:val="none" w:color="auto"/>
                    </w:rPr>
                    <w:t>设有</w:t>
                  </w:r>
                  <w:r>
                    <w:rPr>
                      <w:rFonts w:hint="default" w:ascii="Times New Roman" w:hAnsi="Times New Roman" w:eastAsia="宋体" w:cs="Times New Roman"/>
                      <w:color w:val="auto"/>
                      <w:kern w:val="0"/>
                      <w:szCs w:val="21"/>
                      <w:highlight w:val="none"/>
                      <w:u w:val="none" w:color="auto"/>
                      <w:lang w:val="zh-CN"/>
                    </w:rPr>
                    <w:t>安全气囊拆除引爆装置；消防栓箱和灭火器等设备</w:t>
                  </w:r>
                  <w:r>
                    <w:rPr>
                      <w:rFonts w:hint="eastAsia" w:ascii="Times New Roman" w:hAnsi="Times New Roman" w:eastAsia="宋体" w:cs="Times New Roman"/>
                      <w:color w:val="auto"/>
                      <w:kern w:val="0"/>
                      <w:szCs w:val="21"/>
                      <w:highlight w:val="none"/>
                      <w:u w:val="none" w:color="auto"/>
                      <w:lang w:val="zh-CN"/>
                    </w:rPr>
                    <w:t>。</w:t>
                  </w:r>
                </w:p>
              </w:tc>
              <w:tc>
                <w:tcPr>
                  <w:tcW w:w="376" w:type="pct"/>
                  <w:tcBorders>
                    <w:tl2br w:val="nil"/>
                    <w:tr2bl w:val="nil"/>
                  </w:tcBorders>
                  <w:noWrap w:val="0"/>
                  <w:vAlign w:val="center"/>
                </w:tcPr>
                <w:p w14:paraId="5CC0CCBD">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4CAF16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5946648">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2F964D00">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应具备以下环保设施设备：</w:t>
                  </w:r>
                </w:p>
                <w:p w14:paraId="35A0629D">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a）满足HJ 348 要求的油水分离器等企业建设环境保护设备；b）配有专用废液收集装置和分类存放各种废液的专用密闭容器；c）机动车空调制冷剂收集装置和分类存放各种制冷剂的密闭容器；</w:t>
                  </w:r>
                  <w:r>
                    <w:rPr>
                      <w:rFonts w:hint="default" w:ascii="Times New Roman" w:hAnsi="Times New Roman" w:eastAsia="宋体" w:cs="Times New Roman"/>
                      <w:color w:val="auto"/>
                      <w:kern w:val="0"/>
                      <w:szCs w:val="21"/>
                      <w:highlight w:val="none"/>
                      <w:u w:val="none" w:color="auto"/>
                      <w:lang w:val="zh-CN"/>
                    </w:rPr>
                    <w:t>d</w:t>
                  </w:r>
                  <w:r>
                    <w:rPr>
                      <w:rFonts w:hint="eastAsia" w:cs="Times New Roman"/>
                      <w:color w:val="auto"/>
                      <w:kern w:val="0"/>
                      <w:szCs w:val="21"/>
                      <w:highlight w:val="none"/>
                      <w:u w:val="none" w:color="auto"/>
                      <w:lang w:val="zh-CN"/>
                    </w:rPr>
                    <w:t>）</w:t>
                  </w:r>
                  <w:r>
                    <w:rPr>
                      <w:rFonts w:hint="default" w:ascii="Times New Roman" w:hAnsi="Times New Roman" w:eastAsia="宋体" w:cs="Times New Roman"/>
                      <w:color w:val="auto"/>
                      <w:kern w:val="0"/>
                      <w:szCs w:val="21"/>
                      <w:highlight w:val="none"/>
                      <w:u w:val="none" w:color="auto"/>
                      <w:lang w:val="zh-CN"/>
                    </w:rPr>
                    <w:t>分类存放机油滤清器和铅酸蓄电池的容器。</w:t>
                  </w:r>
                </w:p>
              </w:tc>
              <w:tc>
                <w:tcPr>
                  <w:tcW w:w="2229" w:type="pct"/>
                  <w:tcBorders>
                    <w:tl2br w:val="nil"/>
                    <w:tr2bl w:val="nil"/>
                  </w:tcBorders>
                  <w:noWrap w:val="0"/>
                  <w:vAlign w:val="center"/>
                </w:tcPr>
                <w:p w14:paraId="5F78BD13">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项目污水处理设施工艺采用一体化污水处理装置；车间配备室内拆解预处理平台，废油液和废制冷剂等配有专用收集装置和各种专用的密闭容器分类收集各类废液。废电路板、废尾气催化转化器、废机油滤清器等以及废铅酸蓄电池使用专用的容器收集并分别存放于其他危废贮存库和废铅蓄电池贮存库。</w:t>
                  </w:r>
                </w:p>
              </w:tc>
              <w:tc>
                <w:tcPr>
                  <w:tcW w:w="376" w:type="pct"/>
                  <w:tcBorders>
                    <w:tl2br w:val="nil"/>
                    <w:tr2bl w:val="nil"/>
                  </w:tcBorders>
                  <w:noWrap w:val="0"/>
                  <w:vAlign w:val="center"/>
                </w:tcPr>
                <w:p w14:paraId="58F4071F">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3F81BC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4D7D0ACE">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24F44840">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应具备电脑、拍照设备、电子监控等设施设备。</w:t>
                  </w:r>
                </w:p>
              </w:tc>
              <w:tc>
                <w:tcPr>
                  <w:tcW w:w="2229" w:type="pct"/>
                  <w:tcBorders>
                    <w:tl2br w:val="nil"/>
                    <w:tr2bl w:val="nil"/>
                  </w:tcBorders>
                  <w:noWrap w:val="0"/>
                  <w:vAlign w:val="center"/>
                </w:tcPr>
                <w:p w14:paraId="7058E46C">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rPr>
                    <w:t>设有</w:t>
                  </w:r>
                  <w:r>
                    <w:rPr>
                      <w:rFonts w:hint="default" w:ascii="Times New Roman" w:hAnsi="Times New Roman" w:eastAsia="宋体" w:cs="Times New Roman"/>
                      <w:color w:val="auto"/>
                      <w:kern w:val="0"/>
                      <w:szCs w:val="21"/>
                      <w:highlight w:val="none"/>
                      <w:u w:val="none" w:color="auto"/>
                      <w:lang w:val="zh-CN"/>
                    </w:rPr>
                    <w:t>电脑、</w:t>
                  </w:r>
                  <w:r>
                    <w:rPr>
                      <w:rFonts w:hint="eastAsia" w:ascii="Times New Roman" w:hAnsi="Times New Roman" w:eastAsia="宋体" w:cs="Times New Roman"/>
                      <w:color w:val="auto"/>
                      <w:kern w:val="0"/>
                      <w:szCs w:val="21"/>
                      <w:highlight w:val="none"/>
                      <w:u w:val="none" w:color="auto"/>
                      <w:lang w:val="zh-CN"/>
                    </w:rPr>
                    <w:t>拍照设备、</w:t>
                  </w:r>
                  <w:r>
                    <w:rPr>
                      <w:rFonts w:hint="default" w:ascii="Times New Roman" w:hAnsi="Times New Roman" w:eastAsia="宋体" w:cs="Times New Roman"/>
                      <w:color w:val="auto"/>
                      <w:kern w:val="0"/>
                      <w:szCs w:val="21"/>
                      <w:highlight w:val="none"/>
                      <w:u w:val="none" w:color="auto"/>
                      <w:lang w:val="zh-CN"/>
                    </w:rPr>
                    <w:t>电子监控设备</w:t>
                  </w:r>
                  <w:r>
                    <w:rPr>
                      <w:rFonts w:hint="eastAsia" w:ascii="Times New Roman" w:hAnsi="Times New Roman" w:eastAsia="宋体" w:cs="Times New Roman"/>
                      <w:color w:val="auto"/>
                      <w:kern w:val="0"/>
                      <w:szCs w:val="21"/>
                      <w:highlight w:val="none"/>
                      <w:u w:val="none" w:color="auto"/>
                      <w:lang w:val="zh-CN"/>
                    </w:rPr>
                    <w:t>等设施。</w:t>
                  </w:r>
                </w:p>
              </w:tc>
              <w:tc>
                <w:tcPr>
                  <w:tcW w:w="376" w:type="pct"/>
                  <w:tcBorders>
                    <w:tl2br w:val="nil"/>
                    <w:tr2bl w:val="nil"/>
                  </w:tcBorders>
                  <w:noWrap w:val="0"/>
                  <w:vAlign w:val="center"/>
                </w:tcPr>
                <w:p w14:paraId="0C79F94B">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3A7796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A1E24C8">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3E5FE9C9">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应建立设施设备管理制度，制定设备操作规范，并定期维护、更新。</w:t>
                  </w:r>
                </w:p>
              </w:tc>
              <w:tc>
                <w:tcPr>
                  <w:tcW w:w="2229" w:type="pct"/>
                  <w:tcBorders>
                    <w:tl2br w:val="nil"/>
                    <w:tr2bl w:val="nil"/>
                  </w:tcBorders>
                  <w:noWrap w:val="0"/>
                  <w:vAlign w:val="center"/>
                </w:tcPr>
                <w:p w14:paraId="4ED8B7B3">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建立设施设备管理制度，制定设备操作规范，并定期维护、更新。</w:t>
                  </w:r>
                </w:p>
              </w:tc>
              <w:tc>
                <w:tcPr>
                  <w:tcW w:w="376" w:type="pct"/>
                  <w:tcBorders>
                    <w:tl2br w:val="nil"/>
                    <w:tr2bl w:val="nil"/>
                  </w:tcBorders>
                  <w:noWrap w:val="0"/>
                  <w:vAlign w:val="center"/>
                </w:tcPr>
                <w:p w14:paraId="0C4D74B9">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36A50FA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1971D586">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57157AC0">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拆解新能源汽车的企业还应具备以下设施设备及材料：</w:t>
                  </w:r>
                </w:p>
                <w:p w14:paraId="142164B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a</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绝缘检测设备等安全评估设备；b</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动力蓄电池断电设备；c</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吊具、夹臂、机械手和升降工装等动力蓄电池拆卸设备；d</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防静电废液、空调制冷剂抽排设备；e</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绝缘工作服等安全防护及救援设备；f</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绝缘气动工具；</w:t>
                  </w:r>
                </w:p>
                <w:p w14:paraId="79EC7C1B">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rPr>
                    <w:t>g</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绝缘辅助工具；h</w:t>
                  </w:r>
                  <w:r>
                    <w:rPr>
                      <w:rFonts w:hint="eastAsia" w:ascii="Times New Roman" w:hAnsi="Times New Roman" w:eastAsia="宋体" w:cs="Times New Roman"/>
                      <w:color w:val="auto"/>
                      <w:kern w:val="0"/>
                      <w:szCs w:val="21"/>
                      <w:highlight w:val="none"/>
                      <w:u w:val="none" w:color="auto"/>
                      <w:lang w:eastAsia="zh-CN"/>
                    </w:rPr>
                    <w:t>）</w:t>
                  </w:r>
                  <w:r>
                    <w:rPr>
                      <w:rFonts w:hint="eastAsia" w:ascii="Times New Roman" w:hAnsi="Times New Roman" w:eastAsia="宋体" w:cs="Times New Roman"/>
                      <w:color w:val="auto"/>
                      <w:kern w:val="0"/>
                      <w:szCs w:val="21"/>
                      <w:highlight w:val="none"/>
                      <w:u w:val="none" w:color="auto"/>
                    </w:rPr>
                    <w:t>动力蓄电池绝缘处理材料；i）放电设施设备。</w:t>
                  </w:r>
                </w:p>
              </w:tc>
              <w:tc>
                <w:tcPr>
                  <w:tcW w:w="2229" w:type="pct"/>
                  <w:tcBorders>
                    <w:tl2br w:val="nil"/>
                    <w:tr2bl w:val="nil"/>
                  </w:tcBorders>
                  <w:noWrap w:val="0"/>
                  <w:vAlign w:val="center"/>
                </w:tcPr>
                <w:p w14:paraId="0F813234">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项目拆解车间</w:t>
                  </w:r>
                  <w:r>
                    <w:rPr>
                      <w:rFonts w:hint="eastAsia" w:ascii="Times New Roman" w:hAnsi="Times New Roman" w:eastAsia="宋体" w:cs="Times New Roman"/>
                      <w:color w:val="auto"/>
                      <w:kern w:val="0"/>
                      <w:szCs w:val="21"/>
                      <w:highlight w:val="none"/>
                      <w:u w:val="none" w:color="auto"/>
                    </w:rPr>
                    <w:t>拟</w:t>
                  </w:r>
                  <w:r>
                    <w:rPr>
                      <w:rFonts w:hint="default" w:ascii="Times New Roman" w:hAnsi="Times New Roman" w:eastAsia="宋体" w:cs="Times New Roman"/>
                      <w:color w:val="auto"/>
                      <w:kern w:val="0"/>
                      <w:szCs w:val="21"/>
                      <w:highlight w:val="none"/>
                      <w:u w:val="none" w:color="auto"/>
                    </w:rPr>
                    <w:t>配备</w:t>
                  </w:r>
                  <w:r>
                    <w:rPr>
                      <w:rFonts w:hint="eastAsia" w:ascii="Times New Roman" w:hAnsi="Times New Roman" w:eastAsia="宋体" w:cs="Times New Roman"/>
                      <w:color w:val="auto"/>
                      <w:kern w:val="0"/>
                      <w:szCs w:val="21"/>
                      <w:highlight w:val="none"/>
                      <w:u w:val="none" w:color="auto"/>
                      <w:lang w:val="en-US" w:eastAsia="zh-CN"/>
                    </w:rPr>
                    <w:t>绝缘检测设备等安全评估设备；动力蓄电池断电设备；吊具、夹臂、机械手和升降工装等动力蓄电池拆卸设备；防静电废液、空调制冷剂抽排设备；绝缘工作服等安全防护及救援设备；绝缘气动工具；绝缘辅助工具；动力蓄电池绝缘处理材料；放电设施设备。</w:t>
                  </w:r>
                </w:p>
              </w:tc>
              <w:tc>
                <w:tcPr>
                  <w:tcW w:w="376" w:type="pct"/>
                  <w:tcBorders>
                    <w:tl2br w:val="nil"/>
                    <w:tr2bl w:val="nil"/>
                  </w:tcBorders>
                  <w:noWrap w:val="0"/>
                  <w:vAlign w:val="center"/>
                </w:tcPr>
                <w:p w14:paraId="2AB3E44C">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rPr>
                    <w:t>符合</w:t>
                  </w:r>
                </w:p>
              </w:tc>
            </w:tr>
            <w:tr w14:paraId="0162AF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restart"/>
                  <w:tcBorders>
                    <w:tl2br w:val="nil"/>
                    <w:tr2bl w:val="nil"/>
                  </w:tcBorders>
                  <w:noWrap w:val="0"/>
                  <w:vAlign w:val="center"/>
                </w:tcPr>
                <w:p w14:paraId="67A89F19">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人员要求</w:t>
                  </w:r>
                </w:p>
              </w:tc>
              <w:tc>
                <w:tcPr>
                  <w:tcW w:w="2104" w:type="pct"/>
                  <w:tcBorders>
                    <w:tl2br w:val="nil"/>
                    <w:tr2bl w:val="nil"/>
                  </w:tcBorders>
                  <w:noWrap w:val="0"/>
                  <w:vAlign w:val="center"/>
                </w:tcPr>
                <w:p w14:paraId="171893CB">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zh-CN"/>
                    </w:rPr>
                    <w:t>企业技术人员应经过岗前培训，其专业技能应能满足规范拆解、环保作业、安全操作等相应要求，并配备专业安全生产管理人员和环保管理人员，国家有持证上岗规定的，应持证上岗。</w:t>
                  </w:r>
                </w:p>
              </w:tc>
              <w:tc>
                <w:tcPr>
                  <w:tcW w:w="2229" w:type="pct"/>
                  <w:vMerge w:val="restart"/>
                  <w:tcBorders>
                    <w:tl2br w:val="nil"/>
                    <w:tr2bl w:val="nil"/>
                  </w:tcBorders>
                  <w:noWrap w:val="0"/>
                  <w:vAlign w:val="center"/>
                </w:tcPr>
                <w:p w14:paraId="212F0CD0">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en-US" w:eastAsia="zh-CN"/>
                    </w:rPr>
                    <w:t>企业劳动定员</w:t>
                  </w:r>
                  <w:r>
                    <w:rPr>
                      <w:rFonts w:hint="eastAsia" w:cs="Times New Roman"/>
                      <w:color w:val="auto"/>
                      <w:kern w:val="0"/>
                      <w:szCs w:val="21"/>
                      <w:highlight w:val="none"/>
                      <w:u w:val="none" w:color="auto"/>
                      <w:lang w:val="en-US" w:eastAsia="zh-CN"/>
                    </w:rPr>
                    <w:t>20人</w:t>
                  </w:r>
                  <w:r>
                    <w:rPr>
                      <w:rFonts w:hint="eastAsia" w:ascii="Times New Roman" w:hAnsi="Times New Roman" w:eastAsia="宋体" w:cs="Times New Roman"/>
                      <w:color w:val="auto"/>
                      <w:kern w:val="0"/>
                      <w:szCs w:val="21"/>
                      <w:highlight w:val="none"/>
                      <w:u w:val="none" w:color="auto"/>
                      <w:lang w:val="en-US" w:eastAsia="zh-CN"/>
                    </w:rPr>
                    <w:t>，技术人员均经过岗前培训，其专业技能应满足规范拆解、环保作业、安全操作等相应要求，配备专业安全生产管理人员和环保管理人员，国家有持证上岗规定的，持证上岗。</w:t>
                  </w:r>
                </w:p>
              </w:tc>
              <w:tc>
                <w:tcPr>
                  <w:tcW w:w="376" w:type="pct"/>
                  <w:tcBorders>
                    <w:tl2br w:val="nil"/>
                    <w:tr2bl w:val="nil"/>
                  </w:tcBorders>
                  <w:noWrap w:val="0"/>
                  <w:vAlign w:val="center"/>
                </w:tcPr>
                <w:p w14:paraId="2F719DDD">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lang w:val="zh-CN"/>
                    </w:rPr>
                    <w:t>符合</w:t>
                  </w:r>
                </w:p>
              </w:tc>
            </w:tr>
            <w:tr w14:paraId="5994951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270EB4DF">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p>
              </w:tc>
              <w:tc>
                <w:tcPr>
                  <w:tcW w:w="2104" w:type="pct"/>
                  <w:tcBorders>
                    <w:tl2br w:val="nil"/>
                    <w:tr2bl w:val="nil"/>
                  </w:tcBorders>
                  <w:noWrap w:val="0"/>
                  <w:vAlign w:val="center"/>
                </w:tcPr>
                <w:p w14:paraId="06A0807F">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zh-CN"/>
                    </w:rPr>
                  </w:pPr>
                  <w:r>
                    <w:rPr>
                      <w:rFonts w:hint="default" w:ascii="Times New Roman" w:hAnsi="Times New Roman" w:eastAsia="宋体" w:cs="Times New Roman"/>
                      <w:color w:val="auto"/>
                      <w:kern w:val="0"/>
                      <w:szCs w:val="21"/>
                      <w:highlight w:val="none"/>
                      <w:u w:val="none" w:color="auto"/>
                    </w:rPr>
                    <w:t>具有</w:t>
                  </w:r>
                  <w:r>
                    <w:rPr>
                      <w:rFonts w:hint="eastAsia" w:ascii="Times New Roman" w:hAnsi="Times New Roman" w:eastAsia="宋体" w:cs="Times New Roman"/>
                      <w:color w:val="auto"/>
                      <w:kern w:val="0"/>
                      <w:szCs w:val="21"/>
                      <w:highlight w:val="none"/>
                      <w:u w:val="none" w:color="auto"/>
                    </w:rPr>
                    <w:t>新能源汽车</w:t>
                  </w:r>
                  <w:r>
                    <w:rPr>
                      <w:rFonts w:hint="default" w:ascii="Times New Roman" w:hAnsi="Times New Roman" w:eastAsia="宋体" w:cs="Times New Roman"/>
                      <w:color w:val="auto"/>
                      <w:kern w:val="0"/>
                      <w:szCs w:val="21"/>
                      <w:highlight w:val="none"/>
                      <w:u w:val="none" w:color="auto"/>
                    </w:rPr>
                    <w:t>拆解业务的企业应具有动力蓄电池贮存管理人员及2人以上持电工特种作业操作证人员。动力蓄电池贮存管理人员应具有动力蓄电池防火、防泄漏、防短路等相关专业知识。拆解人员应在汽车生产企业提供的拆解信息或手册的指导下进行拆解。</w:t>
                  </w:r>
                </w:p>
              </w:tc>
              <w:tc>
                <w:tcPr>
                  <w:tcW w:w="2229" w:type="pct"/>
                  <w:vMerge w:val="continue"/>
                  <w:tcBorders>
                    <w:tl2br w:val="nil"/>
                    <w:tr2bl w:val="nil"/>
                  </w:tcBorders>
                  <w:noWrap w:val="0"/>
                  <w:vAlign w:val="center"/>
                </w:tcPr>
                <w:p w14:paraId="7AB32A20">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zh-CN"/>
                    </w:rPr>
                  </w:pPr>
                </w:p>
              </w:tc>
              <w:tc>
                <w:tcPr>
                  <w:tcW w:w="376" w:type="pct"/>
                  <w:tcBorders>
                    <w:tl2br w:val="nil"/>
                    <w:tr2bl w:val="nil"/>
                  </w:tcBorders>
                  <w:noWrap w:val="0"/>
                  <w:vAlign w:val="center"/>
                </w:tcPr>
                <w:p w14:paraId="54D4D255">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zh-CN"/>
                    </w:rPr>
                  </w:pPr>
                  <w:r>
                    <w:rPr>
                      <w:rFonts w:hint="eastAsia" w:ascii="Times New Roman" w:hAnsi="Times New Roman" w:eastAsia="宋体" w:cs="Times New Roman"/>
                      <w:color w:val="auto"/>
                      <w:kern w:val="0"/>
                      <w:szCs w:val="21"/>
                      <w:highlight w:val="none"/>
                      <w:u w:val="none" w:color="auto"/>
                    </w:rPr>
                    <w:t>符合</w:t>
                  </w:r>
                </w:p>
              </w:tc>
            </w:tr>
            <w:tr w14:paraId="3DF95A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tcBorders>
                    <w:tl2br w:val="nil"/>
                    <w:tr2bl w:val="nil"/>
                  </w:tcBorders>
                  <w:noWrap w:val="0"/>
                  <w:vAlign w:val="center"/>
                </w:tcPr>
                <w:p w14:paraId="37883ED9">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信息管理要求</w:t>
                  </w:r>
                </w:p>
              </w:tc>
              <w:tc>
                <w:tcPr>
                  <w:tcW w:w="2104" w:type="pct"/>
                  <w:tcBorders>
                    <w:tl2br w:val="nil"/>
                    <w:tr2bl w:val="nil"/>
                  </w:tcBorders>
                  <w:noWrap w:val="0"/>
                  <w:vAlign w:val="center"/>
                </w:tcPr>
                <w:p w14:paraId="2BAC78CB">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 xml:space="preserve">应建立电子信息档案，按以下方式记录报废机动车回收登记、固体废物信息： </w:t>
                  </w:r>
                </w:p>
                <w:p w14:paraId="5BBF4A26">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a</w:t>
                  </w:r>
                  <w:r>
                    <w:rPr>
                      <w:rFonts w:hint="eastAsia" w:ascii="Times New Roman" w:hAnsi="Times New Roman" w:eastAsia="宋体" w:cs="Times New Roman"/>
                      <w:color w:val="auto"/>
                      <w:kern w:val="0"/>
                      <w:szCs w:val="21"/>
                      <w:highlight w:val="none"/>
                      <w:u w:val="none" w:color="auto"/>
                      <w:lang w:val="en-US" w:eastAsia="zh-CN"/>
                    </w:rPr>
                    <w:t>）对回收的报废机动车进行逐车登记，并按要求将报废机动车所有人（单位）名称、有效证件号码、牌照号码、车型、品牌型号、车身颜色、重量、发动机号和</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或动力蓄电池编码、车辆识别代号、出厂年份、接收或收购日期等相关信息录入</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 xml:space="preserve">全国汽车流通信 </w:t>
                  </w:r>
                </w:p>
                <w:p w14:paraId="7E6C17C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息管理应用服务</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系统，信息保存期限不应低于</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年。 </w:t>
                  </w:r>
                </w:p>
                <w:p w14:paraId="6588452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b</w:t>
                  </w:r>
                  <w:r>
                    <w:rPr>
                      <w:rFonts w:hint="eastAsia" w:ascii="Times New Roman" w:hAnsi="Times New Roman" w:eastAsia="宋体" w:cs="Times New Roman"/>
                      <w:color w:val="auto"/>
                      <w:kern w:val="0"/>
                      <w:szCs w:val="21"/>
                      <w:highlight w:val="none"/>
                      <w:u w:val="none" w:color="auto"/>
                      <w:lang w:val="en-US" w:eastAsia="zh-CN"/>
                    </w:rPr>
                    <w:t>）将固体废物的来源、种类、产生量、产生时间及处理（流向）等数据，录入到</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全国固体废物管理信息系统</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或省级生态环境主管部门自建与其联网的相关系统，其中危险废物处理（流向）信息保存期限为</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年。 </w:t>
                  </w:r>
                </w:p>
                <w:p w14:paraId="18AB5D3A">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c</w:t>
                  </w:r>
                  <w:r>
                    <w:rPr>
                      <w:rFonts w:hint="eastAsia" w:ascii="Times New Roman" w:hAnsi="Times New Roman" w:eastAsia="宋体" w:cs="Times New Roman"/>
                      <w:color w:val="auto"/>
                      <w:kern w:val="0"/>
                      <w:szCs w:val="21"/>
                      <w:highlight w:val="none"/>
                      <w:u w:val="none" w:color="auto"/>
                      <w:lang w:val="en-US" w:eastAsia="zh-CN"/>
                    </w:rPr>
                    <w:t>）具有电动汽车拆解业务的企业，应按照国家有关规定要求，将报废电动汽车的车辆识别代码、动力蓄电池编码、流向等信息录入</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新能源汽车国家检测与动力蓄电池回收利用溯源综合管理平台</w:t>
                  </w: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。对于因租赁等原因导致动力蓄电池被提前从电动汽车上拆卸回收的情况，应</w:t>
                  </w:r>
                  <w:r>
                    <w:rPr>
                      <w:rFonts w:hint="eastAsia" w:cs="Times New Roman"/>
                      <w:color w:val="auto"/>
                      <w:kern w:val="0"/>
                      <w:szCs w:val="21"/>
                      <w:highlight w:val="none"/>
                      <w:u w:val="none" w:color="auto"/>
                      <w:lang w:val="en-US" w:eastAsia="zh-CN"/>
                    </w:rPr>
                    <w:t>检查</w:t>
                  </w:r>
                  <w:r>
                    <w:rPr>
                      <w:rFonts w:hint="eastAsia" w:ascii="Times New Roman" w:hAnsi="Times New Roman" w:eastAsia="宋体" w:cs="Times New Roman"/>
                      <w:color w:val="auto"/>
                      <w:kern w:val="0"/>
                      <w:szCs w:val="21"/>
                      <w:highlight w:val="none"/>
                      <w:u w:val="none" w:color="auto"/>
                      <w:lang w:val="en-US" w:eastAsia="zh-CN"/>
                    </w:rPr>
                    <w:t>保存机动车所有人提供的租赁运营等机构出具的回收证明材料，保存期限不应低于</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年。 </w:t>
                  </w:r>
                </w:p>
                <w:p w14:paraId="5A7FF8CD">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生产经营场所应设置全覆盖的电子监控系统，实时记录报废机动车回收和拆解过程。相关信息保存期限不应低于</w:t>
                  </w: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年。</w:t>
                  </w:r>
                </w:p>
              </w:tc>
              <w:tc>
                <w:tcPr>
                  <w:tcW w:w="2229" w:type="pct"/>
                  <w:tcBorders>
                    <w:tl2br w:val="nil"/>
                    <w:tr2bl w:val="nil"/>
                  </w:tcBorders>
                  <w:noWrap w:val="0"/>
                  <w:vAlign w:val="center"/>
                </w:tcPr>
                <w:p w14:paraId="13A44766">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企业建立电子信息档案，按要求对报废机动车进行回收登记、固体废物信息。相关信息保存期不低于</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年。生产经营场所应设置全覆盖的电子监控系统，实时记录报废机动车回收拆解过程。相关信息保存期限</w:t>
                  </w: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年。</w:t>
                  </w:r>
                </w:p>
              </w:tc>
              <w:tc>
                <w:tcPr>
                  <w:tcW w:w="376" w:type="pct"/>
                  <w:tcBorders>
                    <w:tl2br w:val="nil"/>
                    <w:tr2bl w:val="nil"/>
                  </w:tcBorders>
                  <w:noWrap w:val="0"/>
                  <w:vAlign w:val="center"/>
                </w:tcPr>
                <w:p w14:paraId="09F1167A">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231BE22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tcBorders>
                    <w:tl2br w:val="nil"/>
                    <w:tr2bl w:val="nil"/>
                  </w:tcBorders>
                  <w:noWrap w:val="0"/>
                  <w:vAlign w:val="center"/>
                </w:tcPr>
                <w:p w14:paraId="3F594703">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eastAsia="zh-CN"/>
                    </w:rPr>
                  </w:pPr>
                  <w:r>
                    <w:rPr>
                      <w:rFonts w:hint="eastAsia" w:ascii="Times New Roman" w:hAnsi="Times New Roman" w:eastAsia="宋体" w:cs="Times New Roman"/>
                      <w:color w:val="auto"/>
                      <w:kern w:val="0"/>
                      <w:szCs w:val="21"/>
                      <w:highlight w:val="none"/>
                      <w:u w:val="none" w:color="auto"/>
                      <w:lang w:eastAsia="zh-CN"/>
                    </w:rPr>
                    <w:t>安全要求</w:t>
                  </w:r>
                </w:p>
              </w:tc>
              <w:tc>
                <w:tcPr>
                  <w:tcW w:w="2104" w:type="pct"/>
                  <w:tcBorders>
                    <w:tl2br w:val="nil"/>
                    <w:tr2bl w:val="nil"/>
                  </w:tcBorders>
                  <w:noWrap w:val="0"/>
                  <w:vAlign w:val="center"/>
                </w:tcPr>
                <w:p w14:paraId="474E85CF">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应实施满足</w:t>
                  </w:r>
                  <w:r>
                    <w:rPr>
                      <w:rFonts w:hint="default" w:ascii="Times New Roman" w:hAnsi="Times New Roman" w:eastAsia="宋体" w:cs="Times New Roman"/>
                      <w:color w:val="auto"/>
                      <w:kern w:val="0"/>
                      <w:szCs w:val="21"/>
                      <w:highlight w:val="none"/>
                      <w:u w:val="none" w:color="auto"/>
                      <w:lang w:val="en-US" w:eastAsia="zh-CN"/>
                    </w:rPr>
                    <w:t>GB/T 33000</w:t>
                  </w:r>
                  <w:r>
                    <w:rPr>
                      <w:rFonts w:hint="eastAsia" w:ascii="Times New Roman" w:hAnsi="Times New Roman" w:eastAsia="宋体" w:cs="Times New Roman"/>
                      <w:color w:val="auto"/>
                      <w:kern w:val="0"/>
                      <w:szCs w:val="21"/>
                      <w:highlight w:val="none"/>
                      <w:u w:val="none" w:color="auto"/>
                      <w:lang w:val="en-US" w:eastAsia="zh-CN"/>
                    </w:rPr>
                    <w:t xml:space="preserve">要求的安全管理制度，具有水、电、气等安全使用说明，安全生产规程，防火、防汛、应急预案等。拆除的安全气囊组件应在易燃、易爆等危险品仓库及高压输电线路防护区域以外引爆，并在引爆区域设有爆炸物安全警示标志和隔离栏。 </w:t>
                  </w:r>
                </w:p>
                <w:p w14:paraId="38692BF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 xml:space="preserve">电动汽车拆解作业人员在带电作业过程中应进行安全防护，穿戴好绝缘工作服等必要的安全防护装备。使用的作业工具应是绝缘的或经绝缘处理的。作业时，应有专职监督人员实时监护。 </w:t>
                  </w:r>
                </w:p>
                <w:p w14:paraId="310D0E9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厂内转移报废电动汽车和动力蓄电池应进行固定，防止碰撞、跌落。 </w:t>
                  </w:r>
                </w:p>
                <w:p w14:paraId="58E472E2">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4.</w:t>
                  </w:r>
                  <w:r>
                    <w:rPr>
                      <w:rFonts w:hint="eastAsia" w:ascii="Times New Roman" w:hAnsi="Times New Roman" w:eastAsia="宋体" w:cs="Times New Roman"/>
                      <w:color w:val="auto"/>
                      <w:kern w:val="0"/>
                      <w:szCs w:val="21"/>
                      <w:highlight w:val="none"/>
                      <w:u w:val="none" w:color="auto"/>
                      <w:lang w:val="en-US" w:eastAsia="zh-CN"/>
                    </w:rPr>
                    <w:t xml:space="preserve">场地内应设置相应的安全标志，安全标志的使用应满足 </w:t>
                  </w:r>
                  <w:r>
                    <w:rPr>
                      <w:rFonts w:hint="default" w:ascii="Times New Roman" w:hAnsi="Times New Roman" w:eastAsia="宋体" w:cs="Times New Roman"/>
                      <w:color w:val="auto"/>
                      <w:kern w:val="0"/>
                      <w:szCs w:val="21"/>
                      <w:highlight w:val="none"/>
                      <w:u w:val="none" w:color="auto"/>
                      <w:lang w:val="en-US" w:eastAsia="zh-CN"/>
                    </w:rPr>
                    <w:t xml:space="preserve">GB 2894 </w:t>
                  </w:r>
                  <w:r>
                    <w:rPr>
                      <w:rFonts w:hint="eastAsia" w:ascii="Times New Roman" w:hAnsi="Times New Roman" w:eastAsia="宋体" w:cs="Times New Roman"/>
                      <w:color w:val="auto"/>
                      <w:kern w:val="0"/>
                      <w:szCs w:val="21"/>
                      <w:highlight w:val="none"/>
                      <w:u w:val="none" w:color="auto"/>
                      <w:lang w:val="en-US" w:eastAsia="zh-CN"/>
                    </w:rPr>
                    <w:t xml:space="preserve">中关于禁止、警告、指令、提示标志的要求。 </w:t>
                  </w:r>
                </w:p>
                <w:p w14:paraId="733EE0B7">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5.</w:t>
                  </w:r>
                  <w:r>
                    <w:rPr>
                      <w:rFonts w:hint="eastAsia" w:ascii="Times New Roman" w:hAnsi="Times New Roman" w:eastAsia="宋体" w:cs="Times New Roman"/>
                      <w:color w:val="auto"/>
                      <w:kern w:val="0"/>
                      <w:szCs w:val="21"/>
                      <w:highlight w:val="none"/>
                      <w:u w:val="none" w:color="auto"/>
                      <w:lang w:val="en-US" w:eastAsia="zh-CN"/>
                    </w:rPr>
                    <w:t xml:space="preserve">应按照 </w:t>
                  </w:r>
                  <w:r>
                    <w:rPr>
                      <w:rFonts w:hint="default" w:ascii="Times New Roman" w:hAnsi="Times New Roman" w:eastAsia="宋体" w:cs="Times New Roman"/>
                      <w:color w:val="auto"/>
                      <w:kern w:val="0"/>
                      <w:szCs w:val="21"/>
                      <w:highlight w:val="none"/>
                      <w:u w:val="none" w:color="auto"/>
                      <w:lang w:val="en-US" w:eastAsia="zh-CN"/>
                    </w:rPr>
                    <w:t xml:space="preserve">GBZ 188 </w:t>
                  </w:r>
                  <w:r>
                    <w:rPr>
                      <w:rFonts w:hint="eastAsia" w:ascii="Times New Roman" w:hAnsi="Times New Roman" w:eastAsia="宋体" w:cs="Times New Roman"/>
                      <w:color w:val="auto"/>
                      <w:kern w:val="0"/>
                      <w:szCs w:val="21"/>
                      <w:highlight w:val="none"/>
                      <w:u w:val="none" w:color="auto"/>
                      <w:lang w:val="en-US" w:eastAsia="zh-CN"/>
                    </w:rPr>
                    <w:t>的规定对接触汽油等有害化学因素，噪声、手传振动等有害物理因素的作业人员及粉尘、电工、压力容器等作业人员进行监护。</w:t>
                  </w:r>
                </w:p>
              </w:tc>
              <w:tc>
                <w:tcPr>
                  <w:tcW w:w="2229" w:type="pct"/>
                  <w:tcBorders>
                    <w:tl2br w:val="nil"/>
                    <w:tr2bl w:val="nil"/>
                  </w:tcBorders>
                  <w:noWrap w:val="0"/>
                  <w:vAlign w:val="center"/>
                </w:tcPr>
                <w:p w14:paraId="62341C03">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 xml:space="preserve">项目设立安全管理制度，具有水、电、气等安全使用说明，安全生产规程，防火、防汛、应急预案等。拆除的安全气囊在易燃、易爆等危险品仓库及高压输电线路防护区域以外引爆，并在引爆区域设有爆炸物安全警示标志和隔离栏。场地内设置相应的安全标志，包括 </w:t>
                  </w:r>
                  <w:r>
                    <w:rPr>
                      <w:rFonts w:hint="default" w:ascii="Times New Roman" w:hAnsi="Times New Roman" w:eastAsia="宋体" w:cs="Times New Roman"/>
                      <w:color w:val="auto"/>
                      <w:kern w:val="0"/>
                      <w:szCs w:val="21"/>
                      <w:highlight w:val="none"/>
                      <w:u w:val="none" w:color="auto"/>
                      <w:lang w:val="en-US" w:eastAsia="zh-CN"/>
                    </w:rPr>
                    <w:t xml:space="preserve">GB2894 </w:t>
                  </w:r>
                  <w:r>
                    <w:rPr>
                      <w:rFonts w:hint="eastAsia" w:ascii="Times New Roman" w:hAnsi="Times New Roman" w:eastAsia="宋体" w:cs="Times New Roman"/>
                      <w:color w:val="auto"/>
                      <w:kern w:val="0"/>
                      <w:szCs w:val="21"/>
                      <w:highlight w:val="none"/>
                      <w:u w:val="none" w:color="auto"/>
                      <w:lang w:val="en-US" w:eastAsia="zh-CN"/>
                    </w:rPr>
                    <w:t xml:space="preserve">中关于禁止、警告、指令、提示标志的要求。按照 </w:t>
                  </w:r>
                  <w:r>
                    <w:rPr>
                      <w:rFonts w:hint="default" w:ascii="Times New Roman" w:hAnsi="Times New Roman" w:eastAsia="宋体" w:cs="Times New Roman"/>
                      <w:color w:val="auto"/>
                      <w:kern w:val="0"/>
                      <w:szCs w:val="21"/>
                      <w:highlight w:val="none"/>
                      <w:u w:val="none" w:color="auto"/>
                      <w:lang w:val="en-US" w:eastAsia="zh-CN"/>
                    </w:rPr>
                    <w:t xml:space="preserve">GBZ188 </w:t>
                  </w:r>
                  <w:r>
                    <w:rPr>
                      <w:rFonts w:hint="eastAsia" w:ascii="Times New Roman" w:hAnsi="Times New Roman" w:eastAsia="宋体" w:cs="Times New Roman"/>
                      <w:color w:val="auto"/>
                      <w:kern w:val="0"/>
                      <w:szCs w:val="21"/>
                      <w:highlight w:val="none"/>
                      <w:u w:val="none" w:color="auto"/>
                      <w:lang w:val="en-US" w:eastAsia="zh-CN"/>
                    </w:rPr>
                    <w:t xml:space="preserve">的规定对作业人员进行监护。 </w:t>
                  </w:r>
                </w:p>
                <w:p w14:paraId="2AE78C32">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 xml:space="preserve">企业为新能源车辆拆解人员配备绝缘工作服及其他安全防护装备。 </w:t>
                  </w:r>
                </w:p>
                <w:p w14:paraId="485B544C">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项目对厂内转移报废电动汽车和动力蓄电池应进行固定，防止碰撞、跌落。 </w:t>
                  </w:r>
                </w:p>
                <w:p w14:paraId="1970874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4.</w:t>
                  </w:r>
                  <w:r>
                    <w:rPr>
                      <w:rFonts w:hint="eastAsia" w:ascii="Times New Roman" w:hAnsi="Times New Roman" w:eastAsia="宋体" w:cs="Times New Roman"/>
                      <w:color w:val="auto"/>
                      <w:kern w:val="0"/>
                      <w:szCs w:val="21"/>
                      <w:highlight w:val="none"/>
                      <w:u w:val="none" w:color="auto"/>
                      <w:lang w:val="en-US" w:eastAsia="zh-CN"/>
                    </w:rPr>
                    <w:t>厂区内按要求设置各安全</w:t>
                  </w:r>
                  <w:r>
                    <w:rPr>
                      <w:rFonts w:hint="eastAsia" w:cs="Times New Roman"/>
                      <w:color w:val="auto"/>
                      <w:kern w:val="0"/>
                      <w:szCs w:val="21"/>
                      <w:highlight w:val="none"/>
                      <w:u w:val="none" w:color="auto"/>
                      <w:lang w:val="en-US" w:eastAsia="zh-CN"/>
                    </w:rPr>
                    <w:t>标识</w:t>
                  </w:r>
                  <w:r>
                    <w:rPr>
                      <w:rFonts w:hint="eastAsia" w:ascii="Times New Roman" w:hAnsi="Times New Roman" w:eastAsia="宋体" w:cs="Times New Roman"/>
                      <w:color w:val="auto"/>
                      <w:kern w:val="0"/>
                      <w:szCs w:val="21"/>
                      <w:highlight w:val="none"/>
                      <w:u w:val="none" w:color="auto"/>
                      <w:lang w:val="en-US" w:eastAsia="zh-CN"/>
                    </w:rPr>
                    <w:t xml:space="preserve">。 </w:t>
                  </w:r>
                </w:p>
                <w:p w14:paraId="20C45D53">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5.</w:t>
                  </w:r>
                  <w:r>
                    <w:rPr>
                      <w:rFonts w:hint="eastAsia" w:ascii="Times New Roman" w:hAnsi="Times New Roman" w:eastAsia="宋体" w:cs="Times New Roman"/>
                      <w:color w:val="auto"/>
                      <w:kern w:val="0"/>
                      <w:szCs w:val="21"/>
                      <w:highlight w:val="none"/>
                      <w:u w:val="none" w:color="auto"/>
                      <w:lang w:val="en-US" w:eastAsia="zh-CN"/>
                    </w:rPr>
                    <w:t xml:space="preserve">企业对接触汽油等有害化学因素，噪声、手传振动等有害物理因素的作业人员及粉尘、电工、压力容器等作业人员按 </w:t>
                  </w:r>
                  <w:r>
                    <w:rPr>
                      <w:rFonts w:hint="default" w:ascii="Times New Roman" w:hAnsi="Times New Roman" w:eastAsia="宋体" w:cs="Times New Roman"/>
                      <w:color w:val="auto"/>
                      <w:kern w:val="0"/>
                      <w:szCs w:val="21"/>
                      <w:highlight w:val="none"/>
                      <w:u w:val="none" w:color="auto"/>
                      <w:lang w:val="en-US" w:eastAsia="zh-CN"/>
                    </w:rPr>
                    <w:t xml:space="preserve">GBZ 188 </w:t>
                  </w:r>
                  <w:r>
                    <w:rPr>
                      <w:rFonts w:hint="eastAsia" w:ascii="Times New Roman" w:hAnsi="Times New Roman" w:eastAsia="宋体" w:cs="Times New Roman"/>
                      <w:color w:val="auto"/>
                      <w:kern w:val="0"/>
                      <w:szCs w:val="21"/>
                      <w:highlight w:val="none"/>
                      <w:u w:val="none" w:color="auto"/>
                      <w:lang w:val="en-US" w:eastAsia="zh-CN"/>
                    </w:rPr>
                    <w:t>的规定进行监护。</w:t>
                  </w:r>
                </w:p>
              </w:tc>
              <w:tc>
                <w:tcPr>
                  <w:tcW w:w="376" w:type="pct"/>
                  <w:tcBorders>
                    <w:tl2br w:val="nil"/>
                    <w:tr2bl w:val="nil"/>
                  </w:tcBorders>
                  <w:noWrap w:val="0"/>
                  <w:vAlign w:val="center"/>
                </w:tcPr>
                <w:p w14:paraId="75708535">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669057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289" w:type="pct"/>
                  <w:tcBorders>
                    <w:tl2br w:val="nil"/>
                    <w:tr2bl w:val="nil"/>
                  </w:tcBorders>
                  <w:noWrap w:val="0"/>
                  <w:vAlign w:val="center"/>
                </w:tcPr>
                <w:p w14:paraId="3219F0F7">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r>
                    <w:rPr>
                      <w:rFonts w:hint="eastAsia" w:ascii="Times New Roman" w:hAnsi="Times New Roman" w:eastAsia="宋体" w:cs="Times New Roman"/>
                      <w:color w:val="auto"/>
                      <w:kern w:val="0"/>
                      <w:szCs w:val="21"/>
                      <w:highlight w:val="none"/>
                      <w:u w:val="none" w:color="auto"/>
                    </w:rPr>
                    <w:t>环保要求</w:t>
                  </w:r>
                </w:p>
              </w:tc>
              <w:tc>
                <w:tcPr>
                  <w:tcW w:w="2104" w:type="pct"/>
                  <w:tcBorders>
                    <w:tl2br w:val="nil"/>
                    <w:tr2bl w:val="nil"/>
                  </w:tcBorders>
                  <w:noWrap w:val="0"/>
                  <w:vAlign w:val="center"/>
                </w:tcPr>
                <w:p w14:paraId="5AEC4F5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1.报废机动车拆解过程应满足HJ348中所规定的清污分流、污水达标排放等环境保护和污染控制的相关要求。</w:t>
                  </w:r>
                </w:p>
                <w:p w14:paraId="611B6539">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2.应实施满足危险废物规范化管理要求的环境管理制度，其中对列入《国家危险废物名录》的危险废物应严格按照有关规定进行管理。</w:t>
                  </w:r>
                </w:p>
                <w:p w14:paraId="6B41E81B">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3.应满足GB12348中所规定的2类声环境功能区工业企业厂界环境噪声排放限值要求。</w:t>
                  </w:r>
                </w:p>
              </w:tc>
              <w:tc>
                <w:tcPr>
                  <w:tcW w:w="2229" w:type="pct"/>
                  <w:tcBorders>
                    <w:tl2br w:val="nil"/>
                    <w:tr2bl w:val="nil"/>
                  </w:tcBorders>
                  <w:noWrap w:val="0"/>
                  <w:vAlign w:val="center"/>
                </w:tcPr>
                <w:p w14:paraId="13C6C1C7">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en-US" w:eastAsia="zh-CN"/>
                    </w:rPr>
                  </w:pPr>
                  <w:r>
                    <w:rPr>
                      <w:rFonts w:hint="default" w:ascii="Times New Roman" w:hAnsi="Times New Roman" w:eastAsia="宋体" w:cs="Times New Roman"/>
                      <w:color w:val="auto"/>
                      <w:kern w:val="0"/>
                      <w:szCs w:val="21"/>
                      <w:highlight w:val="none"/>
                      <w:u w:val="none" w:color="auto"/>
                      <w:lang w:val="en-US" w:eastAsia="zh-CN"/>
                    </w:rPr>
                    <w:t>1.本项目初期雨水和</w:t>
                  </w:r>
                  <w:r>
                    <w:rPr>
                      <w:rFonts w:hint="eastAsia" w:cs="Times New Roman"/>
                      <w:color w:val="auto"/>
                      <w:kern w:val="0"/>
                      <w:szCs w:val="21"/>
                      <w:highlight w:val="none"/>
                      <w:u w:val="none" w:color="auto"/>
                      <w:lang w:val="en-US" w:eastAsia="zh-CN"/>
                    </w:rPr>
                    <w:t>地面清洗</w:t>
                  </w:r>
                  <w:r>
                    <w:rPr>
                      <w:rFonts w:hint="default" w:ascii="Times New Roman" w:hAnsi="Times New Roman" w:eastAsia="宋体" w:cs="Times New Roman"/>
                      <w:color w:val="auto"/>
                      <w:kern w:val="0"/>
                      <w:szCs w:val="21"/>
                      <w:highlight w:val="none"/>
                      <w:u w:val="none" w:color="auto"/>
                      <w:lang w:val="en-US" w:eastAsia="zh-CN"/>
                    </w:rPr>
                    <w:t>废水经过污水处理设施处理工艺为“均质+隔油池+絮凝+沉淀”处理后经园区管网排入阜新市北控水务有限公司；</w:t>
                  </w:r>
                  <w:r>
                    <w:rPr>
                      <w:rFonts w:hint="eastAsia" w:cs="Times New Roman"/>
                      <w:color w:val="auto"/>
                      <w:kern w:val="0"/>
                      <w:szCs w:val="21"/>
                      <w:highlight w:val="none"/>
                      <w:u w:val="none" w:color="auto"/>
                      <w:lang w:val="en-US" w:eastAsia="zh-CN"/>
                    </w:rPr>
                    <w:t>食堂废水经隔油池处理后与</w:t>
                  </w:r>
                  <w:r>
                    <w:rPr>
                      <w:rFonts w:hint="default" w:ascii="Times New Roman" w:hAnsi="Times New Roman" w:eastAsia="宋体" w:cs="Times New Roman"/>
                      <w:color w:val="auto"/>
                      <w:kern w:val="0"/>
                      <w:szCs w:val="21"/>
                      <w:highlight w:val="none"/>
                      <w:u w:val="none" w:color="auto"/>
                      <w:lang w:val="en-US" w:eastAsia="zh-CN"/>
                    </w:rPr>
                    <w:t>生活污水排入厂区化粪池后经园区管网排入阜新市北控水务有限公司。</w:t>
                  </w:r>
                  <w:r>
                    <w:rPr>
                      <w:rFonts w:hint="eastAsia" w:ascii="Times New Roman" w:hAnsi="Times New Roman" w:eastAsia="宋体" w:cs="Times New Roman"/>
                      <w:color w:val="auto"/>
                      <w:kern w:val="0"/>
                      <w:szCs w:val="21"/>
                      <w:highlight w:val="none"/>
                      <w:u w:val="none" w:color="auto"/>
                      <w:lang w:val="en-US" w:eastAsia="zh-CN"/>
                    </w:rPr>
                    <w:t xml:space="preserve">废水均能达标排放。 </w:t>
                  </w:r>
                </w:p>
                <w:p w14:paraId="07F9F33C">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en-US" w:eastAsia="zh-CN"/>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本项目一般固体废物执行《一般工业固体废物贮存和填埋污染控制标准》（</w:t>
                  </w:r>
                  <w:r>
                    <w:rPr>
                      <w:rFonts w:hint="default" w:ascii="Times New Roman" w:hAnsi="Times New Roman" w:eastAsia="宋体" w:cs="Times New Roman"/>
                      <w:color w:val="auto"/>
                      <w:kern w:val="0"/>
                      <w:szCs w:val="21"/>
                      <w:highlight w:val="none"/>
                      <w:u w:val="none" w:color="auto"/>
                      <w:lang w:val="en-US" w:eastAsia="zh-CN"/>
                    </w:rPr>
                    <w:t>GB18599-2020</w:t>
                  </w:r>
                  <w:r>
                    <w:rPr>
                      <w:rFonts w:hint="eastAsia" w:ascii="Times New Roman" w:hAnsi="Times New Roman" w:eastAsia="宋体" w:cs="Times New Roman"/>
                      <w:color w:val="auto"/>
                      <w:kern w:val="0"/>
                      <w:szCs w:val="21"/>
                      <w:highlight w:val="none"/>
                      <w:u w:val="none" w:color="auto"/>
                      <w:lang w:val="en-US" w:eastAsia="zh-CN"/>
                    </w:rPr>
                    <w:t>）和危险废物执行《危险废物贮存污染控制标准》（</w:t>
                  </w:r>
                  <w:r>
                    <w:rPr>
                      <w:rFonts w:hint="default" w:ascii="Times New Roman" w:hAnsi="Times New Roman" w:eastAsia="宋体" w:cs="Times New Roman"/>
                      <w:color w:val="auto"/>
                      <w:kern w:val="0"/>
                      <w:szCs w:val="21"/>
                      <w:highlight w:val="none"/>
                      <w:u w:val="none" w:color="auto"/>
                      <w:lang w:val="en-US" w:eastAsia="zh-CN"/>
                    </w:rPr>
                    <w:t>GB18597-2023</w:t>
                  </w:r>
                  <w:r>
                    <w:rPr>
                      <w:rFonts w:hint="eastAsia" w:ascii="Times New Roman" w:hAnsi="Times New Roman" w:eastAsia="宋体" w:cs="Times New Roman"/>
                      <w:color w:val="auto"/>
                      <w:kern w:val="0"/>
                      <w:szCs w:val="21"/>
                      <w:highlight w:val="none"/>
                      <w:u w:val="none" w:color="auto"/>
                      <w:lang w:val="en-US" w:eastAsia="zh-CN"/>
                    </w:rPr>
                    <w:t xml:space="preserve">）。 </w:t>
                  </w:r>
                </w:p>
                <w:p w14:paraId="56549FE8">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en-US" w:eastAsia="zh-CN"/>
                    </w:rPr>
                  </w:pPr>
                  <w:r>
                    <w:rPr>
                      <w:rFonts w:hint="default" w:ascii="Times New Roman" w:hAnsi="Times New Roman" w:eastAsia="宋体" w:cs="Times New Roman"/>
                      <w:color w:val="auto"/>
                      <w:kern w:val="0"/>
                      <w:szCs w:val="21"/>
                      <w:highlight w:val="none"/>
                      <w:u w:val="none" w:color="auto"/>
                      <w:lang w:val="en-US" w:eastAsia="zh-CN"/>
                    </w:rPr>
                    <w:t>3.</w:t>
                  </w:r>
                  <w:r>
                    <w:rPr>
                      <w:rFonts w:hint="default" w:ascii="Times New Roman" w:hAnsi="Times New Roman" w:eastAsia="宋体" w:cs="Times New Roman"/>
                      <w:color w:val="auto"/>
                      <w:kern w:val="0"/>
                      <w:szCs w:val="21"/>
                      <w:highlight w:val="none"/>
                      <w:u w:val="none" w:color="auto"/>
                      <w:lang w:val="zh-CN"/>
                    </w:rPr>
                    <w:t>本项目位于阜新市高新技术产业开发区</w:t>
                  </w:r>
                  <w:r>
                    <w:rPr>
                      <w:rFonts w:hint="eastAsia" w:ascii="Times New Roman" w:hAnsi="Times New Roman" w:eastAsia="宋体" w:cs="Times New Roman"/>
                      <w:color w:val="auto"/>
                      <w:kern w:val="0"/>
                      <w:szCs w:val="21"/>
                      <w:highlight w:val="none"/>
                      <w:u w:val="none" w:color="auto"/>
                      <w:lang w:val="zh-CN" w:eastAsia="zh-CN"/>
                    </w:rPr>
                    <w:t>，</w:t>
                  </w:r>
                  <w:r>
                    <w:rPr>
                      <w:rFonts w:hint="eastAsia" w:ascii="Times New Roman" w:hAnsi="Times New Roman" w:eastAsia="宋体" w:cs="Times New Roman"/>
                      <w:color w:val="auto"/>
                      <w:kern w:val="0"/>
                      <w:szCs w:val="21"/>
                      <w:highlight w:val="none"/>
                      <w:u w:val="none" w:color="auto"/>
                      <w:lang w:val="en-US" w:eastAsia="zh-CN"/>
                    </w:rPr>
                    <w:t>项目噪声执行《工业企业厂界环境噪声排放标准》（</w:t>
                  </w:r>
                  <w:r>
                    <w:rPr>
                      <w:rFonts w:hint="default" w:ascii="Times New Roman" w:hAnsi="Times New Roman" w:eastAsia="宋体" w:cs="Times New Roman"/>
                      <w:color w:val="auto"/>
                      <w:kern w:val="0"/>
                      <w:szCs w:val="21"/>
                      <w:highlight w:val="none"/>
                      <w:u w:val="none" w:color="auto"/>
                      <w:lang w:val="en-US" w:eastAsia="zh-CN"/>
                    </w:rPr>
                    <w:t>GB12348-2008</w:t>
                  </w:r>
                  <w:r>
                    <w:rPr>
                      <w:rFonts w:hint="eastAsia" w:ascii="Times New Roman" w:hAnsi="Times New Roman" w:eastAsia="宋体" w:cs="Times New Roman"/>
                      <w:color w:val="auto"/>
                      <w:kern w:val="0"/>
                      <w:szCs w:val="21"/>
                      <w:highlight w:val="none"/>
                      <w:u w:val="none" w:color="auto"/>
                      <w:lang w:val="en-US" w:eastAsia="zh-CN"/>
                    </w:rPr>
                    <w:t>）中</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类标准。</w:t>
                  </w:r>
                </w:p>
              </w:tc>
              <w:tc>
                <w:tcPr>
                  <w:tcW w:w="376" w:type="pct"/>
                  <w:tcBorders>
                    <w:tl2br w:val="nil"/>
                    <w:tr2bl w:val="nil"/>
                  </w:tcBorders>
                  <w:noWrap w:val="0"/>
                  <w:vAlign w:val="center"/>
                </w:tcPr>
                <w:p w14:paraId="58B8B9E5">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423D79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758" w:hRule="atLeast"/>
                <w:jc w:val="center"/>
              </w:trPr>
              <w:tc>
                <w:tcPr>
                  <w:tcW w:w="289" w:type="pct"/>
                  <w:tcBorders>
                    <w:tl2br w:val="nil"/>
                    <w:tr2bl w:val="nil"/>
                  </w:tcBorders>
                  <w:noWrap w:val="0"/>
                  <w:vAlign w:val="center"/>
                </w:tcPr>
                <w:p w14:paraId="0565F255">
                  <w:pPr>
                    <w:keepNext w:val="0"/>
                    <w:keepLines w:val="0"/>
                    <w:widowControl/>
                    <w:suppressLineNumbers w:val="0"/>
                    <w:spacing w:before="0" w:beforeAutospacing="0" w:after="0" w:afterAutospacing="0"/>
                    <w:ind w:left="0" w:right="0"/>
                    <w:jc w:val="left"/>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回收技术要求</w:t>
                  </w:r>
                </w:p>
              </w:tc>
              <w:tc>
                <w:tcPr>
                  <w:tcW w:w="2104" w:type="pct"/>
                  <w:tcBorders>
                    <w:tl2br w:val="nil"/>
                    <w:tr2bl w:val="nil"/>
                  </w:tcBorders>
                  <w:noWrap w:val="0"/>
                  <w:vAlign w:val="center"/>
                </w:tcPr>
                <w:p w14:paraId="19CDF14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收到报废机动车后，应</w:t>
                  </w:r>
                  <w:r>
                    <w:rPr>
                      <w:rFonts w:hint="eastAsia" w:cs="Times New Roman"/>
                      <w:color w:val="auto"/>
                      <w:kern w:val="0"/>
                      <w:szCs w:val="21"/>
                      <w:highlight w:val="none"/>
                      <w:u w:val="none" w:color="auto"/>
                      <w:lang w:val="en-US" w:eastAsia="zh-CN"/>
                    </w:rPr>
                    <w:t>检查</w:t>
                  </w:r>
                  <w:r>
                    <w:rPr>
                      <w:rFonts w:hint="eastAsia" w:ascii="Times New Roman" w:hAnsi="Times New Roman" w:eastAsia="宋体" w:cs="Times New Roman"/>
                      <w:color w:val="auto"/>
                      <w:kern w:val="0"/>
                      <w:szCs w:val="21"/>
                      <w:highlight w:val="none"/>
                      <w:u w:val="none" w:color="auto"/>
                      <w:lang w:val="en-US" w:eastAsia="zh-CN"/>
                    </w:rPr>
                    <w:t>发动机、散热器、变速器、差速器、油箱和燃料罐等总成部件的密封、破损情况。对于出现泄漏的总成部件，应</w:t>
                  </w:r>
                  <w:r>
                    <w:rPr>
                      <w:rFonts w:hint="eastAsia" w:cs="Times New Roman"/>
                      <w:color w:val="auto"/>
                      <w:kern w:val="0"/>
                      <w:szCs w:val="21"/>
                      <w:highlight w:val="none"/>
                      <w:u w:val="none" w:color="auto"/>
                      <w:lang w:val="en-US" w:eastAsia="zh-CN"/>
                    </w:rPr>
                    <w:t>采取</w:t>
                  </w:r>
                  <w:r>
                    <w:rPr>
                      <w:rFonts w:hint="eastAsia" w:ascii="Times New Roman" w:hAnsi="Times New Roman" w:eastAsia="宋体" w:cs="Times New Roman"/>
                      <w:color w:val="auto"/>
                      <w:kern w:val="0"/>
                      <w:szCs w:val="21"/>
                      <w:highlight w:val="none"/>
                      <w:u w:val="none" w:color="auto"/>
                      <w:lang w:val="en-US" w:eastAsia="zh-CN"/>
                    </w:rPr>
                    <w:t xml:space="preserve">适当的方式收集泄漏的液体或封住泄漏处，防止废液渗入地下。 </w:t>
                  </w:r>
                </w:p>
                <w:p w14:paraId="37AE502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en-US" w:eastAsia="zh-CN"/>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对报废电动汽车，应检查动力蓄电池和驱动电机等部件的密封和破损情况。对于出现动力蓄电池破损、电极头和线束裸露等存在漏电风险的，应</w:t>
                  </w:r>
                  <w:r>
                    <w:rPr>
                      <w:rFonts w:hint="eastAsia" w:cs="Times New Roman"/>
                      <w:color w:val="auto"/>
                      <w:kern w:val="0"/>
                      <w:szCs w:val="21"/>
                      <w:highlight w:val="none"/>
                      <w:u w:val="none" w:color="auto"/>
                      <w:lang w:val="en-US" w:eastAsia="zh-CN"/>
                    </w:rPr>
                    <w:t>采取</w:t>
                  </w:r>
                  <w:r>
                    <w:rPr>
                      <w:rFonts w:hint="eastAsia" w:ascii="Times New Roman" w:hAnsi="Times New Roman" w:eastAsia="宋体" w:cs="Times New Roman"/>
                      <w:color w:val="auto"/>
                      <w:kern w:val="0"/>
                      <w:szCs w:val="21"/>
                      <w:highlight w:val="none"/>
                      <w:u w:val="none" w:color="auto"/>
                      <w:lang w:val="en-US" w:eastAsia="zh-CN"/>
                    </w:rPr>
                    <w:t>适当的方式进行绝缘处理。</w:t>
                  </w:r>
                </w:p>
              </w:tc>
              <w:tc>
                <w:tcPr>
                  <w:tcW w:w="2229" w:type="pct"/>
                  <w:tcBorders>
                    <w:tl2br w:val="nil"/>
                    <w:tr2bl w:val="nil"/>
                  </w:tcBorders>
                  <w:noWrap w:val="0"/>
                  <w:vAlign w:val="center"/>
                </w:tcPr>
                <w:p w14:paraId="4BB652C3">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 xml:space="preserve">建设单位收到报废机动车后，检查发动机，散热器、变速器、油箱和燃料罐等总成部件的密封、破损情况，对于出现泄漏的总成部件，先封堵住泄漏处，再使用吸油毡或吸油棉吸收泄漏废油。 </w:t>
                  </w:r>
                </w:p>
                <w:p w14:paraId="7B02ACA9">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lang w:val="en-US" w:eastAsia="zh-CN"/>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企业收到报废的电动车后对车辆进行检查，如有破损立即进行绝缘处理。</w:t>
                  </w:r>
                </w:p>
              </w:tc>
              <w:tc>
                <w:tcPr>
                  <w:tcW w:w="376" w:type="pct"/>
                  <w:tcBorders>
                    <w:tl2br w:val="nil"/>
                    <w:tr2bl w:val="nil"/>
                  </w:tcBorders>
                  <w:noWrap w:val="0"/>
                  <w:vAlign w:val="center"/>
                </w:tcPr>
                <w:p w14:paraId="4BF56742">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26E972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restart"/>
                  <w:tcBorders>
                    <w:tl2br w:val="nil"/>
                    <w:tr2bl w:val="nil"/>
                  </w:tcBorders>
                  <w:noWrap w:val="0"/>
                  <w:vAlign w:val="center"/>
                </w:tcPr>
                <w:p w14:paraId="10E6E797">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r>
                    <w:rPr>
                      <w:rFonts w:hint="eastAsia" w:ascii="Times New Roman" w:hAnsi="Times New Roman" w:eastAsia="宋体" w:cs="Times New Roman"/>
                      <w:color w:val="auto"/>
                      <w:kern w:val="0"/>
                      <w:szCs w:val="21"/>
                      <w:highlight w:val="none"/>
                      <w:u w:val="none" w:color="auto"/>
                    </w:rPr>
                    <w:t>贮存技术要求</w:t>
                  </w:r>
                </w:p>
              </w:tc>
              <w:tc>
                <w:tcPr>
                  <w:tcW w:w="4710" w:type="pct"/>
                  <w:gridSpan w:val="3"/>
                  <w:tcBorders>
                    <w:tl2br w:val="nil"/>
                    <w:tr2bl w:val="nil"/>
                  </w:tcBorders>
                  <w:noWrap w:val="0"/>
                  <w:vAlign w:val="center"/>
                </w:tcPr>
                <w:p w14:paraId="0FF7C67B">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贮存技术要求</w:t>
                  </w:r>
                  <w:r>
                    <w:rPr>
                      <w:rFonts w:hint="eastAsia"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rPr>
                    <w:t>报废机动车贮存</w:t>
                  </w:r>
                </w:p>
              </w:tc>
            </w:tr>
            <w:tr w14:paraId="3BA6842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64EE0909">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2B064CAA">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所有车辆应避免侧放、倒放，电动汽车在动力蓄电池未拆卸前不允许叠放。</w:t>
                  </w:r>
                </w:p>
              </w:tc>
              <w:tc>
                <w:tcPr>
                  <w:tcW w:w="2229" w:type="pct"/>
                  <w:tcBorders>
                    <w:tl2br w:val="nil"/>
                    <w:tr2bl w:val="nil"/>
                  </w:tcBorders>
                  <w:noWrap w:val="0"/>
                  <w:vAlign w:val="center"/>
                </w:tcPr>
                <w:p w14:paraId="443DDEDE">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机动车及电动汽车预拆解后均按要求贮存。项目机动车不侧放、倒放贮存。</w:t>
                  </w:r>
                </w:p>
              </w:tc>
              <w:tc>
                <w:tcPr>
                  <w:tcW w:w="376" w:type="pct"/>
                  <w:tcBorders>
                    <w:tl2br w:val="nil"/>
                    <w:tr2bl w:val="nil"/>
                  </w:tcBorders>
                  <w:noWrap w:val="0"/>
                  <w:vAlign w:val="center"/>
                </w:tcPr>
                <w:p w14:paraId="2E3F6D5B">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095688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57D6971">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79203D6D">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机动车如需叠放，应使上下车辆的重心尽量重合，且不应超过3层。2层和3层叠放时，高度分别不应超过3米和4.5米。大型车辆应单层平置。采用框架结构存放的，要保证安全性，并易于装卸。</w:t>
                  </w:r>
                </w:p>
              </w:tc>
              <w:tc>
                <w:tcPr>
                  <w:tcW w:w="2229" w:type="pct"/>
                  <w:tcBorders>
                    <w:tl2br w:val="nil"/>
                    <w:tr2bl w:val="nil"/>
                  </w:tcBorders>
                  <w:noWrap w:val="0"/>
                  <w:vAlign w:val="center"/>
                </w:tcPr>
                <w:p w14:paraId="6BEC5F8F">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项目机动车叠放不超过</w:t>
                  </w: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层，高度不超过</w:t>
                  </w:r>
                  <w:r>
                    <w:rPr>
                      <w:rFonts w:hint="default" w:ascii="Times New Roman" w:hAnsi="Times New Roman" w:eastAsia="宋体" w:cs="Times New Roman"/>
                      <w:color w:val="auto"/>
                      <w:kern w:val="0"/>
                      <w:szCs w:val="21"/>
                      <w:highlight w:val="none"/>
                      <w:u w:val="none" w:color="auto"/>
                      <w:lang w:val="en-US" w:eastAsia="zh-CN"/>
                    </w:rPr>
                    <w:t>4.5m</w:t>
                  </w:r>
                  <w:r>
                    <w:rPr>
                      <w:rFonts w:hint="eastAsia" w:ascii="Times New Roman" w:hAnsi="Times New Roman" w:eastAsia="宋体" w:cs="Times New Roman"/>
                      <w:color w:val="auto"/>
                      <w:kern w:val="0"/>
                      <w:szCs w:val="21"/>
                      <w:highlight w:val="none"/>
                      <w:u w:val="none" w:color="auto"/>
                      <w:lang w:val="en-US" w:eastAsia="zh-CN"/>
                    </w:rPr>
                    <w:t>，大型车辆单层平置。采用框架结构存放的，要保证安全性，并易于装卸。</w:t>
                  </w:r>
                </w:p>
              </w:tc>
              <w:tc>
                <w:tcPr>
                  <w:tcW w:w="376" w:type="pct"/>
                  <w:tcBorders>
                    <w:tl2br w:val="nil"/>
                    <w:tr2bl w:val="nil"/>
                  </w:tcBorders>
                  <w:noWrap w:val="0"/>
                  <w:vAlign w:val="center"/>
                </w:tcPr>
                <w:p w14:paraId="34A192D1">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3A80AC6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0303BA38">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5A38077D">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电动汽车在动力蓄电池未拆卸前应单独贮存，并采取防火、防水、绝缘、隔热等安全保障措施。</w:t>
                  </w:r>
                </w:p>
              </w:tc>
              <w:tc>
                <w:tcPr>
                  <w:tcW w:w="2229" w:type="pct"/>
                  <w:tcBorders>
                    <w:tl2br w:val="nil"/>
                    <w:tr2bl w:val="nil"/>
                  </w:tcBorders>
                  <w:noWrap w:val="0"/>
                  <w:vAlign w:val="center"/>
                </w:tcPr>
                <w:p w14:paraId="1CC2B5BA">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未拆解的电动汽车单独贮存，电动汽车贮存时不叠放，并设置防火、防水、绝缘、隔热等安全保障措施。</w:t>
                  </w:r>
                </w:p>
              </w:tc>
              <w:tc>
                <w:tcPr>
                  <w:tcW w:w="376" w:type="pct"/>
                  <w:tcBorders>
                    <w:tl2br w:val="nil"/>
                    <w:tr2bl w:val="nil"/>
                  </w:tcBorders>
                  <w:noWrap w:val="0"/>
                  <w:vAlign w:val="center"/>
                </w:tcPr>
                <w:p w14:paraId="748D87A3">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39E36D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0382AB96">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3238E75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电动汽车中的事故车以及发生动力蓄电池破损的车辆应隔离贮存。</w:t>
                  </w:r>
                </w:p>
              </w:tc>
              <w:tc>
                <w:tcPr>
                  <w:tcW w:w="2229" w:type="pct"/>
                  <w:tcBorders>
                    <w:tl2br w:val="nil"/>
                    <w:tr2bl w:val="nil"/>
                  </w:tcBorders>
                  <w:noWrap w:val="0"/>
                  <w:vAlign w:val="center"/>
                </w:tcPr>
                <w:p w14:paraId="599D3809">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lang w:val="en-US" w:eastAsia="zh-CN"/>
                    </w:rPr>
                    <w:t>项目对事故车辆及蓄电池破损的车辆应隔离贮存。</w:t>
                  </w:r>
                </w:p>
              </w:tc>
              <w:tc>
                <w:tcPr>
                  <w:tcW w:w="376" w:type="pct"/>
                  <w:tcBorders>
                    <w:tl2br w:val="nil"/>
                    <w:tr2bl w:val="nil"/>
                  </w:tcBorders>
                  <w:noWrap w:val="0"/>
                  <w:vAlign w:val="center"/>
                </w:tcPr>
                <w:p w14:paraId="35A8BCBF">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493211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5F96B827">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4710" w:type="pct"/>
                  <w:gridSpan w:val="3"/>
                  <w:tcBorders>
                    <w:tl2br w:val="nil"/>
                    <w:tr2bl w:val="nil"/>
                  </w:tcBorders>
                  <w:noWrap w:val="0"/>
                  <w:vAlign w:val="center"/>
                </w:tcPr>
                <w:p w14:paraId="097C570D">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贮存技术要求</w:t>
                  </w:r>
                  <w:r>
                    <w:rPr>
                      <w:rFonts w:hint="eastAsia"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rPr>
                    <w:t>固体废物贮存</w:t>
                  </w:r>
                </w:p>
              </w:tc>
            </w:tr>
            <w:tr w14:paraId="72CD574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320FDD9">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4D7D659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固体废物的贮存设施建设应符合GB18599、GB18597、HJ2025的要求。</w:t>
                  </w:r>
                </w:p>
              </w:tc>
              <w:tc>
                <w:tcPr>
                  <w:tcW w:w="2229" w:type="pct"/>
                  <w:tcBorders>
                    <w:tl2br w:val="nil"/>
                    <w:tr2bl w:val="nil"/>
                  </w:tcBorders>
                  <w:noWrap w:val="0"/>
                  <w:vAlign w:val="center"/>
                </w:tcPr>
                <w:p w14:paraId="5A939B37">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本项目一般固体废物执行《一般工业固体废物贮存和填埋污染控制标准》（</w:t>
                  </w:r>
                  <w:r>
                    <w:rPr>
                      <w:rFonts w:hint="default" w:ascii="Times New Roman" w:hAnsi="Times New Roman" w:eastAsia="宋体" w:cs="Times New Roman"/>
                      <w:color w:val="auto"/>
                      <w:kern w:val="0"/>
                      <w:szCs w:val="21"/>
                      <w:highlight w:val="none"/>
                      <w:u w:val="none" w:color="auto"/>
                      <w:lang w:val="en-US" w:eastAsia="zh-CN"/>
                    </w:rPr>
                    <w:t>GB18599-2020</w:t>
                  </w:r>
                  <w:r>
                    <w:rPr>
                      <w:rFonts w:hint="eastAsia" w:ascii="Times New Roman" w:hAnsi="Times New Roman" w:eastAsia="宋体" w:cs="Times New Roman"/>
                      <w:color w:val="auto"/>
                      <w:kern w:val="0"/>
                      <w:szCs w:val="21"/>
                      <w:highlight w:val="none"/>
                      <w:u w:val="none" w:color="auto"/>
                      <w:lang w:val="en-US" w:eastAsia="zh-CN"/>
                    </w:rPr>
                    <w:t>）和危险废物执行《危险废物贮存污染控制标准》（</w:t>
                  </w:r>
                  <w:r>
                    <w:rPr>
                      <w:rFonts w:hint="default" w:ascii="Times New Roman" w:hAnsi="Times New Roman" w:eastAsia="宋体" w:cs="Times New Roman"/>
                      <w:color w:val="auto"/>
                      <w:kern w:val="0"/>
                      <w:szCs w:val="21"/>
                      <w:highlight w:val="none"/>
                      <w:u w:val="none" w:color="auto"/>
                      <w:lang w:val="en-US" w:eastAsia="zh-CN"/>
                    </w:rPr>
                    <w:t>GB18597-2023</w:t>
                  </w:r>
                  <w:r>
                    <w:rPr>
                      <w:rFonts w:hint="eastAsia" w:ascii="Times New Roman" w:hAnsi="Times New Roman" w:eastAsia="宋体" w:cs="Times New Roman"/>
                      <w:color w:val="auto"/>
                      <w:kern w:val="0"/>
                      <w:szCs w:val="21"/>
                      <w:highlight w:val="none"/>
                      <w:u w:val="none" w:color="auto"/>
                      <w:lang w:val="en-US" w:eastAsia="zh-CN"/>
                    </w:rPr>
                    <w:t>）。</w:t>
                  </w:r>
                </w:p>
              </w:tc>
              <w:tc>
                <w:tcPr>
                  <w:tcW w:w="376" w:type="pct"/>
                  <w:tcBorders>
                    <w:tl2br w:val="nil"/>
                    <w:tr2bl w:val="nil"/>
                  </w:tcBorders>
                  <w:noWrap w:val="0"/>
                  <w:vAlign w:val="center"/>
                </w:tcPr>
                <w:p w14:paraId="4B368177">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5BCE5C0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0F3A61A">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212D68CE">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一般工业固体废物贮存设施及包装物应按GB15562.2进行标识，危险废物贮存设施及包装物的标志应符合GB18597的要求。所有固体废物避免混合、混放。</w:t>
                  </w:r>
                </w:p>
              </w:tc>
              <w:tc>
                <w:tcPr>
                  <w:tcW w:w="2229" w:type="pct"/>
                  <w:tcBorders>
                    <w:tl2br w:val="nil"/>
                    <w:tr2bl w:val="nil"/>
                  </w:tcBorders>
                  <w:noWrap w:val="0"/>
                  <w:vAlign w:val="center"/>
                </w:tcPr>
                <w:p w14:paraId="3783FC96">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本</w:t>
                  </w:r>
                  <w:r>
                    <w:rPr>
                      <w:rFonts w:hint="eastAsia" w:cs="Times New Roman"/>
                      <w:color w:val="auto"/>
                      <w:kern w:val="0"/>
                      <w:szCs w:val="21"/>
                      <w:highlight w:val="none"/>
                      <w:u w:val="none" w:color="auto"/>
                      <w:lang w:val="en-US" w:eastAsia="zh-CN"/>
                    </w:rPr>
                    <w:t>项目</w:t>
                  </w:r>
                  <w:r>
                    <w:rPr>
                      <w:rFonts w:hint="eastAsia" w:ascii="Times New Roman" w:hAnsi="Times New Roman" w:eastAsia="宋体" w:cs="Times New Roman"/>
                      <w:color w:val="auto"/>
                      <w:kern w:val="0"/>
                      <w:szCs w:val="21"/>
                      <w:highlight w:val="none"/>
                      <w:u w:val="none" w:color="auto"/>
                      <w:lang w:val="en-US" w:eastAsia="zh-CN"/>
                    </w:rPr>
                    <w:t>产生的固废、危废均分类存放，并设有相应标识。</w:t>
                  </w:r>
                </w:p>
              </w:tc>
              <w:tc>
                <w:tcPr>
                  <w:tcW w:w="376" w:type="pct"/>
                  <w:tcBorders>
                    <w:tl2br w:val="nil"/>
                    <w:tr2bl w:val="nil"/>
                  </w:tcBorders>
                  <w:noWrap w:val="0"/>
                  <w:vAlign w:val="center"/>
                </w:tcPr>
                <w:p w14:paraId="34FDED91">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34445BB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BFF0646">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781C5399">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妥善处置固体废物，不应非法转移、倾倒、利用和处置。</w:t>
                  </w:r>
                </w:p>
              </w:tc>
              <w:tc>
                <w:tcPr>
                  <w:tcW w:w="2229" w:type="pct"/>
                  <w:tcBorders>
                    <w:tl2br w:val="nil"/>
                    <w:tr2bl w:val="nil"/>
                  </w:tcBorders>
                  <w:noWrap w:val="0"/>
                  <w:vAlign w:val="center"/>
                </w:tcPr>
                <w:p w14:paraId="08A4AF3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各类固体废物均妥善处置。</w:t>
                  </w:r>
                </w:p>
              </w:tc>
              <w:tc>
                <w:tcPr>
                  <w:tcW w:w="376" w:type="pct"/>
                  <w:tcBorders>
                    <w:tl2br w:val="nil"/>
                    <w:tr2bl w:val="nil"/>
                  </w:tcBorders>
                  <w:noWrap w:val="0"/>
                  <w:vAlign w:val="center"/>
                </w:tcPr>
                <w:p w14:paraId="5CE55BDA">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73C07A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EF092F9">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5BD2E9CB">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不同类型的制冷剂应分别回收，使用专门容器单独存放。</w:t>
                  </w:r>
                </w:p>
              </w:tc>
              <w:tc>
                <w:tcPr>
                  <w:tcW w:w="2229" w:type="pct"/>
                  <w:tcBorders>
                    <w:tl2br w:val="nil"/>
                    <w:tr2bl w:val="nil"/>
                  </w:tcBorders>
                  <w:noWrap w:val="0"/>
                  <w:vAlign w:val="center"/>
                </w:tcPr>
                <w:p w14:paraId="70AF9242">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eastAsia="zh-CN"/>
                    </w:rPr>
                    <w:t>本项目</w:t>
                  </w:r>
                  <w:r>
                    <w:rPr>
                      <w:rFonts w:hint="eastAsia" w:ascii="Times New Roman" w:hAnsi="Times New Roman" w:eastAsia="宋体" w:cs="Times New Roman"/>
                      <w:color w:val="auto"/>
                      <w:kern w:val="0"/>
                      <w:szCs w:val="21"/>
                      <w:highlight w:val="none"/>
                      <w:u w:val="none" w:color="auto"/>
                    </w:rPr>
                    <w:t>不同类型的制冷剂应分别回收，采用</w:t>
                  </w:r>
                  <w:r>
                    <w:rPr>
                      <w:rFonts w:hint="eastAsia" w:ascii="Times New Roman" w:hAnsi="Times New Roman" w:eastAsia="宋体" w:cs="Times New Roman"/>
                      <w:color w:val="auto"/>
                      <w:kern w:val="0"/>
                      <w:szCs w:val="21"/>
                      <w:highlight w:val="none"/>
                      <w:u w:val="none" w:color="auto"/>
                      <w:lang w:eastAsia="zh-CN"/>
                    </w:rPr>
                    <w:t>容器</w:t>
                  </w:r>
                  <w:r>
                    <w:rPr>
                      <w:rFonts w:hint="eastAsia" w:ascii="Times New Roman" w:hAnsi="Times New Roman" w:eastAsia="宋体" w:cs="Times New Roman"/>
                      <w:color w:val="auto"/>
                      <w:kern w:val="0"/>
                      <w:szCs w:val="21"/>
                      <w:highlight w:val="none"/>
                      <w:u w:val="none" w:color="auto"/>
                    </w:rPr>
                    <w:t>单独存放。</w:t>
                  </w:r>
                </w:p>
              </w:tc>
              <w:tc>
                <w:tcPr>
                  <w:tcW w:w="376" w:type="pct"/>
                  <w:tcBorders>
                    <w:tl2br w:val="nil"/>
                    <w:tr2bl w:val="nil"/>
                  </w:tcBorders>
                  <w:noWrap w:val="0"/>
                  <w:vAlign w:val="center"/>
                </w:tcPr>
                <w:p w14:paraId="693CD687">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14C895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64415B8D">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3D8AC036">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废弃电器、铅酸蓄电池贮存场地不得有明火。</w:t>
                  </w:r>
                </w:p>
              </w:tc>
              <w:tc>
                <w:tcPr>
                  <w:tcW w:w="2229" w:type="pct"/>
                  <w:tcBorders>
                    <w:tl2br w:val="nil"/>
                    <w:tr2bl w:val="nil"/>
                  </w:tcBorders>
                  <w:noWrap w:val="0"/>
                  <w:vAlign w:val="center"/>
                </w:tcPr>
                <w:p w14:paraId="0AB905C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废弃电器、电池贮存场地无明火。</w:t>
                  </w:r>
                </w:p>
              </w:tc>
              <w:tc>
                <w:tcPr>
                  <w:tcW w:w="376" w:type="pct"/>
                  <w:tcBorders>
                    <w:tl2br w:val="nil"/>
                    <w:tr2bl w:val="nil"/>
                  </w:tcBorders>
                  <w:noWrap w:val="0"/>
                  <w:vAlign w:val="center"/>
                </w:tcPr>
                <w:p w14:paraId="76915B8A">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36857E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780FF2C8">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1476DE12">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容器和装置要防漏和防止洒溅，未引爆安全气囊的贮存装置应防爆，并对其进行日常性检查。</w:t>
                  </w:r>
                </w:p>
              </w:tc>
              <w:tc>
                <w:tcPr>
                  <w:tcW w:w="2229" w:type="pct"/>
                  <w:tcBorders>
                    <w:tl2br w:val="nil"/>
                    <w:tr2bl w:val="nil"/>
                  </w:tcBorders>
                  <w:noWrap w:val="0"/>
                  <w:vAlign w:val="center"/>
                </w:tcPr>
                <w:p w14:paraId="289B313C">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容器和装置要防漏和防止洒溅，未引爆安全气囊的贮存装置应防爆，并对其进行日常性检查。</w:t>
                  </w:r>
                </w:p>
              </w:tc>
              <w:tc>
                <w:tcPr>
                  <w:tcW w:w="376" w:type="pct"/>
                  <w:tcBorders>
                    <w:tl2br w:val="nil"/>
                    <w:tr2bl w:val="nil"/>
                  </w:tcBorders>
                  <w:noWrap w:val="0"/>
                  <w:vAlign w:val="center"/>
                </w:tcPr>
                <w:p w14:paraId="3DC1BD8A">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739DF6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37B38FAB">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6B1BAFB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对拆解后的所有固体废物分类贮存和标识。</w:t>
                  </w:r>
                </w:p>
              </w:tc>
              <w:tc>
                <w:tcPr>
                  <w:tcW w:w="2229" w:type="pct"/>
                  <w:tcBorders>
                    <w:tl2br w:val="nil"/>
                    <w:tr2bl w:val="nil"/>
                  </w:tcBorders>
                  <w:noWrap w:val="0"/>
                  <w:vAlign w:val="center"/>
                </w:tcPr>
                <w:p w14:paraId="128FA87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本项目对拆解后的固废、危废及回用件等均分类储存，并</w:t>
                  </w:r>
                  <w:r>
                    <w:rPr>
                      <w:rFonts w:hint="eastAsia" w:cs="Times New Roman"/>
                      <w:color w:val="auto"/>
                      <w:kern w:val="0"/>
                      <w:szCs w:val="21"/>
                      <w:highlight w:val="none"/>
                      <w:u w:val="none" w:color="auto"/>
                      <w:lang w:val="en-US" w:eastAsia="zh-CN"/>
                    </w:rPr>
                    <w:t>设有</w:t>
                  </w:r>
                  <w:r>
                    <w:rPr>
                      <w:rFonts w:hint="eastAsia" w:ascii="Times New Roman" w:hAnsi="Times New Roman" w:eastAsia="宋体" w:cs="Times New Roman"/>
                      <w:color w:val="auto"/>
                      <w:kern w:val="0"/>
                      <w:szCs w:val="21"/>
                      <w:highlight w:val="none"/>
                      <w:u w:val="none" w:color="auto"/>
                      <w:lang w:val="en-US" w:eastAsia="zh-CN"/>
                    </w:rPr>
                    <w:t>相应标识，储存场地均位于生产车间内。</w:t>
                  </w:r>
                </w:p>
              </w:tc>
              <w:tc>
                <w:tcPr>
                  <w:tcW w:w="376" w:type="pct"/>
                  <w:tcBorders>
                    <w:tl2br w:val="nil"/>
                    <w:tr2bl w:val="nil"/>
                  </w:tcBorders>
                  <w:noWrap w:val="0"/>
                  <w:vAlign w:val="center"/>
                </w:tcPr>
                <w:p w14:paraId="6F2F9340">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7E3131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18C4CFF5">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4710" w:type="pct"/>
                  <w:gridSpan w:val="3"/>
                  <w:tcBorders>
                    <w:tl2br w:val="nil"/>
                    <w:tr2bl w:val="nil"/>
                  </w:tcBorders>
                  <w:noWrap w:val="0"/>
                  <w:vAlign w:val="center"/>
                </w:tcPr>
                <w:p w14:paraId="2EC1798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贮存技术要求</w:t>
                  </w:r>
                  <w:r>
                    <w:rPr>
                      <w:rFonts w:hint="eastAsia" w:ascii="Times New Roman" w:hAnsi="Times New Roman" w:eastAsia="宋体" w:cs="Times New Roman"/>
                      <w:color w:val="auto"/>
                      <w:kern w:val="0"/>
                      <w:szCs w:val="21"/>
                      <w:highlight w:val="none"/>
                      <w:u w:val="none" w:color="auto"/>
                      <w:lang w:val="en-US" w:eastAsia="zh-CN"/>
                    </w:rPr>
                    <w:t>-</w:t>
                  </w:r>
                  <w:r>
                    <w:rPr>
                      <w:rFonts w:hint="eastAsia" w:ascii="Times New Roman" w:hAnsi="Times New Roman" w:eastAsia="宋体" w:cs="Times New Roman"/>
                      <w:color w:val="auto"/>
                      <w:kern w:val="0"/>
                      <w:szCs w:val="21"/>
                      <w:highlight w:val="none"/>
                      <w:u w:val="none" w:color="auto"/>
                    </w:rPr>
                    <w:t>动力蓄电池贮存</w:t>
                  </w:r>
                </w:p>
              </w:tc>
            </w:tr>
            <w:tr w14:paraId="737239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0012C436">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237B18B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动力蓄电池的贮存按照WB/T1061的贮存要求执行。</w:t>
                  </w:r>
                </w:p>
              </w:tc>
              <w:tc>
                <w:tcPr>
                  <w:tcW w:w="2229" w:type="pct"/>
                  <w:tcBorders>
                    <w:tl2br w:val="nil"/>
                    <w:tr2bl w:val="nil"/>
                  </w:tcBorders>
                  <w:noWrap w:val="0"/>
                  <w:vAlign w:val="center"/>
                </w:tcPr>
                <w:p w14:paraId="1BB1AB92">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按照WB/T1061的贮存要求贮存动力蓄电池。</w:t>
                  </w:r>
                </w:p>
              </w:tc>
              <w:tc>
                <w:tcPr>
                  <w:tcW w:w="376" w:type="pct"/>
                  <w:tcBorders>
                    <w:tl2br w:val="nil"/>
                    <w:tr2bl w:val="nil"/>
                  </w:tcBorders>
                  <w:noWrap w:val="0"/>
                  <w:vAlign w:val="center"/>
                </w:tcPr>
                <w:p w14:paraId="57AC3C30">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6C084A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2DDC2D8B">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7363E0A9">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动力蓄电池多层贮存时应采取框架结构并确保承重安全，且便于存取。</w:t>
                  </w:r>
                </w:p>
              </w:tc>
              <w:tc>
                <w:tcPr>
                  <w:tcW w:w="2229" w:type="pct"/>
                  <w:tcBorders>
                    <w:tl2br w:val="nil"/>
                    <w:tr2bl w:val="nil"/>
                  </w:tcBorders>
                  <w:noWrap w:val="0"/>
                  <w:vAlign w:val="center"/>
                </w:tcPr>
                <w:p w14:paraId="71C5D4F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采取框架结构贮存动力蓄电池并确保承重安全，且便于存取。</w:t>
                  </w:r>
                </w:p>
              </w:tc>
              <w:tc>
                <w:tcPr>
                  <w:tcW w:w="376" w:type="pct"/>
                  <w:tcBorders>
                    <w:tl2br w:val="nil"/>
                    <w:tr2bl w:val="nil"/>
                  </w:tcBorders>
                  <w:noWrap w:val="0"/>
                  <w:vAlign w:val="center"/>
                </w:tcPr>
                <w:p w14:paraId="7223F878">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09EE9D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vMerge w:val="continue"/>
                  <w:tcBorders>
                    <w:tl2br w:val="nil"/>
                    <w:tr2bl w:val="nil"/>
                  </w:tcBorders>
                  <w:noWrap w:val="0"/>
                  <w:vAlign w:val="center"/>
                </w:tcPr>
                <w:p w14:paraId="559BDD30">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lang w:val="en-US"/>
                    </w:rPr>
                  </w:pPr>
                </w:p>
              </w:tc>
              <w:tc>
                <w:tcPr>
                  <w:tcW w:w="2104" w:type="pct"/>
                  <w:tcBorders>
                    <w:tl2br w:val="nil"/>
                    <w:tr2bl w:val="nil"/>
                  </w:tcBorders>
                  <w:noWrap w:val="0"/>
                  <w:vAlign w:val="center"/>
                </w:tcPr>
                <w:p w14:paraId="51698FD5">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存在漏电、漏液、破损等安全隐患的动力蓄电池应采取适当方式处理，并隔离存放。</w:t>
                  </w:r>
                </w:p>
              </w:tc>
              <w:tc>
                <w:tcPr>
                  <w:tcW w:w="2229" w:type="pct"/>
                  <w:tcBorders>
                    <w:tl2br w:val="nil"/>
                    <w:tr2bl w:val="nil"/>
                  </w:tcBorders>
                  <w:noWrap w:val="0"/>
                  <w:vAlign w:val="center"/>
                </w:tcPr>
                <w:p w14:paraId="7DF70BC7">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存在漏电、漏液、破损等安全隐患的动力蓄电池应采取适当方式处理，并隔离存放。</w:t>
                  </w:r>
                </w:p>
              </w:tc>
              <w:tc>
                <w:tcPr>
                  <w:tcW w:w="376" w:type="pct"/>
                  <w:tcBorders>
                    <w:tl2br w:val="nil"/>
                    <w:tr2bl w:val="nil"/>
                  </w:tcBorders>
                  <w:noWrap w:val="0"/>
                  <w:vAlign w:val="center"/>
                </w:tcPr>
                <w:p w14:paraId="4AF89827">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6B12DFD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tcBorders>
                    <w:tl2br w:val="nil"/>
                    <w:tr2bl w:val="nil"/>
                  </w:tcBorders>
                  <w:noWrap w:val="0"/>
                  <w:vAlign w:val="center"/>
                </w:tcPr>
                <w:p w14:paraId="10EE614A">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废物贮存</w:t>
                  </w:r>
                </w:p>
              </w:tc>
              <w:tc>
                <w:tcPr>
                  <w:tcW w:w="2104" w:type="pct"/>
                  <w:tcBorders>
                    <w:tl2br w:val="nil"/>
                    <w:tr2bl w:val="nil"/>
                  </w:tcBorders>
                  <w:noWrap w:val="0"/>
                  <w:vAlign w:val="center"/>
                </w:tcPr>
                <w:p w14:paraId="443EC390">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 xml:space="preserve">废物的贮存应严格按照 </w:t>
                  </w:r>
                  <w:r>
                    <w:rPr>
                      <w:rFonts w:hint="default" w:ascii="Times New Roman" w:hAnsi="Times New Roman" w:eastAsia="宋体" w:cs="Times New Roman"/>
                      <w:color w:val="auto"/>
                      <w:kern w:val="0"/>
                      <w:szCs w:val="21"/>
                      <w:highlight w:val="none"/>
                      <w:u w:val="none" w:color="auto"/>
                      <w:lang w:val="en-US" w:eastAsia="zh-CN"/>
                    </w:rPr>
                    <w:t>GB18599</w:t>
                  </w:r>
                  <w:r>
                    <w:rPr>
                      <w:rFonts w:hint="eastAsia" w:ascii="Times New Roman" w:hAnsi="Times New Roman" w:eastAsia="宋体" w:cs="Times New Roman"/>
                      <w:color w:val="auto"/>
                      <w:kern w:val="0"/>
                      <w:szCs w:val="21"/>
                      <w:highlight w:val="none"/>
                      <w:u w:val="none" w:color="auto"/>
                      <w:lang w:val="en-US" w:eastAsia="zh-CN"/>
                    </w:rPr>
                    <w:t>、</w:t>
                  </w:r>
                  <w:r>
                    <w:rPr>
                      <w:rFonts w:hint="default" w:ascii="Times New Roman" w:hAnsi="Times New Roman" w:eastAsia="宋体" w:cs="Times New Roman"/>
                      <w:color w:val="auto"/>
                      <w:kern w:val="0"/>
                      <w:szCs w:val="21"/>
                      <w:highlight w:val="none"/>
                      <w:u w:val="none" w:color="auto"/>
                      <w:lang w:val="en-US" w:eastAsia="zh-CN"/>
                    </w:rPr>
                    <w:t>GB18597</w:t>
                  </w:r>
                  <w:r>
                    <w:rPr>
                      <w:rFonts w:hint="eastAsia" w:ascii="Times New Roman" w:hAnsi="Times New Roman" w:eastAsia="宋体" w:cs="Times New Roman"/>
                      <w:color w:val="auto"/>
                      <w:kern w:val="0"/>
                      <w:szCs w:val="21"/>
                      <w:highlight w:val="none"/>
                      <w:u w:val="none" w:color="auto"/>
                      <w:lang w:val="en-US" w:eastAsia="zh-CN"/>
                    </w:rPr>
                    <w:t>、</w:t>
                  </w:r>
                  <w:r>
                    <w:rPr>
                      <w:rFonts w:hint="default" w:ascii="Times New Roman" w:hAnsi="Times New Roman" w:eastAsia="宋体" w:cs="Times New Roman"/>
                      <w:color w:val="auto"/>
                      <w:kern w:val="0"/>
                      <w:szCs w:val="21"/>
                      <w:highlight w:val="none"/>
                      <w:u w:val="none" w:color="auto"/>
                      <w:lang w:val="en-US" w:eastAsia="zh-CN"/>
                    </w:rPr>
                    <w:t xml:space="preserve">HJ2025 </w:t>
                  </w:r>
                  <w:r>
                    <w:rPr>
                      <w:rFonts w:hint="eastAsia" w:ascii="Times New Roman" w:hAnsi="Times New Roman" w:eastAsia="宋体" w:cs="Times New Roman"/>
                      <w:color w:val="auto"/>
                      <w:kern w:val="0"/>
                      <w:szCs w:val="21"/>
                      <w:highlight w:val="none"/>
                      <w:u w:val="none" w:color="auto"/>
                      <w:lang w:val="en-US" w:eastAsia="zh-CN"/>
                    </w:rPr>
                    <w:t xml:space="preserve">的贮存要求执行。 </w:t>
                  </w:r>
                </w:p>
                <w:p w14:paraId="05493FB3">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 xml:space="preserve">废物贮存容器应进行标识，避免混合、混放。应使用各种专用密闭容器贮存废液，防止废液挥发。 </w:t>
                  </w:r>
                </w:p>
                <w:p w14:paraId="11790764">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 xml:space="preserve">妥善处置固体废物，严禁非法转移、倾倒、利用和处置。 </w:t>
                  </w:r>
                </w:p>
                <w:p w14:paraId="0E199F56">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4.</w:t>
                  </w:r>
                  <w:r>
                    <w:rPr>
                      <w:rFonts w:hint="eastAsia" w:ascii="Times New Roman" w:hAnsi="Times New Roman" w:eastAsia="宋体" w:cs="Times New Roman"/>
                      <w:color w:val="auto"/>
                      <w:kern w:val="0"/>
                      <w:szCs w:val="21"/>
                      <w:highlight w:val="none"/>
                      <w:u w:val="none" w:color="auto"/>
                      <w:lang w:val="en-US" w:eastAsia="zh-CN"/>
                    </w:rPr>
                    <w:t xml:space="preserve">不同类型的制冷剂应分别回收，使用专门容器单独存放。 </w:t>
                  </w:r>
                </w:p>
                <w:p w14:paraId="000E4456">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5.</w:t>
                  </w:r>
                  <w:r>
                    <w:rPr>
                      <w:rFonts w:hint="eastAsia" w:ascii="Times New Roman" w:hAnsi="Times New Roman" w:eastAsia="宋体" w:cs="Times New Roman"/>
                      <w:color w:val="auto"/>
                      <w:kern w:val="0"/>
                      <w:szCs w:val="21"/>
                      <w:highlight w:val="none"/>
                      <w:u w:val="none" w:color="auto"/>
                      <w:lang w:val="en-US" w:eastAsia="zh-CN"/>
                    </w:rPr>
                    <w:t xml:space="preserve">废弃电器、电池贮存场地不得有明火或热源。 </w:t>
                  </w:r>
                </w:p>
                <w:p w14:paraId="2ECD7414">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6.</w:t>
                  </w:r>
                  <w:r>
                    <w:rPr>
                      <w:rFonts w:hint="eastAsia" w:ascii="Times New Roman" w:hAnsi="Times New Roman" w:eastAsia="宋体" w:cs="Times New Roman"/>
                      <w:color w:val="auto"/>
                      <w:kern w:val="0"/>
                      <w:szCs w:val="21"/>
                      <w:highlight w:val="none"/>
                      <w:u w:val="none" w:color="auto"/>
                      <w:lang w:val="en-US" w:eastAsia="zh-CN"/>
                    </w:rPr>
                    <w:t xml:space="preserve">容器和装置要防漏和防止洒溅，未引爆安全气囊的贮存装置应防爆，并对其进行日常性检查。 </w:t>
                  </w:r>
                </w:p>
                <w:p w14:paraId="1B50A1F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7.</w:t>
                  </w:r>
                  <w:r>
                    <w:rPr>
                      <w:rFonts w:hint="eastAsia" w:ascii="Times New Roman" w:hAnsi="Times New Roman" w:eastAsia="宋体" w:cs="Times New Roman"/>
                      <w:color w:val="auto"/>
                      <w:kern w:val="0"/>
                      <w:szCs w:val="21"/>
                      <w:highlight w:val="none"/>
                      <w:u w:val="none" w:color="auto"/>
                      <w:lang w:val="en-US" w:eastAsia="zh-CN"/>
                    </w:rPr>
                    <w:t>对拆解后的所有废物及可用零部件、材料进行分类贮存和标识。</w:t>
                  </w:r>
                </w:p>
              </w:tc>
              <w:tc>
                <w:tcPr>
                  <w:tcW w:w="2229" w:type="pct"/>
                  <w:tcBorders>
                    <w:tl2br w:val="nil"/>
                    <w:tr2bl w:val="nil"/>
                  </w:tcBorders>
                  <w:noWrap w:val="0"/>
                  <w:vAlign w:val="center"/>
                </w:tcPr>
                <w:p w14:paraId="79188EA0">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项目废物的贮存应严格按</w:t>
                  </w:r>
                  <w:r>
                    <w:rPr>
                      <w:rFonts w:hint="default" w:ascii="Times New Roman" w:hAnsi="Times New Roman" w:eastAsia="宋体" w:cs="Times New Roman"/>
                      <w:color w:val="auto"/>
                      <w:kern w:val="0"/>
                      <w:szCs w:val="21"/>
                      <w:highlight w:val="none"/>
                      <w:u w:val="none" w:color="auto"/>
                      <w:lang w:val="en-US" w:eastAsia="zh-CN"/>
                    </w:rPr>
                    <w:t>GB18599</w:t>
                  </w:r>
                  <w:r>
                    <w:rPr>
                      <w:rFonts w:hint="eastAsia" w:ascii="Times New Roman" w:hAnsi="Times New Roman" w:eastAsia="宋体" w:cs="Times New Roman"/>
                      <w:color w:val="auto"/>
                      <w:kern w:val="0"/>
                      <w:szCs w:val="21"/>
                      <w:highlight w:val="none"/>
                      <w:u w:val="none" w:color="auto"/>
                      <w:lang w:val="en-US" w:eastAsia="zh-CN"/>
                    </w:rPr>
                    <w:t>、</w:t>
                  </w:r>
                  <w:r>
                    <w:rPr>
                      <w:rFonts w:hint="default" w:ascii="Times New Roman" w:hAnsi="Times New Roman" w:eastAsia="宋体" w:cs="Times New Roman"/>
                      <w:color w:val="auto"/>
                      <w:kern w:val="0"/>
                      <w:szCs w:val="21"/>
                      <w:highlight w:val="none"/>
                      <w:u w:val="none" w:color="auto"/>
                      <w:lang w:val="en-US" w:eastAsia="zh-CN"/>
                    </w:rPr>
                    <w:t>GB18597</w:t>
                  </w:r>
                  <w:r>
                    <w:rPr>
                      <w:rFonts w:hint="eastAsia" w:ascii="Times New Roman" w:hAnsi="Times New Roman" w:eastAsia="宋体" w:cs="Times New Roman"/>
                      <w:color w:val="auto"/>
                      <w:kern w:val="0"/>
                      <w:szCs w:val="21"/>
                      <w:highlight w:val="none"/>
                      <w:u w:val="none" w:color="auto"/>
                      <w:lang w:val="en-US" w:eastAsia="zh-CN"/>
                    </w:rPr>
                    <w:t>、</w:t>
                  </w:r>
                  <w:r>
                    <w:rPr>
                      <w:rFonts w:hint="default" w:ascii="Times New Roman" w:hAnsi="Times New Roman" w:eastAsia="宋体" w:cs="Times New Roman"/>
                      <w:color w:val="auto"/>
                      <w:kern w:val="0"/>
                      <w:szCs w:val="21"/>
                      <w:highlight w:val="none"/>
                      <w:u w:val="none" w:color="auto"/>
                      <w:lang w:val="en-US" w:eastAsia="zh-CN"/>
                    </w:rPr>
                    <w:t>HJ2025</w:t>
                  </w:r>
                  <w:r>
                    <w:rPr>
                      <w:rFonts w:hint="eastAsia" w:ascii="Times New Roman" w:hAnsi="Times New Roman" w:eastAsia="宋体" w:cs="Times New Roman"/>
                      <w:color w:val="auto"/>
                      <w:kern w:val="0"/>
                      <w:szCs w:val="21"/>
                      <w:highlight w:val="none"/>
                      <w:u w:val="none" w:color="auto"/>
                      <w:lang w:val="en-US" w:eastAsia="zh-CN"/>
                    </w:rPr>
                    <w:t xml:space="preserve">的贮存要求执行。 </w:t>
                  </w:r>
                </w:p>
                <w:p w14:paraId="3B88A5AC">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废物贮存容器进行标识，分区存放。采用专用密闭容器贮存废液，防止废液挥发。</w:t>
                  </w:r>
                </w:p>
                <w:p w14:paraId="169139B3">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 xml:space="preserve">各类固体废物均妥善处置。不同类型的制冷剂应分别回收，采用钢瓶单独存放。 </w:t>
                  </w:r>
                </w:p>
                <w:p w14:paraId="42C82E30">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 xml:space="preserve">废电池贮存库无明火或热源。容器和装置要防漏和防止洒溅，安全气囊设置专用引爆装置。 </w:t>
                  </w:r>
                </w:p>
                <w:p w14:paraId="5C079876">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拆解后的所有废物及可用零部件、材料进行分类贮存和标识。</w:t>
                  </w:r>
                </w:p>
              </w:tc>
              <w:tc>
                <w:tcPr>
                  <w:tcW w:w="376" w:type="pct"/>
                  <w:tcBorders>
                    <w:tl2br w:val="nil"/>
                    <w:tr2bl w:val="nil"/>
                  </w:tcBorders>
                  <w:noWrap w:val="0"/>
                  <w:vAlign w:val="center"/>
                </w:tcPr>
                <w:p w14:paraId="742FAB40">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2930C63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tcBorders>
                    <w:tl2br w:val="nil"/>
                    <w:tr2bl w:val="nil"/>
                  </w:tcBorders>
                  <w:noWrap w:val="0"/>
                  <w:vAlign w:val="center"/>
                </w:tcPr>
                <w:p w14:paraId="7FBCED00">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回用件贮存</w:t>
                  </w:r>
                </w:p>
              </w:tc>
              <w:tc>
                <w:tcPr>
                  <w:tcW w:w="2104" w:type="pct"/>
                  <w:tcBorders>
                    <w:tl2br w:val="nil"/>
                    <w:tr2bl w:val="nil"/>
                  </w:tcBorders>
                  <w:noWrap w:val="0"/>
                  <w:vAlign w:val="center"/>
                </w:tcPr>
                <w:p w14:paraId="3E308E61">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 xml:space="preserve">回用件应存放在封闭或半封闭的贮存场地中。 </w:t>
                  </w:r>
                </w:p>
                <w:p w14:paraId="057C0331">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回用件贮存前应做清洁等处理。</w:t>
                  </w:r>
                </w:p>
              </w:tc>
              <w:tc>
                <w:tcPr>
                  <w:tcW w:w="2229" w:type="pct"/>
                  <w:tcBorders>
                    <w:tl2br w:val="nil"/>
                    <w:tr2bl w:val="nil"/>
                  </w:tcBorders>
                  <w:noWrap w:val="0"/>
                  <w:vAlign w:val="center"/>
                </w:tcPr>
                <w:p w14:paraId="3C1485C8">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项目设有1间回用件分类存放库为封闭库房；回用件贮存前用抹布擦拭清理。</w:t>
                  </w:r>
                </w:p>
              </w:tc>
              <w:tc>
                <w:tcPr>
                  <w:tcW w:w="376" w:type="pct"/>
                  <w:tcBorders>
                    <w:tl2br w:val="nil"/>
                    <w:tr2bl w:val="nil"/>
                  </w:tcBorders>
                  <w:noWrap w:val="0"/>
                  <w:vAlign w:val="center"/>
                </w:tcPr>
                <w:p w14:paraId="1B723D31">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r w14:paraId="1E42E1C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289" w:type="pct"/>
                  <w:tcBorders>
                    <w:tl2br w:val="nil"/>
                    <w:tr2bl w:val="nil"/>
                  </w:tcBorders>
                  <w:noWrap w:val="0"/>
                  <w:vAlign w:val="center"/>
                </w:tcPr>
                <w:p w14:paraId="7D471D27">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lang w:val="en-US" w:eastAsia="zh-CN"/>
                    </w:rPr>
                  </w:pPr>
                  <w:r>
                    <w:rPr>
                      <w:rFonts w:hint="eastAsia" w:ascii="Times New Roman" w:hAnsi="Times New Roman" w:eastAsia="宋体" w:cs="Times New Roman"/>
                      <w:color w:val="auto"/>
                      <w:kern w:val="0"/>
                      <w:szCs w:val="21"/>
                      <w:highlight w:val="none"/>
                      <w:u w:val="none" w:color="auto"/>
                      <w:lang w:val="en-US" w:eastAsia="zh-CN"/>
                    </w:rPr>
                    <w:t>动力蓄电池贮存</w:t>
                  </w:r>
                </w:p>
              </w:tc>
              <w:tc>
                <w:tcPr>
                  <w:tcW w:w="2104" w:type="pct"/>
                  <w:tcBorders>
                    <w:tl2br w:val="nil"/>
                    <w:tr2bl w:val="nil"/>
                  </w:tcBorders>
                  <w:noWrap w:val="0"/>
                  <w:vAlign w:val="center"/>
                </w:tcPr>
                <w:p w14:paraId="7AE30B58">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1.</w:t>
                  </w:r>
                  <w:r>
                    <w:rPr>
                      <w:rFonts w:hint="eastAsia" w:ascii="Times New Roman" w:hAnsi="Times New Roman" w:eastAsia="宋体" w:cs="Times New Roman"/>
                      <w:color w:val="auto"/>
                      <w:kern w:val="0"/>
                      <w:szCs w:val="21"/>
                      <w:highlight w:val="none"/>
                      <w:u w:val="none" w:color="auto"/>
                      <w:lang w:val="en-US" w:eastAsia="zh-CN"/>
                    </w:rPr>
                    <w:t>动力蓄电池的贮存按照</w:t>
                  </w:r>
                  <w:r>
                    <w:rPr>
                      <w:rFonts w:hint="default" w:ascii="Times New Roman" w:hAnsi="Times New Roman" w:eastAsia="宋体" w:cs="Times New Roman"/>
                      <w:color w:val="auto"/>
                      <w:kern w:val="0"/>
                      <w:szCs w:val="21"/>
                      <w:highlight w:val="none"/>
                      <w:u w:val="none" w:color="auto"/>
                      <w:lang w:val="en-US" w:eastAsia="zh-CN"/>
                    </w:rPr>
                    <w:t>WB/T1061</w:t>
                  </w:r>
                  <w:r>
                    <w:rPr>
                      <w:rFonts w:hint="eastAsia" w:ascii="Times New Roman" w:hAnsi="Times New Roman" w:eastAsia="宋体" w:cs="Times New Roman"/>
                      <w:color w:val="auto"/>
                      <w:kern w:val="0"/>
                      <w:szCs w:val="21"/>
                      <w:highlight w:val="none"/>
                      <w:u w:val="none" w:color="auto"/>
                      <w:lang w:val="en-US" w:eastAsia="zh-CN"/>
                    </w:rPr>
                    <w:t xml:space="preserve">的贮存要求执行。 </w:t>
                  </w:r>
                </w:p>
                <w:p w14:paraId="692B79F4">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2.</w:t>
                  </w:r>
                  <w:r>
                    <w:rPr>
                      <w:rFonts w:hint="eastAsia" w:ascii="Times New Roman" w:hAnsi="Times New Roman" w:eastAsia="宋体" w:cs="Times New Roman"/>
                      <w:color w:val="auto"/>
                      <w:kern w:val="0"/>
                      <w:szCs w:val="21"/>
                      <w:highlight w:val="none"/>
                      <w:u w:val="none" w:color="auto"/>
                      <w:lang w:val="en-US" w:eastAsia="zh-CN"/>
                    </w:rPr>
                    <w:t xml:space="preserve">动力蓄电池多层贮存时应采取框架结构并确保承重安全，且便于存取。 </w:t>
                  </w:r>
                </w:p>
                <w:p w14:paraId="21CCF8C4">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default" w:ascii="Times New Roman" w:hAnsi="Times New Roman" w:eastAsia="宋体" w:cs="Times New Roman"/>
                      <w:color w:val="auto"/>
                      <w:kern w:val="0"/>
                      <w:szCs w:val="21"/>
                      <w:highlight w:val="none"/>
                      <w:u w:val="none" w:color="auto"/>
                      <w:lang w:val="en-US" w:eastAsia="zh-CN"/>
                    </w:rPr>
                    <w:t>3.</w:t>
                  </w:r>
                  <w:r>
                    <w:rPr>
                      <w:rFonts w:hint="eastAsia" w:ascii="Times New Roman" w:hAnsi="Times New Roman" w:eastAsia="宋体" w:cs="Times New Roman"/>
                      <w:color w:val="auto"/>
                      <w:kern w:val="0"/>
                      <w:szCs w:val="21"/>
                      <w:highlight w:val="none"/>
                      <w:u w:val="none" w:color="auto"/>
                      <w:lang w:val="en-US" w:eastAsia="zh-CN"/>
                    </w:rPr>
                    <w:t>存在漏电、漏液、破损等安全隐患的动力蓄电池应采取适当方式处理，并隔离存放。</w:t>
                  </w:r>
                </w:p>
              </w:tc>
              <w:tc>
                <w:tcPr>
                  <w:tcW w:w="2229" w:type="pct"/>
                  <w:tcBorders>
                    <w:tl2br w:val="nil"/>
                    <w:tr2bl w:val="nil"/>
                  </w:tcBorders>
                  <w:noWrap w:val="0"/>
                  <w:vAlign w:val="center"/>
                </w:tcPr>
                <w:p w14:paraId="7C80405C">
                  <w:pPr>
                    <w:keepNext w:val="0"/>
                    <w:keepLines w:val="0"/>
                    <w:suppressLineNumbers w:val="0"/>
                    <w:autoSpaceDE w:val="0"/>
                    <w:autoSpaceDN w:val="0"/>
                    <w:spacing w:before="0" w:beforeAutospacing="0" w:after="0" w:afterAutospacing="0"/>
                    <w:ind w:left="0" w:right="0"/>
                    <w:jc w:val="both"/>
                    <w:rPr>
                      <w:rFonts w:hint="default"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动力蓄电池暂存于废铅蓄电池贮存库，满足</w:t>
                  </w:r>
                  <w:r>
                    <w:rPr>
                      <w:rFonts w:hint="default" w:ascii="Times New Roman" w:hAnsi="Times New Roman" w:eastAsia="宋体" w:cs="Times New Roman"/>
                      <w:color w:val="auto"/>
                      <w:kern w:val="0"/>
                      <w:szCs w:val="21"/>
                      <w:highlight w:val="none"/>
                      <w:u w:val="none" w:color="auto"/>
                      <w:lang w:val="en-US" w:eastAsia="zh-CN"/>
                    </w:rPr>
                    <w:t>WB/T1061</w:t>
                  </w:r>
                  <w:r>
                    <w:rPr>
                      <w:rFonts w:hint="eastAsia" w:ascii="Times New Roman" w:hAnsi="Times New Roman" w:eastAsia="宋体" w:cs="Times New Roman"/>
                      <w:color w:val="auto"/>
                      <w:kern w:val="0"/>
                      <w:szCs w:val="21"/>
                      <w:highlight w:val="none"/>
                      <w:u w:val="none" w:color="auto"/>
                      <w:lang w:val="en-US" w:eastAsia="zh-CN"/>
                    </w:rPr>
                    <w:t xml:space="preserve">的贮存要求。 </w:t>
                  </w:r>
                </w:p>
                <w:p w14:paraId="2AB43512">
                  <w:pPr>
                    <w:keepNext w:val="0"/>
                    <w:keepLines w:val="0"/>
                    <w:suppressLineNumbers w:val="0"/>
                    <w:autoSpaceDE w:val="0"/>
                    <w:autoSpaceDN w:val="0"/>
                    <w:spacing w:before="0" w:beforeAutospacing="0" w:after="0" w:afterAutospacing="0"/>
                    <w:ind w:left="0" w:right="0"/>
                    <w:jc w:val="both"/>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lang w:val="en-US" w:eastAsia="zh-CN"/>
                    </w:rPr>
                    <w:t>贮存库内设置框架结构贮存架，确保承重安全。存在漏电、漏液、破损等安全隐患的动力蓄电池采用专用的耐酸防腐容器包装和贮存，避免电解质泄漏，并隔离存放。</w:t>
                  </w:r>
                </w:p>
              </w:tc>
              <w:tc>
                <w:tcPr>
                  <w:tcW w:w="376" w:type="pct"/>
                  <w:tcBorders>
                    <w:tl2br w:val="nil"/>
                    <w:tr2bl w:val="nil"/>
                  </w:tcBorders>
                  <w:noWrap w:val="0"/>
                  <w:vAlign w:val="center"/>
                </w:tcPr>
                <w:p w14:paraId="2B1BE34B">
                  <w:pPr>
                    <w:keepNext w:val="0"/>
                    <w:keepLines w:val="0"/>
                    <w:suppressLineNumbers w:val="0"/>
                    <w:autoSpaceDE w:val="0"/>
                    <w:autoSpaceDN w:val="0"/>
                    <w:spacing w:before="0" w:beforeAutospacing="0" w:after="0" w:afterAutospacing="0"/>
                    <w:ind w:left="0" w:right="0"/>
                    <w:jc w:val="center"/>
                    <w:rPr>
                      <w:rFonts w:hint="eastAsia" w:ascii="Times New Roman" w:hAnsi="Times New Roman" w:eastAsia="宋体" w:cs="Times New Roman"/>
                      <w:color w:val="auto"/>
                      <w:kern w:val="0"/>
                      <w:szCs w:val="21"/>
                      <w:highlight w:val="none"/>
                      <w:u w:val="none" w:color="auto"/>
                    </w:rPr>
                  </w:pPr>
                  <w:r>
                    <w:rPr>
                      <w:rFonts w:hint="eastAsia" w:ascii="Times New Roman" w:hAnsi="Times New Roman" w:eastAsia="宋体" w:cs="Times New Roman"/>
                      <w:color w:val="auto"/>
                      <w:kern w:val="0"/>
                      <w:szCs w:val="21"/>
                      <w:highlight w:val="none"/>
                      <w:u w:val="none" w:color="auto"/>
                    </w:rPr>
                    <w:t>符合</w:t>
                  </w:r>
                </w:p>
              </w:tc>
            </w:tr>
          </w:tbl>
          <w:p w14:paraId="162F1D07">
            <w:pPr>
              <w:pStyle w:val="73"/>
              <w:keepNext w:val="0"/>
              <w:keepLines w:val="0"/>
              <w:suppressLineNumbers w:val="0"/>
              <w:spacing w:before="108" w:beforeAutospacing="0" w:after="0" w:afterAutospacing="0" w:line="360" w:lineRule="auto"/>
              <w:ind w:left="115" w:right="103" w:firstLine="476"/>
              <w:rPr>
                <w:rFonts w:hint="eastAsia"/>
                <w:b/>
                <w:bCs/>
                <w:color w:val="auto"/>
                <w:highlight w:val="none"/>
                <w:lang w:val="en-US" w:eastAsia="zh-CN"/>
              </w:rPr>
            </w:pPr>
            <w:r>
              <w:rPr>
                <w:rFonts w:hint="default" w:cs="Times New Roman"/>
                <w:b/>
                <w:bCs/>
                <w:color w:val="auto"/>
                <w:sz w:val="21"/>
                <w:szCs w:val="21"/>
                <w:highlight w:val="none"/>
                <w:u w:val="none" w:color="auto"/>
                <w:lang w:val="en-US" w:eastAsia="zh-CN"/>
              </w:rPr>
              <w:fldChar w:fldCharType="begin"/>
            </w:r>
            <w:r>
              <w:rPr>
                <w:rFonts w:hint="default" w:cs="Times New Roman"/>
                <w:b/>
                <w:bCs/>
                <w:color w:val="auto"/>
                <w:sz w:val="21"/>
                <w:szCs w:val="21"/>
                <w:highlight w:val="none"/>
                <w:u w:val="none" w:color="auto"/>
                <w:lang w:val="en-US" w:eastAsia="zh-CN"/>
              </w:rPr>
              <w:instrText xml:space="preserve"> EQ \o\ac(</w:instrText>
            </w:r>
            <w:r>
              <w:rPr>
                <w:rFonts w:hint="eastAsia" w:ascii="Times New Roman" w:hAnsi="Times New Roman" w:eastAsia="宋体" w:cs="Times New Roman"/>
                <w:b/>
                <w:bCs/>
                <w:color w:val="auto"/>
                <w:kern w:val="2"/>
                <w:position w:val="-4"/>
                <w:sz w:val="31"/>
                <w:szCs w:val="21"/>
                <w:highlight w:val="none"/>
                <w:u w:val="none" w:color="auto"/>
                <w:lang w:val="en-US" w:eastAsia="zh-CN" w:bidi="ar-SA"/>
              </w:rPr>
              <w:instrText xml:space="preserve">○</w:instrText>
            </w:r>
            <w:r>
              <w:rPr>
                <w:rFonts w:hint="default" w:cs="Times New Roman"/>
                <w:b/>
                <w:bCs/>
                <w:color w:val="auto"/>
                <w:position w:val="0"/>
                <w:sz w:val="21"/>
                <w:szCs w:val="21"/>
                <w:highlight w:val="none"/>
                <w:u w:val="none" w:color="auto"/>
                <w:lang w:val="en-US" w:eastAsia="zh-CN"/>
              </w:rPr>
              <w:instrText xml:space="preserve">,</w:instrText>
            </w:r>
            <w:r>
              <w:rPr>
                <w:rFonts w:hint="default" w:ascii="Times New Roman" w:hAnsi="Times New Roman" w:eastAsia="宋体" w:cs="Times New Roman"/>
                <w:b/>
                <w:bCs/>
                <w:color w:val="auto"/>
                <w:kern w:val="2"/>
                <w:position w:val="0"/>
                <w:sz w:val="21"/>
                <w:szCs w:val="21"/>
                <w:highlight w:val="none"/>
                <w:u w:val="none" w:color="auto"/>
                <w:lang w:val="en-US" w:eastAsia="zh-CN" w:bidi="ar-SA"/>
              </w:rPr>
              <w:instrText xml:space="preserve">12</w:instrText>
            </w:r>
            <w:r>
              <w:rPr>
                <w:rFonts w:hint="default" w:cs="Times New Roman"/>
                <w:b/>
                <w:bCs/>
                <w:color w:val="auto"/>
                <w:position w:val="0"/>
                <w:sz w:val="21"/>
                <w:szCs w:val="21"/>
                <w:highlight w:val="none"/>
                <w:u w:val="none" w:color="auto"/>
                <w:lang w:val="en-US" w:eastAsia="zh-CN"/>
              </w:rPr>
              <w:instrText xml:space="preserve">)</w:instrText>
            </w:r>
            <w:r>
              <w:rPr>
                <w:rFonts w:hint="default" w:cs="Times New Roman"/>
                <w:b/>
                <w:bCs/>
                <w:color w:val="auto"/>
                <w:sz w:val="21"/>
                <w:szCs w:val="21"/>
                <w:highlight w:val="none"/>
                <w:u w:val="none" w:color="auto"/>
                <w:lang w:val="en-US" w:eastAsia="zh-CN"/>
              </w:rPr>
              <w:fldChar w:fldCharType="end"/>
            </w:r>
            <w:r>
              <w:rPr>
                <w:rFonts w:hint="default"/>
                <w:b/>
                <w:bCs/>
                <w:color w:val="auto"/>
                <w:spacing w:val="-2"/>
                <w:highlight w:val="none"/>
              </w:rPr>
              <w:t>与</w:t>
            </w:r>
            <w:r>
              <w:rPr>
                <w:rFonts w:hint="default" w:ascii="Times New Roman" w:hAnsi="Times New Roman" w:eastAsia="宋体" w:cs="Times New Roman"/>
                <w:b/>
                <w:bCs/>
                <w:color w:val="auto"/>
                <w:sz w:val="24"/>
                <w:highlight w:val="none"/>
                <w:u w:val="none" w:color="auto"/>
                <w:lang w:bidi="zh-CN"/>
              </w:rPr>
              <w:t>《报废机动车拆解企业污染控制技术规范》（HJ348-20</w:t>
            </w:r>
            <w:r>
              <w:rPr>
                <w:rFonts w:hint="default" w:ascii="Times New Roman" w:hAnsi="Times New Roman" w:eastAsia="宋体" w:cs="Times New Roman"/>
                <w:b/>
                <w:bCs/>
                <w:color w:val="auto"/>
                <w:sz w:val="24"/>
                <w:highlight w:val="none"/>
                <w:u w:val="none" w:color="auto"/>
                <w:lang w:val="en-US" w:bidi="zh-CN"/>
              </w:rPr>
              <w:t>22</w:t>
            </w:r>
            <w:r>
              <w:rPr>
                <w:rFonts w:hint="default" w:ascii="Times New Roman" w:hAnsi="Times New Roman" w:eastAsia="宋体" w:cs="Times New Roman"/>
                <w:b/>
                <w:bCs/>
                <w:color w:val="auto"/>
                <w:sz w:val="24"/>
                <w:highlight w:val="none"/>
                <w:u w:val="none" w:color="auto"/>
                <w:lang w:bidi="zh-CN"/>
              </w:rPr>
              <w:t>）</w:t>
            </w:r>
            <w:r>
              <w:rPr>
                <w:rFonts w:hint="eastAsia" w:cs="Times New Roman"/>
                <w:b/>
                <w:bCs/>
                <w:color w:val="auto"/>
                <w:sz w:val="24"/>
                <w:highlight w:val="none"/>
                <w:u w:val="none" w:color="auto"/>
                <w:lang w:val="en-US" w:eastAsia="zh-CN" w:bidi="zh-CN"/>
              </w:rPr>
              <w:t>符合性</w:t>
            </w:r>
            <w:r>
              <w:rPr>
                <w:rFonts w:hint="default" w:ascii="Times New Roman" w:hAnsi="Times New Roman" w:eastAsia="宋体" w:cs="Times New Roman"/>
                <w:b/>
                <w:bCs/>
                <w:color w:val="auto"/>
                <w:sz w:val="24"/>
                <w:highlight w:val="none"/>
                <w:u w:val="none" w:color="auto"/>
                <w:lang w:bidi="zh-CN"/>
              </w:rPr>
              <w:t>分析</w:t>
            </w:r>
          </w:p>
          <w:p w14:paraId="6DE45FCD">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color w:val="auto"/>
                <w:szCs w:val="22"/>
                <w:highlight w:val="none"/>
                <w:u w:val="none" w:color="auto"/>
                <w:lang w:bidi="zh-CN"/>
              </w:rPr>
            </w:pPr>
            <w:r>
              <w:rPr>
                <w:rFonts w:hint="default" w:ascii="Times New Roman" w:hAnsi="Times New Roman" w:eastAsia="宋体" w:cs="Times New Roman"/>
                <w:b/>
                <w:color w:val="auto"/>
                <w:szCs w:val="22"/>
                <w:highlight w:val="none"/>
                <w:u w:val="none" w:color="auto"/>
                <w:lang w:bidi="zh-CN"/>
              </w:rPr>
              <w:t>表1-</w:t>
            </w:r>
            <w:r>
              <w:rPr>
                <w:rFonts w:hint="eastAsia" w:cs="Times New Roman"/>
                <w:b/>
                <w:color w:val="auto"/>
                <w:szCs w:val="22"/>
                <w:highlight w:val="none"/>
                <w:u w:val="none" w:color="auto"/>
                <w:lang w:val="en-US" w:bidi="zh-CN"/>
              </w:rPr>
              <w:t>16</w:t>
            </w:r>
            <w:r>
              <w:rPr>
                <w:rFonts w:hint="default" w:ascii="Times New Roman" w:hAnsi="Times New Roman" w:eastAsia="宋体" w:cs="Times New Roman"/>
                <w:b/>
                <w:color w:val="auto"/>
                <w:szCs w:val="22"/>
                <w:highlight w:val="none"/>
                <w:u w:val="none" w:color="auto"/>
                <w:lang w:bidi="zh-CN"/>
              </w:rPr>
              <w:t xml:space="preserve"> </w:t>
            </w:r>
            <w:r>
              <w:rPr>
                <w:rFonts w:hint="default" w:ascii="Times New Roman" w:hAnsi="Times New Roman" w:eastAsia="宋体" w:cs="Times New Roman"/>
                <w:b/>
                <w:color w:val="auto"/>
                <w:szCs w:val="22"/>
                <w:highlight w:val="none"/>
                <w:u w:val="none" w:color="auto"/>
                <w:lang w:val="en-US" w:bidi="zh-CN"/>
              </w:rPr>
              <w:t xml:space="preserve"> </w:t>
            </w:r>
            <w:r>
              <w:rPr>
                <w:rFonts w:hint="default" w:ascii="Times New Roman" w:hAnsi="Times New Roman" w:eastAsia="宋体" w:cs="Times New Roman"/>
                <w:b/>
                <w:color w:val="auto"/>
                <w:szCs w:val="22"/>
                <w:highlight w:val="none"/>
                <w:u w:val="none" w:color="auto"/>
                <w:lang w:bidi="zh-CN"/>
              </w:rPr>
              <w:t>与《报废机动车拆解企业污染控制技术规范》</w:t>
            </w:r>
            <w:r>
              <w:rPr>
                <w:rFonts w:hint="eastAsia" w:cs="Times New Roman"/>
                <w:b/>
                <w:bCs/>
                <w:color w:val="auto"/>
                <w:highlight w:val="none"/>
                <w:vertAlign w:val="baseline"/>
                <w:lang w:val="en-US" w:eastAsia="zh-CN"/>
              </w:rPr>
              <w:t>符合性</w:t>
            </w:r>
            <w:r>
              <w:rPr>
                <w:rFonts w:hint="default" w:ascii="Times New Roman" w:hAnsi="Times New Roman" w:eastAsia="宋体" w:cs="Times New Roman"/>
                <w:b/>
                <w:color w:val="auto"/>
                <w:szCs w:val="22"/>
                <w:highlight w:val="none"/>
                <w:u w:val="none" w:color="auto"/>
                <w:lang w:bidi="zh-CN"/>
              </w:rPr>
              <w:t>分析</w:t>
            </w:r>
          </w:p>
          <w:tbl>
            <w:tblPr>
              <w:tblStyle w:val="26"/>
              <w:tblW w:w="499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23"/>
              <w:gridCol w:w="6865"/>
              <w:gridCol w:w="5123"/>
              <w:gridCol w:w="1037"/>
            </w:tblGrid>
            <w:tr w14:paraId="701A26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blHeader/>
                <w:jc w:val="center"/>
              </w:trPr>
              <w:tc>
                <w:tcPr>
                  <w:tcW w:w="364" w:type="pct"/>
                  <w:tcBorders>
                    <w:tl2br w:val="nil"/>
                    <w:tr2bl w:val="nil"/>
                  </w:tcBorders>
                  <w:noWrap w:val="0"/>
                  <w:vAlign w:val="center"/>
                </w:tcPr>
                <w:p w14:paraId="03C5797B">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u w:val="none" w:color="auto"/>
                    </w:rPr>
                  </w:pPr>
                  <w:r>
                    <w:rPr>
                      <w:rFonts w:hint="default" w:ascii="Times New Roman" w:hAnsi="Times New Roman" w:eastAsia="宋体" w:cs="Times New Roman"/>
                      <w:b/>
                      <w:bCs/>
                      <w:color w:val="auto"/>
                      <w:szCs w:val="21"/>
                      <w:highlight w:val="none"/>
                      <w:u w:val="none" w:color="auto"/>
                    </w:rPr>
                    <w:t>项目</w:t>
                  </w:r>
                </w:p>
              </w:tc>
              <w:tc>
                <w:tcPr>
                  <w:tcW w:w="2443" w:type="pct"/>
                  <w:tcBorders>
                    <w:tl2br w:val="nil"/>
                    <w:tr2bl w:val="nil"/>
                  </w:tcBorders>
                  <w:noWrap w:val="0"/>
                  <w:vAlign w:val="center"/>
                </w:tcPr>
                <w:p w14:paraId="313345CA">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u w:val="none" w:color="auto"/>
                    </w:rPr>
                  </w:pPr>
                  <w:r>
                    <w:rPr>
                      <w:rFonts w:hint="default" w:ascii="Times New Roman" w:hAnsi="Times New Roman" w:eastAsia="宋体" w:cs="Times New Roman"/>
                      <w:b/>
                      <w:bCs/>
                      <w:color w:val="auto"/>
                      <w:szCs w:val="21"/>
                      <w:highlight w:val="none"/>
                      <w:u w:val="none" w:color="auto"/>
                    </w:rPr>
                    <w:t>技术规范要求</w:t>
                  </w:r>
                </w:p>
              </w:tc>
              <w:tc>
                <w:tcPr>
                  <w:tcW w:w="1823" w:type="pct"/>
                  <w:tcBorders>
                    <w:tl2br w:val="nil"/>
                    <w:tr2bl w:val="nil"/>
                  </w:tcBorders>
                  <w:noWrap w:val="0"/>
                  <w:vAlign w:val="center"/>
                </w:tcPr>
                <w:p w14:paraId="1DB3453F">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u w:val="none" w:color="auto"/>
                    </w:rPr>
                  </w:pPr>
                  <w:r>
                    <w:rPr>
                      <w:rFonts w:hint="default" w:ascii="Times New Roman" w:hAnsi="Times New Roman" w:eastAsia="宋体" w:cs="Times New Roman"/>
                      <w:b/>
                      <w:bCs/>
                      <w:color w:val="auto"/>
                      <w:szCs w:val="21"/>
                      <w:highlight w:val="none"/>
                      <w:u w:val="none" w:color="auto"/>
                    </w:rPr>
                    <w:t>本项目情况</w:t>
                  </w:r>
                </w:p>
              </w:tc>
              <w:tc>
                <w:tcPr>
                  <w:tcW w:w="369" w:type="pct"/>
                  <w:tcBorders>
                    <w:tl2br w:val="nil"/>
                    <w:tr2bl w:val="nil"/>
                  </w:tcBorders>
                  <w:noWrap w:val="0"/>
                  <w:vAlign w:val="center"/>
                </w:tcPr>
                <w:p w14:paraId="17AC96AC">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Cs w:val="21"/>
                      <w:highlight w:val="none"/>
                      <w:u w:val="none" w:color="auto"/>
                      <w:lang w:eastAsia="zh-CN"/>
                    </w:rPr>
                  </w:pPr>
                  <w:r>
                    <w:rPr>
                      <w:rFonts w:hint="eastAsia" w:cs="Times New Roman"/>
                      <w:b/>
                      <w:bCs/>
                      <w:color w:val="auto"/>
                      <w:highlight w:val="none"/>
                      <w:vertAlign w:val="baseline"/>
                      <w:lang w:val="en-US" w:eastAsia="zh-CN"/>
                    </w:rPr>
                    <w:t>符合</w:t>
                  </w:r>
                  <w:r>
                    <w:rPr>
                      <w:rFonts w:hint="default" w:ascii="Times New Roman" w:hAnsi="Times New Roman" w:eastAsia="宋体" w:cs="Times New Roman"/>
                      <w:b/>
                      <w:bCs/>
                      <w:color w:val="auto"/>
                      <w:highlight w:val="none"/>
                      <w:vertAlign w:val="baseline"/>
                      <w:lang w:val="en-US" w:eastAsia="zh-CN"/>
                    </w:rPr>
                    <w:t>性</w:t>
                  </w:r>
                </w:p>
              </w:tc>
            </w:tr>
            <w:tr w14:paraId="0201FE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restart"/>
                  <w:tcBorders>
                    <w:tl2br w:val="nil"/>
                    <w:tr2bl w:val="nil"/>
                  </w:tcBorders>
                  <w:noWrap w:val="0"/>
                  <w:vAlign w:val="center"/>
                </w:tcPr>
                <w:p w14:paraId="05084F7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总体</w:t>
                  </w:r>
                  <w:r>
                    <w:rPr>
                      <w:rFonts w:hint="default" w:ascii="Times New Roman" w:hAnsi="Times New Roman" w:eastAsia="宋体" w:cs="Times New Roman"/>
                      <w:color w:val="auto"/>
                      <w:szCs w:val="21"/>
                      <w:highlight w:val="none"/>
                      <w:u w:val="none" w:color="auto"/>
                    </w:rPr>
                    <w:t>要求</w:t>
                  </w:r>
                </w:p>
              </w:tc>
              <w:tc>
                <w:tcPr>
                  <w:tcW w:w="2443" w:type="pct"/>
                  <w:tcBorders>
                    <w:tl2br w:val="nil"/>
                    <w:tr2bl w:val="nil"/>
                  </w:tcBorders>
                  <w:noWrap w:val="0"/>
                  <w:vAlign w:val="center"/>
                </w:tcPr>
                <w:p w14:paraId="06BE88A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1.1报废机动车的拆解应遵循</w:t>
                  </w:r>
                  <w:r>
                    <w:rPr>
                      <w:rFonts w:hint="eastAsia" w:cs="Times New Roman"/>
                      <w:color w:val="auto"/>
                      <w:szCs w:val="21"/>
                      <w:highlight w:val="none"/>
                      <w:u w:val="none" w:color="auto"/>
                      <w:lang w:eastAsia="zh-CN"/>
                    </w:rPr>
                    <w:t>减量化、资源化、无害化</w:t>
                  </w:r>
                  <w:r>
                    <w:rPr>
                      <w:rFonts w:hint="default" w:ascii="Times New Roman" w:hAnsi="Times New Roman" w:eastAsia="宋体" w:cs="Times New Roman"/>
                      <w:color w:val="auto"/>
                      <w:szCs w:val="21"/>
                      <w:highlight w:val="none"/>
                      <w:u w:val="none" w:color="auto"/>
                    </w:rPr>
                    <w:t>的原则。报废机动车回收拆解企业应优先采用资源回收率高、污染物排放量少的工艺和设备，防范二次污染，实现减污降碳协同增效。</w:t>
                  </w:r>
                </w:p>
              </w:tc>
              <w:tc>
                <w:tcPr>
                  <w:tcW w:w="1823" w:type="pct"/>
                  <w:tcBorders>
                    <w:tl2br w:val="nil"/>
                    <w:tr2bl w:val="nil"/>
                  </w:tcBorders>
                  <w:noWrap w:val="0"/>
                  <w:vAlign w:val="center"/>
                </w:tcPr>
                <w:p w14:paraId="7F8C12C4">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pacing w:val="-4"/>
                      <w:szCs w:val="21"/>
                      <w:highlight w:val="none"/>
                      <w:u w:val="none" w:color="auto"/>
                    </w:rPr>
                    <w:t>本</w:t>
                  </w:r>
                  <w:r>
                    <w:rPr>
                      <w:rFonts w:hint="default" w:ascii="Times New Roman" w:hAnsi="Times New Roman" w:eastAsia="宋体" w:cs="Times New Roman"/>
                      <w:color w:val="auto"/>
                      <w:szCs w:val="21"/>
                      <w:highlight w:val="none"/>
                      <w:u w:val="none" w:color="auto"/>
                    </w:rPr>
                    <w:t>项目遵循减量化、资源化和无害化的原则</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采用资源回收率高、污染物排放量少的工艺和设备，防范二次污染。</w:t>
                  </w:r>
                </w:p>
              </w:tc>
              <w:tc>
                <w:tcPr>
                  <w:tcW w:w="369" w:type="pct"/>
                  <w:tcBorders>
                    <w:tl2br w:val="nil"/>
                    <w:tr2bl w:val="nil"/>
                  </w:tcBorders>
                  <w:noWrap w:val="0"/>
                  <w:vAlign w:val="center"/>
                </w:tcPr>
                <w:p w14:paraId="03CE45E2">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67ACFC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78ABA9D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0F1CE3D5">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1.2报废机动车拆解建设项目选址不应位于国务院和国务院有关主管部门及省、自治区、直辖市人民政府划定的生态保护红线区域、永久基本农田和其他需要特别保护的区域内。</w:t>
                  </w:r>
                </w:p>
              </w:tc>
              <w:tc>
                <w:tcPr>
                  <w:tcW w:w="1823" w:type="pct"/>
                  <w:tcBorders>
                    <w:tl2br w:val="nil"/>
                    <w:tr2bl w:val="nil"/>
                  </w:tcBorders>
                  <w:noWrap w:val="0"/>
                  <w:vAlign w:val="center"/>
                </w:tcPr>
                <w:p w14:paraId="03A79EA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项目</w:t>
                  </w:r>
                  <w:r>
                    <w:rPr>
                      <w:rFonts w:hint="default" w:ascii="Times New Roman" w:hAnsi="Times New Roman" w:eastAsia="宋体" w:cs="Times New Roman"/>
                      <w:color w:val="auto"/>
                      <w:highlight w:val="none"/>
                      <w:u w:val="none" w:color="auto"/>
                      <w:lang w:val="en-US" w:eastAsia="zh-CN"/>
                    </w:rPr>
                    <w:t>不在</w:t>
                  </w:r>
                  <w:r>
                    <w:rPr>
                      <w:rFonts w:hint="default" w:ascii="Times New Roman" w:hAnsi="Times New Roman" w:eastAsia="宋体" w:cs="Times New Roman"/>
                      <w:color w:val="auto"/>
                      <w:highlight w:val="none"/>
                      <w:u w:val="none" w:color="auto"/>
                    </w:rPr>
                    <w:t>国务院和国务院有关主管部门及省、自治区、直辖市人民政府划定的生态保护红线区域、永久基本农田和其他需要特别保护的区域内</w:t>
                  </w:r>
                  <w:r>
                    <w:rPr>
                      <w:rFonts w:hint="default" w:ascii="Times New Roman" w:hAnsi="Times New Roman" w:eastAsia="宋体" w:cs="Times New Roman"/>
                      <w:color w:val="auto"/>
                      <w:szCs w:val="21"/>
                      <w:highlight w:val="none"/>
                      <w:u w:val="none" w:color="auto"/>
                    </w:rPr>
                    <w:t>。</w:t>
                  </w:r>
                </w:p>
              </w:tc>
              <w:tc>
                <w:tcPr>
                  <w:tcW w:w="369" w:type="pct"/>
                  <w:tcBorders>
                    <w:tl2br w:val="nil"/>
                    <w:tr2bl w:val="nil"/>
                  </w:tcBorders>
                  <w:noWrap w:val="0"/>
                  <w:vAlign w:val="center"/>
                </w:tcPr>
                <w:p w14:paraId="71B464FF">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5B75BB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37EE04E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3D9B6C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1.3报废机动车回收拆解企业应具备集中的运营场地，并实行封闭式规范管理。</w:t>
                  </w:r>
                </w:p>
              </w:tc>
              <w:tc>
                <w:tcPr>
                  <w:tcW w:w="1823" w:type="pct"/>
                  <w:tcBorders>
                    <w:tl2br w:val="nil"/>
                    <w:tr2bl w:val="nil"/>
                  </w:tcBorders>
                  <w:noWrap w:val="0"/>
                  <w:vAlign w:val="center"/>
                </w:tcPr>
                <w:p w14:paraId="0BE9088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highlight w:val="none"/>
                      <w:u w:val="none" w:color="auto"/>
                    </w:rPr>
                    <w:t>企业具备集中的运营场地，并实行封闭式规范管理。</w:t>
                  </w:r>
                </w:p>
              </w:tc>
              <w:tc>
                <w:tcPr>
                  <w:tcW w:w="369" w:type="pct"/>
                  <w:tcBorders>
                    <w:tl2br w:val="nil"/>
                    <w:tr2bl w:val="nil"/>
                  </w:tcBorders>
                  <w:noWrap w:val="0"/>
                  <w:vAlign w:val="center"/>
                </w:tcPr>
                <w:p w14:paraId="2434D55C">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DCC8D3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4290601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D79744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1.4报废机动车回收拆解企业应根据HJ 1034、HJ 1200等规定取得排污许可证，并按照排污许可证管理要求进行规范排污。产生的废气、废水、噪声、固体废物等排放应满足国家和地方的污染物排放标准与排污许可要求，产生的固体废物应按照国家有关环境保护规定和标准要求妥善贮存、利用和处置。</w:t>
                  </w:r>
                </w:p>
              </w:tc>
              <w:tc>
                <w:tcPr>
                  <w:tcW w:w="1823" w:type="pct"/>
                  <w:tcBorders>
                    <w:tl2br w:val="nil"/>
                    <w:tr2bl w:val="nil"/>
                  </w:tcBorders>
                  <w:noWrap w:val="0"/>
                  <w:vAlign w:val="center"/>
                </w:tcPr>
                <w:p w14:paraId="7A92BE0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highlight w:val="none"/>
                      <w:u w:val="none" w:color="auto"/>
                      <w:lang w:val="en-US" w:eastAsia="zh-CN"/>
                    </w:rPr>
                    <w:t>项目根据</w:t>
                  </w:r>
                  <w:r>
                    <w:rPr>
                      <w:rFonts w:hint="default" w:ascii="Times New Roman" w:hAnsi="Times New Roman" w:eastAsia="宋体" w:cs="Times New Roman"/>
                      <w:color w:val="auto"/>
                      <w:highlight w:val="none"/>
                      <w:u w:val="none" w:color="auto"/>
                    </w:rPr>
                    <w:t>排污许可证管理要求进行排污许可证</w:t>
                  </w:r>
                  <w:r>
                    <w:rPr>
                      <w:rFonts w:hint="default" w:ascii="Times New Roman" w:hAnsi="Times New Roman" w:eastAsia="宋体" w:cs="Times New Roman"/>
                      <w:color w:val="auto"/>
                      <w:highlight w:val="none"/>
                      <w:u w:val="none" w:color="auto"/>
                      <w:lang w:val="en-US" w:eastAsia="zh-CN"/>
                    </w:rPr>
                    <w:t>申请并规范排污</w:t>
                  </w:r>
                  <w:r>
                    <w:rPr>
                      <w:rFonts w:hint="default" w:ascii="Times New Roman" w:hAnsi="Times New Roman" w:eastAsia="宋体" w:cs="Times New Roman"/>
                      <w:color w:val="auto"/>
                      <w:highlight w:val="none"/>
                      <w:u w:val="none" w:color="auto"/>
                    </w:rPr>
                    <w:t>。</w:t>
                  </w:r>
                </w:p>
              </w:tc>
              <w:tc>
                <w:tcPr>
                  <w:tcW w:w="369" w:type="pct"/>
                  <w:tcBorders>
                    <w:tl2br w:val="nil"/>
                    <w:tr2bl w:val="nil"/>
                  </w:tcBorders>
                  <w:noWrap w:val="0"/>
                  <w:vAlign w:val="center"/>
                </w:tcPr>
                <w:p w14:paraId="5EB73209">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25B1A5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1A415FB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11CC7F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1.5报废机动车回收拆解企业应依照《报废机动车回收管理办法实施细则》等相关要求向机动车生产企业获取报废机动车拆解指导手册等相关技术信息，依规开展报废机动车拆解工作。</w:t>
                  </w:r>
                </w:p>
              </w:tc>
              <w:tc>
                <w:tcPr>
                  <w:tcW w:w="1823" w:type="pct"/>
                  <w:tcBorders>
                    <w:tl2br w:val="nil"/>
                    <w:tr2bl w:val="nil"/>
                  </w:tcBorders>
                  <w:noWrap w:val="0"/>
                  <w:vAlign w:val="center"/>
                </w:tcPr>
                <w:p w14:paraId="477E192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highlight w:val="none"/>
                      <w:u w:val="none" w:color="auto"/>
                      <w:lang w:val="en-US" w:eastAsia="zh-CN"/>
                    </w:rPr>
                    <w:t>项目</w:t>
                  </w:r>
                  <w:r>
                    <w:rPr>
                      <w:rFonts w:hint="default" w:ascii="Times New Roman" w:hAnsi="Times New Roman" w:eastAsia="宋体" w:cs="Times New Roman"/>
                      <w:color w:val="auto"/>
                      <w:highlight w:val="none"/>
                      <w:u w:val="none" w:color="auto"/>
                    </w:rPr>
                    <w:t>依照《报废机动车回收管理办法实施细则》等相关要求向机动车生产企业获取报废机动车拆解指导手册等相关技术信息，依规开展报废机动车拆解工作。</w:t>
                  </w:r>
                </w:p>
              </w:tc>
              <w:tc>
                <w:tcPr>
                  <w:tcW w:w="369" w:type="pct"/>
                  <w:tcBorders>
                    <w:tl2br w:val="nil"/>
                    <w:tr2bl w:val="nil"/>
                  </w:tcBorders>
                  <w:noWrap w:val="0"/>
                  <w:vAlign w:val="center"/>
                </w:tcPr>
                <w:p w14:paraId="0A3153C6">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4CC532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3BB9B3A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68C85F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1.6报废机动车回收拆解企业应依据GB22128等相关规定开展拆解作业。不应露天拆解报废机动车，拆解产物不应露天堆放，不应对大气、土壤、地表水和地下水造成污染。</w:t>
                  </w:r>
                </w:p>
              </w:tc>
              <w:tc>
                <w:tcPr>
                  <w:tcW w:w="1823" w:type="pct"/>
                  <w:tcBorders>
                    <w:tl2br w:val="nil"/>
                    <w:tr2bl w:val="nil"/>
                  </w:tcBorders>
                  <w:noWrap w:val="0"/>
                  <w:vAlign w:val="center"/>
                </w:tcPr>
                <w:p w14:paraId="33D16FC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highlight w:val="none"/>
                      <w:u w:val="none" w:color="auto"/>
                    </w:rPr>
                    <w:t>企业依据GB22128等相关规定开展拆解作业</w:t>
                  </w:r>
                  <w:r>
                    <w:rPr>
                      <w:rFonts w:hint="default" w:ascii="Times New Roman" w:hAnsi="Times New Roman" w:eastAsia="宋体" w:cs="Times New Roman"/>
                      <w:color w:val="auto"/>
                      <w:highlight w:val="none"/>
                      <w:u w:val="none" w:color="auto"/>
                      <w:lang w:eastAsia="zh-CN"/>
                    </w:rPr>
                    <w:t>，</w:t>
                  </w:r>
                  <w:r>
                    <w:rPr>
                      <w:rFonts w:hint="default" w:ascii="Times New Roman" w:hAnsi="Times New Roman" w:eastAsia="宋体" w:cs="Times New Roman"/>
                      <w:color w:val="auto"/>
                      <w:highlight w:val="none"/>
                      <w:u w:val="none" w:color="auto"/>
                      <w:lang w:val="en-US" w:eastAsia="zh-CN"/>
                    </w:rPr>
                    <w:t>无</w:t>
                  </w:r>
                  <w:r>
                    <w:rPr>
                      <w:rFonts w:hint="default" w:ascii="Times New Roman" w:hAnsi="Times New Roman" w:eastAsia="宋体" w:cs="Times New Roman"/>
                      <w:color w:val="auto"/>
                      <w:highlight w:val="none"/>
                      <w:u w:val="none" w:color="auto"/>
                    </w:rPr>
                    <w:t>露天拆解，拆解产物</w:t>
                  </w:r>
                  <w:r>
                    <w:rPr>
                      <w:rFonts w:hint="default" w:ascii="Times New Roman" w:hAnsi="Times New Roman" w:eastAsia="宋体" w:cs="Times New Roman"/>
                      <w:color w:val="auto"/>
                      <w:highlight w:val="none"/>
                      <w:u w:val="none" w:color="auto"/>
                      <w:lang w:val="en-US" w:eastAsia="zh-CN"/>
                    </w:rPr>
                    <w:t>无</w:t>
                  </w:r>
                  <w:r>
                    <w:rPr>
                      <w:rFonts w:hint="default" w:ascii="Times New Roman" w:hAnsi="Times New Roman" w:eastAsia="宋体" w:cs="Times New Roman"/>
                      <w:color w:val="auto"/>
                      <w:highlight w:val="none"/>
                      <w:u w:val="none" w:color="auto"/>
                    </w:rPr>
                    <w:t>露天堆放，不对大气、土壤、地表水和地下水造成污染</w:t>
                  </w:r>
                  <w:r>
                    <w:rPr>
                      <w:rFonts w:hint="default" w:ascii="Times New Roman" w:hAnsi="Times New Roman" w:eastAsia="宋体" w:cs="Times New Roman"/>
                      <w:color w:val="auto"/>
                      <w:highlight w:val="none"/>
                      <w:u w:val="none" w:color="auto"/>
                      <w:lang w:eastAsia="zh-CN"/>
                    </w:rPr>
                    <w:t>。</w:t>
                  </w:r>
                </w:p>
              </w:tc>
              <w:tc>
                <w:tcPr>
                  <w:tcW w:w="369" w:type="pct"/>
                  <w:tcBorders>
                    <w:tl2br w:val="nil"/>
                    <w:tr2bl w:val="nil"/>
                  </w:tcBorders>
                  <w:noWrap w:val="0"/>
                  <w:vAlign w:val="center"/>
                </w:tcPr>
                <w:p w14:paraId="513A878E">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5BA0DE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10BD574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7FF2F9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1.7报废机动车回收拆解企业应具备与生产规模相匹配的环境保护设施，环境保护设施的设计、施工与运行应遵守“三同时”环境管理制度。</w:t>
                  </w:r>
                </w:p>
              </w:tc>
              <w:tc>
                <w:tcPr>
                  <w:tcW w:w="1823" w:type="pct"/>
                  <w:tcBorders>
                    <w:tl2br w:val="nil"/>
                    <w:tr2bl w:val="nil"/>
                  </w:tcBorders>
                  <w:noWrap w:val="0"/>
                  <w:vAlign w:val="center"/>
                </w:tcPr>
                <w:p w14:paraId="5BFB15F7">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rPr>
                    <w:t>企业具备与生产规模相匹配的环境保护设施，环境保护设施的设计、施工与运行遵守“三同时”环境管理制度。</w:t>
                  </w:r>
                </w:p>
              </w:tc>
              <w:tc>
                <w:tcPr>
                  <w:tcW w:w="369" w:type="pct"/>
                  <w:tcBorders>
                    <w:tl2br w:val="nil"/>
                    <w:tr2bl w:val="nil"/>
                  </w:tcBorders>
                  <w:noWrap w:val="0"/>
                  <w:vAlign w:val="center"/>
                </w:tcPr>
                <w:p w14:paraId="06C98951">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1C955F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53DF980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428CE31E">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1</w:t>
                  </w:r>
                  <w:r>
                    <w:rPr>
                      <w:rFonts w:hint="default" w:ascii="Times New Roman" w:hAnsi="Times New Roman" w:eastAsia="宋体" w:cs="Times New Roman"/>
                      <w:color w:val="auto"/>
                      <w:szCs w:val="21"/>
                      <w:highlight w:val="none"/>
                      <w:u w:val="none" w:color="auto"/>
                    </w:rPr>
                    <w:t>.8报废机动车回收拆解及贮存过程除满足环境保护相关要求外，还应符合国家安全生产、职业健康、交通运输、消防等法规标准的相关要求。</w:t>
                  </w:r>
                </w:p>
              </w:tc>
              <w:tc>
                <w:tcPr>
                  <w:tcW w:w="1823" w:type="pct"/>
                  <w:tcBorders>
                    <w:tl2br w:val="nil"/>
                    <w:tr2bl w:val="nil"/>
                  </w:tcBorders>
                  <w:noWrap w:val="0"/>
                  <w:vAlign w:val="center"/>
                </w:tcPr>
                <w:p w14:paraId="44B31B66">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eastAsia="zh-CN"/>
                    </w:rPr>
                    <w:t>项目</w:t>
                  </w:r>
                  <w:r>
                    <w:rPr>
                      <w:rFonts w:hint="default" w:ascii="Times New Roman" w:hAnsi="Times New Roman" w:eastAsia="宋体" w:cs="Times New Roman"/>
                      <w:color w:val="auto"/>
                      <w:szCs w:val="21"/>
                      <w:highlight w:val="none"/>
                      <w:u w:val="none" w:color="auto"/>
                    </w:rPr>
                    <w:t>报废机动车回收拆解及贮存过程除满足环境保护相关要求，</w:t>
                  </w:r>
                  <w:r>
                    <w:rPr>
                      <w:rFonts w:hint="default" w:ascii="Times New Roman" w:hAnsi="Times New Roman" w:eastAsia="宋体" w:cs="Times New Roman"/>
                      <w:color w:val="auto"/>
                      <w:szCs w:val="21"/>
                      <w:highlight w:val="none"/>
                      <w:u w:val="none" w:color="auto"/>
                      <w:lang w:eastAsia="zh-CN"/>
                    </w:rPr>
                    <w:t>并满足</w:t>
                  </w:r>
                  <w:r>
                    <w:rPr>
                      <w:rFonts w:hint="default" w:ascii="Times New Roman" w:hAnsi="Times New Roman" w:eastAsia="宋体" w:cs="Times New Roman"/>
                      <w:color w:val="auto"/>
                      <w:szCs w:val="21"/>
                      <w:highlight w:val="none"/>
                      <w:u w:val="none" w:color="auto"/>
                    </w:rPr>
                    <w:t>国家安全生产、职业健康、交通运输、消防等法规标准的相关要求</w:t>
                  </w:r>
                  <w:r>
                    <w:rPr>
                      <w:rFonts w:hint="default" w:ascii="Times New Roman" w:hAnsi="Times New Roman" w:eastAsia="宋体" w:cs="Times New Roman"/>
                      <w:color w:val="auto"/>
                      <w:szCs w:val="21"/>
                      <w:highlight w:val="none"/>
                      <w:u w:val="none" w:color="auto"/>
                      <w:lang w:val="en-US" w:eastAsia="zh-CN"/>
                    </w:rPr>
                    <w:t>。</w:t>
                  </w:r>
                </w:p>
              </w:tc>
              <w:tc>
                <w:tcPr>
                  <w:tcW w:w="369" w:type="pct"/>
                  <w:tcBorders>
                    <w:tl2br w:val="nil"/>
                    <w:tr2bl w:val="nil"/>
                  </w:tcBorders>
                  <w:noWrap w:val="0"/>
                  <w:vAlign w:val="center"/>
                </w:tcPr>
                <w:p w14:paraId="072A293F">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10BDE32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restart"/>
                  <w:tcBorders>
                    <w:tl2br w:val="nil"/>
                    <w:tr2bl w:val="nil"/>
                  </w:tcBorders>
                  <w:noWrap w:val="0"/>
                  <w:vAlign w:val="center"/>
                </w:tcPr>
                <w:p w14:paraId="6EEEF44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基础设施污染控制要求</w:t>
                  </w:r>
                </w:p>
              </w:tc>
              <w:tc>
                <w:tcPr>
                  <w:tcW w:w="2443" w:type="pct"/>
                  <w:tcBorders>
                    <w:tl2br w:val="nil"/>
                    <w:tr2bl w:val="nil"/>
                  </w:tcBorders>
                  <w:noWrap w:val="0"/>
                  <w:vAlign w:val="center"/>
                </w:tcPr>
                <w:p w14:paraId="05D7C587">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2</w:t>
                  </w:r>
                  <w:r>
                    <w:rPr>
                      <w:rFonts w:hint="default" w:ascii="Times New Roman" w:hAnsi="Times New Roman" w:eastAsia="宋体" w:cs="Times New Roman"/>
                      <w:color w:val="auto"/>
                      <w:szCs w:val="21"/>
                      <w:highlight w:val="none"/>
                      <w:u w:val="none" w:color="auto"/>
                    </w:rPr>
                    <w:t>.1报废机动车回收拆解企业应划分不同的功能区，包括办公区和作业区。作业区应包括</w:t>
                  </w:r>
                  <w:r>
                    <w:rPr>
                      <w:rFonts w:hint="default" w:ascii="Times New Roman" w:hAnsi="Times New Roman" w:eastAsia="宋体" w:cs="Times New Roman"/>
                      <w:color w:val="auto"/>
                      <w:szCs w:val="21"/>
                      <w:highlight w:val="none"/>
                      <w:u w:val="none" w:color="auto"/>
                      <w:lang w:eastAsia="zh-CN"/>
                    </w:rPr>
                    <w:t>：</w:t>
                  </w:r>
                </w:p>
                <w:p w14:paraId="01D07E0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eastAsia" w:cs="Times New Roman"/>
                      <w:color w:val="auto"/>
                      <w:szCs w:val="21"/>
                      <w:highlight w:val="none"/>
                      <w:u w:val="none" w:color="auto"/>
                      <w:lang w:eastAsia="zh-CN"/>
                    </w:rPr>
                    <w:t>a）</w:t>
                  </w:r>
                  <w:r>
                    <w:rPr>
                      <w:rFonts w:hint="default" w:ascii="Times New Roman" w:hAnsi="Times New Roman" w:eastAsia="宋体" w:cs="Times New Roman"/>
                      <w:color w:val="auto"/>
                      <w:szCs w:val="21"/>
                      <w:highlight w:val="none"/>
                      <w:u w:val="none" w:color="auto"/>
                    </w:rPr>
                    <w:t xml:space="preserve"> 整车贮存区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分为传统燃料机动车区和电动汽车区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b</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动力蓄电池拆卸区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c</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铅蓄电池拆卸区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d</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电池分类贮存区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e</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拆解区</w:t>
                  </w:r>
                  <w:r>
                    <w:rPr>
                      <w:rFonts w:hint="default" w:ascii="Times New Roman" w:hAnsi="Times New Roman" w:eastAsia="宋体" w:cs="Times New Roman"/>
                      <w:color w:val="auto"/>
                      <w:szCs w:val="21"/>
                      <w:highlight w:val="none"/>
                      <w:u w:val="none" w:color="auto"/>
                      <w:lang w:eastAsia="zh-CN"/>
                    </w:rPr>
                    <w:t>；</w:t>
                  </w:r>
                </w:p>
                <w:p w14:paraId="413340B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color w:val="auto"/>
                      <w:szCs w:val="21"/>
                      <w:highlight w:val="none"/>
                      <w:u w:val="none" w:color="auto"/>
                    </w:rPr>
                    <w:t>f</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产品</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半成品</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不包括电池</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贮存区</w:t>
                  </w:r>
                  <w:r>
                    <w:rPr>
                      <w:rFonts w:hint="default" w:ascii="Times New Roman" w:hAnsi="Times New Roman" w:eastAsia="宋体" w:cs="Times New Roman"/>
                      <w:color w:val="auto"/>
                      <w:szCs w:val="21"/>
                      <w:highlight w:val="none"/>
                      <w:u w:val="none" w:color="auto"/>
                      <w:lang w:eastAsia="zh-CN"/>
                    </w:rPr>
                    <w:t>；</w:t>
                  </w:r>
                </w:p>
                <w:p w14:paraId="5687FD07">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g</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破碎分选区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h</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lang w:val="en-US" w:eastAsia="zh-CN"/>
                    </w:rPr>
                    <w:t>一</w:t>
                  </w:r>
                  <w:r>
                    <w:rPr>
                      <w:rFonts w:hint="default" w:ascii="Times New Roman" w:hAnsi="Times New Roman" w:eastAsia="宋体" w:cs="Times New Roman"/>
                      <w:color w:val="auto"/>
                      <w:szCs w:val="21"/>
                      <w:highlight w:val="none"/>
                      <w:u w:val="none" w:color="auto"/>
                    </w:rPr>
                    <w:t>般工业固体废物贮存区</w:t>
                  </w:r>
                  <w:r>
                    <w:rPr>
                      <w:rFonts w:hint="default" w:ascii="Times New Roman" w:hAnsi="Times New Roman" w:eastAsia="宋体" w:cs="Times New Roman"/>
                      <w:color w:val="auto"/>
                      <w:szCs w:val="21"/>
                      <w:highlight w:val="none"/>
                      <w:u w:val="none" w:color="auto"/>
                      <w:lang w:eastAsia="zh-CN"/>
                    </w:rPr>
                    <w:t>；</w:t>
                  </w:r>
                </w:p>
                <w:p w14:paraId="5021CEF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i</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危险废物贮存区。</w:t>
                  </w:r>
                </w:p>
              </w:tc>
              <w:tc>
                <w:tcPr>
                  <w:tcW w:w="1823" w:type="pct"/>
                  <w:tcBorders>
                    <w:tl2br w:val="nil"/>
                    <w:tr2bl w:val="nil"/>
                  </w:tcBorders>
                  <w:noWrap w:val="0"/>
                  <w:vAlign w:val="center"/>
                </w:tcPr>
                <w:p w14:paraId="5BF1331E">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eastAsia="zh-CN"/>
                    </w:rPr>
                    <w:t>建设单位</w:t>
                  </w:r>
                  <w:r>
                    <w:rPr>
                      <w:rFonts w:hint="default" w:ascii="Times New Roman" w:hAnsi="Times New Roman" w:eastAsia="宋体" w:cs="Times New Roman"/>
                      <w:color w:val="auto"/>
                      <w:szCs w:val="21"/>
                      <w:highlight w:val="none"/>
                      <w:u w:val="none" w:color="auto"/>
                    </w:rPr>
                    <w:t>进行分区作业，包括</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a</w:t>
                  </w:r>
                  <w:r>
                    <w:rPr>
                      <w:rFonts w:hint="eastAsia"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整车贮存区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分为传统燃料机动车区和电动汽车区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b</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动力蓄电池拆卸区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c</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铅蓄电池拆卸区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d</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电池分类贮存区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e</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拆解区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f</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产品</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半成品</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不包括电池</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贮存区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g</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破碎分选区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h</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lang w:val="en-US" w:eastAsia="zh-CN"/>
                    </w:rPr>
                    <w:t>一</w:t>
                  </w:r>
                  <w:r>
                    <w:rPr>
                      <w:rFonts w:hint="default" w:ascii="Times New Roman" w:hAnsi="Times New Roman" w:eastAsia="宋体" w:cs="Times New Roman"/>
                      <w:color w:val="auto"/>
                      <w:szCs w:val="21"/>
                      <w:highlight w:val="none"/>
                      <w:u w:val="none" w:color="auto"/>
                    </w:rPr>
                    <w:t>般工业固体废物贮存区</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i</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危险废物贮存区。</w:t>
                  </w:r>
                </w:p>
              </w:tc>
              <w:tc>
                <w:tcPr>
                  <w:tcW w:w="369" w:type="pct"/>
                  <w:tcBorders>
                    <w:tl2br w:val="nil"/>
                    <w:tr2bl w:val="nil"/>
                  </w:tcBorders>
                  <w:noWrap w:val="0"/>
                  <w:vAlign w:val="center"/>
                </w:tcPr>
                <w:p w14:paraId="6C227EA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386062F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67D5566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107A30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2</w:t>
                  </w:r>
                  <w:r>
                    <w:rPr>
                      <w:rFonts w:hint="default" w:ascii="Times New Roman" w:hAnsi="Times New Roman" w:eastAsia="宋体" w:cs="Times New Roman"/>
                      <w:color w:val="auto"/>
                      <w:szCs w:val="21"/>
                      <w:highlight w:val="none"/>
                      <w:u w:val="none" w:color="auto"/>
                    </w:rPr>
                    <w:t>.2报废机动车回收拆解企业厂区内功能区的设计和建设应满足以下要求</w:t>
                  </w:r>
                  <w:r>
                    <w:rPr>
                      <w:rFonts w:hint="default" w:ascii="Times New Roman" w:hAnsi="Times New Roman" w:eastAsia="宋体" w:cs="Times New Roman"/>
                      <w:color w:val="auto"/>
                      <w:szCs w:val="21"/>
                      <w:highlight w:val="none"/>
                      <w:u w:val="none" w:color="auto"/>
                      <w:lang w:eastAsia="zh-CN"/>
                    </w:rPr>
                    <w:t>：</w:t>
                  </w:r>
                </w:p>
                <w:p w14:paraId="64213835">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作业区面积大小和功能区划分应满足拆解作业的需要</w:t>
                  </w:r>
                  <w:r>
                    <w:rPr>
                      <w:rFonts w:hint="default" w:ascii="Times New Roman" w:hAnsi="Times New Roman" w:eastAsia="宋体" w:cs="Times New Roman"/>
                      <w:color w:val="auto"/>
                      <w:szCs w:val="21"/>
                      <w:highlight w:val="none"/>
                      <w:u w:val="none" w:color="auto"/>
                      <w:lang w:eastAsia="zh-CN"/>
                    </w:rPr>
                    <w:t>；</w:t>
                  </w:r>
                </w:p>
                <w:p w14:paraId="377BB050">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b</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不同的功能区应具有明显的标识</w:t>
                  </w:r>
                  <w:r>
                    <w:rPr>
                      <w:rFonts w:hint="default" w:ascii="Times New Roman" w:hAnsi="Times New Roman" w:eastAsia="宋体" w:cs="Times New Roman"/>
                      <w:color w:val="auto"/>
                      <w:szCs w:val="21"/>
                      <w:highlight w:val="none"/>
                      <w:u w:val="none" w:color="auto"/>
                      <w:lang w:eastAsia="zh-CN"/>
                    </w:rPr>
                    <w:t>；</w:t>
                  </w:r>
                </w:p>
                <w:p w14:paraId="4D7609B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c</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作业区应具有防渗地面和油水收集设施，地面应符合GB50037的防油渗地面要求</w:t>
                  </w:r>
                  <w:r>
                    <w:rPr>
                      <w:rFonts w:hint="default" w:ascii="Times New Roman" w:hAnsi="Times New Roman" w:eastAsia="宋体" w:cs="Times New Roman"/>
                      <w:color w:val="auto"/>
                      <w:szCs w:val="21"/>
                      <w:highlight w:val="none"/>
                      <w:u w:val="none" w:color="auto"/>
                      <w:lang w:eastAsia="zh-CN"/>
                    </w:rPr>
                    <w:t>；</w:t>
                  </w:r>
                </w:p>
                <w:p w14:paraId="5B0705A1">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d</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作业区地面混凝土强度等级不低于C20，厚度不低于150mm</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其中物流通道路面和拆解作业区域强度不低于C30，厚度不低于200mm。大型拆解设备承重区域的硬化标准参照设备工艺要求执行</w:t>
                  </w:r>
                  <w:r>
                    <w:rPr>
                      <w:rFonts w:hint="default" w:ascii="Times New Roman" w:hAnsi="Times New Roman" w:eastAsia="宋体" w:cs="Times New Roman"/>
                      <w:color w:val="auto"/>
                      <w:szCs w:val="21"/>
                      <w:highlight w:val="none"/>
                      <w:u w:val="none" w:color="auto"/>
                      <w:lang w:eastAsia="zh-CN"/>
                    </w:rPr>
                    <w:t>；</w:t>
                  </w:r>
                </w:p>
                <w:p w14:paraId="3F40AA0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e</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拆解区应为封闭或半封闭建筑物</w:t>
                  </w:r>
                  <w:r>
                    <w:rPr>
                      <w:rFonts w:hint="default" w:ascii="Times New Roman" w:hAnsi="Times New Roman" w:eastAsia="宋体" w:cs="Times New Roman"/>
                      <w:color w:val="auto"/>
                      <w:szCs w:val="21"/>
                      <w:highlight w:val="none"/>
                      <w:u w:val="none" w:color="auto"/>
                      <w:lang w:eastAsia="zh-CN"/>
                    </w:rPr>
                    <w:t>；</w:t>
                  </w:r>
                </w:p>
                <w:p w14:paraId="63C0C630">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eastAsia" w:cs="Times New Roman"/>
                      <w:color w:val="auto"/>
                      <w:szCs w:val="21"/>
                      <w:highlight w:val="none"/>
                      <w:u w:val="none" w:color="auto"/>
                      <w:lang w:eastAsia="zh-CN"/>
                    </w:rPr>
                    <w:t>f）</w:t>
                  </w:r>
                  <w:r>
                    <w:rPr>
                      <w:rFonts w:hint="default" w:ascii="Times New Roman" w:hAnsi="Times New Roman" w:eastAsia="宋体" w:cs="Times New Roman"/>
                      <w:color w:val="auto"/>
                      <w:szCs w:val="21"/>
                      <w:highlight w:val="none"/>
                      <w:u w:val="none" w:color="auto"/>
                    </w:rPr>
                    <w:t xml:space="preserve"> 破碎分选区应设在封闭区域内，控制工业废气、粉尘和噪声污染</w:t>
                  </w:r>
                  <w:r>
                    <w:rPr>
                      <w:rFonts w:hint="default" w:ascii="Times New Roman" w:hAnsi="Times New Roman" w:eastAsia="宋体" w:cs="Times New Roman"/>
                      <w:color w:val="auto"/>
                      <w:szCs w:val="21"/>
                      <w:highlight w:val="none"/>
                      <w:u w:val="none" w:color="auto"/>
                      <w:lang w:eastAsia="zh-CN"/>
                    </w:rPr>
                    <w:t>；</w:t>
                  </w:r>
                </w:p>
                <w:p w14:paraId="4A51DFEB">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g</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危险废物贮存区应设置液体导流和收集装置，地面应无液体积聚，如有冲洗废水应纳入废水收集处理设施处理</w:t>
                  </w:r>
                  <w:r>
                    <w:rPr>
                      <w:rFonts w:hint="default" w:ascii="Times New Roman" w:hAnsi="Times New Roman" w:eastAsia="宋体" w:cs="Times New Roman"/>
                      <w:color w:val="auto"/>
                      <w:szCs w:val="21"/>
                      <w:highlight w:val="none"/>
                      <w:u w:val="none" w:color="auto"/>
                      <w:lang w:eastAsia="zh-CN"/>
                    </w:rPr>
                    <w:t>；</w:t>
                  </w:r>
                </w:p>
                <w:p w14:paraId="5FD9BF5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h</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不同种类的危险废物应单独收集、分类存放，中间有明显间隔</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贮存场所应设置警示标识，同时还应满足GB 18597中其他相关要求</w:t>
                  </w:r>
                  <w:r>
                    <w:rPr>
                      <w:rFonts w:hint="default" w:ascii="Times New Roman" w:hAnsi="Times New Roman" w:eastAsia="宋体" w:cs="Times New Roman"/>
                      <w:color w:val="auto"/>
                      <w:szCs w:val="21"/>
                      <w:highlight w:val="none"/>
                      <w:u w:val="none" w:color="auto"/>
                      <w:lang w:eastAsia="zh-CN"/>
                    </w:rPr>
                    <w:t>；</w:t>
                  </w:r>
                </w:p>
                <w:p w14:paraId="10178D2B">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i</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铅蓄电池的拆卸、贮存区的地面应做防酸、防腐、防渗及硬化处理，同时还应满足HJ519中其他相关要求</w:t>
                  </w:r>
                  <w:r>
                    <w:rPr>
                      <w:rFonts w:hint="default" w:ascii="Times New Roman" w:hAnsi="Times New Roman" w:eastAsia="宋体" w:cs="Times New Roman"/>
                      <w:color w:val="auto"/>
                      <w:szCs w:val="21"/>
                      <w:highlight w:val="none"/>
                      <w:u w:val="none" w:color="auto"/>
                      <w:lang w:eastAsia="zh-CN"/>
                    </w:rPr>
                    <w:t>；</w:t>
                  </w:r>
                </w:p>
                <w:p w14:paraId="309C60C5">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j</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动力蓄电池拆卸、贮存区应满足HJ 1186中的相关要求，地面应采用环氧地坪等硬化措施，地面应做防酸、防腐、防渗、硬化及绝缘处理</w:t>
                  </w:r>
                  <w:r>
                    <w:rPr>
                      <w:rFonts w:hint="default" w:ascii="Times New Roman" w:hAnsi="Times New Roman" w:eastAsia="宋体" w:cs="Times New Roman"/>
                      <w:color w:val="auto"/>
                      <w:szCs w:val="21"/>
                      <w:highlight w:val="none"/>
                      <w:u w:val="none" w:color="auto"/>
                      <w:lang w:eastAsia="zh-CN"/>
                    </w:rPr>
                    <w:t>；</w:t>
                  </w:r>
                </w:p>
                <w:p w14:paraId="51E44E1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k</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各贮存区应在显著位置设置标识，标明贮存物的类别、名称、规格、注意事项等，根据其特性合理划分贮存区域，采取必要的隔离措施。</w:t>
                  </w:r>
                </w:p>
              </w:tc>
              <w:tc>
                <w:tcPr>
                  <w:tcW w:w="1823" w:type="pct"/>
                  <w:tcBorders>
                    <w:tl2br w:val="nil"/>
                    <w:tr2bl w:val="nil"/>
                  </w:tcBorders>
                  <w:noWrap w:val="0"/>
                  <w:vAlign w:val="center"/>
                </w:tcPr>
                <w:p w14:paraId="1FA0F6D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eastAsia" w:cs="Times New Roman"/>
                      <w:color w:val="auto"/>
                      <w:szCs w:val="21"/>
                      <w:highlight w:val="none"/>
                      <w:u w:val="none" w:color="auto"/>
                      <w:lang w:eastAsia="zh-CN"/>
                    </w:rPr>
                    <w:t>项目</w:t>
                  </w:r>
                  <w:r>
                    <w:rPr>
                      <w:rFonts w:hint="default" w:ascii="Times New Roman" w:hAnsi="Times New Roman" w:eastAsia="宋体" w:cs="Times New Roman"/>
                      <w:color w:val="auto"/>
                      <w:szCs w:val="21"/>
                      <w:highlight w:val="none"/>
                      <w:u w:val="none" w:color="auto"/>
                    </w:rPr>
                    <w:t>报废机动车回收拆解厂区内功能区满足以下要求</w:t>
                  </w:r>
                  <w:r>
                    <w:rPr>
                      <w:rFonts w:hint="default" w:ascii="Times New Roman" w:hAnsi="Times New Roman" w:eastAsia="宋体" w:cs="Times New Roman"/>
                      <w:color w:val="auto"/>
                      <w:szCs w:val="21"/>
                      <w:highlight w:val="none"/>
                      <w:u w:val="none" w:color="auto"/>
                      <w:lang w:eastAsia="zh-CN"/>
                    </w:rPr>
                    <w:t>：</w:t>
                  </w:r>
                </w:p>
                <w:p w14:paraId="02D63CA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作业区面积大小和功能区划分满足拆解作业的需要</w:t>
                  </w:r>
                  <w:r>
                    <w:rPr>
                      <w:rFonts w:hint="default" w:ascii="Times New Roman" w:hAnsi="Times New Roman" w:eastAsia="宋体" w:cs="Times New Roman"/>
                      <w:color w:val="auto"/>
                      <w:szCs w:val="21"/>
                      <w:highlight w:val="none"/>
                      <w:u w:val="none" w:color="auto"/>
                      <w:lang w:eastAsia="zh-CN"/>
                    </w:rPr>
                    <w:t>；</w:t>
                  </w:r>
                </w:p>
                <w:p w14:paraId="03EDEE0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b</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不同的功能区具有明显的标识</w:t>
                  </w:r>
                  <w:r>
                    <w:rPr>
                      <w:rFonts w:hint="default" w:ascii="Times New Roman" w:hAnsi="Times New Roman" w:eastAsia="宋体" w:cs="Times New Roman"/>
                      <w:color w:val="auto"/>
                      <w:szCs w:val="21"/>
                      <w:highlight w:val="none"/>
                      <w:u w:val="none" w:color="auto"/>
                      <w:lang w:eastAsia="zh-CN"/>
                    </w:rPr>
                    <w:t>；</w:t>
                  </w:r>
                </w:p>
                <w:p w14:paraId="4EB0E755">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c</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作业区具有防渗地面和油水收集设施，地面符合GB50037的防油渗地面要求</w:t>
                  </w:r>
                  <w:r>
                    <w:rPr>
                      <w:rFonts w:hint="default" w:ascii="Times New Roman" w:hAnsi="Times New Roman" w:eastAsia="宋体" w:cs="Times New Roman"/>
                      <w:color w:val="auto"/>
                      <w:szCs w:val="21"/>
                      <w:highlight w:val="none"/>
                      <w:u w:val="none" w:color="auto"/>
                      <w:lang w:eastAsia="zh-CN"/>
                    </w:rPr>
                    <w:t>；</w:t>
                  </w:r>
                </w:p>
                <w:p w14:paraId="08E58261">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d</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作业区地面混凝土强度等级不低于C20，厚度不低于150mm</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其中物流通道路面和拆解作业区域强度不低于C30，厚度不低于200mm。大型拆解设备承重区域的硬化标准参照设备工艺要求执行</w:t>
                  </w:r>
                  <w:r>
                    <w:rPr>
                      <w:rFonts w:hint="default" w:ascii="Times New Roman" w:hAnsi="Times New Roman" w:eastAsia="宋体" w:cs="Times New Roman"/>
                      <w:color w:val="auto"/>
                      <w:szCs w:val="21"/>
                      <w:highlight w:val="none"/>
                      <w:u w:val="none" w:color="auto"/>
                      <w:lang w:eastAsia="zh-CN"/>
                    </w:rPr>
                    <w:t>；</w:t>
                  </w:r>
                </w:p>
                <w:p w14:paraId="4419F269">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e</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拆解区为</w:t>
                  </w:r>
                  <w:r>
                    <w:rPr>
                      <w:rFonts w:hint="eastAsia" w:cs="Times New Roman"/>
                      <w:color w:val="auto"/>
                      <w:szCs w:val="21"/>
                      <w:highlight w:val="none"/>
                      <w:u w:val="none" w:color="auto"/>
                      <w:lang w:eastAsia="zh-CN"/>
                    </w:rPr>
                    <w:t>封闭生产车间内</w:t>
                  </w:r>
                  <w:r>
                    <w:rPr>
                      <w:rFonts w:hint="default" w:ascii="Times New Roman" w:hAnsi="Times New Roman" w:eastAsia="宋体" w:cs="Times New Roman"/>
                      <w:color w:val="auto"/>
                      <w:szCs w:val="21"/>
                      <w:highlight w:val="none"/>
                      <w:u w:val="none" w:color="auto"/>
                      <w:lang w:eastAsia="zh-CN"/>
                    </w:rPr>
                    <w:t>；</w:t>
                  </w:r>
                </w:p>
                <w:p w14:paraId="7BF5EED3">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eastAsia" w:cs="Times New Roman"/>
                      <w:color w:val="auto"/>
                      <w:szCs w:val="21"/>
                      <w:highlight w:val="none"/>
                      <w:u w:val="none" w:color="auto"/>
                      <w:lang w:eastAsia="zh-CN"/>
                    </w:rPr>
                    <w:t>f）</w:t>
                  </w:r>
                  <w:r>
                    <w:rPr>
                      <w:rFonts w:hint="default" w:ascii="Times New Roman" w:hAnsi="Times New Roman" w:eastAsia="宋体" w:cs="Times New Roman"/>
                      <w:color w:val="auto"/>
                      <w:szCs w:val="21"/>
                      <w:highlight w:val="none"/>
                      <w:u w:val="none" w:color="auto"/>
                    </w:rPr>
                    <w:t xml:space="preserve"> 破碎分选区设在</w:t>
                  </w:r>
                  <w:r>
                    <w:rPr>
                      <w:rFonts w:hint="eastAsia" w:cs="Times New Roman"/>
                      <w:color w:val="auto"/>
                      <w:szCs w:val="21"/>
                      <w:highlight w:val="none"/>
                      <w:u w:val="none" w:color="auto"/>
                      <w:lang w:eastAsia="zh-CN"/>
                    </w:rPr>
                    <w:t>封闭生产车间内</w:t>
                  </w:r>
                  <w:r>
                    <w:rPr>
                      <w:rFonts w:hint="default" w:ascii="Times New Roman" w:hAnsi="Times New Roman" w:eastAsia="宋体" w:cs="Times New Roman"/>
                      <w:color w:val="auto"/>
                      <w:szCs w:val="21"/>
                      <w:highlight w:val="none"/>
                      <w:u w:val="none" w:color="auto"/>
                    </w:rPr>
                    <w:t>，控制工业废气、粉尘和噪声污染</w:t>
                  </w:r>
                  <w:r>
                    <w:rPr>
                      <w:rFonts w:hint="default" w:ascii="Times New Roman" w:hAnsi="Times New Roman" w:eastAsia="宋体" w:cs="Times New Roman"/>
                      <w:color w:val="auto"/>
                      <w:szCs w:val="21"/>
                      <w:highlight w:val="none"/>
                      <w:u w:val="none" w:color="auto"/>
                      <w:lang w:eastAsia="zh-CN"/>
                    </w:rPr>
                    <w:t>；</w:t>
                  </w:r>
                </w:p>
                <w:p w14:paraId="1349B261">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g</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危险废物贮存区设置液体导流和收集装置，地面应无液体积聚，</w:t>
                  </w:r>
                  <w:r>
                    <w:rPr>
                      <w:rFonts w:hint="eastAsia" w:cs="Times New Roman"/>
                      <w:color w:val="auto"/>
                      <w:szCs w:val="21"/>
                      <w:highlight w:val="none"/>
                      <w:u w:val="none" w:color="auto"/>
                      <w:lang w:eastAsia="zh-CN"/>
                    </w:rPr>
                    <w:t>地面清洁</w:t>
                  </w:r>
                  <w:r>
                    <w:rPr>
                      <w:rFonts w:hint="default" w:ascii="Times New Roman" w:hAnsi="Times New Roman" w:eastAsia="宋体" w:cs="Times New Roman"/>
                      <w:color w:val="auto"/>
                      <w:szCs w:val="21"/>
                      <w:highlight w:val="none"/>
                      <w:u w:val="none" w:color="auto"/>
                    </w:rPr>
                    <w:t>废水纳入废水收集处理设施处理</w:t>
                  </w:r>
                  <w:r>
                    <w:rPr>
                      <w:rFonts w:hint="default" w:ascii="Times New Roman" w:hAnsi="Times New Roman" w:eastAsia="宋体" w:cs="Times New Roman"/>
                      <w:color w:val="auto"/>
                      <w:szCs w:val="21"/>
                      <w:highlight w:val="none"/>
                      <w:u w:val="none" w:color="auto"/>
                      <w:lang w:eastAsia="zh-CN"/>
                    </w:rPr>
                    <w:t>；</w:t>
                  </w:r>
                </w:p>
                <w:p w14:paraId="590DE551">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h</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不同种类的危险废物单独收集、分类存放，中间有明显间隔</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贮存场所设置警示标识，同时满足GB 18597中其他相关要求</w:t>
                  </w:r>
                  <w:r>
                    <w:rPr>
                      <w:rFonts w:hint="default" w:ascii="Times New Roman" w:hAnsi="Times New Roman" w:eastAsia="宋体" w:cs="Times New Roman"/>
                      <w:color w:val="auto"/>
                      <w:szCs w:val="21"/>
                      <w:highlight w:val="none"/>
                      <w:u w:val="none" w:color="auto"/>
                      <w:lang w:eastAsia="zh-CN"/>
                    </w:rPr>
                    <w:t>；</w:t>
                  </w:r>
                </w:p>
                <w:p w14:paraId="1D001196">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i</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铅蓄电池的拆卸、贮存区的地面应做防酸、防腐、防渗及硬化处理，同时满足HJ519中其他相关要求</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w:t>
                  </w:r>
                </w:p>
                <w:p w14:paraId="4093076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j</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动力蓄电池拆卸、贮存区满足HJ 1186中的相关要求，地面采用环氧地坪等硬化措施，地面做防酸、防腐、防渗、硬化及绝缘处理</w:t>
                  </w:r>
                  <w:r>
                    <w:rPr>
                      <w:rFonts w:hint="default" w:ascii="Times New Roman" w:hAnsi="Times New Roman" w:eastAsia="宋体" w:cs="Times New Roman"/>
                      <w:color w:val="auto"/>
                      <w:szCs w:val="21"/>
                      <w:highlight w:val="none"/>
                      <w:u w:val="none" w:color="auto"/>
                      <w:lang w:eastAsia="zh-CN"/>
                    </w:rPr>
                    <w:t>；</w:t>
                  </w:r>
                </w:p>
                <w:p w14:paraId="1BC25395">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pacing w:val="-4"/>
                      <w:szCs w:val="21"/>
                      <w:highlight w:val="none"/>
                      <w:u w:val="none" w:color="auto"/>
                    </w:rPr>
                  </w:pPr>
                  <w:r>
                    <w:rPr>
                      <w:rFonts w:hint="default" w:ascii="Times New Roman" w:hAnsi="Times New Roman" w:eastAsia="宋体" w:cs="Times New Roman"/>
                      <w:color w:val="auto"/>
                      <w:szCs w:val="21"/>
                      <w:highlight w:val="none"/>
                      <w:u w:val="none" w:color="auto"/>
                    </w:rPr>
                    <w:t>k</w:t>
                  </w:r>
                  <w:r>
                    <w:rPr>
                      <w:rFonts w:hint="default" w:ascii="Times New Roman" w:hAnsi="Times New Roman" w:eastAsia="宋体" w:cs="Times New Roman"/>
                      <w:color w:val="auto"/>
                      <w:szCs w:val="21"/>
                      <w:highlight w:val="none"/>
                      <w:u w:val="none" w:color="auto"/>
                      <w:lang w:eastAsia="zh-CN"/>
                    </w:rPr>
                    <w:t>）</w:t>
                  </w:r>
                  <w:r>
                    <w:rPr>
                      <w:rFonts w:hint="default" w:ascii="Times New Roman" w:hAnsi="Times New Roman" w:eastAsia="宋体" w:cs="Times New Roman"/>
                      <w:color w:val="auto"/>
                      <w:szCs w:val="21"/>
                      <w:highlight w:val="none"/>
                      <w:u w:val="none" w:color="auto"/>
                    </w:rPr>
                    <w:t>各贮存区在显著位置设置标识，标明贮存物的类别、名称、规格、注意事项等，根据其特性合理划分贮存区域，采取必要的隔离措施。</w:t>
                  </w:r>
                </w:p>
              </w:tc>
              <w:tc>
                <w:tcPr>
                  <w:tcW w:w="369" w:type="pct"/>
                  <w:tcBorders>
                    <w:tl2br w:val="nil"/>
                    <w:tr2bl w:val="nil"/>
                  </w:tcBorders>
                  <w:noWrap w:val="0"/>
                  <w:vAlign w:val="center"/>
                </w:tcPr>
                <w:p w14:paraId="4E0815C7">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FE9DD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07DBB0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CE13C93">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2</w:t>
                  </w:r>
                  <w:r>
                    <w:rPr>
                      <w:rFonts w:hint="default" w:ascii="Times New Roman" w:hAnsi="Times New Roman" w:eastAsia="宋体" w:cs="Times New Roman"/>
                      <w:color w:val="auto"/>
                      <w:highlight w:val="none"/>
                      <w:u w:val="none" w:color="auto"/>
                    </w:rPr>
                    <w:t>.3报废机动车回收拆解企业内的道路应采取硬化措施，如出现破损应及时维修。</w:t>
                  </w:r>
                </w:p>
              </w:tc>
              <w:tc>
                <w:tcPr>
                  <w:tcW w:w="1823" w:type="pct"/>
                  <w:tcBorders>
                    <w:tl2br w:val="nil"/>
                    <w:tr2bl w:val="nil"/>
                  </w:tcBorders>
                  <w:noWrap w:val="0"/>
                  <w:vAlign w:val="center"/>
                </w:tcPr>
                <w:p w14:paraId="7EB92D7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eastAsia="zh-CN"/>
                    </w:rPr>
                    <w:t>项目</w:t>
                  </w:r>
                  <w:r>
                    <w:rPr>
                      <w:rFonts w:hint="default" w:ascii="Times New Roman" w:hAnsi="Times New Roman" w:eastAsia="宋体" w:cs="Times New Roman"/>
                      <w:color w:val="auto"/>
                      <w:highlight w:val="none"/>
                      <w:u w:val="none" w:color="auto"/>
                    </w:rPr>
                    <w:t>报废机动车回收拆解企业内的道路采取硬化措施。</w:t>
                  </w:r>
                </w:p>
              </w:tc>
              <w:tc>
                <w:tcPr>
                  <w:tcW w:w="369" w:type="pct"/>
                  <w:tcBorders>
                    <w:tl2br w:val="nil"/>
                    <w:tr2bl w:val="nil"/>
                  </w:tcBorders>
                  <w:noWrap w:val="0"/>
                  <w:vAlign w:val="center"/>
                </w:tcPr>
                <w:p w14:paraId="001D43FB">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4EB6DC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76D2D1F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65DC7237">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2</w:t>
                  </w:r>
                  <w:r>
                    <w:rPr>
                      <w:rFonts w:hint="default" w:ascii="Times New Roman" w:hAnsi="Times New Roman" w:eastAsia="宋体" w:cs="Times New Roman"/>
                      <w:color w:val="auto"/>
                      <w:highlight w:val="none"/>
                      <w:u w:val="none" w:color="auto"/>
                    </w:rPr>
                    <w:t>.4报废机动车回收拆解企业应做到雨污分流，在作业区内产生的初期雨水、清洗水和其他非生活废水应设置专门的收集设施和污水处理设施。厂区内应按照GB/T50483的要求设置初期雨水收集池。</w:t>
                  </w:r>
                </w:p>
              </w:tc>
              <w:tc>
                <w:tcPr>
                  <w:tcW w:w="1823" w:type="pct"/>
                  <w:tcBorders>
                    <w:tl2br w:val="nil"/>
                    <w:tr2bl w:val="nil"/>
                  </w:tcBorders>
                  <w:noWrap w:val="0"/>
                  <w:vAlign w:val="center"/>
                </w:tcPr>
                <w:p w14:paraId="6D64235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pacing w:val="-4"/>
                      <w:szCs w:val="21"/>
                      <w:highlight w:val="none"/>
                      <w:u w:val="none" w:color="auto"/>
                    </w:rPr>
                  </w:pPr>
                  <w:r>
                    <w:rPr>
                      <w:rFonts w:hint="default" w:ascii="Times New Roman" w:hAnsi="Times New Roman" w:eastAsia="宋体" w:cs="Times New Roman"/>
                      <w:color w:val="auto"/>
                      <w:highlight w:val="none"/>
                      <w:u w:val="none" w:color="auto"/>
                      <w:lang w:eastAsia="zh-CN"/>
                    </w:rPr>
                    <w:t>项目</w:t>
                  </w:r>
                  <w:r>
                    <w:rPr>
                      <w:rFonts w:hint="default" w:ascii="Times New Roman" w:hAnsi="Times New Roman" w:eastAsia="宋体" w:cs="Times New Roman"/>
                      <w:color w:val="auto"/>
                      <w:highlight w:val="none"/>
                      <w:u w:val="none" w:color="auto"/>
                    </w:rPr>
                    <w:t>报废机动车回收拆解企业做到雨污分流，在作业区内产生的初期雨水设置</w:t>
                  </w:r>
                  <w:r>
                    <w:rPr>
                      <w:rFonts w:hint="default" w:ascii="Times New Roman" w:hAnsi="Times New Roman" w:eastAsia="宋体" w:cs="Times New Roman"/>
                      <w:color w:val="auto"/>
                      <w:highlight w:val="none"/>
                      <w:u w:val="none" w:color="auto"/>
                      <w:lang w:val="en-US" w:eastAsia="zh-CN"/>
                    </w:rPr>
                    <w:t>初期雨水池</w:t>
                  </w:r>
                  <w:r>
                    <w:rPr>
                      <w:rFonts w:hint="eastAsia" w:cs="Times New Roman"/>
                      <w:color w:val="auto"/>
                      <w:highlight w:val="none"/>
                      <w:u w:val="none" w:color="auto"/>
                      <w:lang w:val="en-US" w:eastAsia="zh-CN"/>
                    </w:rPr>
                    <w:t>和污水处理设施</w:t>
                  </w:r>
                  <w:r>
                    <w:rPr>
                      <w:rFonts w:hint="default" w:ascii="Times New Roman" w:hAnsi="Times New Roman" w:eastAsia="宋体" w:cs="Times New Roman"/>
                      <w:color w:val="auto"/>
                      <w:highlight w:val="none"/>
                      <w:u w:val="none" w:color="auto"/>
                    </w:rPr>
                    <w:t>。厂区内按照GB/T50483的要求设置初期雨水收集池。</w:t>
                  </w:r>
                </w:p>
              </w:tc>
              <w:tc>
                <w:tcPr>
                  <w:tcW w:w="369" w:type="pct"/>
                  <w:tcBorders>
                    <w:tl2br w:val="nil"/>
                    <w:tr2bl w:val="nil"/>
                  </w:tcBorders>
                  <w:noWrap w:val="0"/>
                  <w:vAlign w:val="center"/>
                </w:tcPr>
                <w:p w14:paraId="36BD5037">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512B44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restart"/>
                  <w:tcBorders>
                    <w:tl2br w:val="nil"/>
                    <w:tr2bl w:val="nil"/>
                  </w:tcBorders>
                  <w:noWrap w:val="0"/>
                  <w:vAlign w:val="center"/>
                </w:tcPr>
                <w:p w14:paraId="7CCD11C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拆解过程污染控制要求</w:t>
                  </w:r>
                </w:p>
              </w:tc>
              <w:tc>
                <w:tcPr>
                  <w:tcW w:w="2443" w:type="pct"/>
                  <w:tcBorders>
                    <w:tl2br w:val="nil"/>
                    <w:tr2bl w:val="nil"/>
                  </w:tcBorders>
                  <w:noWrap w:val="0"/>
                  <w:vAlign w:val="center"/>
                </w:tcPr>
                <w:p w14:paraId="5CEFC27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w:t>
                  </w:r>
                  <w:r>
                    <w:rPr>
                      <w:rFonts w:hint="default" w:ascii="Times New Roman" w:hAnsi="Times New Roman" w:eastAsia="宋体" w:cs="Times New Roman"/>
                      <w:color w:val="auto"/>
                      <w:highlight w:val="none"/>
                      <w:u w:val="none" w:color="auto"/>
                      <w:lang w:val="en-US" w:eastAsia="zh-CN"/>
                    </w:rPr>
                    <w:t>1</w:t>
                  </w:r>
                  <w:r>
                    <w:rPr>
                      <w:rFonts w:hint="default" w:ascii="Times New Roman" w:hAnsi="Times New Roman" w:eastAsia="宋体" w:cs="Times New Roman"/>
                      <w:color w:val="auto"/>
                      <w:highlight w:val="none"/>
                      <w:u w:val="none" w:color="auto"/>
                    </w:rPr>
                    <w:t xml:space="preserve"> 传统燃料报废机动车在开展拆解作业前，应抽排下列气体及液体：燃油、发动机油、变速器/齿轮箱（包括后差速器和/或分动器）油、动力转向油、制动液等石油</w:t>
                  </w:r>
                  <w:r>
                    <w:rPr>
                      <w:rFonts w:hint="default" w:ascii="Times New Roman" w:hAnsi="Times New Roman" w:eastAsia="宋体" w:cs="Times New Roman"/>
                      <w:color w:val="auto"/>
                      <w:highlight w:val="none"/>
                      <w:u w:val="none" w:color="auto"/>
                      <w:lang w:eastAsia="zh-CN"/>
                    </w:rPr>
                    <w:t>机油</w:t>
                  </w:r>
                  <w:r>
                    <w:rPr>
                      <w:rFonts w:hint="default" w:ascii="Times New Roman" w:hAnsi="Times New Roman" w:eastAsia="宋体" w:cs="Times New Roman"/>
                      <w:color w:val="auto"/>
                      <w:highlight w:val="none"/>
                      <w:u w:val="none" w:color="auto"/>
                    </w:rPr>
                    <w:t>或者液态合成润滑剂、冷却液、挡风玻璃清洗液、制冷剂等，并使用专用容器回收贮存。操作场所应有防漏、截流和清污措施，抽排挥发性油液时应通过油气回收装置吸收拆解区域内的挥发性气体。防止上述气体及液体遗撒或泄漏。</w:t>
                  </w:r>
                </w:p>
              </w:tc>
              <w:tc>
                <w:tcPr>
                  <w:tcW w:w="1823" w:type="pct"/>
                  <w:tcBorders>
                    <w:tl2br w:val="nil"/>
                    <w:tr2bl w:val="nil"/>
                  </w:tcBorders>
                  <w:noWrap w:val="0"/>
                  <w:vAlign w:val="center"/>
                </w:tcPr>
                <w:p w14:paraId="583E2B3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kern w:val="0"/>
                      <w:sz w:val="21"/>
                      <w:szCs w:val="21"/>
                      <w:highlight w:val="none"/>
                      <w:vertAlign w:val="baseline"/>
                      <w:lang w:eastAsia="zh-CN"/>
                    </w:rPr>
                    <w:t>项目车间产生的废气</w:t>
                  </w:r>
                  <w:r>
                    <w:rPr>
                      <w:rFonts w:hint="eastAsia" w:cs="Times New Roman"/>
                      <w:color w:val="auto"/>
                      <w:kern w:val="0"/>
                      <w:sz w:val="21"/>
                      <w:szCs w:val="21"/>
                      <w:highlight w:val="none"/>
                      <w:vertAlign w:val="baseline"/>
                      <w:lang w:eastAsia="zh-CN"/>
                    </w:rPr>
                    <w:t>粉尘</w:t>
                  </w:r>
                  <w:r>
                    <w:rPr>
                      <w:rFonts w:hint="default" w:ascii="Times New Roman" w:hAnsi="Times New Roman" w:eastAsia="宋体" w:cs="Times New Roman"/>
                      <w:color w:val="auto"/>
                      <w:kern w:val="0"/>
                      <w:sz w:val="21"/>
                      <w:szCs w:val="21"/>
                      <w:highlight w:val="none"/>
                      <w:vertAlign w:val="baseline"/>
                      <w:lang w:eastAsia="zh-CN"/>
                    </w:rPr>
                    <w:t>经布袋除尘装置</w:t>
                  </w:r>
                  <w:r>
                    <w:rPr>
                      <w:rFonts w:hint="eastAsia" w:cs="Times New Roman"/>
                      <w:color w:val="auto"/>
                      <w:kern w:val="0"/>
                      <w:sz w:val="21"/>
                      <w:szCs w:val="21"/>
                      <w:highlight w:val="none"/>
                      <w:vertAlign w:val="baseline"/>
                      <w:lang w:eastAsia="zh-CN"/>
                    </w:rPr>
                    <w:t>处理</w:t>
                  </w:r>
                  <w:r>
                    <w:rPr>
                      <w:rFonts w:hint="default" w:ascii="Times New Roman" w:hAnsi="Times New Roman" w:eastAsia="宋体" w:cs="Times New Roman"/>
                      <w:color w:val="auto"/>
                      <w:kern w:val="0"/>
                      <w:sz w:val="21"/>
                      <w:szCs w:val="21"/>
                      <w:highlight w:val="none"/>
                      <w:vertAlign w:val="baseline"/>
                      <w:lang w:eastAsia="zh-CN"/>
                    </w:rPr>
                    <w:t>后废气达标排放，产生的非甲烷总烃经</w:t>
                  </w:r>
                  <w:r>
                    <w:rPr>
                      <w:rFonts w:hint="eastAsia" w:cs="Times New Roman"/>
                      <w:color w:val="auto"/>
                      <w:kern w:val="0"/>
                      <w:sz w:val="21"/>
                      <w:szCs w:val="21"/>
                      <w:highlight w:val="none"/>
                      <w:vertAlign w:val="baseline"/>
                      <w:lang w:val="en-US" w:eastAsia="zh-CN"/>
                    </w:rPr>
                    <w:t>二级</w:t>
                  </w:r>
                  <w:r>
                    <w:rPr>
                      <w:rFonts w:hint="default" w:ascii="Times New Roman" w:hAnsi="Times New Roman" w:eastAsia="宋体" w:cs="Times New Roman"/>
                      <w:color w:val="auto"/>
                      <w:kern w:val="0"/>
                      <w:sz w:val="21"/>
                      <w:szCs w:val="21"/>
                      <w:highlight w:val="none"/>
                      <w:vertAlign w:val="baseline"/>
                      <w:lang w:eastAsia="zh-CN"/>
                    </w:rPr>
                    <w:t>活性炭吸附后达标排放。</w:t>
                  </w:r>
                </w:p>
              </w:tc>
              <w:tc>
                <w:tcPr>
                  <w:tcW w:w="369" w:type="pct"/>
                  <w:tcBorders>
                    <w:tl2br w:val="nil"/>
                    <w:tr2bl w:val="nil"/>
                  </w:tcBorders>
                  <w:noWrap w:val="0"/>
                  <w:vAlign w:val="center"/>
                </w:tcPr>
                <w:p w14:paraId="1B6738C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52581A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4E5AE2AD">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9F9E4E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.2 报废电动汽车进场检测时，受损变形以及漏液、漏电、电源供应工作不正常或</w:t>
                  </w:r>
                  <w:r>
                    <w:rPr>
                      <w:rFonts w:hint="eastAsia" w:cs="Times New Roman"/>
                      <w:color w:val="auto"/>
                      <w:highlight w:val="none"/>
                      <w:u w:val="none" w:color="auto"/>
                      <w:lang w:eastAsia="zh-CN"/>
                    </w:rPr>
                    <w:t>其他</w:t>
                  </w:r>
                  <w:r>
                    <w:rPr>
                      <w:rFonts w:hint="default" w:ascii="Times New Roman" w:hAnsi="Times New Roman" w:eastAsia="宋体" w:cs="Times New Roman"/>
                      <w:color w:val="auto"/>
                      <w:highlight w:val="none"/>
                      <w:u w:val="none" w:color="auto"/>
                    </w:rPr>
                    <w:t>事故车辆应进行明显标识，及时隔离并优先处理，避免造成环境风险。</w:t>
                  </w:r>
                </w:p>
              </w:tc>
              <w:tc>
                <w:tcPr>
                  <w:tcW w:w="1823" w:type="pct"/>
                  <w:tcBorders>
                    <w:tl2br w:val="nil"/>
                    <w:tr2bl w:val="nil"/>
                  </w:tcBorders>
                  <w:noWrap w:val="0"/>
                  <w:vAlign w:val="center"/>
                </w:tcPr>
                <w:p w14:paraId="2E0FA66C">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color w:val="auto"/>
                      <w:highlight w:val="none"/>
                      <w:u w:val="none" w:color="auto"/>
                      <w:lang w:eastAsia="zh-CN"/>
                    </w:rPr>
                    <w:t>项目</w:t>
                  </w:r>
                  <w:r>
                    <w:rPr>
                      <w:rFonts w:hint="default" w:ascii="Times New Roman" w:hAnsi="Times New Roman" w:eastAsia="宋体" w:cs="Times New Roman"/>
                      <w:color w:val="auto"/>
                      <w:highlight w:val="none"/>
                      <w:u w:val="none" w:color="auto"/>
                    </w:rPr>
                    <w:t>报废电动汽车进场检测时，受损变形以及漏液、漏电、电源供应工作不正常或</w:t>
                  </w:r>
                  <w:r>
                    <w:rPr>
                      <w:rFonts w:hint="eastAsia" w:cs="Times New Roman"/>
                      <w:color w:val="auto"/>
                      <w:highlight w:val="none"/>
                      <w:u w:val="none" w:color="auto"/>
                      <w:lang w:eastAsia="zh-CN"/>
                    </w:rPr>
                    <w:t>其他</w:t>
                  </w:r>
                  <w:r>
                    <w:rPr>
                      <w:rFonts w:hint="default" w:ascii="Times New Roman" w:hAnsi="Times New Roman" w:eastAsia="宋体" w:cs="Times New Roman"/>
                      <w:color w:val="auto"/>
                      <w:highlight w:val="none"/>
                      <w:u w:val="none" w:color="auto"/>
                    </w:rPr>
                    <w:t>事故车辆进行明显标识，及时隔离并优先处理，避免造成环境风险</w:t>
                  </w:r>
                  <w:r>
                    <w:rPr>
                      <w:rFonts w:hint="default" w:ascii="Times New Roman" w:hAnsi="Times New Roman" w:eastAsia="宋体" w:cs="Times New Roman"/>
                      <w:color w:val="auto"/>
                      <w:highlight w:val="none"/>
                      <w:u w:val="none" w:color="auto"/>
                      <w:lang w:eastAsia="zh-CN"/>
                    </w:rPr>
                    <w:t>。</w:t>
                  </w:r>
                </w:p>
              </w:tc>
              <w:tc>
                <w:tcPr>
                  <w:tcW w:w="369" w:type="pct"/>
                  <w:tcBorders>
                    <w:tl2br w:val="nil"/>
                    <w:tr2bl w:val="nil"/>
                  </w:tcBorders>
                  <w:noWrap w:val="0"/>
                  <w:vAlign w:val="center"/>
                </w:tcPr>
                <w:p w14:paraId="144E8A58">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25234F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60AFA3CB">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9405B4E">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.3 报废电动汽车在开展拆解作业前，应采用防静电设备彻底抽排制冷剂，并用专用容器回收储存，避免电解质和有机溶剂泄漏。拆卸下来的动力蓄电池存在漏液、冒烟、漏电、外壳破损等情形的，应及时处理并采用专用容器单独存放，避免动力蓄电池自燃引起的环境风险。</w:t>
                  </w:r>
                </w:p>
              </w:tc>
              <w:tc>
                <w:tcPr>
                  <w:tcW w:w="1823" w:type="pct"/>
                  <w:tcBorders>
                    <w:tl2br w:val="nil"/>
                    <w:tr2bl w:val="nil"/>
                  </w:tcBorders>
                  <w:noWrap w:val="0"/>
                  <w:vAlign w:val="center"/>
                </w:tcPr>
                <w:p w14:paraId="4B823838">
                  <w:pPr>
                    <w:keepNext w:val="0"/>
                    <w:keepLines w:val="0"/>
                    <w:suppressLineNumbers w:val="0"/>
                    <w:spacing w:before="0" w:beforeAutospacing="0" w:after="0" w:afterAutospacing="0"/>
                    <w:ind w:left="0" w:right="0"/>
                    <w:jc w:val="both"/>
                    <w:rPr>
                      <w:rFonts w:hint="eastAsia" w:cs="Times New Roman"/>
                      <w:color w:val="auto"/>
                      <w:highlight w:val="none"/>
                      <w:u w:val="none" w:color="auto"/>
                      <w:lang w:eastAsia="zh-CN"/>
                    </w:rPr>
                  </w:pPr>
                  <w:r>
                    <w:rPr>
                      <w:rFonts w:hint="default" w:ascii="Times New Roman" w:hAnsi="Times New Roman" w:eastAsia="宋体" w:cs="Times New Roman"/>
                      <w:color w:val="auto"/>
                      <w:highlight w:val="none"/>
                      <w:u w:val="none" w:color="auto"/>
                      <w:lang w:eastAsia="zh-CN"/>
                    </w:rPr>
                    <w:t>项目</w:t>
                  </w:r>
                  <w:r>
                    <w:rPr>
                      <w:rFonts w:hint="default" w:ascii="Times New Roman" w:hAnsi="Times New Roman" w:eastAsia="宋体" w:cs="Times New Roman"/>
                      <w:color w:val="auto"/>
                      <w:highlight w:val="none"/>
                      <w:u w:val="none" w:color="auto"/>
                    </w:rPr>
                    <w:t>报废电动汽车在开展拆解作业前，采用防静电设备彻底抽排制冷剂，用专用容器回收储存，避免电解质和有机溶剂泄漏</w:t>
                  </w:r>
                  <w:r>
                    <w:rPr>
                      <w:rFonts w:hint="eastAsia" w:cs="Times New Roman"/>
                      <w:color w:val="auto"/>
                      <w:highlight w:val="none"/>
                      <w:u w:val="none" w:color="auto"/>
                      <w:lang w:eastAsia="zh-CN"/>
                    </w:rPr>
                    <w:t>；</w:t>
                  </w:r>
                </w:p>
                <w:p w14:paraId="32B659D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highlight w:val="none"/>
                      <w:u w:val="none" w:color="auto"/>
                    </w:rPr>
                  </w:pPr>
                  <w:r>
                    <w:rPr>
                      <w:rFonts w:hint="default"/>
                      <w:color w:val="auto"/>
                      <w:spacing w:val="-3"/>
                      <w:sz w:val="21"/>
                      <w:szCs w:val="21"/>
                    </w:rPr>
                    <w:t>拆卸下来的动力蓄电池存在漏液、冒烟、</w:t>
                  </w:r>
                  <w:r>
                    <w:rPr>
                      <w:rFonts w:hint="default"/>
                      <w:color w:val="auto"/>
                      <w:spacing w:val="4"/>
                      <w:sz w:val="21"/>
                      <w:szCs w:val="21"/>
                    </w:rPr>
                    <w:t>漏电、外壳破损等情形的，应及时处理并采用专用容器单独存放，避免动力蓄电池</w:t>
                  </w:r>
                  <w:r>
                    <w:rPr>
                      <w:rFonts w:hint="default"/>
                      <w:color w:val="auto"/>
                      <w:spacing w:val="-4"/>
                      <w:sz w:val="21"/>
                      <w:szCs w:val="21"/>
                    </w:rPr>
                    <w:t>自燃引起的环境风险。</w:t>
                  </w:r>
                </w:p>
              </w:tc>
              <w:tc>
                <w:tcPr>
                  <w:tcW w:w="369" w:type="pct"/>
                  <w:tcBorders>
                    <w:tl2br w:val="nil"/>
                    <w:tr2bl w:val="nil"/>
                  </w:tcBorders>
                  <w:noWrap w:val="0"/>
                  <w:vAlign w:val="center"/>
                </w:tcPr>
                <w:p w14:paraId="55D9FFE2">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650423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591D5B0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18577D41">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.4 动力蓄电池不应与铅蓄电池混合贮存。</w:t>
                  </w:r>
                </w:p>
              </w:tc>
              <w:tc>
                <w:tcPr>
                  <w:tcW w:w="1823" w:type="pct"/>
                  <w:tcBorders>
                    <w:tl2br w:val="nil"/>
                    <w:tr2bl w:val="nil"/>
                  </w:tcBorders>
                  <w:noWrap w:val="0"/>
                  <w:vAlign w:val="center"/>
                </w:tcPr>
                <w:p w14:paraId="08483DD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highlight w:val="none"/>
                      <w:u w:val="none" w:color="auto"/>
                    </w:rPr>
                    <w:t>动力蓄电池与铅蓄电池</w:t>
                  </w:r>
                  <w:r>
                    <w:rPr>
                      <w:rFonts w:hint="default" w:ascii="Times New Roman" w:hAnsi="Times New Roman" w:eastAsia="宋体" w:cs="Times New Roman"/>
                      <w:color w:val="auto"/>
                      <w:highlight w:val="none"/>
                      <w:u w:val="none" w:color="auto"/>
                      <w:lang w:val="en-US" w:eastAsia="zh-CN"/>
                    </w:rPr>
                    <w:t>分开</w:t>
                  </w:r>
                  <w:r>
                    <w:rPr>
                      <w:rFonts w:hint="default" w:ascii="Times New Roman" w:hAnsi="Times New Roman" w:eastAsia="宋体" w:cs="Times New Roman"/>
                      <w:color w:val="auto"/>
                      <w:highlight w:val="none"/>
                      <w:u w:val="none" w:color="auto"/>
                    </w:rPr>
                    <w:t>贮存</w:t>
                  </w:r>
                  <w:r>
                    <w:rPr>
                      <w:rFonts w:hint="default" w:ascii="Times New Roman" w:hAnsi="Times New Roman" w:eastAsia="宋体" w:cs="Times New Roman"/>
                      <w:color w:val="auto"/>
                      <w:highlight w:val="none"/>
                      <w:u w:val="none" w:color="auto"/>
                      <w:lang w:eastAsia="zh-CN"/>
                    </w:rPr>
                    <w:t>。</w:t>
                  </w:r>
                  <w:r>
                    <w:rPr>
                      <w:rFonts w:hint="default" w:ascii="Times New Roman" w:hAnsi="Times New Roman" w:eastAsia="宋体" w:cs="Times New Roman"/>
                      <w:color w:val="auto"/>
                      <w:highlight w:val="none"/>
                      <w:u w:val="none" w:color="auto"/>
                    </w:rPr>
                    <w:t>铅蓄电池</w:t>
                  </w:r>
                  <w:r>
                    <w:rPr>
                      <w:rFonts w:hint="default" w:ascii="Times New Roman" w:hAnsi="Times New Roman" w:eastAsia="宋体" w:cs="Times New Roman"/>
                      <w:color w:val="auto"/>
                      <w:highlight w:val="none"/>
                      <w:u w:val="none" w:color="auto"/>
                      <w:lang w:val="en-US" w:eastAsia="zh-CN"/>
                    </w:rPr>
                    <w:t>贮存于</w:t>
                  </w:r>
                  <w:r>
                    <w:rPr>
                      <w:rFonts w:hint="default" w:ascii="Times New Roman" w:hAnsi="Times New Roman" w:eastAsia="宋体" w:cs="Times New Roman"/>
                      <w:color w:val="auto"/>
                      <w:highlight w:val="none"/>
                      <w:u w:val="none" w:color="auto"/>
                      <w:lang w:eastAsia="zh-CN"/>
                    </w:rPr>
                    <w:t>危废贮存库，</w:t>
                  </w:r>
                  <w:r>
                    <w:rPr>
                      <w:rFonts w:hint="default" w:ascii="Times New Roman" w:hAnsi="Times New Roman" w:eastAsia="宋体" w:cs="Times New Roman"/>
                      <w:color w:val="auto"/>
                      <w:highlight w:val="none"/>
                      <w:u w:val="none" w:color="auto"/>
                    </w:rPr>
                    <w:t>动力蓄电池</w:t>
                  </w:r>
                  <w:r>
                    <w:rPr>
                      <w:rFonts w:hint="default" w:ascii="Times New Roman" w:hAnsi="Times New Roman" w:eastAsia="宋体" w:cs="Times New Roman"/>
                      <w:color w:val="auto"/>
                      <w:highlight w:val="none"/>
                      <w:u w:val="none" w:color="auto"/>
                      <w:lang w:val="en-US" w:eastAsia="zh-CN"/>
                    </w:rPr>
                    <w:t>贮存于</w:t>
                  </w:r>
                  <w:r>
                    <w:rPr>
                      <w:rFonts w:hint="default" w:ascii="Times New Roman" w:hAnsi="Times New Roman" w:eastAsia="宋体" w:cs="Times New Roman"/>
                      <w:color w:val="auto"/>
                      <w:szCs w:val="22"/>
                      <w:highlight w:val="none"/>
                      <w:u w:val="none" w:color="auto"/>
                      <w:lang w:val="en-US" w:bidi="zh-CN"/>
                    </w:rPr>
                    <w:t>动力电池暂存区。</w:t>
                  </w:r>
                </w:p>
              </w:tc>
              <w:tc>
                <w:tcPr>
                  <w:tcW w:w="369" w:type="pct"/>
                  <w:tcBorders>
                    <w:tl2br w:val="nil"/>
                    <w:tr2bl w:val="nil"/>
                  </w:tcBorders>
                  <w:noWrap w:val="0"/>
                  <w:vAlign w:val="center"/>
                </w:tcPr>
                <w:p w14:paraId="4353D58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3ED170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1A2D2643">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21ED4E5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.5 报废机动车回收拆解企业不应在未完成各项拆解作业前对报废机动车进行破碎处理或者直接进行熔炼处理。</w:t>
                  </w:r>
                </w:p>
              </w:tc>
              <w:tc>
                <w:tcPr>
                  <w:tcW w:w="1823" w:type="pct"/>
                  <w:tcBorders>
                    <w:tl2br w:val="nil"/>
                    <w:tr2bl w:val="nil"/>
                  </w:tcBorders>
                  <w:noWrap w:val="0"/>
                  <w:vAlign w:val="center"/>
                </w:tcPr>
                <w:p w14:paraId="616A14EE">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项目在</w:t>
                  </w:r>
                  <w:r>
                    <w:rPr>
                      <w:rFonts w:hint="default" w:ascii="Times New Roman" w:hAnsi="Times New Roman" w:eastAsia="宋体" w:cs="Times New Roman"/>
                      <w:color w:val="auto"/>
                      <w:highlight w:val="none"/>
                      <w:u w:val="none" w:color="auto"/>
                    </w:rPr>
                    <w:t>完成各项拆解作业</w:t>
                  </w:r>
                  <w:r>
                    <w:rPr>
                      <w:rFonts w:hint="default" w:ascii="Times New Roman" w:hAnsi="Times New Roman" w:eastAsia="宋体" w:cs="Times New Roman"/>
                      <w:color w:val="auto"/>
                      <w:highlight w:val="none"/>
                      <w:u w:val="none" w:color="auto"/>
                      <w:lang w:eastAsia="zh-CN"/>
                    </w:rPr>
                    <w:t>后</w:t>
                  </w:r>
                  <w:r>
                    <w:rPr>
                      <w:rFonts w:hint="default" w:ascii="Times New Roman" w:hAnsi="Times New Roman" w:eastAsia="宋体" w:cs="Times New Roman"/>
                      <w:color w:val="auto"/>
                      <w:highlight w:val="none"/>
                      <w:u w:val="none" w:color="auto"/>
                    </w:rPr>
                    <w:t>对报废机动车进行破碎处理</w:t>
                  </w:r>
                  <w:r>
                    <w:rPr>
                      <w:rFonts w:hint="default" w:ascii="Times New Roman" w:hAnsi="Times New Roman" w:eastAsia="宋体" w:cs="Times New Roman"/>
                      <w:color w:val="auto"/>
                      <w:szCs w:val="21"/>
                      <w:highlight w:val="none"/>
                      <w:u w:val="none" w:color="auto"/>
                      <w:lang w:val="en-US" w:eastAsia="zh-CN"/>
                    </w:rPr>
                    <w:t>。</w:t>
                  </w:r>
                </w:p>
              </w:tc>
              <w:tc>
                <w:tcPr>
                  <w:tcW w:w="369" w:type="pct"/>
                  <w:tcBorders>
                    <w:tl2br w:val="nil"/>
                    <w:tr2bl w:val="nil"/>
                  </w:tcBorders>
                  <w:noWrap w:val="0"/>
                  <w:vAlign w:val="center"/>
                </w:tcPr>
                <w:p w14:paraId="449BF62F">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4386C0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49727523">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36511A2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.6 报废机动车回收拆解企业不应焚烧报废机动车拆解过程中产生的废电线电缆、废轮胎和其他废物。</w:t>
                  </w:r>
                </w:p>
              </w:tc>
              <w:tc>
                <w:tcPr>
                  <w:tcW w:w="1823" w:type="pct"/>
                  <w:tcBorders>
                    <w:tl2br w:val="nil"/>
                    <w:tr2bl w:val="nil"/>
                  </w:tcBorders>
                  <w:noWrap w:val="0"/>
                  <w:vAlign w:val="center"/>
                </w:tcPr>
                <w:p w14:paraId="35808DB1">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eastAsia="zh-CN"/>
                    </w:rPr>
                    <w:t>项目不焚烧</w:t>
                  </w:r>
                  <w:r>
                    <w:rPr>
                      <w:rFonts w:hint="default" w:ascii="Times New Roman" w:hAnsi="Times New Roman" w:eastAsia="宋体" w:cs="Times New Roman"/>
                      <w:color w:val="auto"/>
                      <w:highlight w:val="none"/>
                      <w:u w:val="none" w:color="auto"/>
                    </w:rPr>
                    <w:t>报废机动车拆解过程中产生的废电线电缆、废轮胎和其他废物。</w:t>
                  </w:r>
                </w:p>
              </w:tc>
              <w:tc>
                <w:tcPr>
                  <w:tcW w:w="369" w:type="pct"/>
                  <w:tcBorders>
                    <w:tl2br w:val="nil"/>
                    <w:tr2bl w:val="nil"/>
                  </w:tcBorders>
                  <w:noWrap w:val="0"/>
                  <w:vAlign w:val="center"/>
                </w:tcPr>
                <w:p w14:paraId="29738A6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6254B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17BDFC33">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8C1DC77">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.7 报废机动车拆解产生的废旧玻璃、报废机动车破碎残余物、引爆后的安全气囊等应避免危险废物的沾染，未沾染危险废物的应按一般工业固体废物进行管理。</w:t>
                  </w:r>
                </w:p>
              </w:tc>
              <w:tc>
                <w:tcPr>
                  <w:tcW w:w="1823" w:type="pct"/>
                  <w:tcBorders>
                    <w:tl2br w:val="nil"/>
                    <w:tr2bl w:val="nil"/>
                  </w:tcBorders>
                  <w:noWrap w:val="0"/>
                  <w:vAlign w:val="center"/>
                </w:tcPr>
                <w:p w14:paraId="460021F9">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eastAsia="zh-CN"/>
                    </w:rPr>
                    <w:t>项目</w:t>
                  </w:r>
                  <w:r>
                    <w:rPr>
                      <w:rFonts w:hint="default" w:ascii="Times New Roman" w:hAnsi="Times New Roman" w:eastAsia="宋体" w:cs="Times New Roman"/>
                      <w:color w:val="auto"/>
                      <w:highlight w:val="none"/>
                      <w:u w:val="none" w:color="auto"/>
                    </w:rPr>
                    <w:t>报废机动车拆解产生的废旧玻璃、报废机动车破碎残余物、引爆后的安全气囊等应避免危险废物的沾染，未沾染危险废物的按一般工业固体废物进行管理。</w:t>
                  </w:r>
                </w:p>
              </w:tc>
              <w:tc>
                <w:tcPr>
                  <w:tcW w:w="369" w:type="pct"/>
                  <w:tcBorders>
                    <w:tl2br w:val="nil"/>
                    <w:tr2bl w:val="nil"/>
                  </w:tcBorders>
                  <w:noWrap w:val="0"/>
                  <w:vAlign w:val="center"/>
                </w:tcPr>
                <w:p w14:paraId="30D3C18A">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6C0843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6DCD1E46">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3660B50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.8 报废机动车拆解产生的废铅蓄电池、废矿物油、废电路板、废尾气净化催化剂以及含有或沾染危险废物的废弃包装物、容器等依据《国家危险废物名录》属于危险废物的，应按照危险废物贮存管理相关要求进行分区、分类贮存。废弃含油抹布和劳保用品宜集中收集。</w:t>
                  </w:r>
                </w:p>
              </w:tc>
              <w:tc>
                <w:tcPr>
                  <w:tcW w:w="1823" w:type="pct"/>
                  <w:tcBorders>
                    <w:tl2br w:val="nil"/>
                    <w:tr2bl w:val="nil"/>
                  </w:tcBorders>
                  <w:noWrap w:val="0"/>
                  <w:vAlign w:val="center"/>
                </w:tcPr>
                <w:p w14:paraId="15D01A3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eastAsia="zh-CN"/>
                    </w:rPr>
                    <w:t>项目</w:t>
                  </w:r>
                  <w:r>
                    <w:rPr>
                      <w:rFonts w:hint="default" w:ascii="Times New Roman" w:hAnsi="Times New Roman" w:eastAsia="宋体" w:cs="Times New Roman"/>
                      <w:color w:val="auto"/>
                      <w:highlight w:val="none"/>
                      <w:u w:val="none" w:color="auto"/>
                    </w:rPr>
                    <w:t>报废机动车拆解产生的废铅蓄电池、废矿物油、废电路板、废尾气净化催化剂以及含有或沾染危险废物的废弃包装物、容器等依据《国家危险废物名录》属于危险废物的，按照危险废物贮存管理相关要求进行分区、分类贮存。废弃含油抹布和劳保用品集中收集。</w:t>
                  </w:r>
                </w:p>
              </w:tc>
              <w:tc>
                <w:tcPr>
                  <w:tcW w:w="369" w:type="pct"/>
                  <w:tcBorders>
                    <w:tl2br w:val="nil"/>
                    <w:tr2bl w:val="nil"/>
                  </w:tcBorders>
                  <w:noWrap w:val="0"/>
                  <w:vAlign w:val="center"/>
                </w:tcPr>
                <w:p w14:paraId="19728F31">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66E52D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3807B2C5">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3F123F6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.9 报废机动车回收拆解企业不应倾倒铅蓄电池内的电解液、铅块和铅膏等废物。对于破损的铅</w:t>
                  </w:r>
                  <w:r>
                    <w:rPr>
                      <w:rFonts w:hint="default" w:ascii="Times New Roman" w:hAnsi="Times New Roman" w:eastAsia="宋体" w:cs="Times New Roman"/>
                      <w:color w:val="auto"/>
                      <w:highlight w:val="none"/>
                      <w:u w:val="none" w:color="auto"/>
                      <w:lang w:eastAsia="zh-CN"/>
                    </w:rPr>
                    <w:t>蓄电池</w:t>
                  </w:r>
                  <w:r>
                    <w:rPr>
                      <w:rFonts w:hint="default" w:ascii="Times New Roman" w:hAnsi="Times New Roman" w:eastAsia="宋体" w:cs="Times New Roman"/>
                      <w:color w:val="auto"/>
                      <w:highlight w:val="none"/>
                      <w:u w:val="none" w:color="auto"/>
                    </w:rPr>
                    <w:t>，应单独贮存，并采取防止电解液泄漏的措施。</w:t>
                  </w:r>
                </w:p>
              </w:tc>
              <w:tc>
                <w:tcPr>
                  <w:tcW w:w="1823" w:type="pct"/>
                  <w:tcBorders>
                    <w:tl2br w:val="nil"/>
                    <w:tr2bl w:val="nil"/>
                  </w:tcBorders>
                  <w:noWrap w:val="0"/>
                  <w:vAlign w:val="center"/>
                </w:tcPr>
                <w:p w14:paraId="716C539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eastAsia="zh-CN"/>
                    </w:rPr>
                    <w:t>环评要求禁止</w:t>
                  </w:r>
                  <w:r>
                    <w:rPr>
                      <w:rFonts w:hint="default" w:ascii="Times New Roman" w:hAnsi="Times New Roman" w:eastAsia="宋体" w:cs="Times New Roman"/>
                      <w:color w:val="auto"/>
                      <w:highlight w:val="none"/>
                      <w:u w:val="none" w:color="auto"/>
                    </w:rPr>
                    <w:t>倾倒铅蓄电池内的电解液、铅块和铅膏等废物。对于破损的铅蓄电池，单独贮存，并采取防止电解液泄漏的措施。</w:t>
                  </w:r>
                </w:p>
              </w:tc>
              <w:tc>
                <w:tcPr>
                  <w:tcW w:w="369" w:type="pct"/>
                  <w:tcBorders>
                    <w:tl2br w:val="nil"/>
                    <w:tr2bl w:val="nil"/>
                  </w:tcBorders>
                  <w:noWrap w:val="0"/>
                  <w:vAlign w:val="center"/>
                </w:tcPr>
                <w:p w14:paraId="011FA92A">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7E8D79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21967AF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0DE9B0DD">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.10 报废机动车拆解产生的产物和固体废物应合理分类，不能自行利用处置的，分别委托具有相关资 质、相应处理能力或经营范围的单位利用和处置。</w:t>
                  </w:r>
                </w:p>
              </w:tc>
              <w:tc>
                <w:tcPr>
                  <w:tcW w:w="1823" w:type="pct"/>
                  <w:tcBorders>
                    <w:tl2br w:val="nil"/>
                    <w:tr2bl w:val="nil"/>
                  </w:tcBorders>
                  <w:noWrap w:val="0"/>
                  <w:vAlign w:val="center"/>
                </w:tcPr>
                <w:p w14:paraId="42EEF26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报废机动车拆解产生的产物和固体废物合理分类，不能自行利用处置的，分别委托具有相关资质、相应处理能力或经营范围的单位利用和处置。</w:t>
                  </w:r>
                </w:p>
              </w:tc>
              <w:tc>
                <w:tcPr>
                  <w:tcW w:w="369" w:type="pct"/>
                  <w:tcBorders>
                    <w:tl2br w:val="nil"/>
                    <w:tr2bl w:val="nil"/>
                  </w:tcBorders>
                  <w:noWrap w:val="0"/>
                  <w:vAlign w:val="center"/>
                </w:tcPr>
                <w:p w14:paraId="58808577">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4A7976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1A4C6DD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4664538E">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.1</w:t>
                  </w:r>
                  <w:r>
                    <w:rPr>
                      <w:rFonts w:hint="default" w:ascii="Times New Roman" w:hAnsi="Times New Roman" w:eastAsia="宋体" w:cs="Times New Roman"/>
                      <w:color w:val="auto"/>
                      <w:highlight w:val="none"/>
                      <w:u w:val="none" w:color="auto"/>
                      <w:lang w:val="en-US" w:eastAsia="zh-CN"/>
                    </w:rPr>
                    <w:t>1</w:t>
                  </w:r>
                  <w:r>
                    <w:rPr>
                      <w:rFonts w:hint="default" w:ascii="Times New Roman" w:hAnsi="Times New Roman" w:eastAsia="宋体" w:cs="Times New Roman"/>
                      <w:color w:val="auto"/>
                      <w:highlight w:val="none"/>
                      <w:u w:val="none" w:color="auto"/>
                    </w:rPr>
                    <w:t xml:space="preserve"> 报废机动车拆解产物应符合国家及地方处理处置要求，其中主要拆解产物特性及去向见附录A。如报废机动车回收拆解企业具备与报废机动车拆解处理相关的深加工或二次加工经营业务，应当符合其他相关污染控制要求。</w:t>
                  </w:r>
                </w:p>
              </w:tc>
              <w:tc>
                <w:tcPr>
                  <w:tcW w:w="1823" w:type="pct"/>
                  <w:tcBorders>
                    <w:tl2br w:val="nil"/>
                    <w:tr2bl w:val="nil"/>
                  </w:tcBorders>
                  <w:noWrap w:val="0"/>
                  <w:vAlign w:val="center"/>
                </w:tcPr>
                <w:p w14:paraId="339A1CE5">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33BBAFAA">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377FFB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3FB1F74F">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2B710269">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3</w:t>
                  </w:r>
                  <w:r>
                    <w:rPr>
                      <w:rFonts w:hint="default" w:ascii="Times New Roman" w:hAnsi="Times New Roman" w:eastAsia="宋体" w:cs="Times New Roman"/>
                      <w:color w:val="auto"/>
                      <w:highlight w:val="none"/>
                      <w:u w:val="none" w:color="auto"/>
                    </w:rPr>
                    <w:t>.12 报废机动车油箱中的燃料（汽油、柴油、天然气、液化石油气、甲醇等）应分类收集。</w:t>
                  </w:r>
                </w:p>
              </w:tc>
              <w:tc>
                <w:tcPr>
                  <w:tcW w:w="1823" w:type="pct"/>
                  <w:tcBorders>
                    <w:tl2br w:val="nil"/>
                    <w:tr2bl w:val="nil"/>
                  </w:tcBorders>
                  <w:noWrap w:val="0"/>
                  <w:vAlign w:val="center"/>
                </w:tcPr>
                <w:p w14:paraId="2EA1080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报废机动车油箱中的燃料分类收集。</w:t>
                  </w:r>
                </w:p>
              </w:tc>
              <w:tc>
                <w:tcPr>
                  <w:tcW w:w="369" w:type="pct"/>
                  <w:tcBorders>
                    <w:tl2br w:val="nil"/>
                    <w:tr2bl w:val="nil"/>
                  </w:tcBorders>
                  <w:noWrap w:val="0"/>
                  <w:vAlign w:val="center"/>
                </w:tcPr>
                <w:p w14:paraId="00B08152">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2A7FD5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restart"/>
                  <w:tcBorders>
                    <w:tl2br w:val="nil"/>
                    <w:tr2bl w:val="nil"/>
                  </w:tcBorders>
                  <w:noWrap w:val="0"/>
                  <w:vAlign w:val="center"/>
                </w:tcPr>
                <w:p w14:paraId="1CB3352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企业污染物排放要求</w:t>
                  </w:r>
                </w:p>
              </w:tc>
              <w:tc>
                <w:tcPr>
                  <w:tcW w:w="2443" w:type="pct"/>
                  <w:tcBorders>
                    <w:tl2br w:val="nil"/>
                    <w:tr2bl w:val="nil"/>
                  </w:tcBorders>
                  <w:noWrap w:val="0"/>
                  <w:vAlign w:val="center"/>
                </w:tcPr>
                <w:p w14:paraId="6DFEFC60">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 xml:space="preserve">.1 </w:t>
                  </w:r>
                  <w:r>
                    <w:rPr>
                      <w:rFonts w:hint="default" w:ascii="Times New Roman" w:hAnsi="Times New Roman" w:eastAsia="宋体" w:cs="Times New Roman"/>
                      <w:b w:val="0"/>
                      <w:bCs w:val="0"/>
                      <w:color w:val="auto"/>
                      <w:highlight w:val="none"/>
                      <w:u w:val="none" w:color="auto"/>
                    </w:rPr>
                    <w:t>水污染物排放要求</w:t>
                  </w:r>
                  <w:r>
                    <w:rPr>
                      <w:rFonts w:hint="default" w:ascii="Times New Roman" w:hAnsi="Times New Roman" w:eastAsia="宋体" w:cs="Times New Roman"/>
                      <w:color w:val="auto"/>
                      <w:highlight w:val="none"/>
                      <w:u w:val="none" w:color="auto"/>
                      <w:lang w:eastAsia="zh-CN"/>
                    </w:rPr>
                    <w:t>：</w:t>
                  </w:r>
                  <w:r>
                    <w:rPr>
                      <w:rFonts w:hint="default" w:ascii="Times New Roman" w:hAnsi="Times New Roman" w:eastAsia="宋体" w:cs="Times New Roman"/>
                      <w:color w:val="auto"/>
                      <w:highlight w:val="none"/>
                      <w:u w:val="none" w:color="auto"/>
                    </w:rPr>
                    <w:t>报废机动车回收拆解企业厂区收集的初期雨水、清洗水和其他非生活废水等应通过收集管道（井）等收集后进入污水处理设施进行处理，达到国家和地方的污染物排放标准后方可排放。</w:t>
                  </w:r>
                </w:p>
              </w:tc>
              <w:tc>
                <w:tcPr>
                  <w:tcW w:w="1823" w:type="pct"/>
                  <w:tcBorders>
                    <w:tl2br w:val="nil"/>
                    <w:tr2bl w:val="nil"/>
                  </w:tcBorders>
                  <w:noWrap w:val="0"/>
                  <w:vAlign w:val="center"/>
                </w:tcPr>
                <w:p w14:paraId="7FFC581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企业厂区收集的初期雨水应通过收集管道（井）等收集后进入</w:t>
                  </w:r>
                  <w:r>
                    <w:rPr>
                      <w:rFonts w:hint="default" w:ascii="Times New Roman" w:hAnsi="Times New Roman" w:eastAsia="宋体" w:cs="Times New Roman"/>
                      <w:color w:val="auto"/>
                      <w:highlight w:val="none"/>
                      <w:u w:val="none" w:color="auto"/>
                      <w:lang w:val="en-US" w:eastAsia="zh-CN"/>
                    </w:rPr>
                    <w:t>初期雨水池，污水处理设施</w:t>
                  </w:r>
                  <w:r>
                    <w:rPr>
                      <w:rFonts w:hint="default" w:ascii="Times New Roman" w:hAnsi="Times New Roman" w:eastAsia="宋体" w:cs="Times New Roman"/>
                      <w:color w:val="auto"/>
                      <w:highlight w:val="none"/>
                      <w:u w:val="none" w:color="auto"/>
                    </w:rPr>
                    <w:t>进行处理</w:t>
                  </w:r>
                  <w:r>
                    <w:rPr>
                      <w:rFonts w:hint="default" w:ascii="Times New Roman" w:hAnsi="Times New Roman" w:eastAsia="宋体" w:cs="Times New Roman"/>
                      <w:color w:val="auto"/>
                      <w:highlight w:val="none"/>
                      <w:u w:val="none" w:color="auto"/>
                      <w:lang w:eastAsia="zh-CN"/>
                    </w:rPr>
                    <w:t>达标</w:t>
                  </w:r>
                  <w:r>
                    <w:rPr>
                      <w:rFonts w:hint="default" w:ascii="Times New Roman" w:hAnsi="Times New Roman" w:eastAsia="宋体" w:cs="Times New Roman"/>
                      <w:color w:val="auto"/>
                      <w:highlight w:val="none"/>
                      <w:u w:val="none" w:color="auto"/>
                      <w:lang w:val="en-US" w:eastAsia="zh-CN"/>
                    </w:rPr>
                    <w:t>后</w:t>
                  </w:r>
                  <w:r>
                    <w:rPr>
                      <w:rFonts w:hint="default" w:ascii="Times New Roman" w:hAnsi="Times New Roman" w:eastAsia="宋体" w:cs="Times New Roman"/>
                      <w:color w:val="auto"/>
                      <w:highlight w:val="none"/>
                      <w:lang w:val="en-US" w:eastAsia="zh-CN"/>
                    </w:rPr>
                    <w:t>经园区管网排入阜新市北控水务有限公司</w:t>
                  </w:r>
                  <w:r>
                    <w:rPr>
                      <w:rFonts w:hint="default" w:ascii="Times New Roman" w:hAnsi="Times New Roman" w:eastAsia="宋体" w:cs="Times New Roman"/>
                      <w:color w:val="auto"/>
                      <w:highlight w:val="none"/>
                      <w:u w:val="none" w:color="auto"/>
                      <w:lang w:val="en-US" w:eastAsia="zh-CN"/>
                    </w:rPr>
                    <w:t>。</w:t>
                  </w:r>
                </w:p>
              </w:tc>
              <w:tc>
                <w:tcPr>
                  <w:tcW w:w="369" w:type="pct"/>
                  <w:tcBorders>
                    <w:tl2br w:val="nil"/>
                    <w:tr2bl w:val="nil"/>
                  </w:tcBorders>
                  <w:noWrap w:val="0"/>
                  <w:vAlign w:val="center"/>
                </w:tcPr>
                <w:p w14:paraId="0851B28F">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4861D0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5E601E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7539E16">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b w:val="0"/>
                      <w:bCs w:val="0"/>
                      <w:color w:val="auto"/>
                      <w:highlight w:val="none"/>
                      <w:u w:val="none" w:color="auto"/>
                      <w:lang w:val="en-US" w:eastAsia="zh-CN"/>
                    </w:rPr>
                    <w:t>4</w:t>
                  </w:r>
                  <w:r>
                    <w:rPr>
                      <w:rFonts w:hint="default" w:ascii="Times New Roman" w:hAnsi="Times New Roman" w:eastAsia="宋体" w:cs="Times New Roman"/>
                      <w:b w:val="0"/>
                      <w:bCs w:val="0"/>
                      <w:color w:val="auto"/>
                      <w:highlight w:val="none"/>
                      <w:u w:val="none" w:color="auto"/>
                    </w:rPr>
                    <w:t>.2 大气污染物排放要求</w:t>
                  </w:r>
                  <w:r>
                    <w:rPr>
                      <w:rFonts w:hint="default" w:ascii="Times New Roman" w:hAnsi="Times New Roman" w:eastAsia="宋体" w:cs="Times New Roman"/>
                      <w:b w:val="0"/>
                      <w:bCs w:val="0"/>
                      <w:color w:val="auto"/>
                      <w:highlight w:val="none"/>
                      <w:u w:val="none" w:color="auto"/>
                      <w:lang w:eastAsia="zh-CN"/>
                    </w:rPr>
                    <w:t>：</w:t>
                  </w: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.2.1 报废机动车回收拆解企业排放废气中颗粒物、挥发性有机物（VOCs）等应符合 GB 16297、GB37822 规定的排放要求。地方污染物排放标准有更严格要求的，从其规定。</w:t>
                  </w:r>
                </w:p>
              </w:tc>
              <w:tc>
                <w:tcPr>
                  <w:tcW w:w="1823" w:type="pct"/>
                  <w:tcBorders>
                    <w:tl2br w:val="nil"/>
                    <w:tr2bl w:val="nil"/>
                  </w:tcBorders>
                  <w:noWrap w:val="0"/>
                  <w:vAlign w:val="center"/>
                </w:tcPr>
                <w:p w14:paraId="711E25CE">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项目产生的</w:t>
                  </w:r>
                  <w:r>
                    <w:rPr>
                      <w:rFonts w:hint="default" w:ascii="Times New Roman" w:hAnsi="Times New Roman" w:eastAsia="宋体" w:cs="Times New Roman"/>
                      <w:color w:val="auto"/>
                      <w:szCs w:val="21"/>
                      <w:highlight w:val="none"/>
                      <w:u w:val="none" w:color="auto"/>
                    </w:rPr>
                    <w:t>颗粒物、非甲烷总烃执行《大气污染物综合排放标准》（GB16297-1996）</w:t>
                  </w:r>
                  <w:r>
                    <w:rPr>
                      <w:rFonts w:hint="default" w:ascii="Times New Roman" w:hAnsi="Times New Roman" w:eastAsia="宋体" w:cs="Times New Roman"/>
                      <w:color w:val="auto"/>
                      <w:szCs w:val="21"/>
                      <w:highlight w:val="none"/>
                      <w:u w:val="none" w:color="auto"/>
                      <w:lang w:val="en-US" w:eastAsia="zh-CN"/>
                    </w:rPr>
                    <w:t>相关标准。</w:t>
                  </w:r>
                </w:p>
              </w:tc>
              <w:tc>
                <w:tcPr>
                  <w:tcW w:w="369" w:type="pct"/>
                  <w:tcBorders>
                    <w:tl2br w:val="nil"/>
                    <w:tr2bl w:val="nil"/>
                  </w:tcBorders>
                  <w:noWrap w:val="0"/>
                  <w:vAlign w:val="center"/>
                </w:tcPr>
                <w:p w14:paraId="6ECAE7F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64ABD52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70E1C38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CE6B186">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.2.2 报废机动车回收拆解企业应在厂区及易产生粉尘的生产环节采取有效防尘、降尘、集尘措施，拆解过</w:t>
                  </w:r>
                  <w:r>
                    <w:rPr>
                      <w:rFonts w:hint="eastAsia" w:cs="Times New Roman"/>
                      <w:color w:val="auto"/>
                      <w:highlight w:val="none"/>
                      <w:u w:val="none" w:color="auto"/>
                      <w:lang w:eastAsia="zh-CN"/>
                    </w:rPr>
                    <w:t>程中</w:t>
                  </w:r>
                  <w:r>
                    <w:rPr>
                      <w:rFonts w:hint="default" w:ascii="Times New Roman" w:hAnsi="Times New Roman" w:eastAsia="宋体" w:cs="Times New Roman"/>
                      <w:color w:val="auto"/>
                      <w:highlight w:val="none"/>
                      <w:u w:val="none" w:color="auto"/>
                    </w:rPr>
                    <w:t>产生的粉尘等应收集净化后排放。</w:t>
                  </w:r>
                </w:p>
              </w:tc>
              <w:tc>
                <w:tcPr>
                  <w:tcW w:w="1823" w:type="pct"/>
                  <w:tcBorders>
                    <w:tl2br w:val="nil"/>
                    <w:tr2bl w:val="nil"/>
                  </w:tcBorders>
                  <w:noWrap w:val="0"/>
                  <w:vAlign w:val="center"/>
                </w:tcPr>
                <w:p w14:paraId="401891B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项目切割、破碎产生的粉尘</w:t>
                  </w:r>
                  <w:r>
                    <w:rPr>
                      <w:rFonts w:hint="default" w:ascii="Times New Roman" w:hAnsi="Times New Roman" w:eastAsia="宋体" w:cs="Times New Roman"/>
                      <w:color w:val="auto"/>
                      <w:szCs w:val="21"/>
                      <w:highlight w:val="none"/>
                      <w:u w:val="none" w:color="auto"/>
                      <w:lang w:val="zh-CN" w:bidi="zh-CN"/>
                    </w:rPr>
                    <w:t>采用布袋除尘器</w:t>
                  </w:r>
                  <w:r>
                    <w:rPr>
                      <w:rFonts w:hint="default" w:ascii="Times New Roman" w:hAnsi="Times New Roman" w:eastAsia="宋体" w:cs="Times New Roman"/>
                      <w:color w:val="auto"/>
                      <w:szCs w:val="21"/>
                      <w:highlight w:val="none"/>
                      <w:u w:val="none" w:color="auto"/>
                      <w:lang w:bidi="zh-CN"/>
                    </w:rPr>
                    <w:t>处理</w:t>
                  </w:r>
                  <w:r>
                    <w:rPr>
                      <w:rFonts w:hint="default" w:ascii="Times New Roman" w:hAnsi="Times New Roman" w:eastAsia="宋体" w:cs="Times New Roman"/>
                      <w:color w:val="auto"/>
                      <w:szCs w:val="21"/>
                      <w:highlight w:val="none"/>
                      <w:u w:val="none" w:color="auto"/>
                      <w:lang w:val="en-US" w:bidi="zh-CN"/>
                    </w:rPr>
                    <w:t>后有组织排放。</w:t>
                  </w:r>
                </w:p>
              </w:tc>
              <w:tc>
                <w:tcPr>
                  <w:tcW w:w="369" w:type="pct"/>
                  <w:tcBorders>
                    <w:tl2br w:val="nil"/>
                    <w:tr2bl w:val="nil"/>
                  </w:tcBorders>
                  <w:noWrap w:val="0"/>
                  <w:vAlign w:val="center"/>
                </w:tcPr>
                <w:p w14:paraId="38D793C4">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2CCC307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590B8F8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6D04BE59">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.2.3 报废机动车回收拆解企业的恶臭污染物排放应满足 GB14554中的相关要求。</w:t>
                  </w:r>
                </w:p>
              </w:tc>
              <w:tc>
                <w:tcPr>
                  <w:tcW w:w="1823" w:type="pct"/>
                  <w:tcBorders>
                    <w:tl2br w:val="nil"/>
                    <w:tr2bl w:val="nil"/>
                  </w:tcBorders>
                  <w:noWrap w:val="0"/>
                  <w:vAlign w:val="center"/>
                </w:tcPr>
                <w:p w14:paraId="2E0DDABD">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color w:val="auto"/>
                      <w:highlight w:val="none"/>
                      <w:u w:val="none" w:color="auto"/>
                      <w:lang w:eastAsia="zh-CN"/>
                    </w:rPr>
                    <w:t>本项目无恶臭排放源，仅在汽车预处理和油液暂存时产生非甲烷总烃，设置</w:t>
                  </w:r>
                  <w:r>
                    <w:rPr>
                      <w:rFonts w:hint="default" w:ascii="Times New Roman" w:hAnsi="Times New Roman" w:eastAsia="宋体" w:cs="Times New Roman"/>
                      <w:color w:val="auto"/>
                      <w:highlight w:val="none"/>
                      <w:u w:val="none" w:color="auto"/>
                      <w:lang w:val="en-US" w:eastAsia="zh-CN"/>
                    </w:rPr>
                    <w:t>活性炭吸附装置进行处理，可满足排放标准。</w:t>
                  </w:r>
                </w:p>
              </w:tc>
              <w:tc>
                <w:tcPr>
                  <w:tcW w:w="369" w:type="pct"/>
                  <w:tcBorders>
                    <w:tl2br w:val="nil"/>
                    <w:tr2bl w:val="nil"/>
                  </w:tcBorders>
                  <w:noWrap w:val="0"/>
                  <w:vAlign w:val="center"/>
                </w:tcPr>
                <w:p w14:paraId="28C9053F">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D99C38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2046366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3D958FD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.2.4 报废机动车回收拆解企业应依照《消耗臭氧层物质管理条例》，对消耗臭氧层物质和氢氟碳化物进行分类回收，并交由专业单位进行利用或无害化处置，不应直接排放。涉及《中国受控消耗臭氧层物质清单》所列的废制冷剂应按照国家相关规定进行管理。</w:t>
                  </w:r>
                </w:p>
              </w:tc>
              <w:tc>
                <w:tcPr>
                  <w:tcW w:w="1823" w:type="pct"/>
                  <w:tcBorders>
                    <w:tl2br w:val="nil"/>
                    <w:tr2bl w:val="nil"/>
                  </w:tcBorders>
                  <w:noWrap w:val="0"/>
                  <w:vAlign w:val="center"/>
                </w:tcPr>
                <w:p w14:paraId="4CFA07E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735A035A">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47DBAE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437DAEF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39605C2">
                  <w:pPr>
                    <w:keepNext w:val="0"/>
                    <w:keepLines w:val="0"/>
                    <w:suppressLineNumbers w:val="0"/>
                    <w:spacing w:before="0" w:beforeAutospacing="0" w:after="0" w:afterAutospacing="0"/>
                    <w:ind w:left="0" w:right="0"/>
                    <w:rPr>
                      <w:rFonts w:hint="default" w:ascii="Times New Roman" w:hAnsi="Times New Roman" w:eastAsia="宋体" w:cs="Times New Roman"/>
                      <w:color w:val="auto"/>
                      <w:highlight w:val="none"/>
                      <w:u w:val="none" w:color="auto"/>
                      <w:lang w:eastAsia="zh-CN"/>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w:t>
                  </w:r>
                  <w:r>
                    <w:rPr>
                      <w:rFonts w:hint="default" w:ascii="Times New Roman" w:hAnsi="Times New Roman" w:eastAsia="宋体" w:cs="Times New Roman"/>
                      <w:b w:val="0"/>
                      <w:bCs w:val="0"/>
                      <w:color w:val="auto"/>
                      <w:highlight w:val="none"/>
                      <w:u w:val="none" w:color="auto"/>
                    </w:rPr>
                    <w:t>3 噪声排放控制要求</w:t>
                  </w:r>
                  <w:r>
                    <w:rPr>
                      <w:rFonts w:hint="default" w:ascii="Times New Roman" w:hAnsi="Times New Roman" w:eastAsia="宋体" w:cs="Times New Roman"/>
                      <w:b w:val="0"/>
                      <w:bCs w:val="0"/>
                      <w:color w:val="auto"/>
                      <w:highlight w:val="none"/>
                      <w:u w:val="none" w:color="auto"/>
                      <w:lang w:eastAsia="zh-CN"/>
                    </w:rPr>
                    <w:t>：</w:t>
                  </w:r>
                </w:p>
                <w:p w14:paraId="6F48B569">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.3.1 报废机动车回收拆解企业应采取隔音降噪措施，减小厂界噪声，满足G</w:t>
                  </w:r>
                  <w:r>
                    <w:rPr>
                      <w:rFonts w:hint="default" w:ascii="Times New Roman" w:hAnsi="Times New Roman" w:eastAsia="宋体" w:cs="Times New Roman"/>
                      <w:color w:val="auto"/>
                      <w:highlight w:val="none"/>
                      <w:u w:val="none" w:color="auto"/>
                      <w:lang w:val="en-US" w:eastAsia="zh-CN"/>
                    </w:rPr>
                    <w:t>1</w:t>
                  </w:r>
                  <w:r>
                    <w:rPr>
                      <w:rFonts w:hint="default" w:ascii="Times New Roman" w:hAnsi="Times New Roman" w:eastAsia="宋体" w:cs="Times New Roman"/>
                      <w:color w:val="auto"/>
                      <w:highlight w:val="none"/>
                      <w:u w:val="none" w:color="auto"/>
                    </w:rPr>
                    <w:t>2348中的相关要求。</w:t>
                  </w:r>
                </w:p>
              </w:tc>
              <w:tc>
                <w:tcPr>
                  <w:tcW w:w="1823" w:type="pct"/>
                  <w:tcBorders>
                    <w:tl2br w:val="nil"/>
                    <w:tr2bl w:val="nil"/>
                  </w:tcBorders>
                  <w:noWrap w:val="0"/>
                  <w:vAlign w:val="center"/>
                </w:tcPr>
                <w:p w14:paraId="5B3897C7">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rPr>
                    <w:t>企业</w:t>
                  </w:r>
                  <w:r>
                    <w:rPr>
                      <w:rFonts w:hint="default" w:ascii="Times New Roman" w:hAnsi="Times New Roman" w:eastAsia="宋体" w:cs="Times New Roman"/>
                      <w:color w:val="auto"/>
                      <w:highlight w:val="none"/>
                      <w:u w:val="none" w:color="auto"/>
                      <w:lang w:val="en-US" w:eastAsia="zh-CN"/>
                    </w:rPr>
                    <w:t>设有基础减振、厂房</w:t>
                  </w:r>
                  <w:r>
                    <w:rPr>
                      <w:rFonts w:hint="eastAsia" w:cs="Times New Roman"/>
                      <w:color w:val="auto"/>
                      <w:highlight w:val="none"/>
                      <w:u w:val="none" w:color="auto"/>
                      <w:lang w:val="en-US" w:eastAsia="zh-CN"/>
                    </w:rPr>
                    <w:t>隔声</w:t>
                  </w:r>
                  <w:r>
                    <w:rPr>
                      <w:rFonts w:hint="default" w:ascii="Times New Roman" w:hAnsi="Times New Roman" w:eastAsia="宋体" w:cs="Times New Roman"/>
                      <w:color w:val="auto"/>
                      <w:highlight w:val="none"/>
                      <w:u w:val="none" w:color="auto"/>
                      <w:lang w:val="en-US" w:eastAsia="zh-CN"/>
                    </w:rPr>
                    <w:t>等</w:t>
                  </w:r>
                  <w:r>
                    <w:rPr>
                      <w:rFonts w:hint="default" w:ascii="Times New Roman" w:hAnsi="Times New Roman" w:eastAsia="宋体" w:cs="Times New Roman"/>
                      <w:color w:val="auto"/>
                      <w:highlight w:val="none"/>
                      <w:u w:val="none" w:color="auto"/>
                    </w:rPr>
                    <w:t>降噪措施，减小厂界噪声，满足GB12348中的相关要求。</w:t>
                  </w:r>
                </w:p>
              </w:tc>
              <w:tc>
                <w:tcPr>
                  <w:tcW w:w="369" w:type="pct"/>
                  <w:tcBorders>
                    <w:tl2br w:val="nil"/>
                    <w:tr2bl w:val="nil"/>
                  </w:tcBorders>
                  <w:noWrap w:val="0"/>
                  <w:vAlign w:val="center"/>
                </w:tcPr>
                <w:p w14:paraId="782DB39D">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A43E2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1375269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13884B86">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.3.2对于破碎机、分选机、风机等机械设备，应采用合理的降噪、减噪措施。如选用低噪声设备，安装隔振元件、柔性接头、隔振垫等。</w:t>
                  </w:r>
                </w:p>
              </w:tc>
              <w:tc>
                <w:tcPr>
                  <w:tcW w:w="1823" w:type="pct"/>
                  <w:tcBorders>
                    <w:tl2br w:val="nil"/>
                    <w:tr2bl w:val="nil"/>
                  </w:tcBorders>
                  <w:noWrap w:val="0"/>
                  <w:vAlign w:val="center"/>
                </w:tcPr>
                <w:p w14:paraId="47A2AA0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项目设备放置于封闭厂房，设置基础减</w:t>
                  </w:r>
                  <w:r>
                    <w:rPr>
                      <w:rFonts w:hint="default" w:ascii="Times New Roman" w:hAnsi="Times New Roman" w:eastAsia="宋体" w:cs="Times New Roman"/>
                      <w:color w:val="auto"/>
                      <w:highlight w:val="none"/>
                      <w:u w:val="none" w:color="auto"/>
                      <w:lang w:val="en-US" w:eastAsia="zh-CN"/>
                    </w:rPr>
                    <w:t>振</w:t>
                  </w:r>
                  <w:r>
                    <w:rPr>
                      <w:rFonts w:hint="default" w:ascii="Times New Roman" w:hAnsi="Times New Roman" w:eastAsia="宋体" w:cs="Times New Roman"/>
                      <w:color w:val="auto"/>
                      <w:szCs w:val="21"/>
                      <w:highlight w:val="none"/>
                      <w:u w:val="none" w:color="auto"/>
                      <w:lang w:val="en-US" w:eastAsia="zh-CN"/>
                    </w:rPr>
                    <w:t>设施。</w:t>
                  </w:r>
                </w:p>
              </w:tc>
              <w:tc>
                <w:tcPr>
                  <w:tcW w:w="369" w:type="pct"/>
                  <w:tcBorders>
                    <w:tl2br w:val="nil"/>
                    <w:tr2bl w:val="nil"/>
                  </w:tcBorders>
                  <w:noWrap w:val="0"/>
                  <w:vAlign w:val="center"/>
                </w:tcPr>
                <w:p w14:paraId="24C9AE75">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19235F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6421C1E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396B841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.3.3 在空压机、风机等的输气管道或在进气口、排气口上安装消声元件，采取屏蔽隔声措施等。</w:t>
                  </w:r>
                </w:p>
              </w:tc>
              <w:tc>
                <w:tcPr>
                  <w:tcW w:w="1823" w:type="pct"/>
                  <w:tcBorders>
                    <w:tl2br w:val="nil"/>
                    <w:tr2bl w:val="nil"/>
                  </w:tcBorders>
                  <w:noWrap w:val="0"/>
                  <w:vAlign w:val="center"/>
                </w:tcPr>
                <w:p w14:paraId="02404FC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项目</w:t>
                  </w:r>
                  <w:r>
                    <w:rPr>
                      <w:rFonts w:hint="default" w:ascii="Times New Roman" w:hAnsi="Times New Roman" w:eastAsia="宋体" w:cs="Times New Roman"/>
                      <w:color w:val="auto"/>
                      <w:highlight w:val="none"/>
                      <w:u w:val="none" w:color="auto"/>
                    </w:rPr>
                    <w:t>在</w:t>
                  </w:r>
                  <w:r>
                    <w:rPr>
                      <w:rFonts w:hint="default" w:ascii="Times New Roman" w:hAnsi="Times New Roman" w:eastAsia="宋体" w:cs="Times New Roman"/>
                      <w:color w:val="auto"/>
                      <w:highlight w:val="none"/>
                      <w:u w:val="none" w:color="auto"/>
                      <w:lang w:eastAsia="zh-CN"/>
                    </w:rPr>
                    <w:t>风机等设施安装减震机座、</w:t>
                  </w:r>
                  <w:r>
                    <w:rPr>
                      <w:rFonts w:hint="default" w:ascii="Times New Roman" w:hAnsi="Times New Roman" w:eastAsia="宋体" w:cs="Times New Roman"/>
                      <w:color w:val="auto"/>
                      <w:highlight w:val="none"/>
                      <w:u w:val="none" w:color="auto"/>
                    </w:rPr>
                    <w:t>采取屏蔽隔声措施等。</w:t>
                  </w:r>
                </w:p>
              </w:tc>
              <w:tc>
                <w:tcPr>
                  <w:tcW w:w="369" w:type="pct"/>
                  <w:tcBorders>
                    <w:tl2br w:val="nil"/>
                    <w:tr2bl w:val="nil"/>
                  </w:tcBorders>
                  <w:noWrap w:val="0"/>
                  <w:vAlign w:val="center"/>
                </w:tcPr>
                <w:p w14:paraId="3461F0B0">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36C94F7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6E45BA6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B63020A">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4</w:t>
                  </w:r>
                  <w:r>
                    <w:rPr>
                      <w:rFonts w:hint="default" w:ascii="Times New Roman" w:hAnsi="Times New Roman" w:eastAsia="宋体" w:cs="Times New Roman"/>
                      <w:color w:val="auto"/>
                      <w:highlight w:val="none"/>
                      <w:u w:val="none" w:color="auto"/>
                    </w:rPr>
                    <w:t>.3.4 对于搬运、手工拆解、车辆运输等非机械噪声产生环节，宜采取可减少固体振动和碰撞过程噪声产生的管理措施，如使用手动运输车辆、车间地面涂刷防护地坪、</w:t>
                  </w:r>
                  <w:r>
                    <w:rPr>
                      <w:rFonts w:hint="eastAsia" w:cs="Times New Roman"/>
                      <w:color w:val="auto"/>
                      <w:highlight w:val="none"/>
                      <w:u w:val="none" w:color="auto"/>
                      <w:lang w:eastAsia="zh-CN"/>
                    </w:rPr>
                    <w:t>采取</w:t>
                  </w:r>
                  <w:r>
                    <w:rPr>
                      <w:rFonts w:hint="default" w:ascii="Times New Roman" w:hAnsi="Times New Roman" w:eastAsia="宋体" w:cs="Times New Roman"/>
                      <w:color w:val="auto"/>
                      <w:highlight w:val="none"/>
                      <w:u w:val="none" w:color="auto"/>
                    </w:rPr>
                    <w:t>软性传输装置等措施；加强工人的防噪声劳动保护措施，如使用耳塞等。</w:t>
                  </w:r>
                </w:p>
              </w:tc>
              <w:tc>
                <w:tcPr>
                  <w:tcW w:w="1823" w:type="pct"/>
                  <w:tcBorders>
                    <w:tl2br w:val="nil"/>
                    <w:tr2bl w:val="nil"/>
                  </w:tcBorders>
                  <w:noWrap w:val="0"/>
                  <w:vAlign w:val="center"/>
                </w:tcPr>
                <w:p w14:paraId="0EB395C3">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7A546689">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4B16F4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5D899FE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7582786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b w:val="0"/>
                      <w:bCs w:val="0"/>
                      <w:color w:val="auto"/>
                      <w:highlight w:val="none"/>
                      <w:u w:val="none" w:color="auto"/>
                      <w:lang w:val="en-US" w:eastAsia="zh-CN"/>
                    </w:rPr>
                    <w:t>4</w:t>
                  </w:r>
                  <w:r>
                    <w:rPr>
                      <w:rFonts w:hint="default" w:ascii="Times New Roman" w:hAnsi="Times New Roman" w:eastAsia="宋体" w:cs="Times New Roman"/>
                      <w:b w:val="0"/>
                      <w:bCs w:val="0"/>
                      <w:color w:val="auto"/>
                      <w:highlight w:val="none"/>
                      <w:u w:val="none" w:color="auto"/>
                    </w:rPr>
                    <w:t>.4 固体废物污染控制要求</w:t>
                  </w:r>
                  <w:r>
                    <w:rPr>
                      <w:rFonts w:hint="default" w:ascii="Times New Roman" w:hAnsi="Times New Roman" w:eastAsia="宋体" w:cs="Times New Roman"/>
                      <w:b w:val="0"/>
                      <w:bCs w:val="0"/>
                      <w:color w:val="auto"/>
                      <w:highlight w:val="none"/>
                      <w:u w:val="none" w:color="auto"/>
                      <w:lang w:eastAsia="zh-CN"/>
                    </w:rPr>
                    <w:t>：</w:t>
                  </w:r>
                  <w:r>
                    <w:rPr>
                      <w:rFonts w:hint="default" w:ascii="Times New Roman" w:hAnsi="Times New Roman" w:eastAsia="宋体" w:cs="Times New Roman"/>
                      <w:color w:val="auto"/>
                      <w:spacing w:val="-1"/>
                      <w:highlight w:val="none"/>
                      <w:u w:val="none" w:color="auto"/>
                    </w:rPr>
                    <w:t>一般工业固体废物中不应混入危险废物。拆解过程中产生的一般工业固体废物应满足</w:t>
                  </w:r>
                  <w:r>
                    <w:rPr>
                      <w:rFonts w:hint="default" w:ascii="Times New Roman" w:hAnsi="Times New Roman" w:eastAsia="宋体" w:cs="Times New Roman"/>
                      <w:color w:val="auto"/>
                      <w:spacing w:val="-82"/>
                      <w:highlight w:val="none"/>
                      <w:u w:val="none" w:color="auto"/>
                    </w:rPr>
                    <w:t xml:space="preserve"> </w:t>
                  </w:r>
                  <w:r>
                    <w:rPr>
                      <w:rFonts w:hint="default" w:ascii="Times New Roman" w:hAnsi="Times New Roman" w:eastAsia="宋体" w:cs="Times New Roman"/>
                      <w:color w:val="auto"/>
                      <w:highlight w:val="none"/>
                      <w:u w:val="none" w:color="auto"/>
                    </w:rPr>
                    <w:t>GB</w:t>
                  </w:r>
                  <w:r>
                    <w:rPr>
                      <w:rFonts w:hint="default" w:ascii="Times New Roman" w:hAnsi="Times New Roman" w:eastAsia="宋体" w:cs="Times New Roman"/>
                      <w:color w:val="auto"/>
                      <w:spacing w:val="-28"/>
                      <w:highlight w:val="none"/>
                      <w:u w:val="none" w:color="auto"/>
                    </w:rPr>
                    <w:t xml:space="preserve"> </w:t>
                  </w:r>
                  <w:r>
                    <w:rPr>
                      <w:rFonts w:hint="default" w:ascii="Times New Roman" w:hAnsi="Times New Roman" w:eastAsia="宋体" w:cs="Times New Roman"/>
                      <w:color w:val="auto"/>
                      <w:highlight w:val="none"/>
                      <w:u w:val="none" w:color="auto"/>
                    </w:rPr>
                    <w:t>18599</w:t>
                  </w:r>
                  <w:r>
                    <w:rPr>
                      <w:rFonts w:hint="default" w:ascii="Times New Roman" w:hAnsi="Times New Roman" w:eastAsia="宋体" w:cs="Times New Roman"/>
                      <w:color w:val="auto"/>
                      <w:spacing w:val="-28"/>
                      <w:highlight w:val="none"/>
                      <w:u w:val="none" w:color="auto"/>
                    </w:rPr>
                    <w:t xml:space="preserve"> </w:t>
                  </w:r>
                  <w:r>
                    <w:rPr>
                      <w:rFonts w:hint="default" w:ascii="Times New Roman" w:hAnsi="Times New Roman" w:eastAsia="宋体" w:cs="Times New Roman"/>
                      <w:color w:val="auto"/>
                      <w:highlight w:val="none"/>
                      <w:u w:val="none" w:color="auto"/>
                    </w:rPr>
                    <w:t>的其他相关要求；危险废物应满足</w:t>
                  </w:r>
                  <w:r>
                    <w:rPr>
                      <w:rFonts w:hint="default" w:ascii="Times New Roman" w:hAnsi="Times New Roman" w:eastAsia="宋体" w:cs="Times New Roman"/>
                      <w:color w:val="auto"/>
                      <w:spacing w:val="-72"/>
                      <w:highlight w:val="none"/>
                      <w:u w:val="none" w:color="auto"/>
                    </w:rPr>
                    <w:t xml:space="preserve"> </w:t>
                  </w:r>
                  <w:r>
                    <w:rPr>
                      <w:rFonts w:hint="default" w:ascii="Times New Roman" w:hAnsi="Times New Roman" w:eastAsia="宋体" w:cs="Times New Roman"/>
                      <w:color w:val="auto"/>
                      <w:highlight w:val="none"/>
                      <w:u w:val="none" w:color="auto"/>
                    </w:rPr>
                    <w:t>GB</w:t>
                  </w:r>
                  <w:r>
                    <w:rPr>
                      <w:rFonts w:hint="default" w:ascii="Times New Roman" w:hAnsi="Times New Roman" w:eastAsia="宋体" w:cs="Times New Roman"/>
                      <w:color w:val="auto"/>
                      <w:spacing w:val="-18"/>
                      <w:highlight w:val="none"/>
                      <w:u w:val="none" w:color="auto"/>
                    </w:rPr>
                    <w:t xml:space="preserve"> </w:t>
                  </w:r>
                  <w:r>
                    <w:rPr>
                      <w:rFonts w:hint="default" w:ascii="Times New Roman" w:hAnsi="Times New Roman" w:eastAsia="宋体" w:cs="Times New Roman"/>
                      <w:color w:val="auto"/>
                      <w:highlight w:val="none"/>
                      <w:u w:val="none" w:color="auto"/>
                    </w:rPr>
                    <w:t>18597</w:t>
                  </w:r>
                  <w:r>
                    <w:rPr>
                      <w:rFonts w:hint="default" w:ascii="Times New Roman" w:hAnsi="Times New Roman" w:eastAsia="宋体" w:cs="Times New Roman"/>
                      <w:color w:val="auto"/>
                      <w:spacing w:val="-19"/>
                      <w:highlight w:val="none"/>
                      <w:u w:val="none" w:color="auto"/>
                    </w:rPr>
                    <w:t xml:space="preserve"> </w:t>
                  </w:r>
                  <w:r>
                    <w:rPr>
                      <w:rFonts w:hint="default" w:ascii="Times New Roman" w:hAnsi="Times New Roman" w:eastAsia="宋体" w:cs="Times New Roman"/>
                      <w:color w:val="auto"/>
                      <w:highlight w:val="none"/>
                      <w:u w:val="none" w:color="auto"/>
                    </w:rPr>
                    <w:t>中的其他相关要求。</w:t>
                  </w:r>
                </w:p>
              </w:tc>
              <w:tc>
                <w:tcPr>
                  <w:tcW w:w="1823" w:type="pct"/>
                  <w:tcBorders>
                    <w:tl2br w:val="nil"/>
                    <w:tr2bl w:val="nil"/>
                  </w:tcBorders>
                  <w:noWrap w:val="0"/>
                  <w:vAlign w:val="center"/>
                </w:tcPr>
                <w:p w14:paraId="3DE7C76E">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7ECE9E2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4F7C4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restart"/>
                  <w:tcBorders>
                    <w:tl2br w:val="nil"/>
                    <w:tr2bl w:val="nil"/>
                  </w:tcBorders>
                  <w:noWrap w:val="0"/>
                  <w:vAlign w:val="center"/>
                </w:tcPr>
                <w:p w14:paraId="3A7ECD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固体废物管理要求</w:t>
                  </w:r>
                </w:p>
              </w:tc>
              <w:tc>
                <w:tcPr>
                  <w:tcW w:w="2443" w:type="pct"/>
                  <w:tcBorders>
                    <w:tl2br w:val="nil"/>
                    <w:tr2bl w:val="nil"/>
                  </w:tcBorders>
                  <w:noWrap w:val="0"/>
                  <w:vAlign w:val="center"/>
                </w:tcPr>
                <w:p w14:paraId="4A0E6BCB">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5.1</w:t>
                  </w:r>
                  <w:r>
                    <w:rPr>
                      <w:rFonts w:hint="default" w:ascii="Times New Roman" w:hAnsi="Times New Roman" w:eastAsia="宋体" w:cs="Times New Roman"/>
                      <w:color w:val="auto"/>
                      <w:szCs w:val="21"/>
                      <w:highlight w:val="none"/>
                      <w:u w:val="none" w:color="auto"/>
                    </w:rPr>
                    <w:t>企业应建立、健全一般工业固体废物污染环境防治责任制度，采取以下措施防止造成环境污染：</w:t>
                  </w:r>
                </w:p>
                <w:p w14:paraId="282D6DB8">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a）建立一般工业固体废物台账记录，应满足一般工业固体废物管理台账制定指南相关要求；</w:t>
                  </w:r>
                </w:p>
                <w:p w14:paraId="65EB647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b）分类收集后贮存应设置标识标签，注明拆解产物的名称、贮存时间、数量等信息；贮存过</w:t>
                  </w:r>
                  <w:r>
                    <w:rPr>
                      <w:rFonts w:hint="eastAsia" w:cs="Times New Roman"/>
                      <w:color w:val="auto"/>
                      <w:szCs w:val="21"/>
                      <w:highlight w:val="none"/>
                      <w:u w:val="none" w:color="auto"/>
                      <w:lang w:eastAsia="zh-CN"/>
                    </w:rPr>
                    <w:t>程中</w:t>
                  </w:r>
                  <w:r>
                    <w:rPr>
                      <w:rFonts w:hint="default" w:ascii="Times New Roman" w:hAnsi="Times New Roman" w:eastAsia="宋体" w:cs="Times New Roman"/>
                      <w:color w:val="auto"/>
                      <w:szCs w:val="21"/>
                      <w:highlight w:val="none"/>
                      <w:u w:val="none" w:color="auto"/>
                    </w:rPr>
                    <w:t>应采取防止货物和包装损坏或泄漏。</w:t>
                  </w:r>
                </w:p>
              </w:tc>
              <w:tc>
                <w:tcPr>
                  <w:tcW w:w="1823" w:type="pct"/>
                  <w:tcBorders>
                    <w:tl2br w:val="nil"/>
                    <w:tr2bl w:val="nil"/>
                  </w:tcBorders>
                  <w:noWrap w:val="0"/>
                  <w:vAlign w:val="center"/>
                </w:tcPr>
                <w:p w14:paraId="654E4BF8">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企业建立、健全一般工业固体废物污染环境防治责任制度，采取以下措施防止造成环境污染：</w:t>
                  </w:r>
                </w:p>
                <w:p w14:paraId="641B72E0">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a）建立一般工业固体废物台账记录，满足一般工业固体废物管理台账制定指南相关要求；</w:t>
                  </w:r>
                </w:p>
                <w:p w14:paraId="4F9385A1">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b）分类收集后贮存应设置标识标签，注明拆解产物的名称、贮存时间、数量等信息；贮存过</w:t>
                  </w:r>
                  <w:r>
                    <w:rPr>
                      <w:rFonts w:hint="eastAsia" w:cs="Times New Roman"/>
                      <w:color w:val="auto"/>
                      <w:szCs w:val="21"/>
                      <w:highlight w:val="none"/>
                      <w:u w:val="none" w:color="auto"/>
                      <w:lang w:eastAsia="zh-CN"/>
                    </w:rPr>
                    <w:t>程中</w:t>
                  </w:r>
                  <w:r>
                    <w:rPr>
                      <w:rFonts w:hint="default" w:ascii="Times New Roman" w:hAnsi="Times New Roman" w:eastAsia="宋体" w:cs="Times New Roman"/>
                      <w:color w:val="auto"/>
                      <w:szCs w:val="21"/>
                      <w:highlight w:val="none"/>
                      <w:u w:val="none" w:color="auto"/>
                    </w:rPr>
                    <w:t>应采取防止货物和包装损坏或泄漏。</w:t>
                  </w:r>
                </w:p>
              </w:tc>
              <w:tc>
                <w:tcPr>
                  <w:tcW w:w="369" w:type="pct"/>
                  <w:tcBorders>
                    <w:tl2br w:val="nil"/>
                    <w:tr2bl w:val="nil"/>
                  </w:tcBorders>
                  <w:noWrap w:val="0"/>
                  <w:vAlign w:val="center"/>
                </w:tcPr>
                <w:p w14:paraId="466D8333">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EAA2D7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24D43F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F3F7A17">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lang w:val="en-US" w:eastAsia="zh-CN"/>
                    </w:rPr>
                    <w:t>5.</w:t>
                  </w:r>
                  <w:r>
                    <w:rPr>
                      <w:rFonts w:hint="default" w:ascii="Times New Roman" w:hAnsi="Times New Roman" w:eastAsia="宋体" w:cs="Times New Roman"/>
                      <w:color w:val="auto"/>
                      <w:szCs w:val="21"/>
                      <w:highlight w:val="none"/>
                      <w:u w:val="none" w:color="auto"/>
                    </w:rPr>
                    <w:t>2 企业应建立、健全污染环境防治责任制度，采取以下措施严格控制危险废物造成环境污染：</w:t>
                  </w:r>
                </w:p>
                <w:p w14:paraId="12BFB242">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 制定危险废物管理计划和建立危险废物台账记录，应满足 HJ 1259 相关要求；</w:t>
                  </w:r>
                </w:p>
                <w:p w14:paraId="1856A4D9">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b）交由持有危险废物经营许可证并具有相关经营范围的企业进行处理，并签订委托处理合同；</w:t>
                  </w:r>
                </w:p>
                <w:p w14:paraId="7AED065C">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c）拆解过程产生的固体废物危险特性不明时，按照相关要求开展危险废物鉴别工作；</w:t>
                  </w:r>
                </w:p>
                <w:p w14:paraId="660E476D">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d）转移危险废物时，应严格执行《危险废物转移管理办法》有关要求。</w:t>
                  </w:r>
                </w:p>
              </w:tc>
              <w:tc>
                <w:tcPr>
                  <w:tcW w:w="1823" w:type="pct"/>
                  <w:tcBorders>
                    <w:tl2br w:val="nil"/>
                    <w:tr2bl w:val="nil"/>
                  </w:tcBorders>
                  <w:noWrap w:val="0"/>
                  <w:vAlign w:val="center"/>
                </w:tcPr>
                <w:p w14:paraId="32BA1AF0">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企业建立、健全污染环境防治责任制度，采取以下措施严格控制危险废物造成环境污染：</w:t>
                  </w:r>
                </w:p>
                <w:p w14:paraId="6515D570">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a）制定危险废物管理计划和建立危险废物台账记录，应满足HJ 1259 相关要求；</w:t>
                  </w:r>
                </w:p>
                <w:p w14:paraId="166CA0AA">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b）交由持有危险废物经营许可证并具有相关经营范围的企业进行处理，并签订委托处理合同；</w:t>
                  </w:r>
                </w:p>
                <w:p w14:paraId="560AA29B">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c）拆解过程产生的固体废物危险特性不明时，按照相关要求开展危险废物鉴别工作；</w:t>
                  </w:r>
                </w:p>
                <w:p w14:paraId="5B8B28B4">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d）转移危险废物时，应严格执行《危险废物转移管理办法》有关要求。</w:t>
                  </w:r>
                </w:p>
              </w:tc>
              <w:tc>
                <w:tcPr>
                  <w:tcW w:w="369" w:type="pct"/>
                  <w:tcBorders>
                    <w:tl2br w:val="nil"/>
                    <w:tr2bl w:val="nil"/>
                  </w:tcBorders>
                  <w:noWrap w:val="0"/>
                  <w:vAlign w:val="center"/>
                </w:tcPr>
                <w:p w14:paraId="0DF45235">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2F39B67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51CF12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2CE8351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6</w:t>
                  </w:r>
                  <w:r>
                    <w:rPr>
                      <w:rFonts w:hint="default" w:ascii="Times New Roman" w:hAnsi="Times New Roman" w:eastAsia="宋体" w:cs="Times New Roman"/>
                      <w:color w:val="auto"/>
                      <w:highlight w:val="none"/>
                      <w:u w:val="none" w:color="auto"/>
                    </w:rPr>
                    <w:t>.1 报废机动车回收拆解企业应按 HJ 819 等规定，建立企业监测制度，制定自行监测方案，对污染物排放状况及其周边环境质量的影响开展自行监测，保存原始监测记录，并公布监测结果，监测报告 记录应至少保存3年。</w:t>
                  </w:r>
                </w:p>
              </w:tc>
              <w:tc>
                <w:tcPr>
                  <w:tcW w:w="1823" w:type="pct"/>
                  <w:tcBorders>
                    <w:tl2br w:val="nil"/>
                    <w:tr2bl w:val="nil"/>
                  </w:tcBorders>
                  <w:noWrap w:val="0"/>
                  <w:vAlign w:val="center"/>
                </w:tcPr>
                <w:p w14:paraId="58B764A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7CBAA8AB">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77D5E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vMerge w:val="continue"/>
                  <w:tcBorders>
                    <w:tl2br w:val="nil"/>
                    <w:tr2bl w:val="nil"/>
                  </w:tcBorders>
                  <w:noWrap w:val="0"/>
                  <w:vAlign w:val="center"/>
                </w:tcPr>
                <w:p w14:paraId="3602603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59F8A8B0">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6</w:t>
                  </w:r>
                  <w:r>
                    <w:rPr>
                      <w:rFonts w:hint="default" w:ascii="Times New Roman" w:hAnsi="Times New Roman" w:eastAsia="宋体" w:cs="Times New Roman"/>
                      <w:color w:val="auto"/>
                      <w:highlight w:val="none"/>
                      <w:u w:val="none" w:color="auto"/>
                    </w:rPr>
                    <w:t>.2 自行监测方案应包括企业基本情况、监测点位、监测频次、监测指标（含特征污染物）、执行排放标准及其限值、监测方法和仪器、监测质量控制、监测点位示意图、监测结果信息公开时限、应急 监测方案等。</w:t>
                  </w:r>
                </w:p>
              </w:tc>
              <w:tc>
                <w:tcPr>
                  <w:tcW w:w="1823" w:type="pct"/>
                  <w:tcBorders>
                    <w:tl2br w:val="nil"/>
                    <w:tr2bl w:val="nil"/>
                  </w:tcBorders>
                  <w:noWrap w:val="0"/>
                  <w:vAlign w:val="center"/>
                </w:tcPr>
                <w:p w14:paraId="3A3BF742">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76F654C8">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502F4B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364" w:type="pct"/>
                  <w:vMerge w:val="continue"/>
                  <w:tcBorders>
                    <w:tl2br w:val="nil"/>
                    <w:tr2bl w:val="nil"/>
                  </w:tcBorders>
                  <w:noWrap w:val="0"/>
                  <w:vAlign w:val="center"/>
                </w:tcPr>
                <w:p w14:paraId="6ADC2DD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p>
              </w:tc>
              <w:tc>
                <w:tcPr>
                  <w:tcW w:w="2443" w:type="pct"/>
                  <w:tcBorders>
                    <w:tl2br w:val="nil"/>
                    <w:tr2bl w:val="nil"/>
                  </w:tcBorders>
                  <w:noWrap w:val="0"/>
                  <w:vAlign w:val="center"/>
                </w:tcPr>
                <w:p w14:paraId="4D16E881">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6</w:t>
                  </w:r>
                  <w:r>
                    <w:rPr>
                      <w:rFonts w:hint="default" w:ascii="Times New Roman" w:hAnsi="Times New Roman" w:eastAsia="宋体" w:cs="Times New Roman"/>
                      <w:color w:val="auto"/>
                      <w:highlight w:val="none"/>
                      <w:u w:val="none" w:color="auto"/>
                    </w:rPr>
                    <w:t>.3 报废机动车回收拆解企业不具备自行监测能力的，应委托具有监测服务资质的单位监测。</w:t>
                  </w:r>
                </w:p>
              </w:tc>
              <w:tc>
                <w:tcPr>
                  <w:tcW w:w="1823" w:type="pct"/>
                  <w:tcBorders>
                    <w:tl2br w:val="nil"/>
                    <w:tr2bl w:val="nil"/>
                  </w:tcBorders>
                  <w:noWrap w:val="0"/>
                  <w:vAlign w:val="center"/>
                </w:tcPr>
                <w:p w14:paraId="06DE614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highlight w:val="none"/>
                      <w:u w:val="none" w:color="auto"/>
                      <w:lang w:val="en-US" w:eastAsia="zh-CN"/>
                    </w:rPr>
                    <w:t>企业按照本规范实行。</w:t>
                  </w:r>
                </w:p>
              </w:tc>
              <w:tc>
                <w:tcPr>
                  <w:tcW w:w="369" w:type="pct"/>
                  <w:tcBorders>
                    <w:tl2br w:val="nil"/>
                    <w:tr2bl w:val="nil"/>
                  </w:tcBorders>
                  <w:noWrap w:val="0"/>
                  <w:vAlign w:val="center"/>
                </w:tcPr>
                <w:p w14:paraId="233EFBB7">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0AC8834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tcBorders>
                    <w:tl2br w:val="nil"/>
                    <w:tr2bl w:val="nil"/>
                  </w:tcBorders>
                  <w:noWrap w:val="0"/>
                  <w:vAlign w:val="center"/>
                </w:tcPr>
                <w:p w14:paraId="0324F3A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技术人员管理要求</w:t>
                  </w:r>
                </w:p>
              </w:tc>
              <w:tc>
                <w:tcPr>
                  <w:tcW w:w="2443" w:type="pct"/>
                  <w:tcBorders>
                    <w:tl2br w:val="nil"/>
                    <w:tr2bl w:val="nil"/>
                  </w:tcBorders>
                  <w:noWrap w:val="0"/>
                  <w:vAlign w:val="center"/>
                </w:tcPr>
                <w:p w14:paraId="34A32AE7">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报废机动车回收拆解企业应对操作人员、技术人员及管理人员进行环境保护相关的法律法规、环境 应急处理等理论知识和操作技能培训。培训应包含以下内容：</w:t>
                  </w:r>
                </w:p>
                <w:p w14:paraId="6FC188FB">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a）有关环境保护法律法规要求；b）企业生产的工艺流程、污染物的产生环节和污染防治措施；</w:t>
                  </w:r>
                  <w:r>
                    <w:rPr>
                      <w:rFonts w:hint="default" w:ascii="Times New Roman" w:hAnsi="Times New Roman" w:eastAsia="宋体" w:cs="Times New Roman"/>
                      <w:color w:val="auto"/>
                      <w:highlight w:val="none"/>
                      <w:u w:val="none" w:color="auto"/>
                      <w:lang w:val="en-US" w:eastAsia="zh-CN"/>
                    </w:rPr>
                    <w:t>c</w:t>
                  </w:r>
                  <w:r>
                    <w:rPr>
                      <w:rFonts w:hint="default" w:ascii="Times New Roman" w:hAnsi="Times New Roman" w:eastAsia="宋体" w:cs="Times New Roman"/>
                      <w:color w:val="auto"/>
                      <w:highlight w:val="none"/>
                      <w:u w:val="none" w:color="auto"/>
                    </w:rPr>
                    <w:t>）</w:t>
                  </w:r>
                  <w:r>
                    <w:rPr>
                      <w:rFonts w:hint="default" w:ascii="Times New Roman" w:hAnsi="Times New Roman" w:eastAsia="宋体" w:cs="Times New Roman"/>
                      <w:color w:val="auto"/>
                      <w:highlight w:val="none"/>
                      <w:u w:val="none" w:color="auto"/>
                      <w:lang w:val="en-US" w:eastAsia="zh-CN"/>
                    </w:rPr>
                    <w:t>环境污染物的排放限值；</w:t>
                  </w:r>
                  <w:r>
                    <w:rPr>
                      <w:rFonts w:hint="default" w:ascii="Times New Roman" w:hAnsi="Times New Roman" w:eastAsia="宋体" w:cs="Times New Roman"/>
                      <w:color w:val="auto"/>
                      <w:szCs w:val="21"/>
                      <w:highlight w:val="none"/>
                      <w:u w:val="none" w:color="auto"/>
                    </w:rPr>
                    <w:t>d）污染防治设备设施的运行维护要求；e）发生突发环境事件的处理措施等。</w:t>
                  </w:r>
                </w:p>
              </w:tc>
              <w:tc>
                <w:tcPr>
                  <w:tcW w:w="1823" w:type="pct"/>
                  <w:tcBorders>
                    <w:tl2br w:val="nil"/>
                    <w:tr2bl w:val="nil"/>
                  </w:tcBorders>
                  <w:noWrap w:val="0"/>
                  <w:vAlign w:val="center"/>
                </w:tcPr>
                <w:p w14:paraId="1E65B8EF">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eastAsia="zh-CN"/>
                    </w:rPr>
                  </w:pPr>
                  <w:r>
                    <w:rPr>
                      <w:rFonts w:hint="default" w:ascii="Times New Roman" w:hAnsi="Times New Roman" w:eastAsia="宋体" w:cs="Times New Roman"/>
                      <w:color w:val="auto"/>
                      <w:szCs w:val="21"/>
                      <w:highlight w:val="none"/>
                      <w:u w:val="none" w:color="auto"/>
                    </w:rPr>
                    <w:t>企业对操作人员、技术人员及管理人员进行环境保护相关的法律法规、环境应急处理等理论知识和操作技能培训</w:t>
                  </w:r>
                  <w:r>
                    <w:rPr>
                      <w:rFonts w:hint="default" w:ascii="Times New Roman" w:hAnsi="Times New Roman" w:eastAsia="宋体" w:cs="Times New Roman"/>
                      <w:color w:val="auto"/>
                      <w:szCs w:val="21"/>
                      <w:highlight w:val="none"/>
                      <w:u w:val="none" w:color="auto"/>
                      <w:lang w:eastAsia="zh-CN"/>
                    </w:rPr>
                    <w:t>。</w:t>
                  </w:r>
                </w:p>
              </w:tc>
              <w:tc>
                <w:tcPr>
                  <w:tcW w:w="369" w:type="pct"/>
                  <w:tcBorders>
                    <w:tl2br w:val="nil"/>
                    <w:tr2bl w:val="nil"/>
                  </w:tcBorders>
                  <w:noWrap w:val="0"/>
                  <w:vAlign w:val="center"/>
                </w:tcPr>
                <w:p w14:paraId="2E293131">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r w14:paraId="292AA2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64" w:type="pct"/>
                  <w:tcBorders>
                    <w:tl2br w:val="nil"/>
                    <w:tr2bl w:val="nil"/>
                  </w:tcBorders>
                  <w:noWrap w:val="0"/>
                  <w:vAlign w:val="center"/>
                </w:tcPr>
                <w:p w14:paraId="14321954">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突发环境事件应急预案</w:t>
                  </w:r>
                </w:p>
              </w:tc>
              <w:tc>
                <w:tcPr>
                  <w:tcW w:w="2443" w:type="pct"/>
                  <w:tcBorders>
                    <w:tl2br w:val="nil"/>
                    <w:tr2bl w:val="nil"/>
                  </w:tcBorders>
                  <w:noWrap w:val="0"/>
                  <w:vAlign w:val="center"/>
                </w:tcPr>
                <w:p w14:paraId="12555C00">
                  <w:pPr>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u w:val="none" w:color="auto"/>
                    </w:rPr>
                  </w:pPr>
                  <w:r>
                    <w:rPr>
                      <w:rFonts w:hint="default" w:ascii="Times New Roman" w:hAnsi="Times New Roman" w:eastAsia="宋体" w:cs="Times New Roman"/>
                      <w:color w:val="auto"/>
                      <w:szCs w:val="21"/>
                      <w:highlight w:val="none"/>
                      <w:u w:val="none" w:color="auto"/>
                    </w:rPr>
                    <w:t>报废机动车回收拆解企业应健全企业突发环境事件应对工作机制，包括编制突发环境事件应急预案、制定突发环境事件应急预案培训演练制度、定期开展培训演练等。发生突发环境事件时，企业立即启动突发环境事件应急预案，并按突发环境事件应急预案要求向生态环境等部门报告。</w:t>
                  </w:r>
                </w:p>
              </w:tc>
              <w:tc>
                <w:tcPr>
                  <w:tcW w:w="1823" w:type="pct"/>
                  <w:tcBorders>
                    <w:tl2br w:val="nil"/>
                    <w:tr2bl w:val="nil"/>
                  </w:tcBorders>
                  <w:noWrap w:val="0"/>
                  <w:vAlign w:val="center"/>
                </w:tcPr>
                <w:p w14:paraId="52E6CBB6">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szCs w:val="21"/>
                      <w:highlight w:val="none"/>
                      <w:u w:val="none" w:color="auto"/>
                      <w:lang w:val="en-US" w:eastAsia="zh-CN"/>
                    </w:rPr>
                  </w:pPr>
                  <w:r>
                    <w:rPr>
                      <w:rFonts w:hint="default" w:ascii="Times New Roman" w:hAnsi="Times New Roman" w:eastAsia="宋体" w:cs="Times New Roman"/>
                      <w:color w:val="auto"/>
                      <w:szCs w:val="21"/>
                      <w:highlight w:val="none"/>
                      <w:u w:val="none" w:color="auto"/>
                      <w:lang w:val="en-US" w:eastAsia="zh-CN"/>
                    </w:rPr>
                    <w:t>企业承诺按时编制</w:t>
                  </w:r>
                  <w:r>
                    <w:rPr>
                      <w:rFonts w:hint="default" w:ascii="Times New Roman" w:hAnsi="Times New Roman" w:eastAsia="宋体" w:cs="Times New Roman"/>
                      <w:color w:val="auto"/>
                      <w:szCs w:val="21"/>
                      <w:highlight w:val="none"/>
                      <w:u w:val="none" w:color="auto"/>
                    </w:rPr>
                    <w:t>突发环境事件应急预案</w:t>
                  </w:r>
                  <w:r>
                    <w:rPr>
                      <w:rFonts w:hint="default" w:ascii="Times New Roman" w:hAnsi="Times New Roman" w:eastAsia="宋体" w:cs="Times New Roman"/>
                      <w:color w:val="auto"/>
                      <w:szCs w:val="21"/>
                      <w:highlight w:val="none"/>
                      <w:u w:val="none" w:color="auto"/>
                      <w:lang w:val="en-US" w:eastAsia="zh-CN"/>
                    </w:rPr>
                    <w:t>并完成备案。</w:t>
                  </w:r>
                </w:p>
              </w:tc>
              <w:tc>
                <w:tcPr>
                  <w:tcW w:w="369" w:type="pct"/>
                  <w:tcBorders>
                    <w:tl2br w:val="nil"/>
                    <w:tr2bl w:val="nil"/>
                  </w:tcBorders>
                  <w:noWrap w:val="0"/>
                  <w:vAlign w:val="center"/>
                </w:tcPr>
                <w:p w14:paraId="6831EE9E">
                  <w:pPr>
                    <w:pStyle w:val="90"/>
                    <w:keepNext w:val="0"/>
                    <w:keepLines w:val="0"/>
                    <w:widowControl/>
                    <w:numPr>
                      <w:ilvl w:val="0"/>
                      <w:numId w:val="0"/>
                    </w:numPr>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val="0"/>
                      <w:color w:val="auto"/>
                      <w:sz w:val="21"/>
                      <w:szCs w:val="21"/>
                      <w:highlight w:val="none"/>
                      <w:lang w:val="en-US" w:eastAsia="zh-CN" w:bidi="ar-SA"/>
                    </w:rPr>
                  </w:pPr>
                  <w:r>
                    <w:rPr>
                      <w:rFonts w:hint="default" w:ascii="Times New Roman" w:hAnsi="Times New Roman" w:eastAsia="宋体" w:cs="Times New Roman"/>
                      <w:b w:val="0"/>
                      <w:color w:val="auto"/>
                      <w:sz w:val="21"/>
                      <w:szCs w:val="21"/>
                      <w:highlight w:val="none"/>
                    </w:rPr>
                    <w:t>符合</w:t>
                  </w:r>
                </w:p>
              </w:tc>
            </w:tr>
          </w:tbl>
          <w:p w14:paraId="159D997D">
            <w:pPr>
              <w:pStyle w:val="73"/>
              <w:keepNext w:val="0"/>
              <w:keepLines w:val="0"/>
              <w:suppressLineNumbers w:val="0"/>
              <w:bidi w:val="0"/>
              <w:spacing w:before="0" w:beforeAutospacing="0" w:after="0" w:afterAutospacing="0"/>
              <w:ind w:left="0" w:right="0"/>
              <w:rPr>
                <w:rFonts w:hint="default"/>
                <w:color w:val="auto"/>
                <w:highlight w:val="none"/>
              </w:rPr>
            </w:pPr>
            <w:r>
              <w:rPr>
                <w:rFonts w:hint="default"/>
                <w:color w:val="auto"/>
                <w:highlight w:val="none"/>
              </w:rPr>
              <w:t>综上所述，本项目建设符合各环境管理文件的相关要求。</w:t>
            </w:r>
          </w:p>
          <w:p w14:paraId="4BA5A6DB">
            <w:pPr>
              <w:pStyle w:val="73"/>
              <w:keepNext w:val="0"/>
              <w:keepLines w:val="0"/>
              <w:suppressLineNumbers w:val="0"/>
              <w:bidi w:val="0"/>
              <w:spacing w:before="0" w:beforeAutospacing="0" w:after="0" w:afterAutospacing="0"/>
              <w:ind w:left="0" w:right="0"/>
              <w:rPr>
                <w:rFonts w:hint="default"/>
                <w:color w:val="auto"/>
                <w:highlight w:val="none"/>
              </w:rPr>
            </w:pPr>
          </w:p>
          <w:p w14:paraId="6FD263CF">
            <w:pPr>
              <w:pStyle w:val="73"/>
              <w:keepNext w:val="0"/>
              <w:keepLines w:val="0"/>
              <w:suppressLineNumbers w:val="0"/>
              <w:bidi w:val="0"/>
              <w:spacing w:before="0" w:beforeAutospacing="0" w:after="0" w:afterAutospacing="0"/>
              <w:ind w:left="0" w:leftChars="0" w:right="0" w:firstLine="0" w:firstLineChars="0"/>
              <w:rPr>
                <w:rFonts w:hint="default"/>
                <w:color w:val="auto"/>
                <w:highlight w:val="none"/>
              </w:rPr>
            </w:pPr>
          </w:p>
        </w:tc>
      </w:tr>
    </w:tbl>
    <w:p w14:paraId="45428BA9">
      <w:pPr>
        <w:bidi w:val="0"/>
        <w:rPr>
          <w:color w:val="auto"/>
          <w:highlight w:val="none"/>
        </w:rPr>
        <w:sectPr>
          <w:pgSz w:w="16838" w:h="11906" w:orient="landscape"/>
          <w:pgMar w:top="1440" w:right="1080" w:bottom="1440" w:left="1080" w:header="851" w:footer="1077" w:gutter="0"/>
          <w:pgBorders>
            <w:top w:val="none" w:sz="0" w:space="0"/>
            <w:left w:val="none" w:sz="0" w:space="0"/>
            <w:bottom w:val="none" w:sz="0" w:space="0"/>
            <w:right w:val="none" w:sz="0" w:space="0"/>
          </w:pgBorders>
          <w:pgNumType w:fmt="decimal"/>
          <w:cols w:space="720" w:num="1"/>
          <w:docGrid w:linePitch="312" w:charSpace="0"/>
        </w:sectPr>
      </w:pPr>
    </w:p>
    <w:p w14:paraId="511968A5">
      <w:pPr>
        <w:pStyle w:val="22"/>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hint="eastAsia" w:ascii="黑体" w:hAnsi="黑体" w:eastAsia="黑体" w:cs="黑体"/>
          <w:snapToGrid w:val="0"/>
          <w:color w:val="auto"/>
          <w:sz w:val="30"/>
          <w:szCs w:val="30"/>
          <w:highlight w:val="none"/>
        </w:rPr>
      </w:pPr>
      <w:r>
        <w:rPr>
          <w:rFonts w:hint="eastAsia" w:ascii="黑体" w:hAnsi="黑体" w:eastAsia="黑体" w:cs="黑体"/>
          <w:snapToGrid w:val="0"/>
          <w:color w:val="auto"/>
          <w:sz w:val="30"/>
          <w:szCs w:val="30"/>
          <w:highlight w:val="none"/>
        </w:rPr>
        <w:t>二、建设项目工程分析</w:t>
      </w:r>
    </w:p>
    <w:tbl>
      <w:tblPr>
        <w:tblStyle w:val="26"/>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584"/>
        <w:gridCol w:w="9378"/>
      </w:tblGrid>
      <w:tr w14:paraId="6FA10F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4" w:type="dxa"/>
            <w:noWrap w:val="0"/>
            <w:vAlign w:val="center"/>
          </w:tcPr>
          <w:p w14:paraId="2D8B85A9">
            <w:pPr>
              <w:pStyle w:val="22"/>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4"/>
                <w:szCs w:val="24"/>
                <w:highlight w:val="none"/>
              </w:rPr>
              <w:t>建设内容</w:t>
            </w:r>
          </w:p>
        </w:tc>
        <w:tc>
          <w:tcPr>
            <w:tcW w:w="8476" w:type="dxa"/>
            <w:noWrap w:val="0"/>
            <w:vAlign w:val="top"/>
          </w:tcPr>
          <w:p w14:paraId="01506B3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44" w:firstLineChars="200"/>
              <w:jc w:val="both"/>
              <w:textAlignment w:val="auto"/>
              <w:rPr>
                <w:rFonts w:hint="default"/>
                <w:color w:val="auto"/>
                <w:sz w:val="24"/>
                <w:szCs w:val="24"/>
                <w:highlight w:val="none"/>
                <w:lang w:val="en-US" w:eastAsia="zh-CN"/>
              </w:rPr>
            </w:pPr>
            <w:r>
              <w:rPr>
                <w:rFonts w:hint="default" w:ascii="Times New Roman" w:hAnsi="Times New Roman" w:eastAsia="Times New Roman" w:cs="Times New Roman"/>
                <w:b/>
                <w:bCs/>
                <w:color w:val="auto"/>
                <w:spacing w:val="-9"/>
                <w:sz w:val="24"/>
                <w:szCs w:val="24"/>
                <w:highlight w:val="none"/>
                <w:lang w:eastAsia="zh-CN"/>
              </w:rPr>
              <w:t>1</w:t>
            </w:r>
            <w:r>
              <w:rPr>
                <w:rFonts w:hint="eastAsia" w:eastAsia="Times New Roman" w:cs="Times New Roman"/>
                <w:b/>
                <w:bCs/>
                <w:color w:val="auto"/>
                <w:spacing w:val="-9"/>
                <w:sz w:val="24"/>
                <w:szCs w:val="24"/>
                <w:highlight w:val="none"/>
                <w:lang w:val="en-US" w:eastAsia="zh-CN"/>
              </w:rPr>
              <w:t xml:space="preserve"> </w:t>
            </w:r>
            <w:r>
              <w:rPr>
                <w:rFonts w:hint="default"/>
                <w:b/>
                <w:bCs/>
                <w:color w:val="auto"/>
                <w:spacing w:val="-9"/>
                <w:sz w:val="24"/>
                <w:szCs w:val="24"/>
                <w:highlight w:val="none"/>
                <w:lang w:eastAsia="zh-CN"/>
              </w:rPr>
              <w:t>项目</w:t>
            </w:r>
            <w:r>
              <w:rPr>
                <w:rFonts w:hint="eastAsia"/>
                <w:b/>
                <w:bCs/>
                <w:color w:val="auto"/>
                <w:spacing w:val="-9"/>
                <w:sz w:val="24"/>
                <w:szCs w:val="24"/>
                <w:highlight w:val="none"/>
                <w:lang w:val="en-US" w:eastAsia="zh-CN"/>
              </w:rPr>
              <w:t>背景</w:t>
            </w:r>
          </w:p>
          <w:p w14:paraId="7A458614">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right="0" w:firstLine="482"/>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cs="宋体"/>
                <w:color w:val="auto"/>
                <w:spacing w:val="1"/>
                <w:highlight w:val="none"/>
                <w:lang w:val="en-US" w:eastAsia="zh-CN"/>
              </w:rPr>
              <w:t>本项目</w:t>
            </w:r>
            <w:r>
              <w:rPr>
                <w:rFonts w:hint="eastAsia" w:ascii="Times New Roman" w:hAnsi="Times New Roman" w:eastAsia="宋体" w:cs="宋体"/>
                <w:color w:val="auto"/>
                <w:spacing w:val="1"/>
                <w:highlight w:val="none"/>
                <w:lang w:val="en-US" w:eastAsia="zh-CN"/>
              </w:rPr>
              <w:t>为新建项目</w:t>
            </w:r>
            <w:r>
              <w:rPr>
                <w:rFonts w:hint="default" w:ascii="Times New Roman" w:hAnsi="Times New Roman" w:eastAsia="宋体" w:cs="宋体"/>
                <w:color w:val="auto"/>
                <w:spacing w:val="1"/>
                <w:sz w:val="24"/>
                <w:szCs w:val="24"/>
                <w:highlight w:val="none"/>
                <w:lang w:val="en-US" w:eastAsia="zh-CN"/>
              </w:rPr>
              <w:t>，</w:t>
            </w:r>
            <w:r>
              <w:rPr>
                <w:rFonts w:hint="eastAsia" w:ascii="Times New Roman" w:hAnsi="Times New Roman" w:eastAsia="宋体" w:cs="宋体"/>
                <w:color w:val="auto"/>
                <w:spacing w:val="1"/>
                <w:sz w:val="24"/>
                <w:szCs w:val="24"/>
                <w:highlight w:val="none"/>
                <w:lang w:val="en-US" w:eastAsia="zh-CN"/>
              </w:rPr>
              <w:t>阜新市广通智联再生资源有限公司</w:t>
            </w:r>
            <w:r>
              <w:rPr>
                <w:rFonts w:hint="eastAsia" w:cs="宋体"/>
                <w:color w:val="auto"/>
                <w:spacing w:val="1"/>
                <w:sz w:val="24"/>
                <w:szCs w:val="24"/>
                <w:highlight w:val="none"/>
                <w:lang w:val="en-US" w:eastAsia="zh-CN"/>
              </w:rPr>
              <w:t>（以下简称“建设单位”）</w:t>
            </w:r>
            <w:r>
              <w:rPr>
                <w:rFonts w:hint="eastAsia" w:ascii="Times New Roman" w:hAnsi="Times New Roman" w:eastAsia="宋体" w:cs="宋体"/>
                <w:color w:val="auto"/>
                <w:spacing w:val="1"/>
                <w:sz w:val="24"/>
                <w:szCs w:val="24"/>
                <w:highlight w:val="none"/>
                <w:lang w:val="en-US" w:eastAsia="zh-CN"/>
              </w:rPr>
              <w:t>租用辽宁新能科技发展</w:t>
            </w:r>
            <w:r>
              <w:rPr>
                <w:rFonts w:hint="default" w:ascii="Times New Roman" w:hAnsi="Times New Roman" w:eastAsia="宋体" w:cs="宋体"/>
                <w:color w:val="auto"/>
                <w:spacing w:val="1"/>
                <w:sz w:val="24"/>
                <w:szCs w:val="24"/>
                <w:highlight w:val="none"/>
                <w:lang w:val="en-US" w:eastAsia="zh-CN"/>
              </w:rPr>
              <w:t>有限公司现有厂区</w:t>
            </w:r>
            <w:r>
              <w:rPr>
                <w:rFonts w:hint="eastAsia" w:ascii="Times New Roman" w:hAnsi="Times New Roman" w:eastAsia="宋体" w:cs="宋体"/>
                <w:color w:val="auto"/>
                <w:spacing w:val="1"/>
                <w:sz w:val="24"/>
                <w:szCs w:val="24"/>
                <w:highlight w:val="none"/>
                <w:lang w:val="en-US" w:eastAsia="zh-CN"/>
              </w:rPr>
              <w:t>及厂房进行建设。项目</w:t>
            </w:r>
            <w:r>
              <w:rPr>
                <w:rFonts w:hint="default" w:ascii="Times New Roman" w:hAnsi="Times New Roman" w:eastAsia="宋体" w:cs="宋体"/>
                <w:color w:val="auto"/>
                <w:spacing w:val="1"/>
                <w:highlight w:val="none"/>
              </w:rPr>
              <w:t>位于</w:t>
            </w:r>
            <w:r>
              <w:rPr>
                <w:rFonts w:hint="eastAsia" w:ascii="Times New Roman" w:hAnsi="Times New Roman" w:eastAsia="宋体" w:cs="Times New Roman"/>
                <w:color w:val="auto"/>
                <w:sz w:val="24"/>
                <w:highlight w:val="none"/>
              </w:rPr>
              <w:t>辽宁省阜新市高新技术产业开发区</w:t>
            </w:r>
            <w:r>
              <w:rPr>
                <w:rFonts w:hint="eastAsia" w:ascii="Times New Roman" w:hAnsi="Times New Roman" w:cs="Times New Roman"/>
                <w:color w:val="auto"/>
                <w:sz w:val="24"/>
                <w:highlight w:val="none"/>
                <w:lang w:val="en-US" w:eastAsia="zh-CN"/>
              </w:rPr>
              <w:t>华通路16号</w:t>
            </w:r>
            <w:r>
              <w:rPr>
                <w:rFonts w:hint="default" w:ascii="Times New Roman" w:hAnsi="Times New Roman" w:eastAsia="宋体" w:cs="宋体"/>
                <w:color w:val="auto"/>
                <w:spacing w:val="-4"/>
                <w:highlight w:val="none"/>
              </w:rPr>
              <w:t>，地理坐标</w:t>
            </w:r>
            <w:r>
              <w:rPr>
                <w:rFonts w:hint="eastAsia" w:cs="宋体"/>
                <w:color w:val="auto"/>
                <w:spacing w:val="-4"/>
                <w:highlight w:val="none"/>
                <w:lang w:eastAsia="zh-CN"/>
              </w:rPr>
              <w:t>：</w:t>
            </w:r>
            <w:r>
              <w:rPr>
                <w:rFonts w:hint="eastAsia" w:ascii="Times New Roman" w:hAnsi="Times New Roman" w:eastAsia="宋体" w:cs="宋体"/>
                <w:color w:val="auto"/>
                <w:spacing w:val="-4"/>
                <w:highlight w:val="none"/>
                <w:lang w:val="en-US" w:eastAsia="zh-CN"/>
              </w:rPr>
              <w:t>东经</w:t>
            </w:r>
            <w:r>
              <w:rPr>
                <w:rFonts w:hint="default" w:ascii="Times New Roman" w:hAnsi="Times New Roman" w:eastAsia="宋体" w:cs="Times New Roman"/>
                <w:color w:val="auto"/>
                <w:kern w:val="2"/>
                <w:sz w:val="24"/>
                <w:szCs w:val="24"/>
                <w:highlight w:val="none"/>
                <w:lang w:val="en-US" w:eastAsia="zh-CN" w:bidi="ar-SA"/>
              </w:rPr>
              <w:t>121°35′11.726″，北纬42°1′3.298″。</w:t>
            </w:r>
          </w:p>
          <w:p w14:paraId="1206385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jc w:val="both"/>
              <w:textAlignment w:val="auto"/>
              <w:rPr>
                <w:rFonts w:hint="default"/>
                <w:color w:val="auto"/>
                <w:highlight w:val="none"/>
              </w:rPr>
            </w:pPr>
            <w:r>
              <w:rPr>
                <w:rFonts w:hint="eastAsia"/>
                <w:color w:val="auto"/>
                <w:spacing w:val="-4"/>
                <w:highlight w:val="none"/>
                <w:lang w:val="en-US" w:eastAsia="zh-CN"/>
              </w:rPr>
              <w:t>建设单位</w:t>
            </w:r>
            <w:r>
              <w:rPr>
                <w:rFonts w:hint="default"/>
                <w:color w:val="auto"/>
                <w:spacing w:val="-4"/>
                <w:highlight w:val="none"/>
              </w:rPr>
              <w:t>拟投资</w:t>
            </w:r>
            <w:r>
              <w:rPr>
                <w:rFonts w:hint="default"/>
                <w:color w:val="auto"/>
                <w:spacing w:val="-48"/>
                <w:highlight w:val="none"/>
              </w:rPr>
              <w:t xml:space="preserve"> </w:t>
            </w:r>
            <w:r>
              <w:rPr>
                <w:rFonts w:hint="eastAsia" w:ascii="Times New Roman" w:hAnsi="Times New Roman" w:eastAsia="宋体" w:cs="Times New Roman"/>
                <w:color w:val="auto"/>
                <w:spacing w:val="-4"/>
                <w:highlight w:val="none"/>
                <w:lang w:val="en-US" w:eastAsia="zh-CN"/>
              </w:rPr>
              <w:t>1000</w:t>
            </w:r>
            <w:r>
              <w:rPr>
                <w:rFonts w:hint="default"/>
                <w:color w:val="auto"/>
                <w:spacing w:val="-4"/>
                <w:highlight w:val="none"/>
              </w:rPr>
              <w:t>万元，</w:t>
            </w:r>
            <w:r>
              <w:rPr>
                <w:rFonts w:hint="default"/>
                <w:color w:val="auto"/>
                <w:spacing w:val="3"/>
                <w:highlight w:val="none"/>
              </w:rPr>
              <w:t>利用现有生产车间，安装传统燃油车拆解设</w:t>
            </w:r>
            <w:r>
              <w:rPr>
                <w:rFonts w:hint="default"/>
                <w:color w:val="auto"/>
                <w:spacing w:val="2"/>
                <w:highlight w:val="none"/>
              </w:rPr>
              <w:t>备、新能源汽车拆解设备、</w:t>
            </w:r>
            <w:r>
              <w:rPr>
                <w:rFonts w:hint="eastAsia"/>
                <w:color w:val="auto"/>
                <w:spacing w:val="2"/>
                <w:highlight w:val="none"/>
                <w:lang w:val="en-US" w:eastAsia="zh-CN"/>
              </w:rPr>
              <w:t>废钢加工设备以及</w:t>
            </w:r>
            <w:r>
              <w:rPr>
                <w:rFonts w:hint="default"/>
                <w:color w:val="auto"/>
                <w:spacing w:val="2"/>
                <w:highlight w:val="none"/>
              </w:rPr>
              <w:t>环保设备等，年拆解机动车</w:t>
            </w:r>
            <w:r>
              <w:rPr>
                <w:rFonts w:hint="eastAsia"/>
                <w:color w:val="auto"/>
                <w:spacing w:val="-29"/>
                <w:highlight w:val="none"/>
                <w:lang w:val="en-US" w:eastAsia="zh-CN"/>
              </w:rPr>
              <w:t>10000</w:t>
            </w:r>
            <w:r>
              <w:rPr>
                <w:rFonts w:hint="default"/>
                <w:color w:val="auto"/>
                <w:spacing w:val="1"/>
                <w:highlight w:val="none"/>
              </w:rPr>
              <w:t>辆</w:t>
            </w:r>
            <w:r>
              <w:rPr>
                <w:rFonts w:hint="default" w:ascii="Times New Roman" w:hAnsi="Times New Roman" w:eastAsia="Times New Roman" w:cs="Times New Roman"/>
                <w:color w:val="auto"/>
                <w:spacing w:val="1"/>
                <w:highlight w:val="none"/>
              </w:rPr>
              <w:t>/</w:t>
            </w:r>
            <w:r>
              <w:rPr>
                <w:rFonts w:hint="default"/>
                <w:color w:val="auto"/>
                <w:spacing w:val="1"/>
                <w:highlight w:val="none"/>
              </w:rPr>
              <w:t>年（</w:t>
            </w:r>
            <w:r>
              <w:rPr>
                <w:rFonts w:hint="default" w:ascii="Times New Roman" w:hAnsi="Times New Roman" w:eastAsia="宋体" w:cs="Times New Roman"/>
                <w:color w:val="auto"/>
                <w:kern w:val="2"/>
                <w:sz w:val="24"/>
                <w:szCs w:val="24"/>
                <w:highlight w:val="none"/>
                <w:lang w:val="en-US" w:eastAsia="zh-CN" w:bidi="ar-SA"/>
              </w:rPr>
              <w:t>其中报废新能源汽车</w:t>
            </w:r>
            <w:r>
              <w:rPr>
                <w:rFonts w:hint="eastAsia" w:cs="Times New Roman"/>
                <w:color w:val="auto"/>
                <w:kern w:val="2"/>
                <w:sz w:val="24"/>
                <w:szCs w:val="24"/>
                <w:highlight w:val="none"/>
                <w:lang w:val="en-US" w:eastAsia="zh-CN" w:bidi="ar-SA"/>
              </w:rPr>
              <w:t>3000</w:t>
            </w:r>
            <w:r>
              <w:rPr>
                <w:rFonts w:hint="default" w:ascii="Times New Roman" w:hAnsi="Times New Roman" w:eastAsia="宋体" w:cs="Times New Roman"/>
                <w:color w:val="auto"/>
                <w:kern w:val="2"/>
                <w:sz w:val="24"/>
                <w:szCs w:val="24"/>
                <w:highlight w:val="none"/>
                <w:lang w:val="en-US" w:eastAsia="zh-CN" w:bidi="ar-SA"/>
              </w:rPr>
              <w:t>辆/年、报废传统燃油车5000辆/年</w:t>
            </w:r>
            <w:r>
              <w:rPr>
                <w:rFonts w:hint="eastAsia" w:cs="Times New Roman"/>
                <w:color w:val="auto"/>
                <w:kern w:val="2"/>
                <w:sz w:val="24"/>
                <w:szCs w:val="24"/>
                <w:highlight w:val="none"/>
                <w:lang w:val="en-US" w:eastAsia="zh-CN" w:bidi="ar-SA"/>
              </w:rPr>
              <w:t>、报废农机2000辆</w:t>
            </w:r>
            <w:r>
              <w:rPr>
                <w:rFonts w:hint="default"/>
                <w:color w:val="auto"/>
                <w:spacing w:val="-1"/>
                <w:highlight w:val="none"/>
              </w:rPr>
              <w:t>）</w:t>
            </w:r>
            <w:r>
              <w:rPr>
                <w:rFonts w:hint="eastAsia"/>
                <w:color w:val="auto"/>
                <w:spacing w:val="-1"/>
                <w:highlight w:val="none"/>
                <w:lang w:eastAsia="zh-CN"/>
              </w:rPr>
              <w:t>，</w:t>
            </w:r>
            <w:r>
              <w:rPr>
                <w:rFonts w:hint="eastAsia"/>
                <w:color w:val="auto"/>
                <w:spacing w:val="-1"/>
                <w:highlight w:val="none"/>
                <w:lang w:val="en-US" w:eastAsia="zh-CN"/>
              </w:rPr>
              <w:t>年加工废钢15万吨/年</w:t>
            </w:r>
            <w:r>
              <w:rPr>
                <w:rFonts w:hint="default"/>
                <w:color w:val="auto"/>
                <w:spacing w:val="-1"/>
                <w:highlight w:val="none"/>
              </w:rPr>
              <w:t>。</w:t>
            </w:r>
          </w:p>
          <w:p w14:paraId="5E57889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jc w:val="both"/>
              <w:textAlignment w:val="auto"/>
              <w:rPr>
                <w:rFonts w:hint="default"/>
                <w:color w:val="auto"/>
                <w:spacing w:val="-4"/>
                <w:highlight w:val="none"/>
              </w:rPr>
            </w:pPr>
            <w:r>
              <w:rPr>
                <w:rFonts w:hint="default"/>
                <w:color w:val="auto"/>
                <w:spacing w:val="3"/>
                <w:highlight w:val="none"/>
              </w:rPr>
              <w:t>按照《建设项目环境影响评价分类管理名录》（</w:t>
            </w:r>
            <w:r>
              <w:rPr>
                <w:rFonts w:hint="default" w:ascii="Times New Roman" w:hAnsi="Times New Roman" w:eastAsia="Times New Roman" w:cs="Times New Roman"/>
                <w:color w:val="auto"/>
                <w:spacing w:val="3"/>
                <w:highlight w:val="none"/>
              </w:rPr>
              <w:t>2</w:t>
            </w:r>
            <w:r>
              <w:rPr>
                <w:rFonts w:hint="default" w:ascii="Times New Roman" w:hAnsi="Times New Roman" w:eastAsia="Times New Roman" w:cs="Times New Roman"/>
                <w:color w:val="auto"/>
                <w:spacing w:val="2"/>
                <w:highlight w:val="none"/>
              </w:rPr>
              <w:t>021</w:t>
            </w:r>
            <w:r>
              <w:rPr>
                <w:rFonts w:hint="default"/>
                <w:color w:val="auto"/>
                <w:spacing w:val="2"/>
                <w:highlight w:val="none"/>
              </w:rPr>
              <w:t>年版）中的规定，本</w:t>
            </w:r>
            <w:r>
              <w:rPr>
                <w:rFonts w:hint="default"/>
                <w:color w:val="auto"/>
                <w:highlight w:val="none"/>
              </w:rPr>
              <w:t>项目属于“三十九、废弃资源综合利用业</w:t>
            </w:r>
            <w:r>
              <w:rPr>
                <w:rFonts w:hint="default" w:ascii="Times New Roman" w:hAnsi="Times New Roman" w:eastAsia="Times New Roman" w:cs="Times New Roman"/>
                <w:color w:val="auto"/>
                <w:highlight w:val="none"/>
              </w:rPr>
              <w:t>42-</w:t>
            </w:r>
            <w:r>
              <w:rPr>
                <w:rFonts w:hint="default"/>
                <w:color w:val="auto"/>
                <w:highlight w:val="none"/>
              </w:rPr>
              <w:t>金属废料和碎屑加工处理</w:t>
            </w:r>
            <w:r>
              <w:rPr>
                <w:rFonts w:hint="default" w:ascii="Times New Roman" w:hAnsi="Times New Roman" w:eastAsia="Times New Roman" w:cs="Times New Roman"/>
                <w:color w:val="auto"/>
                <w:highlight w:val="none"/>
              </w:rPr>
              <w:t>421</w:t>
            </w:r>
            <w:r>
              <w:rPr>
                <w:rFonts w:hint="default"/>
                <w:color w:val="auto"/>
                <w:highlight w:val="none"/>
              </w:rPr>
              <w:t>；非</w:t>
            </w:r>
            <w:r>
              <w:rPr>
                <w:rFonts w:hint="default"/>
                <w:color w:val="auto"/>
                <w:spacing w:val="1"/>
                <w:highlight w:val="none"/>
              </w:rPr>
              <w:t>金属废料和碎屑加工处理</w:t>
            </w:r>
            <w:r>
              <w:rPr>
                <w:rFonts w:hint="default" w:ascii="Times New Roman" w:hAnsi="Times New Roman" w:eastAsia="Times New Roman" w:cs="Times New Roman"/>
                <w:color w:val="auto"/>
                <w:spacing w:val="1"/>
                <w:highlight w:val="none"/>
              </w:rPr>
              <w:t>422</w:t>
            </w:r>
            <w:r>
              <w:rPr>
                <w:rFonts w:hint="default"/>
                <w:color w:val="auto"/>
                <w:spacing w:val="1"/>
                <w:highlight w:val="none"/>
              </w:rPr>
              <w:t>（</w:t>
            </w:r>
            <w:r>
              <w:rPr>
                <w:rFonts w:hint="default" w:ascii="Times New Roman" w:hAnsi="Times New Roman" w:eastAsia="Times New Roman" w:cs="Times New Roman"/>
                <w:color w:val="auto"/>
                <w:spacing w:val="1"/>
                <w:highlight w:val="none"/>
              </w:rPr>
              <w:t>421</w:t>
            </w:r>
            <w:r>
              <w:rPr>
                <w:rFonts w:hint="default"/>
                <w:color w:val="auto"/>
                <w:spacing w:val="1"/>
                <w:highlight w:val="none"/>
              </w:rPr>
              <w:t>和</w:t>
            </w:r>
            <w:r>
              <w:rPr>
                <w:rFonts w:hint="default" w:ascii="Times New Roman" w:hAnsi="Times New Roman" w:eastAsia="Times New Roman" w:cs="Times New Roman"/>
                <w:color w:val="auto"/>
                <w:spacing w:val="1"/>
                <w:highlight w:val="none"/>
              </w:rPr>
              <w:t>422</w:t>
            </w:r>
            <w:r>
              <w:rPr>
                <w:rFonts w:hint="default"/>
                <w:color w:val="auto"/>
                <w:spacing w:val="1"/>
                <w:highlight w:val="none"/>
              </w:rPr>
              <w:t>均不含</w:t>
            </w:r>
            <w:r>
              <w:rPr>
                <w:rFonts w:hint="default"/>
                <w:color w:val="auto"/>
                <w:highlight w:val="none"/>
              </w:rPr>
              <w:t>原料为危险废物的，均不含仅</w:t>
            </w:r>
            <w:r>
              <w:rPr>
                <w:rFonts w:hint="default"/>
                <w:color w:val="auto"/>
                <w:spacing w:val="1"/>
                <w:highlight w:val="none"/>
              </w:rPr>
              <w:t>分拣、破碎的）</w:t>
            </w:r>
            <w:r>
              <w:rPr>
                <w:rFonts w:hint="default" w:ascii="Times New Roman" w:hAnsi="Times New Roman" w:eastAsia="Times New Roman" w:cs="Times New Roman"/>
                <w:color w:val="auto"/>
                <w:spacing w:val="1"/>
                <w:highlight w:val="none"/>
              </w:rPr>
              <w:t>-</w:t>
            </w:r>
            <w:r>
              <w:rPr>
                <w:rFonts w:hint="default"/>
                <w:color w:val="auto"/>
                <w:spacing w:val="1"/>
                <w:highlight w:val="none"/>
              </w:rPr>
              <w:t>废弃电器电子产品、废机动车、废电机、废电线电缆、废钢、</w:t>
            </w:r>
            <w:r>
              <w:rPr>
                <w:rFonts w:hint="default"/>
                <w:color w:val="auto"/>
                <w:spacing w:val="-2"/>
                <w:highlight w:val="none"/>
              </w:rPr>
              <w:t>废铁、金属和金属化合物矿灰及残渣、有色金属废料与碎屑、废塑料、废轮胎、</w:t>
            </w:r>
            <w:r>
              <w:rPr>
                <w:rFonts w:hint="default"/>
                <w:color w:val="auto"/>
                <w:spacing w:val="3"/>
                <w:highlight w:val="none"/>
              </w:rPr>
              <w:t>废船、含水洗工艺的其他废料和碎屑加工处理（农业生产</w:t>
            </w:r>
            <w:r>
              <w:rPr>
                <w:rFonts w:hint="default"/>
                <w:color w:val="auto"/>
                <w:spacing w:val="2"/>
                <w:highlight w:val="none"/>
              </w:rPr>
              <w:t>产生的废旧秧盘、薄膜破碎和清洗工艺的除外）</w:t>
            </w:r>
            <w:r>
              <w:rPr>
                <w:rFonts w:hint="eastAsia"/>
                <w:color w:val="auto"/>
                <w:spacing w:val="2"/>
                <w:highlight w:val="none"/>
                <w:lang w:eastAsia="zh-CN"/>
              </w:rPr>
              <w:t>”</w:t>
            </w:r>
            <w:r>
              <w:rPr>
                <w:rFonts w:hint="default"/>
                <w:color w:val="auto"/>
                <w:spacing w:val="2"/>
                <w:highlight w:val="none"/>
              </w:rPr>
              <w:t>中的废机动车加工处</w:t>
            </w:r>
            <w:r>
              <w:rPr>
                <w:rFonts w:hint="default"/>
                <w:color w:val="auto"/>
                <w:spacing w:val="1"/>
                <w:highlight w:val="none"/>
              </w:rPr>
              <w:t>理，需要编制</w:t>
            </w:r>
            <w:r>
              <w:rPr>
                <w:rFonts w:hint="eastAsia"/>
                <w:color w:val="auto"/>
                <w:spacing w:val="1"/>
                <w:highlight w:val="none"/>
                <w:lang w:val="en-US" w:eastAsia="zh-CN"/>
              </w:rPr>
              <w:t>生态</w:t>
            </w:r>
            <w:r>
              <w:rPr>
                <w:rFonts w:hint="default"/>
                <w:color w:val="auto"/>
                <w:spacing w:val="1"/>
                <w:highlight w:val="none"/>
              </w:rPr>
              <w:t>环境影响报告</w:t>
            </w:r>
            <w:r>
              <w:rPr>
                <w:rFonts w:hint="default"/>
                <w:color w:val="auto"/>
                <w:spacing w:val="-5"/>
                <w:highlight w:val="none"/>
              </w:rPr>
              <w:t>表。</w:t>
            </w:r>
          </w:p>
          <w:p w14:paraId="71F57F5C">
            <w:pPr>
              <w:pStyle w:val="73"/>
              <w:keepNext w:val="0"/>
              <w:keepLines w:val="0"/>
              <w:suppressLineNumbers w:val="0"/>
              <w:spacing w:before="0" w:beforeAutospacing="0" w:after="0" w:afterAutospacing="0" w:line="360" w:lineRule="auto"/>
              <w:ind w:left="0" w:right="0" w:firstLine="444" w:firstLineChars="200"/>
              <w:rPr>
                <w:rFonts w:hint="default" w:ascii="Times New Roman" w:hAnsi="Times New Roman" w:eastAsia="Times New Roman" w:cs="Times New Roman"/>
                <w:b/>
                <w:bCs/>
                <w:color w:val="auto"/>
                <w:spacing w:val="-9"/>
                <w:sz w:val="24"/>
                <w:szCs w:val="24"/>
                <w:highlight w:val="none"/>
                <w:lang w:eastAsia="zh-CN"/>
              </w:rPr>
            </w:pPr>
            <w:r>
              <w:rPr>
                <w:rFonts w:hint="default" w:ascii="Times New Roman" w:hAnsi="Times New Roman" w:eastAsia="Times New Roman" w:cs="Times New Roman"/>
                <w:b/>
                <w:bCs/>
                <w:color w:val="auto"/>
                <w:spacing w:val="-9"/>
                <w:sz w:val="24"/>
                <w:szCs w:val="24"/>
                <w:highlight w:val="none"/>
                <w:lang w:eastAsia="zh-CN"/>
              </w:rPr>
              <w:t>2</w:t>
            </w:r>
            <w:r>
              <w:rPr>
                <w:rFonts w:hint="eastAsia" w:eastAsia="Times New Roman" w:cs="Times New Roman"/>
                <w:b/>
                <w:bCs/>
                <w:color w:val="auto"/>
                <w:spacing w:val="-9"/>
                <w:sz w:val="24"/>
                <w:szCs w:val="24"/>
                <w:highlight w:val="none"/>
                <w:lang w:val="en-US" w:eastAsia="zh-CN"/>
              </w:rPr>
              <w:t xml:space="preserve"> </w:t>
            </w:r>
            <w:r>
              <w:rPr>
                <w:rFonts w:hint="default" w:ascii="Times New Roman" w:hAnsi="Times New Roman" w:eastAsia="Times New Roman" w:cs="Times New Roman"/>
                <w:b/>
                <w:bCs/>
                <w:color w:val="auto"/>
                <w:spacing w:val="-9"/>
                <w:sz w:val="24"/>
                <w:szCs w:val="24"/>
                <w:highlight w:val="none"/>
                <w:lang w:eastAsia="zh-CN"/>
              </w:rPr>
              <w:t>建设内容</w:t>
            </w:r>
          </w:p>
          <w:p w14:paraId="713FB76C">
            <w:pPr>
              <w:pStyle w:val="6"/>
              <w:keepNext w:val="0"/>
              <w:keepLines w:val="0"/>
              <w:suppressLineNumbers w:val="0"/>
              <w:spacing w:before="0" w:beforeAutospacing="0" w:after="0" w:afterAutospacing="0" w:line="360" w:lineRule="auto"/>
              <w:ind w:left="0" w:right="0" w:firstLine="504"/>
              <w:rPr>
                <w:rFonts w:hint="eastAsia" w:ascii="仿宋_GB2312" w:eastAsia="宋体" w:cs="Times New Roman"/>
                <w:color w:val="auto"/>
                <w:spacing w:val="6"/>
                <w:sz w:val="24"/>
                <w:szCs w:val="24"/>
                <w:highlight w:val="none"/>
                <w:lang w:eastAsia="zh-CN"/>
              </w:rPr>
            </w:pPr>
            <w:r>
              <w:rPr>
                <w:rFonts w:hint="eastAsia" w:ascii="仿宋_GB2312" w:cs="Times New Roman"/>
                <w:color w:val="auto"/>
                <w:spacing w:val="6"/>
                <w:sz w:val="24"/>
                <w:szCs w:val="24"/>
                <w:highlight w:val="none"/>
              </w:rPr>
              <w:t>项目名称：</w:t>
            </w:r>
            <w:r>
              <w:rPr>
                <w:rFonts w:hint="eastAsia" w:ascii="Times New Roman" w:hAnsi="Times New Roman" w:cs="Times New Roman"/>
                <w:color w:val="auto"/>
                <w:sz w:val="24"/>
                <w:highlight w:val="none"/>
                <w:lang w:val="en-US" w:eastAsia="zh-CN"/>
              </w:rPr>
              <w:t>广通智联报废车辆拆解及年产15万吨破碎料新建项目</w:t>
            </w:r>
          </w:p>
          <w:p w14:paraId="2ABD3CBF">
            <w:pPr>
              <w:pStyle w:val="6"/>
              <w:keepNext w:val="0"/>
              <w:keepLines w:val="0"/>
              <w:suppressLineNumbers w:val="0"/>
              <w:spacing w:before="0" w:beforeAutospacing="0" w:after="0" w:afterAutospacing="0" w:line="360" w:lineRule="auto"/>
              <w:ind w:left="0" w:right="0" w:firstLine="504"/>
              <w:rPr>
                <w:rFonts w:hint="eastAsia" w:ascii="仿宋_GB2312" w:cs="Times New Roman"/>
                <w:color w:val="auto"/>
                <w:spacing w:val="6"/>
                <w:sz w:val="24"/>
                <w:szCs w:val="24"/>
                <w:highlight w:val="none"/>
              </w:rPr>
            </w:pPr>
            <w:r>
              <w:rPr>
                <w:rFonts w:hint="eastAsia" w:ascii="仿宋_GB2312" w:cs="Times New Roman"/>
                <w:color w:val="auto"/>
                <w:spacing w:val="6"/>
                <w:sz w:val="24"/>
                <w:szCs w:val="24"/>
                <w:highlight w:val="none"/>
              </w:rPr>
              <w:t>建设单位：</w:t>
            </w:r>
            <w:r>
              <w:rPr>
                <w:rFonts w:hint="eastAsia" w:ascii="Times New Roman" w:hAnsi="Times New Roman" w:eastAsia="宋体" w:cs="宋体"/>
                <w:color w:val="auto"/>
                <w:spacing w:val="1"/>
                <w:sz w:val="24"/>
                <w:szCs w:val="24"/>
                <w:highlight w:val="none"/>
                <w:lang w:val="en-US" w:eastAsia="zh-CN"/>
              </w:rPr>
              <w:t>阜新市广通智联再生资源有限公司</w:t>
            </w:r>
          </w:p>
          <w:p w14:paraId="7377FCD3">
            <w:pPr>
              <w:pStyle w:val="73"/>
              <w:keepNext w:val="0"/>
              <w:keepLines w:val="0"/>
              <w:suppressLineNumbers w:val="0"/>
              <w:bidi w:val="0"/>
              <w:spacing w:before="0" w:beforeAutospacing="0" w:after="0" w:afterAutospacing="0"/>
              <w:ind w:left="0" w:right="0"/>
              <w:rPr>
                <w:rFonts w:hint="eastAsia"/>
                <w:color w:val="auto"/>
                <w:sz w:val="24"/>
                <w:szCs w:val="24"/>
                <w:highlight w:val="none"/>
              </w:rPr>
            </w:pPr>
            <w:r>
              <w:rPr>
                <w:rFonts w:hint="eastAsia"/>
                <w:color w:val="auto"/>
                <w:sz w:val="24"/>
                <w:szCs w:val="24"/>
                <w:highlight w:val="none"/>
              </w:rPr>
              <w:t>建设性质：新建</w:t>
            </w:r>
          </w:p>
          <w:p w14:paraId="01B9F5E2">
            <w:pPr>
              <w:pStyle w:val="73"/>
              <w:keepNext w:val="0"/>
              <w:keepLines w:val="0"/>
              <w:pageBreakBefore w:val="0"/>
              <w:widowControl w:val="0"/>
              <w:suppressLineNumbers w:val="0"/>
              <w:kinsoku/>
              <w:wordWrap/>
              <w:overflowPunct w:val="0"/>
              <w:topLinePunct/>
              <w:autoSpaceDE/>
              <w:autoSpaceDN w:val="0"/>
              <w:bidi w:val="0"/>
              <w:adjustRightInd/>
              <w:snapToGrid/>
              <w:spacing w:before="0" w:beforeAutospacing="0" w:after="0" w:afterAutospacing="0"/>
              <w:ind w:left="0" w:right="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olor w:val="auto"/>
                <w:highlight w:val="none"/>
                <w:lang w:val="en-US" w:eastAsia="zh-CN"/>
              </w:rPr>
              <w:t>建设地点：</w:t>
            </w:r>
            <w:r>
              <w:rPr>
                <w:rFonts w:hint="eastAsia" w:ascii="Times New Roman" w:hAnsi="Times New Roman" w:eastAsia="宋体" w:cs="Times New Roman"/>
                <w:color w:val="auto"/>
                <w:sz w:val="24"/>
                <w:highlight w:val="none"/>
              </w:rPr>
              <w:t>辽宁省阜新市高新技术产业开发区</w:t>
            </w:r>
            <w:r>
              <w:rPr>
                <w:rFonts w:hint="eastAsia" w:ascii="Times New Roman" w:hAnsi="Times New Roman" w:cs="Times New Roman"/>
                <w:color w:val="auto"/>
                <w:sz w:val="24"/>
                <w:highlight w:val="none"/>
                <w:lang w:val="en-US" w:eastAsia="zh-CN"/>
              </w:rPr>
              <w:t>华通路16号</w:t>
            </w:r>
            <w:r>
              <w:rPr>
                <w:rFonts w:hint="eastAsia" w:ascii="Times New Roman" w:hAnsi="Times New Roman" w:eastAsia="宋体" w:cs="Times New Roman"/>
                <w:color w:val="auto"/>
                <w:kern w:val="2"/>
                <w:sz w:val="24"/>
                <w:szCs w:val="24"/>
                <w:highlight w:val="none"/>
                <w:lang w:val="en-US" w:eastAsia="zh-CN" w:bidi="ar-SA"/>
              </w:rPr>
              <w:t>。</w:t>
            </w:r>
            <w:r>
              <w:rPr>
                <w:rFonts w:hint="eastAsia" w:cs="Times New Roman"/>
                <w:color w:val="auto"/>
                <w:kern w:val="2"/>
                <w:sz w:val="24"/>
                <w:szCs w:val="24"/>
                <w:highlight w:val="none"/>
                <w:lang w:val="en-US" w:eastAsia="zh-CN" w:bidi="ar-SA"/>
              </w:rPr>
              <w:t>地理坐标：</w:t>
            </w:r>
            <w:r>
              <w:rPr>
                <w:rFonts w:hint="default" w:ascii="Times New Roman" w:hAnsi="Times New Roman" w:eastAsia="宋体" w:cs="Times New Roman"/>
                <w:color w:val="auto"/>
                <w:kern w:val="2"/>
                <w:sz w:val="24"/>
                <w:szCs w:val="24"/>
                <w:highlight w:val="none"/>
                <w:lang w:val="en-US" w:eastAsia="zh-CN" w:bidi="ar-SA"/>
              </w:rPr>
              <w:t>东经121°35′11.726″，北纬42°1′3.298″</w:t>
            </w:r>
            <w:r>
              <w:rPr>
                <w:rFonts w:hint="eastAsia" w:ascii="Times New Roman" w:hAnsi="Times New Roman" w:eastAsia="宋体" w:cs="Times New Roman"/>
                <w:color w:val="auto"/>
                <w:kern w:val="2"/>
                <w:sz w:val="24"/>
                <w:szCs w:val="24"/>
                <w:highlight w:val="none"/>
                <w:lang w:val="en-US" w:eastAsia="zh-CN" w:bidi="ar-SA"/>
              </w:rPr>
              <w:t>。</w:t>
            </w:r>
            <w:r>
              <w:rPr>
                <w:rFonts w:hint="eastAsia" w:cs="Times New Roman"/>
                <w:color w:val="auto"/>
                <w:kern w:val="2"/>
                <w:sz w:val="24"/>
                <w:szCs w:val="24"/>
                <w:highlight w:val="none"/>
                <w:lang w:val="en-US" w:eastAsia="zh-CN" w:bidi="ar-SA"/>
              </w:rPr>
              <w:t>项目</w:t>
            </w:r>
            <w:r>
              <w:rPr>
                <w:rFonts w:hint="default" w:ascii="Times New Roman" w:hAnsi="Times New Roman" w:eastAsia="宋体" w:cs="宋体"/>
                <w:color w:val="auto"/>
                <w:spacing w:val="1"/>
                <w:sz w:val="24"/>
                <w:szCs w:val="24"/>
                <w:highlight w:val="none"/>
                <w:lang w:val="en-US" w:eastAsia="zh-CN"/>
              </w:rPr>
              <w:t>厂区东侧为阜新市万达铸业有限公司；</w:t>
            </w:r>
            <w:r>
              <w:rPr>
                <w:rFonts w:hint="eastAsia" w:cs="宋体"/>
                <w:color w:val="auto"/>
                <w:spacing w:val="1"/>
                <w:sz w:val="24"/>
                <w:szCs w:val="24"/>
                <w:highlight w:val="none"/>
                <w:lang w:val="en-US" w:eastAsia="zh-CN"/>
              </w:rPr>
              <w:t>南侧为辽宁梓睿食品科技有限公司；</w:t>
            </w:r>
            <w:r>
              <w:rPr>
                <w:rFonts w:hint="default" w:ascii="Times New Roman" w:hAnsi="Times New Roman" w:eastAsia="宋体" w:cs="宋体"/>
                <w:color w:val="auto"/>
                <w:spacing w:val="1"/>
                <w:sz w:val="24"/>
                <w:szCs w:val="24"/>
                <w:highlight w:val="none"/>
                <w:lang w:val="en-US" w:eastAsia="zh-CN"/>
              </w:rPr>
              <w:t>西侧为</w:t>
            </w:r>
            <w:r>
              <w:rPr>
                <w:rFonts w:hint="eastAsia" w:cs="宋体"/>
                <w:color w:val="auto"/>
                <w:spacing w:val="1"/>
                <w:sz w:val="24"/>
                <w:szCs w:val="24"/>
                <w:highlight w:val="none"/>
                <w:lang w:val="en-US" w:eastAsia="zh-CN"/>
              </w:rPr>
              <w:t>玉龙路</w:t>
            </w:r>
            <w:r>
              <w:rPr>
                <w:rFonts w:hint="default" w:ascii="Times New Roman" w:hAnsi="Times New Roman" w:eastAsia="宋体" w:cs="宋体"/>
                <w:color w:val="auto"/>
                <w:spacing w:val="1"/>
                <w:sz w:val="24"/>
                <w:szCs w:val="24"/>
                <w:highlight w:val="none"/>
                <w:lang w:val="en-US" w:eastAsia="zh-CN"/>
              </w:rPr>
              <w:t>；西南侧为中国石油CNG加气站</w:t>
            </w:r>
            <w:r>
              <w:rPr>
                <w:rFonts w:hint="eastAsia" w:cs="宋体"/>
                <w:color w:val="auto"/>
                <w:spacing w:val="1"/>
                <w:sz w:val="24"/>
                <w:szCs w:val="24"/>
                <w:highlight w:val="none"/>
                <w:lang w:val="en-US" w:eastAsia="zh-CN"/>
              </w:rPr>
              <w:t>（</w:t>
            </w:r>
            <w:r>
              <w:rPr>
                <w:rFonts w:hint="default" w:ascii="Times New Roman" w:hAnsi="Times New Roman" w:eastAsia="宋体" w:cs="宋体"/>
                <w:color w:val="auto"/>
                <w:spacing w:val="1"/>
                <w:sz w:val="24"/>
                <w:szCs w:val="24"/>
                <w:highlight w:val="none"/>
                <w:lang w:val="en-US" w:eastAsia="zh-CN"/>
              </w:rPr>
              <w:t>玉龙路站</w:t>
            </w:r>
            <w:r>
              <w:rPr>
                <w:rFonts w:hint="eastAsia" w:cs="宋体"/>
                <w:color w:val="auto"/>
                <w:spacing w:val="1"/>
                <w:sz w:val="24"/>
                <w:szCs w:val="24"/>
                <w:highlight w:val="none"/>
                <w:lang w:val="en-US" w:eastAsia="zh-CN"/>
              </w:rPr>
              <w:t>）</w:t>
            </w:r>
            <w:r>
              <w:rPr>
                <w:rFonts w:hint="default" w:ascii="Times New Roman" w:hAnsi="Times New Roman" w:eastAsia="宋体" w:cs="宋体"/>
                <w:color w:val="auto"/>
                <w:spacing w:val="1"/>
                <w:sz w:val="24"/>
                <w:szCs w:val="24"/>
                <w:highlight w:val="none"/>
                <w:lang w:val="en-US" w:eastAsia="zh-CN"/>
              </w:rPr>
              <w:t>；北侧为</w:t>
            </w:r>
            <w:r>
              <w:rPr>
                <w:rFonts w:hint="eastAsia" w:cs="宋体"/>
                <w:color w:val="auto"/>
                <w:spacing w:val="1"/>
                <w:sz w:val="24"/>
                <w:szCs w:val="24"/>
                <w:highlight w:val="none"/>
                <w:lang w:val="en-US" w:eastAsia="zh-CN"/>
              </w:rPr>
              <w:t>阜新华通管道有限公司</w:t>
            </w:r>
            <w:r>
              <w:rPr>
                <w:rFonts w:hint="default" w:ascii="Times New Roman" w:hAnsi="Times New Roman" w:eastAsia="宋体" w:cs="宋体"/>
                <w:color w:val="auto"/>
                <w:spacing w:val="1"/>
                <w:sz w:val="24"/>
                <w:szCs w:val="24"/>
                <w:highlight w:val="none"/>
                <w:lang w:val="en-US" w:eastAsia="zh-CN"/>
              </w:rPr>
              <w:t>。</w:t>
            </w:r>
          </w:p>
          <w:p w14:paraId="50639FEE">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504"/>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建设内容：项目</w:t>
            </w:r>
            <w:r>
              <w:rPr>
                <w:rFonts w:hint="eastAsia" w:cs="Times New Roman"/>
                <w:color w:val="auto"/>
                <w:kern w:val="2"/>
                <w:sz w:val="24"/>
                <w:szCs w:val="24"/>
                <w:highlight w:val="none"/>
                <w:lang w:val="en-US" w:eastAsia="zh-CN" w:bidi="ar-SA"/>
              </w:rPr>
              <w:t>生产车间</w:t>
            </w:r>
            <w:r>
              <w:rPr>
                <w:rFonts w:hint="eastAsia" w:ascii="Times New Roman" w:hAnsi="Times New Roman" w:eastAsia="宋体" w:cs="Times New Roman"/>
                <w:color w:val="auto"/>
                <w:kern w:val="2"/>
                <w:sz w:val="24"/>
                <w:szCs w:val="24"/>
                <w:highlight w:val="none"/>
                <w:lang w:val="en-US" w:eastAsia="zh-CN" w:bidi="ar-SA"/>
              </w:rPr>
              <w:t>建筑面积12827.1平方米，主要利用现有厂区及生产车间，安装传统燃油车拆解设备、新能源汽车拆解设备、</w:t>
            </w:r>
            <w:r>
              <w:rPr>
                <w:rFonts w:hint="eastAsia"/>
                <w:color w:val="auto"/>
                <w:spacing w:val="2"/>
                <w:sz w:val="24"/>
                <w:szCs w:val="24"/>
                <w:highlight w:val="none"/>
                <w:lang w:val="en-US" w:eastAsia="zh-CN"/>
              </w:rPr>
              <w:t>废钢加工设备以及</w:t>
            </w:r>
            <w:r>
              <w:rPr>
                <w:rFonts w:hint="default"/>
                <w:color w:val="auto"/>
                <w:spacing w:val="2"/>
                <w:sz w:val="24"/>
                <w:szCs w:val="24"/>
                <w:highlight w:val="none"/>
              </w:rPr>
              <w:t>环保设备等，年拆解机动车</w:t>
            </w:r>
            <w:r>
              <w:rPr>
                <w:rFonts w:hint="eastAsia"/>
                <w:color w:val="auto"/>
                <w:spacing w:val="-29"/>
                <w:sz w:val="24"/>
                <w:szCs w:val="24"/>
                <w:highlight w:val="none"/>
                <w:lang w:val="en-US" w:eastAsia="zh-CN"/>
              </w:rPr>
              <w:t>10000</w:t>
            </w:r>
            <w:r>
              <w:rPr>
                <w:rFonts w:hint="default"/>
                <w:color w:val="auto"/>
                <w:spacing w:val="1"/>
                <w:sz w:val="24"/>
                <w:szCs w:val="24"/>
                <w:highlight w:val="none"/>
              </w:rPr>
              <w:t>辆</w:t>
            </w:r>
            <w:r>
              <w:rPr>
                <w:rFonts w:hint="default" w:ascii="Times New Roman" w:hAnsi="Times New Roman" w:eastAsia="Times New Roman" w:cs="Times New Roman"/>
                <w:color w:val="auto"/>
                <w:spacing w:val="1"/>
                <w:sz w:val="24"/>
                <w:szCs w:val="24"/>
                <w:highlight w:val="none"/>
              </w:rPr>
              <w:t>/</w:t>
            </w:r>
            <w:r>
              <w:rPr>
                <w:rFonts w:hint="default"/>
                <w:color w:val="auto"/>
                <w:spacing w:val="1"/>
                <w:sz w:val="24"/>
                <w:szCs w:val="24"/>
                <w:highlight w:val="none"/>
              </w:rPr>
              <w:t>年（</w:t>
            </w:r>
            <w:r>
              <w:rPr>
                <w:rFonts w:hint="default" w:ascii="Times New Roman" w:hAnsi="Times New Roman" w:eastAsia="宋体" w:cs="Times New Roman"/>
                <w:color w:val="auto"/>
                <w:kern w:val="2"/>
                <w:sz w:val="24"/>
                <w:szCs w:val="24"/>
                <w:highlight w:val="none"/>
                <w:lang w:val="en-US" w:eastAsia="zh-CN" w:bidi="ar-SA"/>
              </w:rPr>
              <w:t>其中报废新能源汽车</w:t>
            </w:r>
            <w:r>
              <w:rPr>
                <w:rFonts w:hint="eastAsia" w:cs="Times New Roman"/>
                <w:color w:val="auto"/>
                <w:kern w:val="2"/>
                <w:sz w:val="24"/>
                <w:szCs w:val="24"/>
                <w:highlight w:val="none"/>
                <w:lang w:val="en-US" w:eastAsia="zh-CN" w:bidi="ar-SA"/>
              </w:rPr>
              <w:t>3000</w:t>
            </w:r>
            <w:r>
              <w:rPr>
                <w:rFonts w:hint="default" w:ascii="Times New Roman" w:hAnsi="Times New Roman" w:eastAsia="宋体" w:cs="Times New Roman"/>
                <w:color w:val="auto"/>
                <w:kern w:val="2"/>
                <w:sz w:val="24"/>
                <w:szCs w:val="24"/>
                <w:highlight w:val="none"/>
                <w:lang w:val="en-US" w:eastAsia="zh-CN" w:bidi="ar-SA"/>
              </w:rPr>
              <w:t>辆/年、报废传统燃油车5000辆/年</w:t>
            </w:r>
            <w:r>
              <w:rPr>
                <w:rFonts w:hint="eastAsia" w:cs="Times New Roman"/>
                <w:color w:val="auto"/>
                <w:kern w:val="2"/>
                <w:sz w:val="24"/>
                <w:szCs w:val="24"/>
                <w:highlight w:val="none"/>
                <w:lang w:val="en-US" w:eastAsia="zh-CN" w:bidi="ar-SA"/>
              </w:rPr>
              <w:t>、报废农机2000辆</w:t>
            </w:r>
            <w:r>
              <w:rPr>
                <w:rFonts w:hint="default"/>
                <w:color w:val="auto"/>
                <w:spacing w:val="-1"/>
                <w:sz w:val="24"/>
                <w:szCs w:val="24"/>
                <w:highlight w:val="none"/>
              </w:rPr>
              <w:t>）</w:t>
            </w:r>
            <w:r>
              <w:rPr>
                <w:rFonts w:hint="eastAsia"/>
                <w:color w:val="auto"/>
                <w:spacing w:val="-1"/>
                <w:sz w:val="24"/>
                <w:szCs w:val="24"/>
                <w:highlight w:val="none"/>
                <w:lang w:eastAsia="zh-CN"/>
              </w:rPr>
              <w:t>，</w:t>
            </w:r>
            <w:r>
              <w:rPr>
                <w:rFonts w:hint="eastAsia"/>
                <w:color w:val="auto"/>
                <w:spacing w:val="-1"/>
                <w:sz w:val="24"/>
                <w:szCs w:val="24"/>
                <w:highlight w:val="none"/>
                <w:lang w:val="en-US" w:eastAsia="zh-CN"/>
              </w:rPr>
              <w:t>年加工废钢15万吨/年</w:t>
            </w:r>
            <w:r>
              <w:rPr>
                <w:rFonts w:hint="default"/>
                <w:color w:val="auto"/>
                <w:spacing w:val="-1"/>
                <w:sz w:val="24"/>
                <w:szCs w:val="24"/>
                <w:highlight w:val="none"/>
              </w:rPr>
              <w:t>。</w:t>
            </w:r>
          </w:p>
          <w:p w14:paraId="6A259E9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6"/>
              <w:jc w:val="left"/>
              <w:textAlignment w:val="auto"/>
              <w:rPr>
                <w:rFonts w:hint="default"/>
                <w:color w:val="auto"/>
                <w:spacing w:val="-2"/>
                <w:sz w:val="24"/>
                <w:szCs w:val="24"/>
                <w:highlight w:val="none"/>
                <w:lang w:eastAsia="zh-CN"/>
              </w:rPr>
            </w:pPr>
            <w:r>
              <w:rPr>
                <w:rFonts w:hint="default"/>
                <w:color w:val="auto"/>
                <w:spacing w:val="-2"/>
                <w:sz w:val="24"/>
                <w:szCs w:val="24"/>
                <w:highlight w:val="none"/>
                <w:lang w:eastAsia="zh-CN"/>
              </w:rPr>
              <w:t>本项目工程组成见下表。</w:t>
            </w:r>
          </w:p>
          <w:p w14:paraId="531E21C6">
            <w:pPr>
              <w:keepNext w:val="0"/>
              <w:keepLines w:val="0"/>
              <w:suppressLineNumbers w:val="0"/>
              <w:adjustRightInd w:val="0"/>
              <w:snapToGrid w:val="0"/>
              <w:spacing w:before="0" w:beforeAutospacing="0" w:after="0" w:afterAutospacing="0" w:line="360" w:lineRule="auto"/>
              <w:ind w:left="0" w:right="0"/>
              <w:jc w:val="center"/>
              <w:rPr>
                <w:rFonts w:hint="default" w:ascii="Times New Roman" w:hAnsi="Times New Roman" w:cs="Times New Roman"/>
                <w:b/>
                <w:bCs/>
                <w:color w:val="auto"/>
                <w:highlight w:val="none"/>
              </w:rPr>
            </w:pPr>
            <w:r>
              <w:rPr>
                <w:rFonts w:hint="eastAsia" w:ascii="Times New Roman" w:hAnsi="Times New Roman" w:cs="Times New Roman"/>
                <w:b/>
                <w:bCs/>
                <w:color w:val="auto"/>
                <w:highlight w:val="none"/>
              </w:rPr>
              <w:t>表2-1</w:t>
            </w:r>
            <w:r>
              <w:rPr>
                <w:rFonts w:hint="default" w:ascii="Times New Roman" w:hAnsi="Times New Roman" w:cs="Times New Roman"/>
                <w:b/>
                <w:bCs/>
                <w:color w:val="auto"/>
                <w:highlight w:val="none"/>
              </w:rPr>
              <w:t>主要建设内容一览表</w:t>
            </w:r>
          </w:p>
          <w:tbl>
            <w:tblPr>
              <w:tblStyle w:val="26"/>
              <w:tblW w:w="4997" w:type="pct"/>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0" w:type="dxa"/>
                <w:bottom w:w="0" w:type="dxa"/>
                <w:right w:w="0" w:type="dxa"/>
              </w:tblCellMar>
            </w:tblPr>
            <w:tblGrid>
              <w:gridCol w:w="980"/>
              <w:gridCol w:w="906"/>
              <w:gridCol w:w="5674"/>
              <w:gridCol w:w="1567"/>
            </w:tblGrid>
            <w:tr w14:paraId="1E41693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04" w:hRule="atLeast"/>
              </w:trPr>
              <w:tc>
                <w:tcPr>
                  <w:tcW w:w="537" w:type="pct"/>
                  <w:tcBorders>
                    <w:tl2br w:val="nil"/>
                    <w:tr2bl w:val="nil"/>
                  </w:tcBorders>
                  <w:noWrap w:val="0"/>
                  <w:vAlign w:val="center"/>
                </w:tcPr>
                <w:p w14:paraId="3133555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z w:val="21"/>
                      <w:szCs w:val="21"/>
                      <w:highlight w:val="none"/>
                      <w:lang w:eastAsia="zh-CN"/>
                    </w:rPr>
                  </w:pPr>
                  <w:r>
                    <w:rPr>
                      <w:rFonts w:hint="eastAsia"/>
                      <w:color w:val="auto"/>
                      <w:sz w:val="21"/>
                      <w:szCs w:val="21"/>
                      <w:highlight w:val="none"/>
                      <w:lang w:eastAsia="zh-CN"/>
                    </w:rPr>
                    <w:t>项目组成</w:t>
                  </w:r>
                </w:p>
              </w:tc>
              <w:tc>
                <w:tcPr>
                  <w:tcW w:w="3603" w:type="pct"/>
                  <w:gridSpan w:val="2"/>
                  <w:tcBorders>
                    <w:tl2br w:val="nil"/>
                    <w:tr2bl w:val="nil"/>
                  </w:tcBorders>
                  <w:noWrap w:val="0"/>
                  <w:vAlign w:val="center"/>
                </w:tcPr>
                <w:p w14:paraId="47936D8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lang w:eastAsia="zh-CN"/>
                    </w:rPr>
                  </w:pPr>
                  <w:r>
                    <w:rPr>
                      <w:rFonts w:hint="eastAsia"/>
                      <w:color w:val="auto"/>
                      <w:sz w:val="21"/>
                      <w:szCs w:val="21"/>
                      <w:highlight w:val="none"/>
                      <w:lang w:eastAsia="zh-CN"/>
                    </w:rPr>
                    <w:t>工程内容及规模</w:t>
                  </w:r>
                </w:p>
              </w:tc>
              <w:tc>
                <w:tcPr>
                  <w:tcW w:w="858" w:type="pct"/>
                  <w:tcBorders>
                    <w:tl2br w:val="nil"/>
                    <w:tr2bl w:val="nil"/>
                  </w:tcBorders>
                  <w:noWrap w:val="0"/>
                  <w:vAlign w:val="center"/>
                </w:tcPr>
                <w:p w14:paraId="6235A44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备注</w:t>
                  </w:r>
                </w:p>
              </w:tc>
            </w:tr>
            <w:tr w14:paraId="306117B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69" w:hRule="atLeast"/>
              </w:trPr>
              <w:tc>
                <w:tcPr>
                  <w:tcW w:w="537" w:type="pct"/>
                  <w:tcBorders>
                    <w:tl2br w:val="nil"/>
                    <w:tr2bl w:val="nil"/>
                  </w:tcBorders>
                  <w:noWrap w:val="0"/>
                  <w:vAlign w:val="center"/>
                </w:tcPr>
                <w:p w14:paraId="32774AB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3"/>
                      <w:sz w:val="21"/>
                      <w:szCs w:val="21"/>
                      <w:highlight w:val="none"/>
                    </w:rPr>
                    <w:t>主体工程</w:t>
                  </w:r>
                </w:p>
              </w:tc>
              <w:tc>
                <w:tcPr>
                  <w:tcW w:w="496" w:type="pct"/>
                  <w:tcBorders>
                    <w:tl2br w:val="nil"/>
                    <w:tr2bl w:val="nil"/>
                  </w:tcBorders>
                  <w:noWrap w:val="0"/>
                  <w:vAlign w:val="center"/>
                </w:tcPr>
                <w:p w14:paraId="2543F3B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生产车间</w:t>
                  </w:r>
                </w:p>
              </w:tc>
              <w:tc>
                <w:tcPr>
                  <w:tcW w:w="3107" w:type="pct"/>
                  <w:tcBorders>
                    <w:tl2br w:val="nil"/>
                    <w:tr2bl w:val="nil"/>
                  </w:tcBorders>
                  <w:noWrap w:val="0"/>
                  <w:vAlign w:val="center"/>
                </w:tcPr>
                <w:p w14:paraId="4DC5AF33">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Times New Roman" w:cs="Times New Roman"/>
                      <w:color w:val="auto"/>
                      <w:spacing w:val="5"/>
                      <w:sz w:val="21"/>
                      <w:szCs w:val="21"/>
                      <w:highlight w:val="none"/>
                    </w:rPr>
                    <w:t>1</w:t>
                  </w:r>
                  <w:r>
                    <w:rPr>
                      <w:rFonts w:hint="default"/>
                      <w:color w:val="auto"/>
                      <w:spacing w:val="5"/>
                      <w:sz w:val="21"/>
                      <w:szCs w:val="21"/>
                      <w:highlight w:val="none"/>
                    </w:rPr>
                    <w:t>层，钢结构，建筑面积</w:t>
                  </w:r>
                  <w:r>
                    <w:rPr>
                      <w:rFonts w:hint="eastAsia" w:ascii="Times New Roman" w:hAnsi="Times New Roman" w:eastAsia="宋体" w:cs="Times New Roman"/>
                      <w:color w:val="auto"/>
                      <w:kern w:val="2"/>
                      <w:sz w:val="21"/>
                      <w:szCs w:val="21"/>
                      <w:highlight w:val="none"/>
                      <w:lang w:val="en-US" w:eastAsia="zh-CN" w:bidi="ar-SA"/>
                    </w:rPr>
                    <w:t>12827.1</w:t>
                  </w:r>
                  <w:r>
                    <w:rPr>
                      <w:rFonts w:hint="default" w:ascii="Times New Roman" w:hAnsi="Times New Roman" w:eastAsia="Times New Roman" w:cs="Times New Roman"/>
                      <w:color w:val="auto"/>
                      <w:spacing w:val="5"/>
                      <w:sz w:val="21"/>
                      <w:szCs w:val="21"/>
                      <w:highlight w:val="none"/>
                    </w:rPr>
                    <w:t>m</w:t>
                  </w:r>
                  <w:r>
                    <w:rPr>
                      <w:rFonts w:hint="eastAsia" w:ascii="Times New Roman" w:hAnsi="Times New Roman" w:eastAsia="宋体" w:cs="Times New Roman"/>
                      <w:color w:val="auto"/>
                      <w:spacing w:val="5"/>
                      <w:sz w:val="21"/>
                      <w:szCs w:val="21"/>
                      <w:highlight w:val="none"/>
                      <w:vertAlign w:val="superscript"/>
                      <w:lang w:val="en-US" w:eastAsia="zh-CN"/>
                    </w:rPr>
                    <w:t>2</w:t>
                  </w:r>
                  <w:r>
                    <w:rPr>
                      <w:rFonts w:hint="default"/>
                      <w:color w:val="auto"/>
                      <w:spacing w:val="5"/>
                      <w:sz w:val="21"/>
                      <w:szCs w:val="21"/>
                      <w:highlight w:val="none"/>
                    </w:rPr>
                    <w:t>，</w:t>
                  </w:r>
                  <w:r>
                    <w:rPr>
                      <w:rFonts w:hint="eastAsia"/>
                      <w:color w:val="auto"/>
                      <w:spacing w:val="5"/>
                      <w:sz w:val="21"/>
                      <w:szCs w:val="21"/>
                      <w:highlight w:val="none"/>
                      <w:lang w:val="en-US" w:eastAsia="zh-CN"/>
                    </w:rPr>
                    <w:t>生产车间内</w:t>
                  </w:r>
                  <w:r>
                    <w:rPr>
                      <w:rFonts w:hint="default"/>
                      <w:color w:val="auto"/>
                      <w:spacing w:val="5"/>
                      <w:sz w:val="21"/>
                      <w:szCs w:val="21"/>
                      <w:highlight w:val="none"/>
                    </w:rPr>
                    <w:t>包括</w:t>
                  </w:r>
                  <w:r>
                    <w:rPr>
                      <w:rFonts w:hint="eastAsia"/>
                      <w:color w:val="auto"/>
                      <w:spacing w:val="5"/>
                      <w:sz w:val="21"/>
                      <w:szCs w:val="21"/>
                      <w:highlight w:val="none"/>
                      <w:lang w:val="en-US" w:eastAsia="zh-CN"/>
                    </w:rPr>
                    <w:t>查验区、预处理区、存储区、废钢加工区、危废贮存库</w:t>
                  </w:r>
                  <w:r>
                    <w:rPr>
                      <w:rFonts w:hint="default"/>
                      <w:color w:val="auto"/>
                      <w:spacing w:val="10"/>
                      <w:sz w:val="21"/>
                      <w:szCs w:val="21"/>
                      <w:highlight w:val="none"/>
                    </w:rPr>
                    <w:t>等</w:t>
                  </w:r>
                  <w:r>
                    <w:rPr>
                      <w:rFonts w:hint="eastAsia"/>
                      <w:color w:val="auto"/>
                      <w:spacing w:val="10"/>
                      <w:sz w:val="21"/>
                      <w:szCs w:val="21"/>
                      <w:highlight w:val="none"/>
                      <w:lang w:val="en-US" w:eastAsia="zh-CN"/>
                    </w:rPr>
                    <w:t>功能分区</w:t>
                  </w:r>
                  <w:r>
                    <w:rPr>
                      <w:rFonts w:hint="default"/>
                      <w:color w:val="auto"/>
                      <w:spacing w:val="10"/>
                      <w:sz w:val="21"/>
                      <w:szCs w:val="21"/>
                      <w:highlight w:val="none"/>
                    </w:rPr>
                    <w:t>。</w:t>
                  </w:r>
                  <w:r>
                    <w:rPr>
                      <w:rFonts w:hint="eastAsia"/>
                      <w:color w:val="auto"/>
                      <w:spacing w:val="10"/>
                      <w:sz w:val="21"/>
                      <w:szCs w:val="21"/>
                      <w:highlight w:val="none"/>
                      <w:lang w:val="en-US" w:eastAsia="zh-CN"/>
                    </w:rPr>
                    <w:t>生产</w:t>
                  </w:r>
                  <w:r>
                    <w:rPr>
                      <w:rFonts w:hint="default"/>
                      <w:color w:val="auto"/>
                      <w:spacing w:val="10"/>
                      <w:sz w:val="21"/>
                      <w:szCs w:val="21"/>
                      <w:highlight w:val="none"/>
                    </w:rPr>
                    <w:t>车间地面防渗设计需满足《报废机动车拆解</w:t>
                  </w:r>
                  <w:r>
                    <w:rPr>
                      <w:rFonts w:hint="default"/>
                      <w:color w:val="auto"/>
                      <w:spacing w:val="9"/>
                      <w:sz w:val="21"/>
                      <w:szCs w:val="21"/>
                      <w:highlight w:val="none"/>
                    </w:rPr>
                    <w:t>企业污染控制技术规范》（</w:t>
                  </w:r>
                  <w:r>
                    <w:rPr>
                      <w:rFonts w:hint="default" w:ascii="Times New Roman" w:hAnsi="Times New Roman" w:eastAsia="Times New Roman" w:cs="Times New Roman"/>
                      <w:color w:val="auto"/>
                      <w:sz w:val="21"/>
                      <w:szCs w:val="21"/>
                      <w:highlight w:val="none"/>
                    </w:rPr>
                    <w:t>HJ</w:t>
                  </w:r>
                  <w:r>
                    <w:rPr>
                      <w:rFonts w:hint="default" w:ascii="Times New Roman" w:hAnsi="Times New Roman" w:eastAsia="Times New Roman" w:cs="Times New Roman"/>
                      <w:color w:val="auto"/>
                      <w:spacing w:val="9"/>
                      <w:sz w:val="21"/>
                      <w:szCs w:val="21"/>
                      <w:highlight w:val="none"/>
                    </w:rPr>
                    <w:t>348-2022</w:t>
                  </w:r>
                  <w:r>
                    <w:rPr>
                      <w:rFonts w:hint="default"/>
                      <w:color w:val="auto"/>
                      <w:spacing w:val="9"/>
                      <w:sz w:val="21"/>
                      <w:szCs w:val="21"/>
                      <w:highlight w:val="none"/>
                    </w:rPr>
                    <w:t>）中相关要求。</w:t>
                  </w:r>
                </w:p>
              </w:tc>
              <w:tc>
                <w:tcPr>
                  <w:tcW w:w="858" w:type="pct"/>
                  <w:tcBorders>
                    <w:tl2br w:val="nil"/>
                    <w:tr2bl w:val="nil"/>
                  </w:tcBorders>
                  <w:noWrap w:val="0"/>
                  <w:vAlign w:val="center"/>
                </w:tcPr>
                <w:p w14:paraId="1ECE6624">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5"/>
                      <w:sz w:val="21"/>
                      <w:szCs w:val="21"/>
                      <w:highlight w:val="none"/>
                      <w:lang w:val="en-US" w:eastAsia="zh-CN"/>
                    </w:rPr>
                  </w:pPr>
                  <w:r>
                    <w:rPr>
                      <w:rFonts w:hint="eastAsia" w:cs="Times New Roman"/>
                      <w:color w:val="auto"/>
                      <w:spacing w:val="5"/>
                      <w:sz w:val="21"/>
                      <w:szCs w:val="21"/>
                      <w:highlight w:val="none"/>
                      <w:lang w:val="en-US" w:eastAsia="zh-CN"/>
                    </w:rPr>
                    <w:t>生产车间</w:t>
                  </w:r>
                  <w:r>
                    <w:rPr>
                      <w:rFonts w:hint="eastAsia" w:eastAsia="宋体" w:cs="Times New Roman"/>
                      <w:color w:val="auto"/>
                      <w:spacing w:val="5"/>
                      <w:sz w:val="21"/>
                      <w:szCs w:val="21"/>
                      <w:highlight w:val="none"/>
                      <w:lang w:val="en-US" w:eastAsia="zh-CN"/>
                    </w:rPr>
                    <w:t>依托</w:t>
                  </w:r>
                  <w:r>
                    <w:rPr>
                      <w:rFonts w:hint="eastAsia" w:cs="Times New Roman"/>
                      <w:color w:val="auto"/>
                      <w:spacing w:val="5"/>
                      <w:sz w:val="21"/>
                      <w:szCs w:val="21"/>
                      <w:highlight w:val="none"/>
                      <w:lang w:val="en-US" w:eastAsia="zh-CN"/>
                    </w:rPr>
                    <w:t>，车间内各功能分区及生产设备、环保设备为新建</w:t>
                  </w:r>
                </w:p>
              </w:tc>
            </w:tr>
            <w:tr w14:paraId="7F60BE4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537" w:type="pct"/>
                  <w:vMerge w:val="restart"/>
                  <w:tcBorders>
                    <w:tl2br w:val="nil"/>
                    <w:tr2bl w:val="nil"/>
                  </w:tcBorders>
                  <w:noWrap w:val="0"/>
                  <w:vAlign w:val="center"/>
                </w:tcPr>
                <w:p w14:paraId="68552DE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3"/>
                      <w:sz w:val="21"/>
                      <w:szCs w:val="21"/>
                      <w:highlight w:val="none"/>
                    </w:rPr>
                    <w:t>辅助工程</w:t>
                  </w:r>
                </w:p>
              </w:tc>
              <w:tc>
                <w:tcPr>
                  <w:tcW w:w="496" w:type="pct"/>
                  <w:tcBorders>
                    <w:tl2br w:val="nil"/>
                    <w:tr2bl w:val="nil"/>
                  </w:tcBorders>
                  <w:noWrap w:val="0"/>
                  <w:vAlign w:val="center"/>
                </w:tcPr>
                <w:p w14:paraId="6C913C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eastAsia"/>
                      <w:color w:val="auto"/>
                      <w:spacing w:val="5"/>
                      <w:sz w:val="21"/>
                      <w:szCs w:val="21"/>
                      <w:highlight w:val="none"/>
                      <w:lang w:val="en-US" w:eastAsia="zh-CN"/>
                    </w:rPr>
                    <w:t>北门门卫、</w:t>
                  </w:r>
                  <w:r>
                    <w:rPr>
                      <w:rFonts w:hint="default"/>
                      <w:color w:val="auto"/>
                      <w:spacing w:val="5"/>
                      <w:sz w:val="21"/>
                      <w:szCs w:val="21"/>
                      <w:highlight w:val="none"/>
                    </w:rPr>
                    <w:t>办公区</w:t>
                  </w:r>
                </w:p>
              </w:tc>
              <w:tc>
                <w:tcPr>
                  <w:tcW w:w="3107" w:type="pct"/>
                  <w:tcBorders>
                    <w:tl2br w:val="nil"/>
                    <w:tr2bl w:val="nil"/>
                  </w:tcBorders>
                  <w:noWrap w:val="0"/>
                  <w:vAlign w:val="center"/>
                </w:tcPr>
                <w:p w14:paraId="135127C0">
                  <w:pPr>
                    <w:pStyle w:val="7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vertAlign w:val="baseline"/>
                      <w:lang w:val="en-US" w:eastAsia="zh-CN"/>
                    </w:rPr>
                  </w:pPr>
                  <w:r>
                    <w:rPr>
                      <w:rFonts w:hint="eastAsia"/>
                      <w:color w:val="auto"/>
                      <w:sz w:val="21"/>
                      <w:szCs w:val="21"/>
                      <w:highlight w:val="none"/>
                      <w:lang w:val="en-US" w:eastAsia="zh-CN"/>
                    </w:rPr>
                    <w:t>办公楼3层，</w:t>
                  </w:r>
                  <w:r>
                    <w:rPr>
                      <w:rFonts w:hint="default"/>
                      <w:color w:val="auto"/>
                      <w:spacing w:val="8"/>
                      <w:sz w:val="21"/>
                      <w:szCs w:val="21"/>
                      <w:highlight w:val="none"/>
                    </w:rPr>
                    <w:t>砖混结构，</w:t>
                  </w:r>
                  <w:r>
                    <w:rPr>
                      <w:rFonts w:hint="eastAsia"/>
                      <w:color w:val="auto"/>
                      <w:spacing w:val="8"/>
                      <w:sz w:val="21"/>
                      <w:szCs w:val="21"/>
                      <w:highlight w:val="none"/>
                      <w:lang w:val="en-US" w:eastAsia="zh-CN"/>
                    </w:rPr>
                    <w:t>占地面积约720</w:t>
                  </w:r>
                  <w:r>
                    <w:rPr>
                      <w:rFonts w:hint="default" w:ascii="Times New Roman" w:hAnsi="Times New Roman" w:eastAsia="Times New Roman" w:cs="Times New Roman"/>
                      <w:color w:val="auto"/>
                      <w:spacing w:val="5"/>
                      <w:sz w:val="21"/>
                      <w:szCs w:val="21"/>
                      <w:highlight w:val="none"/>
                    </w:rPr>
                    <w:t>m</w:t>
                  </w:r>
                  <w:r>
                    <w:rPr>
                      <w:rFonts w:hint="eastAsia" w:ascii="Times New Roman" w:hAnsi="Times New Roman" w:eastAsia="宋体" w:cs="Times New Roman"/>
                      <w:color w:val="auto"/>
                      <w:spacing w:val="5"/>
                      <w:sz w:val="21"/>
                      <w:szCs w:val="21"/>
                      <w:highlight w:val="none"/>
                      <w:vertAlign w:val="superscript"/>
                      <w:lang w:val="en-US" w:eastAsia="zh-CN"/>
                    </w:rPr>
                    <w:t>2</w:t>
                  </w:r>
                  <w:r>
                    <w:rPr>
                      <w:rFonts w:hint="default"/>
                      <w:color w:val="auto"/>
                      <w:spacing w:val="5"/>
                      <w:sz w:val="21"/>
                      <w:szCs w:val="21"/>
                      <w:highlight w:val="none"/>
                    </w:rPr>
                    <w:t>，</w:t>
                  </w:r>
                  <w:r>
                    <w:rPr>
                      <w:rFonts w:hint="default"/>
                      <w:color w:val="auto"/>
                      <w:spacing w:val="8"/>
                      <w:sz w:val="21"/>
                      <w:szCs w:val="21"/>
                      <w:highlight w:val="none"/>
                    </w:rPr>
                    <w:t>用于</w:t>
                  </w:r>
                  <w:r>
                    <w:rPr>
                      <w:rFonts w:hint="eastAsia"/>
                      <w:color w:val="auto"/>
                      <w:spacing w:val="8"/>
                      <w:sz w:val="21"/>
                      <w:szCs w:val="21"/>
                      <w:highlight w:val="none"/>
                      <w:lang w:val="en-US" w:eastAsia="zh-CN"/>
                    </w:rPr>
                    <w:t>员工</w:t>
                  </w:r>
                  <w:r>
                    <w:rPr>
                      <w:rFonts w:hint="default"/>
                      <w:color w:val="auto"/>
                      <w:spacing w:val="8"/>
                      <w:sz w:val="21"/>
                      <w:szCs w:val="21"/>
                      <w:highlight w:val="none"/>
                    </w:rPr>
                    <w:t>办公休息。</w:t>
                  </w:r>
                </w:p>
              </w:tc>
              <w:tc>
                <w:tcPr>
                  <w:tcW w:w="858" w:type="pct"/>
                  <w:tcBorders>
                    <w:tl2br w:val="nil"/>
                    <w:tr2bl w:val="nil"/>
                  </w:tcBorders>
                  <w:noWrap w:val="0"/>
                  <w:vAlign w:val="center"/>
                </w:tcPr>
                <w:p w14:paraId="3EB82C86">
                  <w:pPr>
                    <w:pStyle w:val="7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依托</w:t>
                  </w:r>
                </w:p>
              </w:tc>
            </w:tr>
            <w:tr w14:paraId="3A7DE29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38" w:hRule="atLeast"/>
              </w:trPr>
              <w:tc>
                <w:tcPr>
                  <w:tcW w:w="537" w:type="pct"/>
                  <w:vMerge w:val="continue"/>
                  <w:tcBorders>
                    <w:tl2br w:val="nil"/>
                    <w:tr2bl w:val="nil"/>
                  </w:tcBorders>
                  <w:noWrap w:val="0"/>
                  <w:vAlign w:val="center"/>
                </w:tcPr>
                <w:p w14:paraId="4B50467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rPr>
                  </w:pPr>
                </w:p>
              </w:tc>
              <w:tc>
                <w:tcPr>
                  <w:tcW w:w="496" w:type="pct"/>
                  <w:tcBorders>
                    <w:tl2br w:val="nil"/>
                    <w:tr2bl w:val="nil"/>
                  </w:tcBorders>
                  <w:noWrap w:val="0"/>
                  <w:vAlign w:val="center"/>
                </w:tcPr>
                <w:p w14:paraId="44303D3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color w:val="auto"/>
                      <w:spacing w:val="5"/>
                      <w:sz w:val="21"/>
                      <w:szCs w:val="21"/>
                      <w:highlight w:val="none"/>
                      <w:lang w:val="en-US" w:eastAsia="zh-CN"/>
                    </w:rPr>
                  </w:pPr>
                  <w:r>
                    <w:rPr>
                      <w:rFonts w:hint="eastAsia"/>
                      <w:color w:val="auto"/>
                      <w:spacing w:val="5"/>
                      <w:sz w:val="21"/>
                      <w:szCs w:val="21"/>
                      <w:highlight w:val="none"/>
                      <w:lang w:val="en-US" w:eastAsia="zh-CN"/>
                    </w:rPr>
                    <w:t>南门门卫、宿舍及员工食堂</w:t>
                  </w:r>
                </w:p>
              </w:tc>
              <w:tc>
                <w:tcPr>
                  <w:tcW w:w="3107" w:type="pct"/>
                  <w:tcBorders>
                    <w:tl2br w:val="nil"/>
                    <w:tr2bl w:val="nil"/>
                  </w:tcBorders>
                  <w:noWrap w:val="0"/>
                  <w:vAlign w:val="center"/>
                </w:tcPr>
                <w:p w14:paraId="241F1DE9">
                  <w:pPr>
                    <w:pStyle w:val="7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lang w:val="en-US" w:eastAsia="zh-CN"/>
                    </w:rPr>
                  </w:pPr>
                  <w:r>
                    <w:rPr>
                      <w:rFonts w:hint="eastAsia"/>
                      <w:color w:val="auto"/>
                      <w:sz w:val="21"/>
                      <w:szCs w:val="21"/>
                      <w:highlight w:val="none"/>
                      <w:lang w:val="en-US" w:eastAsia="zh-CN"/>
                    </w:rPr>
                    <w:t>2层，</w:t>
                  </w:r>
                  <w:r>
                    <w:rPr>
                      <w:rFonts w:hint="default"/>
                      <w:color w:val="auto"/>
                      <w:spacing w:val="8"/>
                      <w:sz w:val="21"/>
                      <w:szCs w:val="21"/>
                      <w:highlight w:val="none"/>
                    </w:rPr>
                    <w:t>砖混结构，</w:t>
                  </w:r>
                  <w:r>
                    <w:rPr>
                      <w:rFonts w:hint="eastAsia"/>
                      <w:color w:val="auto"/>
                      <w:spacing w:val="8"/>
                      <w:sz w:val="21"/>
                      <w:szCs w:val="21"/>
                      <w:highlight w:val="none"/>
                      <w:lang w:val="en-US" w:eastAsia="zh-CN"/>
                    </w:rPr>
                    <w:t>占地面积约750</w:t>
                  </w:r>
                  <w:r>
                    <w:rPr>
                      <w:rFonts w:hint="default" w:ascii="Times New Roman" w:hAnsi="Times New Roman" w:eastAsia="Times New Roman" w:cs="Times New Roman"/>
                      <w:color w:val="auto"/>
                      <w:spacing w:val="5"/>
                      <w:sz w:val="21"/>
                      <w:szCs w:val="21"/>
                      <w:highlight w:val="none"/>
                    </w:rPr>
                    <w:t>m</w:t>
                  </w:r>
                  <w:r>
                    <w:rPr>
                      <w:rFonts w:hint="eastAsia" w:ascii="Times New Roman" w:hAnsi="Times New Roman" w:eastAsia="宋体" w:cs="Times New Roman"/>
                      <w:color w:val="auto"/>
                      <w:spacing w:val="5"/>
                      <w:sz w:val="21"/>
                      <w:szCs w:val="21"/>
                      <w:highlight w:val="none"/>
                      <w:vertAlign w:val="superscript"/>
                      <w:lang w:val="en-US" w:eastAsia="zh-CN"/>
                    </w:rPr>
                    <w:t>2</w:t>
                  </w:r>
                  <w:r>
                    <w:rPr>
                      <w:rFonts w:hint="default"/>
                      <w:color w:val="auto"/>
                      <w:spacing w:val="5"/>
                      <w:sz w:val="21"/>
                      <w:szCs w:val="21"/>
                      <w:highlight w:val="none"/>
                    </w:rPr>
                    <w:t>，</w:t>
                  </w:r>
                  <w:r>
                    <w:rPr>
                      <w:rFonts w:hint="default"/>
                      <w:color w:val="auto"/>
                      <w:spacing w:val="8"/>
                      <w:sz w:val="21"/>
                      <w:szCs w:val="21"/>
                      <w:highlight w:val="none"/>
                    </w:rPr>
                    <w:t>用于</w:t>
                  </w:r>
                  <w:r>
                    <w:rPr>
                      <w:rFonts w:hint="eastAsia"/>
                      <w:color w:val="auto"/>
                      <w:spacing w:val="8"/>
                      <w:sz w:val="21"/>
                      <w:szCs w:val="21"/>
                      <w:highlight w:val="none"/>
                      <w:lang w:val="en-US" w:eastAsia="zh-CN"/>
                    </w:rPr>
                    <w:t>员工就餐及住宿</w:t>
                  </w:r>
                  <w:r>
                    <w:rPr>
                      <w:rFonts w:hint="default"/>
                      <w:color w:val="auto"/>
                      <w:spacing w:val="8"/>
                      <w:sz w:val="21"/>
                      <w:szCs w:val="21"/>
                      <w:highlight w:val="none"/>
                    </w:rPr>
                    <w:t>。</w:t>
                  </w:r>
                </w:p>
              </w:tc>
              <w:tc>
                <w:tcPr>
                  <w:tcW w:w="858" w:type="pct"/>
                  <w:tcBorders>
                    <w:tl2br w:val="nil"/>
                    <w:tr2bl w:val="nil"/>
                  </w:tcBorders>
                  <w:noWrap w:val="0"/>
                  <w:vAlign w:val="center"/>
                </w:tcPr>
                <w:p w14:paraId="18E7D402">
                  <w:pPr>
                    <w:pStyle w:val="7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right="0" w:firstLine="0" w:firstLineChars="0"/>
                    <w:jc w:val="center"/>
                    <w:textAlignment w:val="auto"/>
                    <w:rPr>
                      <w:rFonts w:hint="eastAsia"/>
                      <w:color w:val="auto"/>
                      <w:sz w:val="21"/>
                      <w:szCs w:val="21"/>
                      <w:highlight w:val="none"/>
                      <w:lang w:val="en-US" w:eastAsia="zh-CN"/>
                    </w:rPr>
                  </w:pPr>
                  <w:r>
                    <w:rPr>
                      <w:rFonts w:hint="eastAsia" w:eastAsia="宋体" w:cs="Times New Roman"/>
                      <w:color w:val="auto"/>
                      <w:spacing w:val="5"/>
                      <w:sz w:val="21"/>
                      <w:szCs w:val="21"/>
                      <w:highlight w:val="none"/>
                      <w:lang w:val="en-US" w:eastAsia="zh-CN"/>
                    </w:rPr>
                    <w:t>依托</w:t>
                  </w:r>
                </w:p>
              </w:tc>
            </w:tr>
            <w:tr w14:paraId="0B9B981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150" w:hRule="atLeast"/>
              </w:trPr>
              <w:tc>
                <w:tcPr>
                  <w:tcW w:w="537" w:type="pct"/>
                  <w:vMerge w:val="continue"/>
                  <w:tcBorders>
                    <w:tl2br w:val="nil"/>
                    <w:tr2bl w:val="nil"/>
                  </w:tcBorders>
                  <w:noWrap w:val="0"/>
                  <w:vAlign w:val="center"/>
                </w:tcPr>
                <w:p w14:paraId="1AFD292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rPr>
                  </w:pPr>
                </w:p>
              </w:tc>
              <w:tc>
                <w:tcPr>
                  <w:tcW w:w="496" w:type="pct"/>
                  <w:tcBorders>
                    <w:tl2br w:val="nil"/>
                    <w:tr2bl w:val="nil"/>
                  </w:tcBorders>
                  <w:noWrap w:val="0"/>
                  <w:vAlign w:val="center"/>
                </w:tcPr>
                <w:p w14:paraId="0F321AC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5"/>
                      <w:sz w:val="21"/>
                      <w:szCs w:val="21"/>
                      <w:highlight w:val="none"/>
                      <w:lang w:val="en-US" w:eastAsia="zh-CN"/>
                    </w:rPr>
                  </w:pPr>
                  <w:r>
                    <w:rPr>
                      <w:rFonts w:hint="eastAsia"/>
                      <w:color w:val="auto"/>
                      <w:spacing w:val="5"/>
                      <w:sz w:val="21"/>
                      <w:szCs w:val="21"/>
                      <w:highlight w:val="none"/>
                      <w:lang w:val="en-US" w:eastAsia="zh-CN"/>
                    </w:rPr>
                    <w:t>地磅</w:t>
                  </w:r>
                </w:p>
              </w:tc>
              <w:tc>
                <w:tcPr>
                  <w:tcW w:w="3107" w:type="pct"/>
                  <w:tcBorders>
                    <w:tl2br w:val="nil"/>
                    <w:tr2bl w:val="nil"/>
                  </w:tcBorders>
                  <w:noWrap w:val="0"/>
                  <w:vAlign w:val="center"/>
                </w:tcPr>
                <w:p w14:paraId="26065A1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pacing w:val="7"/>
                      <w:sz w:val="21"/>
                      <w:szCs w:val="21"/>
                      <w:highlight w:val="none"/>
                      <w:lang w:val="en-US" w:eastAsia="zh-CN"/>
                    </w:rPr>
                  </w:pPr>
                  <w:r>
                    <w:rPr>
                      <w:rFonts w:hint="eastAsia"/>
                      <w:color w:val="auto"/>
                      <w:spacing w:val="7"/>
                      <w:sz w:val="21"/>
                      <w:szCs w:val="21"/>
                      <w:highlight w:val="none"/>
                      <w:lang w:val="en-US" w:eastAsia="zh-CN"/>
                    </w:rPr>
                    <w:t>厂区门口设置地磅。</w:t>
                  </w:r>
                </w:p>
              </w:tc>
              <w:tc>
                <w:tcPr>
                  <w:tcW w:w="858" w:type="pct"/>
                  <w:tcBorders>
                    <w:tl2br w:val="nil"/>
                    <w:tr2bl w:val="nil"/>
                  </w:tcBorders>
                  <w:noWrap w:val="0"/>
                  <w:vAlign w:val="center"/>
                </w:tcPr>
                <w:p w14:paraId="17872B1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7"/>
                      <w:sz w:val="21"/>
                      <w:szCs w:val="21"/>
                      <w:highlight w:val="none"/>
                      <w:lang w:val="en-US" w:eastAsia="zh-CN"/>
                    </w:rPr>
                  </w:pPr>
                  <w:r>
                    <w:rPr>
                      <w:rFonts w:hint="eastAsia"/>
                      <w:color w:val="auto"/>
                      <w:spacing w:val="7"/>
                      <w:sz w:val="21"/>
                      <w:szCs w:val="21"/>
                      <w:highlight w:val="none"/>
                      <w:lang w:val="en-US" w:eastAsia="zh-CN"/>
                    </w:rPr>
                    <w:t>新建</w:t>
                  </w:r>
                </w:p>
              </w:tc>
            </w:tr>
            <w:tr w14:paraId="41E5DF6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537" w:type="pct"/>
                  <w:vMerge w:val="restart"/>
                  <w:tcBorders>
                    <w:tl2br w:val="nil"/>
                    <w:tr2bl w:val="nil"/>
                  </w:tcBorders>
                  <w:noWrap w:val="0"/>
                  <w:vAlign w:val="center"/>
                </w:tcPr>
                <w:p w14:paraId="0C49587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color w:val="auto"/>
                      <w:spacing w:val="-3"/>
                      <w:sz w:val="21"/>
                      <w:szCs w:val="21"/>
                      <w:highlight w:val="none"/>
                      <w:lang w:val="en-US" w:eastAsia="zh-CN"/>
                    </w:rPr>
                  </w:pPr>
                  <w:r>
                    <w:rPr>
                      <w:rFonts w:hint="eastAsia"/>
                      <w:color w:val="auto"/>
                      <w:spacing w:val="-3"/>
                      <w:sz w:val="21"/>
                      <w:szCs w:val="21"/>
                      <w:highlight w:val="none"/>
                      <w:lang w:val="en-US" w:eastAsia="zh-CN"/>
                    </w:rPr>
                    <w:t>储运工程</w:t>
                  </w:r>
                </w:p>
              </w:tc>
              <w:tc>
                <w:tcPr>
                  <w:tcW w:w="496" w:type="pct"/>
                  <w:tcBorders>
                    <w:tl2br w:val="nil"/>
                    <w:tr2bl w:val="nil"/>
                  </w:tcBorders>
                  <w:noWrap w:val="0"/>
                  <w:vAlign w:val="center"/>
                </w:tcPr>
                <w:p w14:paraId="4743DD8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5"/>
                      <w:sz w:val="21"/>
                      <w:szCs w:val="21"/>
                      <w:highlight w:val="none"/>
                      <w:lang w:val="en-US" w:eastAsia="zh-CN"/>
                    </w:rPr>
                  </w:pPr>
                  <w:r>
                    <w:rPr>
                      <w:rFonts w:hint="eastAsia"/>
                      <w:color w:val="auto"/>
                      <w:spacing w:val="5"/>
                      <w:sz w:val="21"/>
                      <w:szCs w:val="21"/>
                      <w:highlight w:val="none"/>
                      <w:lang w:val="en-US" w:eastAsia="zh-CN"/>
                    </w:rPr>
                    <w:t>报废车辆暂存区</w:t>
                  </w:r>
                </w:p>
              </w:tc>
              <w:tc>
                <w:tcPr>
                  <w:tcW w:w="3107" w:type="pct"/>
                  <w:tcBorders>
                    <w:tl2br w:val="nil"/>
                    <w:tr2bl w:val="nil"/>
                  </w:tcBorders>
                  <w:noWrap w:val="0"/>
                  <w:vAlign w:val="center"/>
                </w:tcPr>
                <w:p w14:paraId="3700278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pacing w:val="7"/>
                      <w:sz w:val="21"/>
                      <w:szCs w:val="21"/>
                      <w:highlight w:val="none"/>
                      <w:vertAlign w:val="baseline"/>
                      <w:lang w:val="en-US" w:eastAsia="zh-CN"/>
                    </w:rPr>
                  </w:pPr>
                  <w:r>
                    <w:rPr>
                      <w:rFonts w:hint="eastAsia" w:ascii="Times New Roman" w:hAnsi="Times New Roman" w:eastAsia="宋体" w:cs="Times New Roman"/>
                      <w:color w:val="auto"/>
                      <w:spacing w:val="5"/>
                      <w:kern w:val="2"/>
                      <w:sz w:val="21"/>
                      <w:szCs w:val="21"/>
                      <w:highlight w:val="none"/>
                      <w:lang w:val="en-US" w:eastAsia="zh-CN" w:bidi="ar-SA"/>
                    </w:rPr>
                    <w:t>露天堆放，占地面积约</w:t>
                  </w:r>
                  <w:r>
                    <w:rPr>
                      <w:rFonts w:hint="eastAsia" w:cs="Times New Roman"/>
                      <w:color w:val="auto"/>
                      <w:spacing w:val="5"/>
                      <w:kern w:val="2"/>
                      <w:sz w:val="21"/>
                      <w:szCs w:val="21"/>
                      <w:highlight w:val="none"/>
                      <w:lang w:val="en-US" w:eastAsia="zh-CN" w:bidi="ar-SA"/>
                    </w:rPr>
                    <w:t>16000</w:t>
                  </w:r>
                  <w:r>
                    <w:rPr>
                      <w:rFonts w:hint="eastAsia" w:ascii="Times New Roman" w:hAnsi="Times New Roman" w:eastAsia="宋体" w:cs="Times New Roman"/>
                      <w:color w:val="auto"/>
                      <w:spacing w:val="5"/>
                      <w:kern w:val="2"/>
                      <w:sz w:val="21"/>
                      <w:szCs w:val="21"/>
                      <w:highlight w:val="none"/>
                      <w:lang w:val="en-US" w:eastAsia="zh-CN" w:bidi="ar-SA"/>
                    </w:rPr>
                    <w:t>m</w:t>
                  </w:r>
                  <w:r>
                    <w:rPr>
                      <w:rFonts w:hint="eastAsia" w:ascii="Times New Roman" w:hAnsi="Times New Roman" w:eastAsia="宋体" w:cs="Times New Roman"/>
                      <w:color w:val="auto"/>
                      <w:spacing w:val="5"/>
                      <w:kern w:val="2"/>
                      <w:sz w:val="21"/>
                      <w:szCs w:val="21"/>
                      <w:highlight w:val="none"/>
                      <w:vertAlign w:val="superscript"/>
                      <w:lang w:val="en-US" w:eastAsia="zh-CN" w:bidi="ar-SA"/>
                    </w:rPr>
                    <w:t>2</w:t>
                  </w:r>
                  <w:r>
                    <w:rPr>
                      <w:rFonts w:hint="eastAsia" w:ascii="Times New Roman" w:hAnsi="Times New Roman" w:eastAsia="宋体" w:cs="Times New Roman"/>
                      <w:color w:val="auto"/>
                      <w:spacing w:val="5"/>
                      <w:kern w:val="2"/>
                      <w:sz w:val="21"/>
                      <w:szCs w:val="21"/>
                      <w:highlight w:val="none"/>
                      <w:lang w:val="en-US" w:eastAsia="zh-CN" w:bidi="ar-SA"/>
                    </w:rPr>
                    <w:t xml:space="preserve"> ，暂存区地面采取水泥硬化，用于堆放</w:t>
                  </w:r>
                  <w:r>
                    <w:rPr>
                      <w:rFonts w:hint="eastAsia" w:cs="Times New Roman"/>
                      <w:color w:val="auto"/>
                      <w:spacing w:val="5"/>
                      <w:kern w:val="2"/>
                      <w:sz w:val="21"/>
                      <w:szCs w:val="21"/>
                      <w:highlight w:val="none"/>
                      <w:lang w:val="en-US" w:eastAsia="zh-CN" w:bidi="ar-SA"/>
                    </w:rPr>
                    <w:t>报废农机、</w:t>
                  </w:r>
                  <w:r>
                    <w:rPr>
                      <w:rFonts w:hint="eastAsia" w:ascii="Times New Roman" w:hAnsi="Times New Roman" w:eastAsia="宋体" w:cs="Times New Roman"/>
                      <w:color w:val="auto"/>
                      <w:spacing w:val="5"/>
                      <w:kern w:val="2"/>
                      <w:sz w:val="21"/>
                      <w:szCs w:val="21"/>
                      <w:highlight w:val="none"/>
                      <w:lang w:val="en-US" w:eastAsia="zh-CN" w:bidi="ar-SA"/>
                    </w:rPr>
                    <w:t>报废新能源汽车以及传统燃油车。报废新能源汽车与传统燃油车之间设置隔离区。</w:t>
                  </w:r>
                </w:p>
              </w:tc>
              <w:tc>
                <w:tcPr>
                  <w:tcW w:w="858" w:type="pct"/>
                  <w:tcBorders>
                    <w:tl2br w:val="nil"/>
                    <w:tr2bl w:val="nil"/>
                  </w:tcBorders>
                  <w:noWrap w:val="0"/>
                  <w:vAlign w:val="center"/>
                </w:tcPr>
                <w:p w14:paraId="3ADD4A7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pacing w:val="5"/>
                      <w:kern w:val="2"/>
                      <w:sz w:val="21"/>
                      <w:szCs w:val="21"/>
                      <w:highlight w:val="none"/>
                      <w:lang w:val="en-US" w:eastAsia="zh-CN" w:bidi="ar-SA"/>
                    </w:rPr>
                  </w:pPr>
                  <w:r>
                    <w:rPr>
                      <w:rFonts w:hint="eastAsia" w:cs="Times New Roman"/>
                      <w:color w:val="auto"/>
                      <w:spacing w:val="5"/>
                      <w:kern w:val="2"/>
                      <w:sz w:val="21"/>
                      <w:szCs w:val="21"/>
                      <w:highlight w:val="none"/>
                      <w:lang w:val="en-US" w:eastAsia="zh-CN" w:bidi="ar-SA"/>
                    </w:rPr>
                    <w:t>依托</w:t>
                  </w:r>
                </w:p>
              </w:tc>
            </w:tr>
            <w:tr w14:paraId="3097187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537" w:type="pct"/>
                  <w:vMerge w:val="continue"/>
                  <w:tcBorders>
                    <w:tl2br w:val="nil"/>
                    <w:tr2bl w:val="nil"/>
                  </w:tcBorders>
                  <w:noWrap w:val="0"/>
                  <w:vAlign w:val="center"/>
                </w:tcPr>
                <w:p w14:paraId="089CCFB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3"/>
                      <w:sz w:val="21"/>
                      <w:szCs w:val="21"/>
                      <w:highlight w:val="none"/>
                      <w:lang w:val="en-US" w:eastAsia="zh-CN"/>
                    </w:rPr>
                  </w:pPr>
                </w:p>
              </w:tc>
              <w:tc>
                <w:tcPr>
                  <w:tcW w:w="496" w:type="pct"/>
                  <w:tcBorders>
                    <w:tl2br w:val="nil"/>
                    <w:tr2bl w:val="nil"/>
                  </w:tcBorders>
                  <w:noWrap w:val="0"/>
                  <w:vAlign w:val="center"/>
                </w:tcPr>
                <w:p w14:paraId="3B126FE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5"/>
                      <w:sz w:val="21"/>
                      <w:szCs w:val="21"/>
                      <w:highlight w:val="none"/>
                      <w:lang w:val="en-US" w:eastAsia="zh-CN"/>
                    </w:rPr>
                  </w:pPr>
                  <w:r>
                    <w:rPr>
                      <w:rFonts w:hint="eastAsia"/>
                      <w:color w:val="auto"/>
                      <w:spacing w:val="5"/>
                      <w:sz w:val="21"/>
                      <w:szCs w:val="21"/>
                      <w:highlight w:val="none"/>
                      <w:lang w:val="en-US" w:eastAsia="zh-CN"/>
                    </w:rPr>
                    <w:t>一般固废暂存区</w:t>
                  </w:r>
                </w:p>
              </w:tc>
              <w:tc>
                <w:tcPr>
                  <w:tcW w:w="3107" w:type="pct"/>
                  <w:tcBorders>
                    <w:tl2br w:val="nil"/>
                    <w:tr2bl w:val="nil"/>
                  </w:tcBorders>
                  <w:noWrap w:val="0"/>
                  <w:vAlign w:val="center"/>
                </w:tcPr>
                <w:p w14:paraId="7E2B5CA2">
                  <w:pPr>
                    <w:pStyle w:val="73"/>
                    <w:keepNext w:val="0"/>
                    <w:keepLines w:val="0"/>
                    <w:suppressLineNumbers w:val="0"/>
                    <w:spacing w:before="59" w:beforeAutospacing="0" w:after="0" w:afterAutospacing="0" w:line="228" w:lineRule="auto"/>
                    <w:ind w:left="0" w:leftChars="0" w:right="0" w:firstLine="0" w:firstLineChars="0"/>
                    <w:rPr>
                      <w:rFonts w:hint="eastAsia" w:ascii="Times New Roman" w:hAnsi="Times New Roman" w:eastAsia="宋体" w:cs="Times New Roman"/>
                      <w:color w:val="auto"/>
                      <w:spacing w:val="5"/>
                      <w:kern w:val="2"/>
                      <w:sz w:val="21"/>
                      <w:szCs w:val="21"/>
                      <w:highlight w:val="none"/>
                      <w:lang w:val="en-US" w:eastAsia="zh-CN" w:bidi="ar-SA"/>
                    </w:rPr>
                  </w:pPr>
                  <w:r>
                    <w:rPr>
                      <w:rFonts w:hint="eastAsia"/>
                      <w:color w:val="auto"/>
                      <w:spacing w:val="5"/>
                      <w:sz w:val="21"/>
                      <w:szCs w:val="21"/>
                      <w:highlight w:val="none"/>
                      <w:lang w:val="en-US" w:eastAsia="zh-CN"/>
                    </w:rPr>
                    <w:t>生产</w:t>
                  </w:r>
                  <w:r>
                    <w:rPr>
                      <w:rFonts w:hint="default"/>
                      <w:color w:val="auto"/>
                      <w:spacing w:val="5"/>
                      <w:sz w:val="21"/>
                      <w:szCs w:val="21"/>
                      <w:highlight w:val="none"/>
                    </w:rPr>
                    <w:t>车间内设置一般固废暂存处，占地面积</w:t>
                  </w:r>
                  <w:r>
                    <w:rPr>
                      <w:rFonts w:hint="eastAsia"/>
                      <w:color w:val="auto"/>
                      <w:spacing w:val="5"/>
                      <w:sz w:val="21"/>
                      <w:szCs w:val="21"/>
                      <w:highlight w:val="none"/>
                      <w:lang w:val="en-US" w:eastAsia="zh-CN"/>
                    </w:rPr>
                    <w:t>约</w:t>
                  </w:r>
                  <w:r>
                    <w:rPr>
                      <w:rFonts w:hint="default"/>
                      <w:color w:val="auto"/>
                      <w:spacing w:val="-37"/>
                      <w:sz w:val="21"/>
                      <w:szCs w:val="21"/>
                      <w:highlight w:val="none"/>
                    </w:rPr>
                    <w:t xml:space="preserve"> </w:t>
                  </w:r>
                  <w:r>
                    <w:rPr>
                      <w:rFonts w:hint="default" w:ascii="Times New Roman" w:hAnsi="Times New Roman" w:eastAsia="Times New Roman" w:cs="Times New Roman"/>
                      <w:color w:val="auto"/>
                      <w:spacing w:val="5"/>
                      <w:sz w:val="21"/>
                      <w:szCs w:val="21"/>
                      <w:highlight w:val="none"/>
                    </w:rPr>
                    <w:t>50m</w:t>
                  </w:r>
                  <w:r>
                    <w:rPr>
                      <w:rFonts w:hint="eastAsia" w:eastAsia="宋体" w:cs="Times New Roman"/>
                      <w:color w:val="auto"/>
                      <w:spacing w:val="5"/>
                      <w:sz w:val="21"/>
                      <w:szCs w:val="21"/>
                      <w:highlight w:val="none"/>
                      <w:vertAlign w:val="superscript"/>
                      <w:lang w:val="en-US" w:eastAsia="zh-CN"/>
                    </w:rPr>
                    <w:t>2</w:t>
                  </w:r>
                  <w:r>
                    <w:rPr>
                      <w:rFonts w:hint="default"/>
                      <w:color w:val="auto"/>
                      <w:spacing w:val="5"/>
                      <w:sz w:val="21"/>
                      <w:szCs w:val="21"/>
                      <w:highlight w:val="none"/>
                    </w:rPr>
                    <w:t>，用于</w:t>
                  </w:r>
                  <w:r>
                    <w:rPr>
                      <w:rFonts w:hint="default"/>
                      <w:color w:val="auto"/>
                      <w:spacing w:val="9"/>
                      <w:sz w:val="21"/>
                      <w:szCs w:val="21"/>
                      <w:highlight w:val="none"/>
                    </w:rPr>
                    <w:t>暂存各类一般工业固体废物。建设满足《一般工业固体</w:t>
                  </w:r>
                  <w:r>
                    <w:rPr>
                      <w:rFonts w:hint="default"/>
                      <w:color w:val="auto"/>
                      <w:spacing w:val="8"/>
                      <w:sz w:val="21"/>
                      <w:szCs w:val="21"/>
                      <w:highlight w:val="none"/>
                    </w:rPr>
                    <w:t>废物贮存和填埋污染控制标准》（</w:t>
                  </w:r>
                  <w:r>
                    <w:rPr>
                      <w:rFonts w:hint="default" w:ascii="Times New Roman" w:hAnsi="Times New Roman" w:eastAsia="Times New Roman" w:cs="Times New Roman"/>
                      <w:color w:val="auto"/>
                      <w:sz w:val="21"/>
                      <w:szCs w:val="21"/>
                      <w:highlight w:val="none"/>
                    </w:rPr>
                    <w:t>GB</w:t>
                  </w:r>
                  <w:r>
                    <w:rPr>
                      <w:rFonts w:hint="default" w:ascii="Times New Roman" w:hAnsi="Times New Roman" w:eastAsia="Times New Roman" w:cs="Times New Roman"/>
                      <w:color w:val="auto"/>
                      <w:spacing w:val="8"/>
                      <w:sz w:val="21"/>
                      <w:szCs w:val="21"/>
                      <w:highlight w:val="none"/>
                    </w:rPr>
                    <w:t>18599-2020</w:t>
                  </w:r>
                  <w:r>
                    <w:rPr>
                      <w:rFonts w:hint="default"/>
                      <w:color w:val="auto"/>
                      <w:spacing w:val="8"/>
                      <w:sz w:val="21"/>
                      <w:szCs w:val="21"/>
                      <w:highlight w:val="none"/>
                    </w:rPr>
                    <w:t>）中相</w:t>
                  </w:r>
                  <w:r>
                    <w:rPr>
                      <w:rFonts w:hint="default"/>
                      <w:color w:val="auto"/>
                      <w:spacing w:val="4"/>
                      <w:sz w:val="21"/>
                      <w:szCs w:val="21"/>
                      <w:highlight w:val="none"/>
                    </w:rPr>
                    <w:t>关要求。</w:t>
                  </w:r>
                </w:p>
              </w:tc>
              <w:tc>
                <w:tcPr>
                  <w:tcW w:w="858" w:type="pct"/>
                  <w:tcBorders>
                    <w:tl2br w:val="nil"/>
                    <w:tr2bl w:val="nil"/>
                  </w:tcBorders>
                  <w:noWrap w:val="0"/>
                  <w:vAlign w:val="center"/>
                </w:tcPr>
                <w:p w14:paraId="0467A637">
                  <w:pPr>
                    <w:pStyle w:val="73"/>
                    <w:keepNext w:val="0"/>
                    <w:keepLines w:val="0"/>
                    <w:suppressLineNumbers w:val="0"/>
                    <w:spacing w:before="59" w:beforeAutospacing="0" w:after="0" w:afterAutospacing="0" w:line="228" w:lineRule="auto"/>
                    <w:ind w:left="0" w:leftChars="0" w:right="0" w:firstLine="0" w:firstLineChars="0"/>
                    <w:jc w:val="center"/>
                    <w:rPr>
                      <w:rFonts w:hint="default"/>
                      <w:color w:val="auto"/>
                      <w:spacing w:val="5"/>
                      <w:sz w:val="21"/>
                      <w:szCs w:val="21"/>
                      <w:highlight w:val="none"/>
                      <w:lang w:val="en-US" w:eastAsia="zh-CN"/>
                    </w:rPr>
                  </w:pPr>
                  <w:r>
                    <w:rPr>
                      <w:rFonts w:hint="eastAsia"/>
                      <w:color w:val="auto"/>
                      <w:spacing w:val="5"/>
                      <w:sz w:val="21"/>
                      <w:szCs w:val="21"/>
                      <w:highlight w:val="none"/>
                      <w:lang w:val="en-US" w:eastAsia="zh-CN"/>
                    </w:rPr>
                    <w:t>新建</w:t>
                  </w:r>
                </w:p>
              </w:tc>
            </w:tr>
            <w:tr w14:paraId="33294C8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537" w:type="pct"/>
                  <w:vMerge w:val="continue"/>
                  <w:tcBorders>
                    <w:tl2br w:val="nil"/>
                    <w:tr2bl w:val="nil"/>
                  </w:tcBorders>
                  <w:noWrap w:val="0"/>
                  <w:vAlign w:val="center"/>
                </w:tcPr>
                <w:p w14:paraId="5A7BA8A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3"/>
                      <w:sz w:val="21"/>
                      <w:szCs w:val="21"/>
                      <w:highlight w:val="none"/>
                      <w:lang w:val="en-US" w:eastAsia="zh-CN"/>
                    </w:rPr>
                  </w:pPr>
                </w:p>
              </w:tc>
              <w:tc>
                <w:tcPr>
                  <w:tcW w:w="496" w:type="pct"/>
                  <w:tcBorders>
                    <w:tl2br w:val="nil"/>
                    <w:tr2bl w:val="nil"/>
                  </w:tcBorders>
                  <w:shd w:val="clear" w:color="auto" w:fill="auto"/>
                  <w:noWrap w:val="0"/>
                  <w:vAlign w:val="center"/>
                </w:tcPr>
                <w:p w14:paraId="1A4311E5">
                  <w:pPr>
                    <w:pStyle w:val="73"/>
                    <w:keepNext w:val="0"/>
                    <w:keepLines w:val="0"/>
                    <w:suppressLineNumbers w:val="0"/>
                    <w:spacing w:before="65" w:beforeAutospacing="0" w:after="0" w:afterAutospacing="0" w:line="289" w:lineRule="auto"/>
                    <w:ind w:left="0" w:leftChars="0" w:right="124" w:rightChars="0" w:firstLine="0" w:firstLineChars="0"/>
                    <w:jc w:val="center"/>
                    <w:rPr>
                      <w:rFonts w:hint="default" w:ascii="Times New Roman" w:hAnsi="Times New Roman"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危废贮存库</w:t>
                  </w:r>
                </w:p>
              </w:tc>
              <w:tc>
                <w:tcPr>
                  <w:tcW w:w="3107" w:type="pct"/>
                  <w:tcBorders>
                    <w:tl2br w:val="nil"/>
                    <w:tr2bl w:val="nil"/>
                  </w:tcBorders>
                  <w:shd w:val="clear" w:color="auto" w:fill="auto"/>
                  <w:noWrap w:val="0"/>
                  <w:vAlign w:val="top"/>
                </w:tcPr>
                <w:p w14:paraId="28B591E5">
                  <w:pPr>
                    <w:pStyle w:val="73"/>
                    <w:keepNext w:val="0"/>
                    <w:keepLines w:val="0"/>
                    <w:suppressLineNumbers w:val="0"/>
                    <w:spacing w:before="63" w:beforeAutospacing="0" w:after="0" w:afterAutospacing="0" w:line="228" w:lineRule="auto"/>
                    <w:ind w:left="0" w:leftChars="0" w:right="0" w:firstLine="0" w:firstLineChars="0"/>
                    <w:rPr>
                      <w:rFonts w:hint="eastAsia" w:ascii="Times New Roman" w:hAnsi="Times New Roman" w:eastAsia="宋体" w:cs="宋体"/>
                      <w:color w:val="auto"/>
                      <w:kern w:val="2"/>
                      <w:sz w:val="21"/>
                      <w:szCs w:val="21"/>
                      <w:highlight w:val="none"/>
                      <w:lang w:val="en-US" w:eastAsia="zh-CN" w:bidi="ar-SA"/>
                    </w:rPr>
                  </w:pPr>
                  <w:r>
                    <w:rPr>
                      <w:rFonts w:hint="eastAsia"/>
                      <w:color w:val="auto"/>
                      <w:spacing w:val="5"/>
                      <w:sz w:val="21"/>
                      <w:szCs w:val="21"/>
                      <w:highlight w:val="none"/>
                      <w:lang w:val="en-US" w:eastAsia="zh-CN"/>
                    </w:rPr>
                    <w:t>生产</w:t>
                  </w:r>
                  <w:r>
                    <w:rPr>
                      <w:rFonts w:hint="default"/>
                      <w:color w:val="auto"/>
                      <w:spacing w:val="5"/>
                      <w:sz w:val="21"/>
                      <w:szCs w:val="21"/>
                      <w:highlight w:val="none"/>
                    </w:rPr>
                    <w:t>车间内设置危废贮存库，占地面积</w:t>
                  </w:r>
                  <w:r>
                    <w:rPr>
                      <w:rFonts w:hint="eastAsia" w:cs="Times New Roman"/>
                      <w:color w:val="auto"/>
                      <w:spacing w:val="5"/>
                      <w:sz w:val="21"/>
                      <w:szCs w:val="21"/>
                      <w:highlight w:val="none"/>
                      <w:lang w:val="en-US" w:eastAsia="zh-CN"/>
                    </w:rPr>
                    <w:t>100</w:t>
                  </w:r>
                  <w:r>
                    <w:rPr>
                      <w:rFonts w:hint="default" w:ascii="Times New Roman" w:hAnsi="Times New Roman" w:eastAsia="Times New Roman" w:cs="Times New Roman"/>
                      <w:color w:val="auto"/>
                      <w:spacing w:val="5"/>
                      <w:sz w:val="21"/>
                      <w:szCs w:val="21"/>
                      <w:highlight w:val="none"/>
                    </w:rPr>
                    <w:t>m</w:t>
                  </w:r>
                  <w:r>
                    <w:rPr>
                      <w:rFonts w:hint="eastAsia" w:eastAsia="宋体" w:cs="Times New Roman"/>
                      <w:color w:val="auto"/>
                      <w:spacing w:val="5"/>
                      <w:sz w:val="21"/>
                      <w:szCs w:val="21"/>
                      <w:highlight w:val="none"/>
                      <w:vertAlign w:val="superscript"/>
                      <w:lang w:val="en-US" w:eastAsia="zh-CN"/>
                    </w:rPr>
                    <w:t>2</w:t>
                  </w:r>
                  <w:r>
                    <w:rPr>
                      <w:rFonts w:hint="default"/>
                      <w:color w:val="auto"/>
                      <w:spacing w:val="4"/>
                      <w:sz w:val="21"/>
                      <w:szCs w:val="21"/>
                      <w:highlight w:val="none"/>
                    </w:rPr>
                    <w:t>，用于暂存</w:t>
                  </w:r>
                  <w:r>
                    <w:rPr>
                      <w:rFonts w:hint="default"/>
                      <w:color w:val="auto"/>
                      <w:spacing w:val="9"/>
                      <w:sz w:val="21"/>
                      <w:szCs w:val="21"/>
                      <w:highlight w:val="none"/>
                    </w:rPr>
                    <w:t>各类危险废物，内部划分为</w:t>
                  </w:r>
                  <w:r>
                    <w:rPr>
                      <w:rFonts w:hint="eastAsia"/>
                      <w:color w:val="auto"/>
                      <w:spacing w:val="9"/>
                      <w:sz w:val="21"/>
                      <w:szCs w:val="21"/>
                      <w:highlight w:val="none"/>
                      <w:lang w:val="en-US" w:eastAsia="zh-CN"/>
                    </w:rPr>
                    <w:t>废铅蓄电池贮存库、废油液贮存库以及其他危险废物贮存库</w:t>
                  </w:r>
                  <w:r>
                    <w:rPr>
                      <w:rFonts w:hint="default"/>
                      <w:color w:val="auto"/>
                      <w:spacing w:val="7"/>
                      <w:sz w:val="21"/>
                      <w:szCs w:val="21"/>
                      <w:highlight w:val="none"/>
                    </w:rPr>
                    <w:t>。危险废物贮存</w:t>
                  </w:r>
                  <w:r>
                    <w:rPr>
                      <w:rFonts w:hint="default"/>
                      <w:color w:val="auto"/>
                      <w:spacing w:val="9"/>
                      <w:sz w:val="21"/>
                      <w:szCs w:val="21"/>
                      <w:highlight w:val="none"/>
                    </w:rPr>
                    <w:t>库地面与裙脚应采取表面防渗措施，防渗要求满足《危</w:t>
                  </w:r>
                  <w:r>
                    <w:rPr>
                      <w:rFonts w:hint="default"/>
                      <w:color w:val="auto"/>
                      <w:spacing w:val="7"/>
                      <w:sz w:val="21"/>
                      <w:szCs w:val="21"/>
                      <w:highlight w:val="none"/>
                    </w:rPr>
                    <w:t>险废物贮存污染控制标准》（</w:t>
                  </w:r>
                  <w:r>
                    <w:rPr>
                      <w:rFonts w:hint="default" w:ascii="Times New Roman" w:hAnsi="Times New Roman" w:eastAsia="Times New Roman" w:cs="Times New Roman"/>
                      <w:color w:val="auto"/>
                      <w:sz w:val="21"/>
                      <w:szCs w:val="21"/>
                      <w:highlight w:val="none"/>
                    </w:rPr>
                    <w:t>GB</w:t>
                  </w:r>
                  <w:r>
                    <w:rPr>
                      <w:rFonts w:hint="default" w:ascii="Times New Roman" w:hAnsi="Times New Roman" w:eastAsia="Times New Roman" w:cs="Times New Roman"/>
                      <w:color w:val="auto"/>
                      <w:spacing w:val="7"/>
                      <w:sz w:val="21"/>
                      <w:szCs w:val="21"/>
                      <w:highlight w:val="none"/>
                    </w:rPr>
                    <w:t>18597-202</w:t>
                  </w:r>
                  <w:r>
                    <w:rPr>
                      <w:rFonts w:hint="default" w:ascii="Times New Roman" w:hAnsi="Times New Roman" w:eastAsia="Times New Roman" w:cs="Times New Roman"/>
                      <w:color w:val="auto"/>
                      <w:spacing w:val="6"/>
                      <w:sz w:val="21"/>
                      <w:szCs w:val="21"/>
                      <w:highlight w:val="none"/>
                    </w:rPr>
                    <w:t>3</w:t>
                  </w:r>
                  <w:r>
                    <w:rPr>
                      <w:rFonts w:hint="default"/>
                      <w:color w:val="auto"/>
                      <w:spacing w:val="6"/>
                      <w:sz w:val="21"/>
                      <w:szCs w:val="21"/>
                      <w:highlight w:val="none"/>
                    </w:rPr>
                    <w:t>）。</w:t>
                  </w:r>
                </w:p>
              </w:tc>
              <w:tc>
                <w:tcPr>
                  <w:tcW w:w="858" w:type="pct"/>
                  <w:tcBorders>
                    <w:tl2br w:val="nil"/>
                    <w:tr2bl w:val="nil"/>
                  </w:tcBorders>
                  <w:shd w:val="clear" w:color="auto" w:fill="auto"/>
                  <w:noWrap w:val="0"/>
                  <w:vAlign w:val="center"/>
                </w:tcPr>
                <w:p w14:paraId="07C1026B">
                  <w:pPr>
                    <w:pStyle w:val="73"/>
                    <w:keepNext w:val="0"/>
                    <w:keepLines w:val="0"/>
                    <w:suppressLineNumbers w:val="0"/>
                    <w:spacing w:before="63" w:beforeAutospacing="0" w:after="0" w:afterAutospacing="0" w:line="228" w:lineRule="auto"/>
                    <w:ind w:left="0" w:leftChars="0" w:right="0" w:firstLine="0" w:firstLineChars="0"/>
                    <w:jc w:val="center"/>
                    <w:rPr>
                      <w:rFonts w:hint="eastAsia"/>
                      <w:color w:val="auto"/>
                      <w:spacing w:val="5"/>
                      <w:sz w:val="21"/>
                      <w:szCs w:val="21"/>
                      <w:highlight w:val="none"/>
                      <w:lang w:val="en-US" w:eastAsia="zh-CN"/>
                    </w:rPr>
                  </w:pPr>
                  <w:r>
                    <w:rPr>
                      <w:rFonts w:hint="eastAsia"/>
                      <w:color w:val="auto"/>
                      <w:spacing w:val="5"/>
                      <w:sz w:val="21"/>
                      <w:szCs w:val="21"/>
                      <w:highlight w:val="none"/>
                      <w:lang w:val="en-US" w:eastAsia="zh-CN"/>
                    </w:rPr>
                    <w:t>新建</w:t>
                  </w:r>
                </w:p>
              </w:tc>
            </w:tr>
            <w:tr w14:paraId="7672F1D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14" w:hRule="atLeast"/>
              </w:trPr>
              <w:tc>
                <w:tcPr>
                  <w:tcW w:w="537" w:type="pct"/>
                  <w:vMerge w:val="continue"/>
                  <w:tcBorders>
                    <w:tl2br w:val="nil"/>
                    <w:tr2bl w:val="nil"/>
                  </w:tcBorders>
                  <w:noWrap w:val="0"/>
                  <w:vAlign w:val="center"/>
                </w:tcPr>
                <w:p w14:paraId="1A88A96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3"/>
                      <w:sz w:val="21"/>
                      <w:szCs w:val="21"/>
                      <w:highlight w:val="none"/>
                      <w:lang w:val="en-US" w:eastAsia="zh-CN"/>
                    </w:rPr>
                  </w:pPr>
                </w:p>
              </w:tc>
              <w:tc>
                <w:tcPr>
                  <w:tcW w:w="496" w:type="pct"/>
                  <w:tcBorders>
                    <w:tl2br w:val="nil"/>
                    <w:tr2bl w:val="nil"/>
                  </w:tcBorders>
                  <w:shd w:val="clear" w:color="auto" w:fill="auto"/>
                  <w:noWrap w:val="0"/>
                  <w:vAlign w:val="center"/>
                </w:tcPr>
                <w:p w14:paraId="42AF47E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运输</w:t>
                  </w:r>
                </w:p>
              </w:tc>
              <w:tc>
                <w:tcPr>
                  <w:tcW w:w="3107" w:type="pct"/>
                  <w:tcBorders>
                    <w:tl2br w:val="nil"/>
                    <w:tr2bl w:val="nil"/>
                  </w:tcBorders>
                  <w:shd w:val="clear" w:color="auto" w:fill="auto"/>
                  <w:noWrap w:val="0"/>
                  <w:vAlign w:val="center"/>
                </w:tcPr>
                <w:p w14:paraId="54BB4DD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eastAsia="宋体"/>
                      <w:color w:val="auto"/>
                      <w:spacing w:val="5"/>
                      <w:sz w:val="21"/>
                      <w:szCs w:val="21"/>
                      <w:highlight w:val="none"/>
                      <w:lang w:val="en-US" w:eastAsia="zh-CN"/>
                    </w:rPr>
                  </w:pPr>
                  <w:r>
                    <w:rPr>
                      <w:rFonts w:hint="default"/>
                      <w:color w:val="auto"/>
                      <w:spacing w:val="9"/>
                      <w:sz w:val="21"/>
                      <w:szCs w:val="21"/>
                      <w:highlight w:val="none"/>
                    </w:rPr>
                    <w:t>厂区内采用叉车、铲车运输；厂外采用清障车运</w:t>
                  </w:r>
                  <w:r>
                    <w:rPr>
                      <w:rFonts w:hint="default"/>
                      <w:color w:val="auto"/>
                      <w:spacing w:val="8"/>
                      <w:sz w:val="21"/>
                      <w:szCs w:val="21"/>
                      <w:highlight w:val="none"/>
                    </w:rPr>
                    <w:t>输</w:t>
                  </w:r>
                  <w:r>
                    <w:rPr>
                      <w:rFonts w:hint="eastAsia"/>
                      <w:color w:val="auto"/>
                      <w:spacing w:val="8"/>
                      <w:sz w:val="21"/>
                      <w:szCs w:val="21"/>
                      <w:highlight w:val="none"/>
                      <w:lang w:eastAsia="zh-CN"/>
                    </w:rPr>
                    <w:t>。</w:t>
                  </w:r>
                </w:p>
              </w:tc>
              <w:tc>
                <w:tcPr>
                  <w:tcW w:w="858" w:type="pct"/>
                  <w:tcBorders>
                    <w:tl2br w:val="nil"/>
                    <w:tr2bl w:val="nil"/>
                  </w:tcBorders>
                  <w:shd w:val="clear" w:color="auto" w:fill="auto"/>
                  <w:noWrap w:val="0"/>
                  <w:vAlign w:val="center"/>
                </w:tcPr>
                <w:p w14:paraId="613D43C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color w:val="auto"/>
                      <w:spacing w:val="9"/>
                      <w:sz w:val="21"/>
                      <w:szCs w:val="21"/>
                      <w:highlight w:val="none"/>
                    </w:rPr>
                  </w:pPr>
                  <w:r>
                    <w:rPr>
                      <w:rFonts w:hint="eastAsia"/>
                      <w:color w:val="auto"/>
                      <w:spacing w:val="5"/>
                      <w:sz w:val="21"/>
                      <w:szCs w:val="21"/>
                      <w:highlight w:val="none"/>
                      <w:lang w:val="en-US" w:eastAsia="zh-CN"/>
                    </w:rPr>
                    <w:t>新建</w:t>
                  </w:r>
                </w:p>
              </w:tc>
            </w:tr>
            <w:tr w14:paraId="4751F7A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7" w:type="pct"/>
                  <w:vMerge w:val="restart"/>
                  <w:tcBorders>
                    <w:tl2br w:val="nil"/>
                    <w:tr2bl w:val="nil"/>
                  </w:tcBorders>
                  <w:noWrap w:val="0"/>
                  <w:vAlign w:val="center"/>
                </w:tcPr>
                <w:p w14:paraId="4AB5534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z w:val="21"/>
                      <w:szCs w:val="21"/>
                      <w:highlight w:val="none"/>
                      <w:lang w:eastAsia="zh-CN"/>
                    </w:rPr>
                  </w:pPr>
                  <w:r>
                    <w:rPr>
                      <w:rFonts w:hint="default"/>
                      <w:color w:val="auto"/>
                      <w:spacing w:val="-3"/>
                      <w:sz w:val="21"/>
                      <w:szCs w:val="21"/>
                      <w:highlight w:val="none"/>
                    </w:rPr>
                    <w:t>公用</w:t>
                  </w:r>
                  <w:r>
                    <w:rPr>
                      <w:rFonts w:hint="eastAsia"/>
                      <w:color w:val="auto"/>
                      <w:spacing w:val="-3"/>
                      <w:sz w:val="21"/>
                      <w:szCs w:val="21"/>
                      <w:highlight w:val="none"/>
                      <w:lang w:eastAsia="zh-CN"/>
                    </w:rPr>
                    <w:t>工程</w:t>
                  </w:r>
                </w:p>
              </w:tc>
              <w:tc>
                <w:tcPr>
                  <w:tcW w:w="496" w:type="pct"/>
                  <w:tcBorders>
                    <w:tl2br w:val="nil"/>
                    <w:tr2bl w:val="nil"/>
                  </w:tcBorders>
                  <w:shd w:val="clear" w:color="auto" w:fill="auto"/>
                  <w:noWrap w:val="0"/>
                  <w:vAlign w:val="center"/>
                </w:tcPr>
                <w:p w14:paraId="5742320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en-US" w:bidi="ar-SA"/>
                    </w:rPr>
                  </w:pPr>
                  <w:r>
                    <w:rPr>
                      <w:rFonts w:hint="eastAsia" w:cs="宋体"/>
                      <w:color w:val="auto"/>
                      <w:kern w:val="2"/>
                      <w:sz w:val="21"/>
                      <w:szCs w:val="21"/>
                      <w:highlight w:val="none"/>
                      <w:lang w:val="en-US" w:eastAsia="zh-CN" w:bidi="ar-SA"/>
                    </w:rPr>
                    <w:t>供水</w:t>
                  </w:r>
                </w:p>
              </w:tc>
              <w:tc>
                <w:tcPr>
                  <w:tcW w:w="3107" w:type="pct"/>
                  <w:tcBorders>
                    <w:tl2br w:val="nil"/>
                    <w:tr2bl w:val="nil"/>
                  </w:tcBorders>
                  <w:shd w:val="clear" w:color="auto" w:fill="auto"/>
                  <w:noWrap w:val="0"/>
                  <w:vAlign w:val="center"/>
                </w:tcPr>
                <w:p w14:paraId="26E761B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由市政供水管网提供。</w:t>
                  </w:r>
                </w:p>
              </w:tc>
              <w:tc>
                <w:tcPr>
                  <w:tcW w:w="858" w:type="pct"/>
                  <w:tcBorders>
                    <w:tl2br w:val="nil"/>
                    <w:tr2bl w:val="nil"/>
                  </w:tcBorders>
                  <w:shd w:val="clear" w:color="auto" w:fill="auto"/>
                  <w:noWrap w:val="0"/>
                  <w:vAlign w:val="center"/>
                </w:tcPr>
                <w:p w14:paraId="1B21580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依托</w:t>
                  </w:r>
                </w:p>
              </w:tc>
            </w:tr>
            <w:tr w14:paraId="4824BAD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7" w:type="pct"/>
                  <w:vMerge w:val="continue"/>
                  <w:tcBorders>
                    <w:tl2br w:val="nil"/>
                    <w:tr2bl w:val="nil"/>
                  </w:tcBorders>
                  <w:noWrap w:val="0"/>
                  <w:vAlign w:val="center"/>
                </w:tcPr>
                <w:p w14:paraId="2F6DED1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lang w:eastAsia="zh-CN"/>
                    </w:rPr>
                  </w:pPr>
                </w:p>
              </w:tc>
              <w:tc>
                <w:tcPr>
                  <w:tcW w:w="496" w:type="pct"/>
                  <w:tcBorders>
                    <w:tl2br w:val="nil"/>
                    <w:tr2bl w:val="nil"/>
                  </w:tcBorders>
                  <w:shd w:val="clear" w:color="auto" w:fill="auto"/>
                  <w:noWrap w:val="0"/>
                  <w:vAlign w:val="center"/>
                </w:tcPr>
                <w:p w14:paraId="050E6F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供电</w:t>
                  </w:r>
                </w:p>
              </w:tc>
              <w:tc>
                <w:tcPr>
                  <w:tcW w:w="3107" w:type="pct"/>
                  <w:tcBorders>
                    <w:tl2br w:val="nil"/>
                    <w:tr2bl w:val="nil"/>
                  </w:tcBorders>
                  <w:shd w:val="clear" w:color="auto" w:fill="auto"/>
                  <w:noWrap w:val="0"/>
                  <w:vAlign w:val="center"/>
                </w:tcPr>
                <w:p w14:paraId="79DB42C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由市政电网提供。</w:t>
                  </w:r>
                </w:p>
              </w:tc>
              <w:tc>
                <w:tcPr>
                  <w:tcW w:w="858" w:type="pct"/>
                  <w:tcBorders>
                    <w:tl2br w:val="nil"/>
                    <w:tr2bl w:val="nil"/>
                  </w:tcBorders>
                  <w:shd w:val="clear" w:color="auto" w:fill="auto"/>
                  <w:noWrap w:val="0"/>
                  <w:vAlign w:val="center"/>
                </w:tcPr>
                <w:p w14:paraId="6FF4A76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依托</w:t>
                  </w:r>
                </w:p>
              </w:tc>
            </w:tr>
            <w:tr w14:paraId="6660FD4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37" w:type="pct"/>
                  <w:vMerge w:val="continue"/>
                  <w:tcBorders>
                    <w:tl2br w:val="nil"/>
                    <w:tr2bl w:val="nil"/>
                  </w:tcBorders>
                  <w:noWrap w:val="0"/>
                  <w:vAlign w:val="center"/>
                </w:tcPr>
                <w:p w14:paraId="6F1C100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lang w:eastAsia="zh-CN"/>
                    </w:rPr>
                  </w:pPr>
                </w:p>
              </w:tc>
              <w:tc>
                <w:tcPr>
                  <w:tcW w:w="496" w:type="pct"/>
                  <w:tcBorders>
                    <w:tl2br w:val="nil"/>
                    <w:tr2bl w:val="nil"/>
                  </w:tcBorders>
                  <w:shd w:val="clear" w:color="auto" w:fill="auto"/>
                  <w:noWrap w:val="0"/>
                  <w:vAlign w:val="center"/>
                </w:tcPr>
                <w:p w14:paraId="61908CB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供热</w:t>
                  </w:r>
                </w:p>
              </w:tc>
              <w:tc>
                <w:tcPr>
                  <w:tcW w:w="3107" w:type="pct"/>
                  <w:tcBorders>
                    <w:tl2br w:val="nil"/>
                    <w:tr2bl w:val="nil"/>
                  </w:tcBorders>
                  <w:shd w:val="clear" w:color="auto" w:fill="auto"/>
                  <w:noWrap w:val="0"/>
                  <w:vAlign w:val="center"/>
                </w:tcPr>
                <w:p w14:paraId="3E97252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生产车间无需供暖，办公室采用电取暖。</w:t>
                  </w:r>
                </w:p>
              </w:tc>
              <w:tc>
                <w:tcPr>
                  <w:tcW w:w="858" w:type="pct"/>
                  <w:tcBorders>
                    <w:tl2br w:val="nil"/>
                    <w:tr2bl w:val="nil"/>
                  </w:tcBorders>
                  <w:shd w:val="clear" w:color="auto" w:fill="auto"/>
                  <w:noWrap w:val="0"/>
                  <w:vAlign w:val="center"/>
                </w:tcPr>
                <w:p w14:paraId="2EC1D32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依托</w:t>
                  </w:r>
                </w:p>
              </w:tc>
            </w:tr>
            <w:tr w14:paraId="6F247CE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37" w:type="pct"/>
                  <w:vMerge w:val="continue"/>
                  <w:tcBorders>
                    <w:tl2br w:val="nil"/>
                    <w:tr2bl w:val="nil"/>
                  </w:tcBorders>
                  <w:noWrap w:val="0"/>
                  <w:vAlign w:val="center"/>
                </w:tcPr>
                <w:p w14:paraId="2E98A03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lang w:eastAsia="zh-CN"/>
                    </w:rPr>
                  </w:pPr>
                </w:p>
              </w:tc>
              <w:tc>
                <w:tcPr>
                  <w:tcW w:w="496" w:type="pct"/>
                  <w:tcBorders>
                    <w:tl2br w:val="nil"/>
                    <w:tr2bl w:val="nil"/>
                  </w:tcBorders>
                  <w:shd w:val="clear" w:color="auto" w:fill="auto"/>
                  <w:noWrap w:val="0"/>
                  <w:vAlign w:val="center"/>
                </w:tcPr>
                <w:p w14:paraId="107EFA4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eastAsia"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排水</w:t>
                  </w:r>
                </w:p>
              </w:tc>
              <w:tc>
                <w:tcPr>
                  <w:tcW w:w="3107" w:type="pct"/>
                  <w:tcBorders>
                    <w:tl2br w:val="nil"/>
                    <w:tr2bl w:val="nil"/>
                  </w:tcBorders>
                  <w:shd w:val="clear" w:color="auto" w:fill="auto"/>
                  <w:noWrap w:val="0"/>
                  <w:vAlign w:val="center"/>
                </w:tcPr>
                <w:p w14:paraId="38ECB6A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厂区排水雨污分流。初期雨水经初期雨水池（50m</w:t>
                  </w:r>
                  <w:r>
                    <w:rPr>
                      <w:rFonts w:hint="eastAsia" w:cs="宋体"/>
                      <w:color w:val="auto"/>
                      <w:kern w:val="2"/>
                      <w:sz w:val="21"/>
                      <w:szCs w:val="21"/>
                      <w:highlight w:val="none"/>
                      <w:vertAlign w:val="superscript"/>
                      <w:lang w:val="en-US" w:eastAsia="zh-CN" w:bidi="ar-SA"/>
                    </w:rPr>
                    <w:t>3）</w:t>
                  </w:r>
                  <w:r>
                    <w:rPr>
                      <w:rFonts w:hint="eastAsia" w:cs="宋体"/>
                      <w:color w:val="auto"/>
                      <w:kern w:val="2"/>
                      <w:sz w:val="21"/>
                      <w:szCs w:val="21"/>
                      <w:highlight w:val="none"/>
                      <w:lang w:val="en-US" w:eastAsia="zh-CN" w:bidi="ar-SA"/>
                    </w:rPr>
                    <w:t>收集后，经厂区内污水处理设施（处理工艺为：</w:t>
                  </w:r>
                  <w:r>
                    <w:rPr>
                      <w:rFonts w:hint="default" w:ascii="Times New Roman" w:hAnsi="Times New Roman" w:eastAsia="宋体" w:cs="Times New Roman"/>
                      <w:color w:val="auto"/>
                      <w:kern w:val="0"/>
                      <w:sz w:val="21"/>
                      <w:szCs w:val="21"/>
                      <w:highlight w:val="none"/>
                      <w:lang w:bidi="ar"/>
                    </w:rPr>
                    <w:t>均质+隔油池+絮凝+沉淀</w:t>
                  </w:r>
                  <w:r>
                    <w:rPr>
                      <w:rFonts w:hint="eastAsia" w:cs="Times New Roman"/>
                      <w:color w:val="auto"/>
                      <w:kern w:val="0"/>
                      <w:sz w:val="21"/>
                      <w:szCs w:val="21"/>
                      <w:highlight w:val="none"/>
                      <w:lang w:eastAsia="zh-CN" w:bidi="ar"/>
                    </w:rPr>
                    <w:t>，</w:t>
                  </w:r>
                  <w:r>
                    <w:rPr>
                      <w:rFonts w:hint="default"/>
                      <w:color w:val="auto"/>
                      <w:spacing w:val="-2"/>
                      <w:sz w:val="21"/>
                      <w:szCs w:val="21"/>
                    </w:rPr>
                    <w:t>污</w:t>
                  </w:r>
                  <w:r>
                    <w:rPr>
                      <w:rFonts w:hint="default"/>
                      <w:color w:val="auto"/>
                      <w:spacing w:val="-3"/>
                      <w:sz w:val="21"/>
                      <w:szCs w:val="21"/>
                    </w:rPr>
                    <w:t>水处理设施设计处理能力为</w:t>
                  </w:r>
                  <w:r>
                    <w:rPr>
                      <w:rFonts w:hint="eastAsia" w:ascii="Times New Roman" w:hAnsi="Times New Roman" w:eastAsia="宋体" w:cs="Times New Roman"/>
                      <w:color w:val="auto"/>
                      <w:spacing w:val="-3"/>
                      <w:sz w:val="21"/>
                      <w:szCs w:val="21"/>
                      <w:lang w:val="en-US" w:eastAsia="zh-CN"/>
                    </w:rPr>
                    <w:t>3</w:t>
                  </w:r>
                  <w:r>
                    <w:rPr>
                      <w:rFonts w:hint="default" w:ascii="Times New Roman" w:hAnsi="Times New Roman" w:eastAsia="Times New Roman" w:cs="Times New Roman"/>
                      <w:color w:val="auto"/>
                      <w:spacing w:val="-3"/>
                      <w:sz w:val="21"/>
                      <w:szCs w:val="21"/>
                    </w:rPr>
                    <w:t>m</w:t>
                  </w:r>
                  <w:r>
                    <w:rPr>
                      <w:rFonts w:hint="eastAsia" w:eastAsia="宋体" w:cs="Times New Roman"/>
                      <w:color w:val="auto"/>
                      <w:spacing w:val="-3"/>
                      <w:sz w:val="21"/>
                      <w:szCs w:val="21"/>
                      <w:vertAlign w:val="superscript"/>
                      <w:lang w:val="en-US" w:eastAsia="zh-CN"/>
                    </w:rPr>
                    <w:t>3</w:t>
                  </w:r>
                  <w:r>
                    <w:rPr>
                      <w:rFonts w:hint="default" w:ascii="Times New Roman" w:hAnsi="Times New Roman" w:eastAsia="Times New Roman" w:cs="Times New Roman"/>
                      <w:color w:val="auto"/>
                      <w:spacing w:val="-3"/>
                      <w:sz w:val="21"/>
                      <w:szCs w:val="21"/>
                    </w:rPr>
                    <w:t>/h</w:t>
                  </w:r>
                  <w:r>
                    <w:rPr>
                      <w:rFonts w:hint="eastAsia" w:cs="Times New Roman"/>
                      <w:color w:val="auto"/>
                      <w:spacing w:val="-3"/>
                      <w:sz w:val="21"/>
                      <w:szCs w:val="21"/>
                      <w:lang w:eastAsia="zh-CN"/>
                    </w:rPr>
                    <w:t>）</w:t>
                  </w:r>
                  <w:r>
                    <w:rPr>
                      <w:rFonts w:hint="eastAsia" w:cs="宋体"/>
                      <w:color w:val="auto"/>
                      <w:kern w:val="2"/>
                      <w:sz w:val="21"/>
                      <w:szCs w:val="21"/>
                      <w:highlight w:val="none"/>
                      <w:lang w:val="en-US" w:eastAsia="zh-CN" w:bidi="ar-SA"/>
                    </w:rPr>
                    <w:t>处理后，由市政污水管网排入阜新市北控水务有限公司污水处理厂集中处理后排放；食堂废水经隔油池（5m</w:t>
                  </w:r>
                  <w:r>
                    <w:rPr>
                      <w:rFonts w:hint="eastAsia" w:cs="宋体"/>
                      <w:color w:val="auto"/>
                      <w:kern w:val="2"/>
                      <w:sz w:val="21"/>
                      <w:szCs w:val="21"/>
                      <w:highlight w:val="none"/>
                      <w:vertAlign w:val="superscript"/>
                      <w:lang w:val="en-US" w:eastAsia="zh-CN" w:bidi="ar-SA"/>
                    </w:rPr>
                    <w:t>3</w:t>
                  </w:r>
                  <w:r>
                    <w:rPr>
                      <w:rFonts w:hint="eastAsia" w:cs="宋体"/>
                      <w:color w:val="auto"/>
                      <w:kern w:val="2"/>
                      <w:sz w:val="21"/>
                      <w:szCs w:val="21"/>
                      <w:highlight w:val="none"/>
                      <w:lang w:val="en-US" w:eastAsia="zh-CN" w:bidi="ar-SA"/>
                    </w:rPr>
                    <w:t>）处理后，与生活污水经化粪池处理后，由市政污水管网排入阜新市北控水务有限公司污水处理厂集中处理。</w:t>
                  </w:r>
                </w:p>
              </w:tc>
              <w:tc>
                <w:tcPr>
                  <w:tcW w:w="858" w:type="pct"/>
                  <w:tcBorders>
                    <w:tl2br w:val="nil"/>
                    <w:tr2bl w:val="nil"/>
                  </w:tcBorders>
                  <w:shd w:val="clear" w:color="auto" w:fill="auto"/>
                  <w:noWrap w:val="0"/>
                  <w:vAlign w:val="center"/>
                </w:tcPr>
                <w:p w14:paraId="4668944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新建</w:t>
                  </w:r>
                </w:p>
              </w:tc>
            </w:tr>
            <w:tr w14:paraId="7C5451D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4" w:hRule="atLeast"/>
              </w:trPr>
              <w:tc>
                <w:tcPr>
                  <w:tcW w:w="537" w:type="pct"/>
                  <w:vMerge w:val="restart"/>
                  <w:tcBorders>
                    <w:tl2br w:val="nil"/>
                    <w:tr2bl w:val="nil"/>
                  </w:tcBorders>
                  <w:noWrap w:val="0"/>
                  <w:vAlign w:val="center"/>
                </w:tcPr>
                <w:p w14:paraId="28CDDE4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3"/>
                      <w:sz w:val="21"/>
                      <w:szCs w:val="21"/>
                      <w:highlight w:val="none"/>
                      <w:lang w:eastAsia="zh-CN"/>
                    </w:rPr>
                  </w:pPr>
                  <w:r>
                    <w:rPr>
                      <w:rFonts w:hint="default"/>
                      <w:color w:val="auto"/>
                      <w:spacing w:val="4"/>
                      <w:sz w:val="21"/>
                      <w:szCs w:val="21"/>
                      <w:highlight w:val="none"/>
                    </w:rPr>
                    <w:t>环保</w:t>
                  </w:r>
                  <w:r>
                    <w:rPr>
                      <w:rFonts w:hint="default"/>
                      <w:color w:val="auto"/>
                      <w:spacing w:val="3"/>
                      <w:sz w:val="21"/>
                      <w:szCs w:val="21"/>
                      <w:highlight w:val="none"/>
                    </w:rPr>
                    <w:t>工程</w:t>
                  </w:r>
                </w:p>
              </w:tc>
              <w:tc>
                <w:tcPr>
                  <w:tcW w:w="496" w:type="pct"/>
                  <w:tcBorders>
                    <w:tl2br w:val="nil"/>
                    <w:tr2bl w:val="nil"/>
                  </w:tcBorders>
                  <w:noWrap w:val="0"/>
                  <w:vAlign w:val="center"/>
                </w:tcPr>
                <w:p w14:paraId="5341A05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宋体"/>
                      <w:color w:val="auto"/>
                      <w:spacing w:val="8"/>
                      <w:sz w:val="21"/>
                      <w:szCs w:val="21"/>
                      <w:highlight w:val="none"/>
                      <w:lang w:eastAsia="zh-CN"/>
                    </w:rPr>
                  </w:pPr>
                  <w:r>
                    <w:rPr>
                      <w:rFonts w:hint="eastAsia" w:ascii="Times New Roman" w:hAnsi="Times New Roman" w:eastAsia="宋体" w:cs="宋体"/>
                      <w:color w:val="auto"/>
                      <w:spacing w:val="8"/>
                      <w:sz w:val="21"/>
                      <w:szCs w:val="21"/>
                      <w:highlight w:val="none"/>
                      <w:lang w:eastAsia="zh-CN"/>
                    </w:rPr>
                    <w:t>废水</w:t>
                  </w:r>
                </w:p>
              </w:tc>
              <w:tc>
                <w:tcPr>
                  <w:tcW w:w="3107" w:type="pct"/>
                  <w:tcBorders>
                    <w:tl2br w:val="nil"/>
                    <w:tr2bl w:val="nil"/>
                  </w:tcBorders>
                  <w:noWrap w:val="0"/>
                  <w:vAlign w:val="center"/>
                </w:tcPr>
                <w:p w14:paraId="46E96EE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ascii="Times New Roman" w:hAnsi="Times New Roman" w:eastAsia="宋体" w:cs="宋体"/>
                      <w:color w:val="auto"/>
                      <w:spacing w:val="8"/>
                      <w:sz w:val="21"/>
                      <w:szCs w:val="21"/>
                      <w:highlight w:val="none"/>
                      <w:lang w:val="en-US" w:eastAsia="zh-CN"/>
                    </w:rPr>
                  </w:pPr>
                  <w:r>
                    <w:rPr>
                      <w:rFonts w:hint="eastAsia" w:cs="宋体"/>
                      <w:color w:val="auto"/>
                      <w:kern w:val="2"/>
                      <w:sz w:val="21"/>
                      <w:szCs w:val="21"/>
                      <w:highlight w:val="none"/>
                      <w:lang w:val="en-US" w:eastAsia="zh-CN" w:bidi="ar-SA"/>
                    </w:rPr>
                    <w:t>厂区排水雨污分流。初期雨水经初期雨水池（50m</w:t>
                  </w:r>
                  <w:r>
                    <w:rPr>
                      <w:rFonts w:hint="eastAsia" w:cs="宋体"/>
                      <w:color w:val="auto"/>
                      <w:kern w:val="2"/>
                      <w:sz w:val="21"/>
                      <w:szCs w:val="21"/>
                      <w:highlight w:val="none"/>
                      <w:vertAlign w:val="superscript"/>
                      <w:lang w:val="en-US" w:eastAsia="zh-CN" w:bidi="ar-SA"/>
                    </w:rPr>
                    <w:t>3）</w:t>
                  </w:r>
                  <w:r>
                    <w:rPr>
                      <w:rFonts w:hint="eastAsia" w:cs="宋体"/>
                      <w:color w:val="auto"/>
                      <w:kern w:val="2"/>
                      <w:sz w:val="21"/>
                      <w:szCs w:val="21"/>
                      <w:highlight w:val="none"/>
                      <w:lang w:val="en-US" w:eastAsia="zh-CN" w:bidi="ar-SA"/>
                    </w:rPr>
                    <w:t>收集后，经厂区内污水处理设施（处理工艺为：</w:t>
                  </w:r>
                  <w:r>
                    <w:rPr>
                      <w:rFonts w:hint="default" w:ascii="Times New Roman" w:hAnsi="Times New Roman" w:eastAsia="宋体" w:cs="Times New Roman"/>
                      <w:color w:val="auto"/>
                      <w:kern w:val="0"/>
                      <w:sz w:val="21"/>
                      <w:szCs w:val="21"/>
                      <w:highlight w:val="none"/>
                      <w:lang w:bidi="ar"/>
                    </w:rPr>
                    <w:t>均质+隔油池+絮凝+沉淀</w:t>
                  </w:r>
                  <w:r>
                    <w:rPr>
                      <w:rFonts w:hint="eastAsia" w:cs="Times New Roman"/>
                      <w:color w:val="auto"/>
                      <w:kern w:val="0"/>
                      <w:sz w:val="21"/>
                      <w:szCs w:val="21"/>
                      <w:highlight w:val="none"/>
                      <w:lang w:eastAsia="zh-CN" w:bidi="ar"/>
                    </w:rPr>
                    <w:t>，</w:t>
                  </w:r>
                  <w:r>
                    <w:rPr>
                      <w:rFonts w:hint="default"/>
                      <w:color w:val="auto"/>
                      <w:spacing w:val="-2"/>
                      <w:sz w:val="21"/>
                      <w:szCs w:val="21"/>
                    </w:rPr>
                    <w:t>污</w:t>
                  </w:r>
                  <w:r>
                    <w:rPr>
                      <w:rFonts w:hint="default"/>
                      <w:color w:val="auto"/>
                      <w:spacing w:val="-3"/>
                      <w:sz w:val="21"/>
                      <w:szCs w:val="21"/>
                    </w:rPr>
                    <w:t>水处理设施设计处理能力为</w:t>
                  </w:r>
                  <w:r>
                    <w:rPr>
                      <w:rFonts w:hint="eastAsia" w:ascii="Times New Roman" w:hAnsi="Times New Roman" w:eastAsia="宋体" w:cs="Times New Roman"/>
                      <w:color w:val="auto"/>
                      <w:spacing w:val="-3"/>
                      <w:sz w:val="21"/>
                      <w:szCs w:val="21"/>
                      <w:lang w:val="en-US" w:eastAsia="zh-CN"/>
                    </w:rPr>
                    <w:t>3</w:t>
                  </w:r>
                  <w:r>
                    <w:rPr>
                      <w:rFonts w:hint="default" w:ascii="Times New Roman" w:hAnsi="Times New Roman" w:eastAsia="Times New Roman" w:cs="Times New Roman"/>
                      <w:color w:val="auto"/>
                      <w:spacing w:val="-3"/>
                      <w:sz w:val="21"/>
                      <w:szCs w:val="21"/>
                    </w:rPr>
                    <w:t>m</w:t>
                  </w:r>
                  <w:r>
                    <w:rPr>
                      <w:rFonts w:hint="eastAsia" w:eastAsia="宋体" w:cs="Times New Roman"/>
                      <w:color w:val="auto"/>
                      <w:spacing w:val="-3"/>
                      <w:sz w:val="21"/>
                      <w:szCs w:val="21"/>
                      <w:vertAlign w:val="superscript"/>
                      <w:lang w:val="en-US" w:eastAsia="zh-CN"/>
                    </w:rPr>
                    <w:t>3</w:t>
                  </w:r>
                  <w:r>
                    <w:rPr>
                      <w:rFonts w:hint="default" w:ascii="Times New Roman" w:hAnsi="Times New Roman" w:eastAsia="Times New Roman" w:cs="Times New Roman"/>
                      <w:color w:val="auto"/>
                      <w:spacing w:val="-3"/>
                      <w:sz w:val="21"/>
                      <w:szCs w:val="21"/>
                    </w:rPr>
                    <w:t>/h</w:t>
                  </w:r>
                  <w:r>
                    <w:rPr>
                      <w:rFonts w:hint="eastAsia" w:cs="Times New Roman"/>
                      <w:color w:val="auto"/>
                      <w:spacing w:val="-3"/>
                      <w:sz w:val="21"/>
                      <w:szCs w:val="21"/>
                      <w:lang w:eastAsia="zh-CN"/>
                    </w:rPr>
                    <w:t>）</w:t>
                  </w:r>
                  <w:r>
                    <w:rPr>
                      <w:rFonts w:hint="eastAsia" w:cs="宋体"/>
                      <w:color w:val="auto"/>
                      <w:kern w:val="2"/>
                      <w:sz w:val="21"/>
                      <w:szCs w:val="21"/>
                      <w:highlight w:val="none"/>
                      <w:lang w:val="en-US" w:eastAsia="zh-CN" w:bidi="ar-SA"/>
                    </w:rPr>
                    <w:t>处理后，由市政污水管网排入阜新市北控水务有限公司污水处理厂集中处理后排放；食堂废水经隔油池（5m</w:t>
                  </w:r>
                  <w:r>
                    <w:rPr>
                      <w:rFonts w:hint="eastAsia" w:cs="宋体"/>
                      <w:color w:val="auto"/>
                      <w:kern w:val="2"/>
                      <w:sz w:val="21"/>
                      <w:szCs w:val="21"/>
                      <w:highlight w:val="none"/>
                      <w:vertAlign w:val="superscript"/>
                      <w:lang w:val="en-US" w:eastAsia="zh-CN" w:bidi="ar-SA"/>
                    </w:rPr>
                    <w:t>3</w:t>
                  </w:r>
                  <w:r>
                    <w:rPr>
                      <w:rFonts w:hint="eastAsia" w:cs="宋体"/>
                      <w:color w:val="auto"/>
                      <w:kern w:val="2"/>
                      <w:sz w:val="21"/>
                      <w:szCs w:val="21"/>
                      <w:highlight w:val="none"/>
                      <w:lang w:val="en-US" w:eastAsia="zh-CN" w:bidi="ar-SA"/>
                    </w:rPr>
                    <w:t>）处理后，与生活污水经化粪池（20</w:t>
                  </w:r>
                  <w:r>
                    <w:rPr>
                      <w:rFonts w:hint="eastAsia" w:cs="宋体"/>
                      <w:color w:val="auto"/>
                      <w:kern w:val="2"/>
                      <w:sz w:val="21"/>
                      <w:szCs w:val="21"/>
                      <w:highlight w:val="none"/>
                      <w:vertAlign w:val="baseline"/>
                      <w:lang w:val="en-US" w:eastAsia="zh-CN" w:bidi="ar-SA"/>
                    </w:rPr>
                    <w:t>m</w:t>
                  </w:r>
                  <w:r>
                    <w:rPr>
                      <w:rFonts w:hint="eastAsia" w:cs="宋体"/>
                      <w:color w:val="auto"/>
                      <w:kern w:val="2"/>
                      <w:sz w:val="21"/>
                      <w:szCs w:val="21"/>
                      <w:highlight w:val="none"/>
                      <w:vertAlign w:val="superscript"/>
                      <w:lang w:val="en-US" w:eastAsia="zh-CN" w:bidi="ar-SA"/>
                    </w:rPr>
                    <w:t>3</w:t>
                  </w:r>
                  <w:r>
                    <w:rPr>
                      <w:rFonts w:hint="eastAsia" w:cs="宋体"/>
                      <w:color w:val="auto"/>
                      <w:kern w:val="2"/>
                      <w:sz w:val="21"/>
                      <w:szCs w:val="21"/>
                      <w:highlight w:val="none"/>
                      <w:lang w:val="en-US" w:eastAsia="zh-CN" w:bidi="ar-SA"/>
                    </w:rPr>
                    <w:t>）处理后，由市政污水管网排入阜新市北控水务有限公司污水处理厂集中处理。</w:t>
                  </w:r>
                </w:p>
              </w:tc>
              <w:tc>
                <w:tcPr>
                  <w:tcW w:w="858" w:type="pct"/>
                  <w:tcBorders>
                    <w:tl2br w:val="nil"/>
                    <w:tr2bl w:val="nil"/>
                  </w:tcBorders>
                  <w:noWrap w:val="0"/>
                  <w:vAlign w:val="center"/>
                </w:tcPr>
                <w:p w14:paraId="0A4D3D9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新建</w:t>
                  </w:r>
                </w:p>
              </w:tc>
            </w:tr>
            <w:tr w14:paraId="1F05276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97" w:hRule="atLeast"/>
              </w:trPr>
              <w:tc>
                <w:tcPr>
                  <w:tcW w:w="537" w:type="pct"/>
                  <w:vMerge w:val="continue"/>
                  <w:tcBorders>
                    <w:tl2br w:val="nil"/>
                    <w:tr2bl w:val="nil"/>
                  </w:tcBorders>
                  <w:noWrap w:val="0"/>
                  <w:vAlign w:val="center"/>
                </w:tcPr>
                <w:p w14:paraId="3ACC639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4"/>
                      <w:sz w:val="21"/>
                      <w:szCs w:val="21"/>
                      <w:highlight w:val="none"/>
                    </w:rPr>
                  </w:pPr>
                </w:p>
              </w:tc>
              <w:tc>
                <w:tcPr>
                  <w:tcW w:w="496" w:type="pct"/>
                  <w:tcBorders>
                    <w:tl2br w:val="nil"/>
                    <w:tr2bl w:val="nil"/>
                  </w:tcBorders>
                  <w:noWrap w:val="0"/>
                  <w:vAlign w:val="center"/>
                </w:tcPr>
                <w:p w14:paraId="16A5CBB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spacing w:val="8"/>
                      <w:sz w:val="21"/>
                      <w:szCs w:val="21"/>
                      <w:highlight w:val="none"/>
                      <w:lang w:val="en-US" w:eastAsia="zh-CN"/>
                    </w:rPr>
                  </w:pPr>
                  <w:r>
                    <w:rPr>
                      <w:rFonts w:hint="eastAsia" w:ascii="Times New Roman" w:hAnsi="Times New Roman" w:eastAsia="宋体" w:cs="宋体"/>
                      <w:color w:val="auto"/>
                      <w:spacing w:val="8"/>
                      <w:sz w:val="21"/>
                      <w:szCs w:val="21"/>
                      <w:highlight w:val="none"/>
                      <w:lang w:val="en-US" w:eastAsia="zh-CN"/>
                    </w:rPr>
                    <w:t>废气</w:t>
                  </w:r>
                </w:p>
              </w:tc>
              <w:tc>
                <w:tcPr>
                  <w:tcW w:w="3107" w:type="pct"/>
                  <w:tcBorders>
                    <w:tl2br w:val="nil"/>
                    <w:tr2bl w:val="nil"/>
                  </w:tcBorders>
                  <w:noWrap w:val="0"/>
                  <w:vAlign w:val="center"/>
                </w:tcPr>
                <w:p w14:paraId="57273CE6">
                  <w:pPr>
                    <w:pStyle w:val="73"/>
                    <w:keepNext w:val="0"/>
                    <w:keepLines w:val="0"/>
                    <w:suppressLineNumbers w:val="0"/>
                    <w:spacing w:before="51" w:beforeAutospacing="0" w:after="0" w:afterAutospacing="0" w:line="227" w:lineRule="auto"/>
                    <w:ind w:left="0" w:leftChars="0" w:right="0" w:firstLine="0" w:firstLineChars="0"/>
                    <w:rPr>
                      <w:rFonts w:hint="default" w:ascii="Times New Roman" w:hAnsi="Times New Roman" w:eastAsia="宋体" w:cs="Times New Roman"/>
                      <w:color w:val="auto"/>
                      <w:spacing w:val="6"/>
                      <w:sz w:val="21"/>
                      <w:szCs w:val="21"/>
                      <w:highlight w:val="none"/>
                      <w:lang w:eastAsia="zh-CN"/>
                    </w:rPr>
                  </w:pPr>
                  <w:r>
                    <w:rPr>
                      <w:rFonts w:hint="eastAsia"/>
                      <w:color w:val="auto"/>
                      <w:spacing w:val="9"/>
                      <w:sz w:val="21"/>
                      <w:szCs w:val="21"/>
                      <w:highlight w:val="none"/>
                      <w:lang w:val="en-US" w:eastAsia="zh-CN"/>
                    </w:rPr>
                    <w:t>①废油液</w:t>
                  </w:r>
                  <w:r>
                    <w:rPr>
                      <w:rFonts w:hint="default"/>
                      <w:color w:val="auto"/>
                      <w:spacing w:val="9"/>
                      <w:sz w:val="21"/>
                      <w:szCs w:val="21"/>
                      <w:highlight w:val="none"/>
                    </w:rPr>
                    <w:t>抽取、制冷剂回收工位上方设置集气罩，</w:t>
                  </w:r>
                  <w:r>
                    <w:rPr>
                      <w:rFonts w:hint="eastAsia"/>
                      <w:color w:val="auto"/>
                      <w:spacing w:val="9"/>
                      <w:sz w:val="21"/>
                      <w:szCs w:val="21"/>
                      <w:highlight w:val="none"/>
                      <w:lang w:val="en-US" w:eastAsia="zh-CN"/>
                    </w:rPr>
                    <w:t>危废库内部设置集气罩，</w:t>
                  </w:r>
                  <w:r>
                    <w:rPr>
                      <w:rFonts w:hint="default"/>
                      <w:color w:val="auto"/>
                      <w:spacing w:val="9"/>
                      <w:sz w:val="21"/>
                      <w:szCs w:val="21"/>
                      <w:highlight w:val="none"/>
                    </w:rPr>
                    <w:t>有机废气</w:t>
                  </w:r>
                  <w:r>
                    <w:rPr>
                      <w:rFonts w:hint="eastAsia"/>
                      <w:color w:val="auto"/>
                      <w:spacing w:val="7"/>
                      <w:sz w:val="21"/>
                      <w:szCs w:val="21"/>
                      <w:highlight w:val="none"/>
                      <w:lang w:val="en-US" w:eastAsia="zh-CN"/>
                    </w:rPr>
                    <w:t>经集气罩</w:t>
                  </w:r>
                  <w:r>
                    <w:rPr>
                      <w:rFonts w:hint="default"/>
                      <w:color w:val="auto"/>
                      <w:spacing w:val="7"/>
                      <w:sz w:val="21"/>
                      <w:szCs w:val="21"/>
                      <w:highlight w:val="none"/>
                    </w:rPr>
                    <w:t>收集后经二级活性炭吸附箱处理，由</w:t>
                  </w:r>
                  <w:r>
                    <w:rPr>
                      <w:rFonts w:hint="default" w:ascii="Times New Roman" w:hAnsi="Times New Roman" w:eastAsia="Times New Roman" w:cs="Times New Roman"/>
                      <w:color w:val="auto"/>
                      <w:spacing w:val="7"/>
                      <w:sz w:val="21"/>
                      <w:szCs w:val="21"/>
                      <w:highlight w:val="none"/>
                    </w:rPr>
                    <w:t>1</w:t>
                  </w:r>
                  <w:r>
                    <w:rPr>
                      <w:rFonts w:hint="default"/>
                      <w:color w:val="auto"/>
                      <w:spacing w:val="7"/>
                      <w:sz w:val="21"/>
                      <w:szCs w:val="21"/>
                      <w:highlight w:val="none"/>
                    </w:rPr>
                    <w:t>根</w:t>
                  </w:r>
                  <w:r>
                    <w:rPr>
                      <w:rFonts w:hint="default" w:ascii="Times New Roman" w:hAnsi="Times New Roman" w:cs="Times New Roman"/>
                      <w:color w:val="auto"/>
                      <w:spacing w:val="7"/>
                      <w:sz w:val="21"/>
                      <w:szCs w:val="21"/>
                      <w:highlight w:val="none"/>
                      <w:lang w:val="en-US" w:eastAsia="zh-CN"/>
                    </w:rPr>
                    <w:t>24</w:t>
                  </w:r>
                  <w:r>
                    <w:rPr>
                      <w:rFonts w:hint="default" w:ascii="Times New Roman" w:hAnsi="Times New Roman" w:eastAsia="Times New Roman" w:cs="Times New Roman"/>
                      <w:color w:val="auto"/>
                      <w:spacing w:val="6"/>
                      <w:sz w:val="21"/>
                      <w:szCs w:val="21"/>
                      <w:highlight w:val="none"/>
                    </w:rPr>
                    <w:t>m</w:t>
                  </w:r>
                  <w:r>
                    <w:rPr>
                      <w:rFonts w:hint="default" w:ascii="Times New Roman" w:hAnsi="Times New Roman" w:cs="Times New Roman"/>
                      <w:color w:val="auto"/>
                      <w:spacing w:val="6"/>
                      <w:sz w:val="21"/>
                      <w:szCs w:val="21"/>
                      <w:highlight w:val="none"/>
                    </w:rPr>
                    <w:t>高排气筒</w:t>
                  </w:r>
                  <w:r>
                    <w:rPr>
                      <w:rFonts w:hint="default" w:ascii="Times New Roman" w:hAnsi="Times New Roman" w:cs="Times New Roman"/>
                      <w:color w:val="auto"/>
                      <w:spacing w:val="6"/>
                      <w:sz w:val="21"/>
                      <w:szCs w:val="21"/>
                      <w:highlight w:val="none"/>
                      <w:lang w:val="en-US" w:eastAsia="zh-CN"/>
                    </w:rPr>
                    <w:t>DA001</w:t>
                  </w:r>
                  <w:r>
                    <w:rPr>
                      <w:rFonts w:hint="default" w:ascii="Times New Roman" w:hAnsi="Times New Roman" w:cs="Times New Roman"/>
                      <w:color w:val="auto"/>
                      <w:spacing w:val="6"/>
                      <w:sz w:val="21"/>
                      <w:szCs w:val="21"/>
                      <w:highlight w:val="none"/>
                    </w:rPr>
                    <w:t>有组织排放</w:t>
                  </w:r>
                  <w:r>
                    <w:rPr>
                      <w:rFonts w:hint="default" w:ascii="Times New Roman" w:hAnsi="Times New Roman" w:cs="Times New Roman"/>
                      <w:color w:val="auto"/>
                      <w:spacing w:val="6"/>
                      <w:sz w:val="21"/>
                      <w:szCs w:val="21"/>
                      <w:highlight w:val="none"/>
                      <w:lang w:eastAsia="zh-CN"/>
                    </w:rPr>
                    <w:t>；</w:t>
                  </w:r>
                </w:p>
                <w:p w14:paraId="0484E4D8">
                  <w:pPr>
                    <w:pStyle w:val="73"/>
                    <w:keepNext w:val="0"/>
                    <w:keepLines w:val="0"/>
                    <w:suppressLineNumbers w:val="0"/>
                    <w:spacing w:before="51" w:beforeAutospacing="0" w:after="0" w:afterAutospacing="0" w:line="227" w:lineRule="auto"/>
                    <w:ind w:left="0" w:leftChars="0" w:right="0" w:firstLine="0" w:firstLineChars="0"/>
                    <w:rPr>
                      <w:rFonts w:hint="default"/>
                      <w:color w:val="auto"/>
                      <w:spacing w:val="7"/>
                      <w:sz w:val="21"/>
                      <w:szCs w:val="21"/>
                      <w:highlight w:val="none"/>
                      <w:lang w:eastAsia="zh-CN"/>
                    </w:rPr>
                  </w:pPr>
                  <w:r>
                    <w:rPr>
                      <w:rFonts w:hint="default" w:ascii="Times New Roman" w:hAnsi="Times New Roman" w:cs="Times New Roman"/>
                      <w:color w:val="auto"/>
                      <w:spacing w:val="9"/>
                      <w:sz w:val="21"/>
                      <w:szCs w:val="21"/>
                      <w:highlight w:val="none"/>
                      <w:lang w:val="en-US" w:eastAsia="zh-CN"/>
                    </w:rPr>
                    <w:t>②汽车</w:t>
                  </w:r>
                  <w:r>
                    <w:rPr>
                      <w:rFonts w:hint="default" w:ascii="Times New Roman" w:hAnsi="Times New Roman" w:cs="Times New Roman"/>
                      <w:color w:val="auto"/>
                      <w:spacing w:val="9"/>
                      <w:sz w:val="21"/>
                      <w:szCs w:val="21"/>
                      <w:highlight w:val="none"/>
                    </w:rPr>
                    <w:t>切割、剪切</w:t>
                  </w:r>
                  <w:r>
                    <w:rPr>
                      <w:rFonts w:hint="default" w:ascii="Times New Roman" w:hAnsi="Times New Roman" w:cs="Times New Roman"/>
                      <w:color w:val="auto"/>
                      <w:spacing w:val="9"/>
                      <w:sz w:val="21"/>
                      <w:szCs w:val="21"/>
                      <w:highlight w:val="none"/>
                      <w:lang w:val="en-US" w:eastAsia="zh-CN"/>
                    </w:rPr>
                    <w:t>工序设备上方设置集气罩，</w:t>
                  </w:r>
                  <w:r>
                    <w:rPr>
                      <w:rFonts w:hint="default" w:ascii="Times New Roman" w:hAnsi="Times New Roman" w:cs="Times New Roman"/>
                      <w:color w:val="auto"/>
                      <w:spacing w:val="9"/>
                      <w:sz w:val="21"/>
                      <w:szCs w:val="21"/>
                      <w:highlight w:val="none"/>
                    </w:rPr>
                    <w:t>粉尘</w:t>
                  </w:r>
                  <w:r>
                    <w:rPr>
                      <w:rFonts w:hint="default" w:ascii="Times New Roman" w:hAnsi="Times New Roman" w:cs="Times New Roman"/>
                      <w:color w:val="auto"/>
                      <w:spacing w:val="9"/>
                      <w:sz w:val="21"/>
                      <w:szCs w:val="21"/>
                      <w:highlight w:val="none"/>
                      <w:lang w:val="en-US" w:eastAsia="zh-CN"/>
                    </w:rPr>
                    <w:t>经集气罩</w:t>
                  </w:r>
                  <w:r>
                    <w:rPr>
                      <w:rFonts w:hint="default" w:ascii="Times New Roman" w:hAnsi="Times New Roman" w:cs="Times New Roman"/>
                      <w:color w:val="auto"/>
                      <w:spacing w:val="9"/>
                      <w:sz w:val="21"/>
                      <w:szCs w:val="21"/>
                      <w:highlight w:val="none"/>
                    </w:rPr>
                    <w:t>收集后经</w:t>
                  </w:r>
                  <w:r>
                    <w:rPr>
                      <w:rFonts w:hint="default"/>
                      <w:color w:val="auto"/>
                      <w:spacing w:val="7"/>
                      <w:sz w:val="21"/>
                      <w:szCs w:val="21"/>
                      <w:highlight w:val="none"/>
                    </w:rPr>
                    <w:t>布袋除尘器处理，由1根</w:t>
                  </w:r>
                  <w:r>
                    <w:rPr>
                      <w:rFonts w:hint="default"/>
                      <w:color w:val="auto"/>
                      <w:spacing w:val="7"/>
                      <w:sz w:val="21"/>
                      <w:szCs w:val="21"/>
                      <w:highlight w:val="none"/>
                      <w:lang w:val="en-US" w:eastAsia="zh-CN"/>
                    </w:rPr>
                    <w:t>24</w:t>
                  </w:r>
                  <w:r>
                    <w:rPr>
                      <w:rFonts w:hint="default"/>
                      <w:color w:val="auto"/>
                      <w:spacing w:val="7"/>
                      <w:sz w:val="21"/>
                      <w:szCs w:val="21"/>
                      <w:highlight w:val="none"/>
                    </w:rPr>
                    <w:t>m高排气筒</w:t>
                  </w:r>
                  <w:r>
                    <w:rPr>
                      <w:rFonts w:hint="default"/>
                      <w:color w:val="auto"/>
                      <w:spacing w:val="7"/>
                      <w:sz w:val="21"/>
                      <w:szCs w:val="21"/>
                      <w:highlight w:val="none"/>
                      <w:lang w:val="en-US" w:eastAsia="zh-CN"/>
                    </w:rPr>
                    <w:t>DA002</w:t>
                  </w:r>
                  <w:r>
                    <w:rPr>
                      <w:rFonts w:hint="default"/>
                      <w:color w:val="auto"/>
                      <w:spacing w:val="7"/>
                      <w:sz w:val="21"/>
                      <w:szCs w:val="21"/>
                      <w:highlight w:val="none"/>
                    </w:rPr>
                    <w:t>有组织排放</w:t>
                  </w:r>
                  <w:r>
                    <w:rPr>
                      <w:rFonts w:hint="default"/>
                      <w:color w:val="auto"/>
                      <w:spacing w:val="7"/>
                      <w:sz w:val="21"/>
                      <w:szCs w:val="21"/>
                      <w:highlight w:val="none"/>
                      <w:lang w:eastAsia="zh-CN"/>
                    </w:rPr>
                    <w:t>；</w:t>
                  </w:r>
                </w:p>
                <w:p w14:paraId="13E301CA">
                  <w:pPr>
                    <w:pStyle w:val="73"/>
                    <w:keepNext w:val="0"/>
                    <w:keepLines w:val="0"/>
                    <w:suppressLineNumbers w:val="0"/>
                    <w:spacing w:before="51" w:beforeAutospacing="0" w:after="0" w:afterAutospacing="0" w:line="227" w:lineRule="auto"/>
                    <w:ind w:left="0" w:leftChars="0" w:right="0" w:firstLine="0" w:firstLineChars="0"/>
                    <w:rPr>
                      <w:rFonts w:hint="eastAsia"/>
                      <w:color w:val="auto"/>
                      <w:spacing w:val="7"/>
                      <w:sz w:val="21"/>
                      <w:szCs w:val="21"/>
                      <w:highlight w:val="none"/>
                      <w:lang w:eastAsia="zh-CN"/>
                    </w:rPr>
                  </w:pPr>
                  <w:r>
                    <w:rPr>
                      <w:rFonts w:hint="default"/>
                      <w:color w:val="auto"/>
                      <w:spacing w:val="7"/>
                      <w:sz w:val="21"/>
                      <w:szCs w:val="21"/>
                      <w:highlight w:val="none"/>
                      <w:lang w:val="en-US" w:eastAsia="zh-CN"/>
                    </w:rPr>
                    <w:t>③废钢铁剪切破碎工序设备上方设置集气罩，</w:t>
                  </w:r>
                  <w:r>
                    <w:rPr>
                      <w:rFonts w:hint="default"/>
                      <w:color w:val="auto"/>
                      <w:spacing w:val="7"/>
                      <w:sz w:val="21"/>
                      <w:szCs w:val="21"/>
                      <w:highlight w:val="none"/>
                    </w:rPr>
                    <w:t>粉尘</w:t>
                  </w:r>
                  <w:r>
                    <w:rPr>
                      <w:rFonts w:hint="default"/>
                      <w:color w:val="auto"/>
                      <w:spacing w:val="7"/>
                      <w:sz w:val="21"/>
                      <w:szCs w:val="21"/>
                      <w:highlight w:val="none"/>
                      <w:lang w:val="en-US" w:eastAsia="zh-CN"/>
                    </w:rPr>
                    <w:t>经集气罩</w:t>
                  </w:r>
                  <w:r>
                    <w:rPr>
                      <w:rFonts w:hint="default"/>
                      <w:color w:val="auto"/>
                      <w:spacing w:val="7"/>
                      <w:sz w:val="21"/>
                      <w:szCs w:val="21"/>
                      <w:highlight w:val="none"/>
                    </w:rPr>
                    <w:t>收集后经布袋除尘器处理，由1根</w:t>
                  </w:r>
                  <w:r>
                    <w:rPr>
                      <w:rFonts w:hint="default"/>
                      <w:color w:val="auto"/>
                      <w:spacing w:val="7"/>
                      <w:sz w:val="21"/>
                      <w:szCs w:val="21"/>
                      <w:highlight w:val="none"/>
                      <w:lang w:val="en-US" w:eastAsia="zh-CN"/>
                    </w:rPr>
                    <w:t>24</w:t>
                  </w:r>
                  <w:r>
                    <w:rPr>
                      <w:rFonts w:hint="default"/>
                      <w:color w:val="auto"/>
                      <w:spacing w:val="7"/>
                      <w:sz w:val="21"/>
                      <w:szCs w:val="21"/>
                      <w:highlight w:val="none"/>
                    </w:rPr>
                    <w:t>m高排气筒</w:t>
                  </w:r>
                  <w:r>
                    <w:rPr>
                      <w:rFonts w:hint="eastAsia"/>
                      <w:color w:val="auto"/>
                      <w:spacing w:val="7"/>
                      <w:sz w:val="21"/>
                      <w:szCs w:val="21"/>
                      <w:highlight w:val="none"/>
                      <w:lang w:val="en-US" w:eastAsia="zh-CN"/>
                    </w:rPr>
                    <w:t>DA003</w:t>
                  </w:r>
                  <w:r>
                    <w:rPr>
                      <w:rFonts w:hint="default"/>
                      <w:color w:val="auto"/>
                      <w:spacing w:val="7"/>
                      <w:sz w:val="21"/>
                      <w:szCs w:val="21"/>
                      <w:highlight w:val="none"/>
                    </w:rPr>
                    <w:t>有组织排放</w:t>
                  </w:r>
                  <w:r>
                    <w:rPr>
                      <w:rFonts w:hint="eastAsia"/>
                      <w:color w:val="auto"/>
                      <w:spacing w:val="7"/>
                      <w:sz w:val="21"/>
                      <w:szCs w:val="21"/>
                      <w:highlight w:val="none"/>
                      <w:lang w:eastAsia="zh-CN"/>
                    </w:rPr>
                    <w:t>；</w:t>
                  </w:r>
                </w:p>
                <w:p w14:paraId="4DC5D340">
                  <w:pPr>
                    <w:pStyle w:val="73"/>
                    <w:keepNext w:val="0"/>
                    <w:keepLines w:val="0"/>
                    <w:suppressLineNumbers w:val="0"/>
                    <w:spacing w:before="52" w:beforeAutospacing="0" w:after="0" w:afterAutospacing="0" w:line="227" w:lineRule="auto"/>
                    <w:ind w:left="0" w:leftChars="0" w:right="0" w:firstLine="0" w:firstLineChars="0"/>
                    <w:rPr>
                      <w:rFonts w:hint="eastAsia"/>
                      <w:color w:val="auto"/>
                      <w:spacing w:val="5"/>
                      <w:sz w:val="21"/>
                      <w:szCs w:val="21"/>
                      <w:highlight w:val="none"/>
                      <w:lang w:val="en-US" w:eastAsia="zh-CN"/>
                    </w:rPr>
                  </w:pPr>
                  <w:r>
                    <w:rPr>
                      <w:rFonts w:hint="eastAsia"/>
                      <w:color w:val="auto"/>
                      <w:spacing w:val="5"/>
                      <w:sz w:val="21"/>
                      <w:szCs w:val="21"/>
                      <w:highlight w:val="none"/>
                      <w:lang w:val="en-US" w:eastAsia="zh-CN"/>
                    </w:rPr>
                    <w:t>④</w:t>
                  </w:r>
                  <w:r>
                    <w:rPr>
                      <w:rFonts w:hint="default"/>
                      <w:color w:val="auto"/>
                      <w:spacing w:val="9"/>
                      <w:sz w:val="21"/>
                      <w:szCs w:val="21"/>
                      <w:highlight w:val="none"/>
                    </w:rPr>
                    <w:t>餐饮油烟经油烟净化器处理后，</w:t>
                  </w:r>
                  <w:r>
                    <w:rPr>
                      <w:rFonts w:hint="eastAsia"/>
                      <w:color w:val="auto"/>
                      <w:spacing w:val="9"/>
                      <w:sz w:val="21"/>
                      <w:szCs w:val="21"/>
                      <w:highlight w:val="none"/>
                      <w:lang w:val="en-US" w:eastAsia="zh-CN"/>
                    </w:rPr>
                    <w:t>高出</w:t>
                  </w:r>
                  <w:r>
                    <w:rPr>
                      <w:rFonts w:hint="eastAsia"/>
                      <w:color w:val="auto"/>
                      <w:spacing w:val="7"/>
                      <w:sz w:val="21"/>
                      <w:szCs w:val="21"/>
                      <w:highlight w:val="none"/>
                      <w:lang w:val="en-US" w:eastAsia="zh-CN"/>
                    </w:rPr>
                    <w:t>屋顶</w:t>
                  </w:r>
                  <w:r>
                    <w:rPr>
                      <w:rFonts w:hint="default"/>
                      <w:color w:val="auto"/>
                      <w:spacing w:val="7"/>
                      <w:sz w:val="21"/>
                      <w:szCs w:val="21"/>
                      <w:highlight w:val="none"/>
                    </w:rPr>
                    <w:t>排放。</w:t>
                  </w:r>
                </w:p>
              </w:tc>
              <w:tc>
                <w:tcPr>
                  <w:tcW w:w="858" w:type="pct"/>
                  <w:tcBorders>
                    <w:tl2br w:val="nil"/>
                    <w:tr2bl w:val="nil"/>
                  </w:tcBorders>
                  <w:noWrap w:val="0"/>
                  <w:vAlign w:val="center"/>
                </w:tcPr>
                <w:p w14:paraId="1504AE2B">
                  <w:pPr>
                    <w:pStyle w:val="73"/>
                    <w:keepNext w:val="0"/>
                    <w:keepLines w:val="0"/>
                    <w:suppressLineNumbers w:val="0"/>
                    <w:spacing w:before="55" w:beforeAutospacing="0" w:after="0" w:afterAutospacing="0" w:line="228" w:lineRule="auto"/>
                    <w:ind w:left="0" w:leftChars="0" w:right="0" w:firstLine="0" w:firstLineChars="0"/>
                    <w:jc w:val="center"/>
                    <w:rPr>
                      <w:rFonts w:hint="default"/>
                      <w:color w:val="auto"/>
                      <w:spacing w:val="9"/>
                      <w:sz w:val="21"/>
                      <w:szCs w:val="21"/>
                      <w:highlight w:val="none"/>
                      <w:lang w:val="en-US" w:eastAsia="zh-CN"/>
                    </w:rPr>
                  </w:pPr>
                  <w:r>
                    <w:rPr>
                      <w:rFonts w:hint="eastAsia"/>
                      <w:color w:val="auto"/>
                      <w:spacing w:val="9"/>
                      <w:sz w:val="21"/>
                      <w:szCs w:val="21"/>
                      <w:highlight w:val="none"/>
                      <w:lang w:val="en-US" w:eastAsia="zh-CN"/>
                    </w:rPr>
                    <w:t>新建</w:t>
                  </w:r>
                </w:p>
              </w:tc>
            </w:tr>
            <w:tr w14:paraId="4C2F8F6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7" w:type="pct"/>
                  <w:vMerge w:val="continue"/>
                  <w:tcBorders>
                    <w:tl2br w:val="nil"/>
                    <w:tr2bl w:val="nil"/>
                  </w:tcBorders>
                  <w:noWrap w:val="0"/>
                  <w:vAlign w:val="center"/>
                </w:tcPr>
                <w:p w14:paraId="44D2481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3"/>
                      <w:sz w:val="21"/>
                      <w:szCs w:val="21"/>
                      <w:highlight w:val="none"/>
                      <w:lang w:eastAsia="zh-CN"/>
                    </w:rPr>
                  </w:pPr>
                </w:p>
              </w:tc>
              <w:tc>
                <w:tcPr>
                  <w:tcW w:w="496" w:type="pct"/>
                  <w:tcBorders>
                    <w:tl2br w:val="nil"/>
                    <w:tr2bl w:val="nil"/>
                  </w:tcBorders>
                  <w:noWrap w:val="0"/>
                  <w:vAlign w:val="center"/>
                </w:tcPr>
                <w:p w14:paraId="79AB860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7"/>
                      <w:sz w:val="21"/>
                      <w:szCs w:val="21"/>
                      <w:highlight w:val="none"/>
                      <w:lang w:eastAsia="zh-CN"/>
                    </w:rPr>
                  </w:pPr>
                  <w:r>
                    <w:rPr>
                      <w:rFonts w:hint="eastAsia"/>
                      <w:color w:val="auto"/>
                      <w:spacing w:val="7"/>
                      <w:sz w:val="21"/>
                      <w:szCs w:val="21"/>
                      <w:highlight w:val="none"/>
                      <w:lang w:eastAsia="zh-CN"/>
                    </w:rPr>
                    <w:t>噪声</w:t>
                  </w:r>
                </w:p>
              </w:tc>
              <w:tc>
                <w:tcPr>
                  <w:tcW w:w="3107" w:type="pct"/>
                  <w:tcBorders>
                    <w:tl2br w:val="nil"/>
                    <w:tr2bl w:val="nil"/>
                  </w:tcBorders>
                  <w:noWrap w:val="0"/>
                  <w:vAlign w:val="center"/>
                </w:tcPr>
                <w:p w14:paraId="01E787B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eastAsia="宋体"/>
                      <w:color w:val="auto"/>
                      <w:spacing w:val="4"/>
                      <w:sz w:val="21"/>
                      <w:szCs w:val="21"/>
                      <w:highlight w:val="none"/>
                      <w:lang w:val="en-US" w:eastAsia="zh-CN"/>
                    </w:rPr>
                  </w:pPr>
                  <w:r>
                    <w:rPr>
                      <w:rFonts w:hint="eastAsia" w:ascii="Times New Roman" w:hAnsi="Times New Roman" w:eastAsia="宋体" w:cs="宋体"/>
                      <w:color w:val="auto"/>
                      <w:spacing w:val="8"/>
                      <w:sz w:val="21"/>
                      <w:szCs w:val="21"/>
                      <w:highlight w:val="none"/>
                      <w:lang w:val="en-US" w:eastAsia="zh-CN"/>
                    </w:rPr>
                    <w:t>选用低噪声设备、基础减振，厂房隔声等降噪措施</w:t>
                  </w:r>
                </w:p>
              </w:tc>
              <w:tc>
                <w:tcPr>
                  <w:tcW w:w="858" w:type="pct"/>
                  <w:tcBorders>
                    <w:tl2br w:val="nil"/>
                    <w:tr2bl w:val="nil"/>
                  </w:tcBorders>
                  <w:noWrap w:val="0"/>
                  <w:vAlign w:val="center"/>
                </w:tcPr>
                <w:p w14:paraId="689422B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宋体"/>
                      <w:color w:val="auto"/>
                      <w:spacing w:val="8"/>
                      <w:sz w:val="21"/>
                      <w:szCs w:val="21"/>
                      <w:highlight w:val="none"/>
                      <w:lang w:val="en-US" w:eastAsia="zh-CN"/>
                    </w:rPr>
                  </w:pPr>
                  <w:r>
                    <w:rPr>
                      <w:rFonts w:hint="eastAsia" w:cs="宋体"/>
                      <w:color w:val="auto"/>
                      <w:spacing w:val="8"/>
                      <w:sz w:val="21"/>
                      <w:szCs w:val="21"/>
                      <w:highlight w:val="none"/>
                      <w:lang w:val="en-US" w:eastAsia="zh-CN"/>
                    </w:rPr>
                    <w:t>新建</w:t>
                  </w:r>
                </w:p>
              </w:tc>
            </w:tr>
            <w:tr w14:paraId="3B6E20C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7" w:type="pct"/>
                  <w:vMerge w:val="continue"/>
                  <w:tcBorders>
                    <w:tl2br w:val="nil"/>
                    <w:tr2bl w:val="nil"/>
                  </w:tcBorders>
                  <w:noWrap w:val="0"/>
                  <w:vAlign w:val="center"/>
                </w:tcPr>
                <w:p w14:paraId="5AE5C88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color w:val="auto"/>
                      <w:spacing w:val="-3"/>
                      <w:sz w:val="21"/>
                      <w:szCs w:val="21"/>
                      <w:highlight w:val="none"/>
                      <w:lang w:eastAsia="zh-CN"/>
                    </w:rPr>
                  </w:pPr>
                </w:p>
              </w:tc>
              <w:tc>
                <w:tcPr>
                  <w:tcW w:w="496" w:type="pct"/>
                  <w:tcBorders>
                    <w:tl2br w:val="nil"/>
                    <w:tr2bl w:val="nil"/>
                  </w:tcBorders>
                  <w:noWrap w:val="0"/>
                  <w:vAlign w:val="center"/>
                </w:tcPr>
                <w:p w14:paraId="2AC0882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7"/>
                      <w:sz w:val="21"/>
                      <w:szCs w:val="21"/>
                      <w:highlight w:val="none"/>
                      <w:lang w:eastAsia="zh-CN"/>
                    </w:rPr>
                  </w:pPr>
                  <w:r>
                    <w:rPr>
                      <w:rFonts w:hint="eastAsia"/>
                      <w:color w:val="auto"/>
                      <w:spacing w:val="7"/>
                      <w:sz w:val="21"/>
                      <w:szCs w:val="21"/>
                      <w:highlight w:val="none"/>
                      <w:lang w:eastAsia="zh-CN"/>
                    </w:rPr>
                    <w:t>固体废物</w:t>
                  </w:r>
                </w:p>
              </w:tc>
              <w:tc>
                <w:tcPr>
                  <w:tcW w:w="3107" w:type="pct"/>
                  <w:tcBorders>
                    <w:tl2br w:val="nil"/>
                    <w:tr2bl w:val="nil"/>
                  </w:tcBorders>
                  <w:noWrap w:val="0"/>
                  <w:vAlign w:val="center"/>
                </w:tcPr>
                <w:p w14:paraId="2591B807">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（1）一般工业固废 </w:t>
                  </w:r>
                </w:p>
                <w:p w14:paraId="24C888E0">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①除尘灰</w:t>
                  </w:r>
                  <w:r>
                    <w:rPr>
                      <w:rFonts w:hint="eastAsia" w:cs="Times New Roman"/>
                      <w:color w:val="auto"/>
                      <w:sz w:val="21"/>
                      <w:szCs w:val="21"/>
                      <w:highlight w:val="none"/>
                      <w:lang w:val="en-US" w:eastAsia="zh-CN"/>
                    </w:rPr>
                    <w:t>和废布袋</w:t>
                  </w:r>
                  <w:r>
                    <w:rPr>
                      <w:rFonts w:hint="default" w:ascii="Times New Roman" w:hAnsi="Times New Roman" w:eastAsia="宋体" w:cs="Times New Roman"/>
                      <w:color w:val="auto"/>
                      <w:sz w:val="21"/>
                      <w:szCs w:val="21"/>
                      <w:highlight w:val="none"/>
                      <w:lang w:val="en-US" w:eastAsia="zh-CN"/>
                    </w:rPr>
                    <w:t>收集后交由具有相应处理能力或经营范围的单位利用和处置</w:t>
                  </w:r>
                  <w:r>
                    <w:rPr>
                      <w:rFonts w:hint="eastAsia" w:cs="Times New Roman"/>
                      <w:color w:val="auto"/>
                      <w:sz w:val="21"/>
                      <w:szCs w:val="21"/>
                      <w:highlight w:val="none"/>
                      <w:lang w:val="en-US" w:eastAsia="zh-CN"/>
                    </w:rPr>
                    <w:t>；</w:t>
                  </w:r>
                </w:p>
                <w:p w14:paraId="73B5CF06">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②废弃车用电子零部件交由有废弃电器电子产品处理资格企业处理</w:t>
                  </w:r>
                  <w:r>
                    <w:rPr>
                      <w:rFonts w:hint="eastAsia" w:cs="Times New Roman"/>
                      <w:color w:val="auto"/>
                      <w:sz w:val="21"/>
                      <w:szCs w:val="21"/>
                      <w:highlight w:val="none"/>
                      <w:lang w:val="en-US" w:eastAsia="zh-CN"/>
                    </w:rPr>
                    <w:t>；</w:t>
                  </w:r>
                </w:p>
                <w:p w14:paraId="51855B5D">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③废安全气囊交由具有相应处理能力或经营范围的单位利用和处置</w:t>
                  </w:r>
                  <w:r>
                    <w:rPr>
                      <w:rFonts w:hint="eastAsia" w:cs="Times New Roman"/>
                      <w:color w:val="auto"/>
                      <w:sz w:val="21"/>
                      <w:szCs w:val="21"/>
                      <w:highlight w:val="none"/>
                      <w:lang w:val="en-US" w:eastAsia="zh-CN"/>
                    </w:rPr>
                    <w:t>；</w:t>
                  </w:r>
                </w:p>
                <w:p w14:paraId="6933BB01">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④废制冷剂交由具有相应资质的单位利用和处置</w:t>
                  </w:r>
                  <w:r>
                    <w:rPr>
                      <w:rFonts w:hint="eastAsia" w:cs="Times New Roman"/>
                      <w:color w:val="auto"/>
                      <w:sz w:val="21"/>
                      <w:szCs w:val="21"/>
                      <w:highlight w:val="none"/>
                      <w:lang w:val="en-US" w:eastAsia="zh-CN"/>
                    </w:rPr>
                    <w:t>；</w:t>
                  </w:r>
                </w:p>
                <w:p w14:paraId="53EE57DF">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⑤废尼龙布（含废海绵、废皮革）交由具有相应处理能力或经营范围的单位利用和处置</w:t>
                  </w:r>
                  <w:r>
                    <w:rPr>
                      <w:rFonts w:hint="eastAsia" w:cs="Times New Roman"/>
                      <w:color w:val="auto"/>
                      <w:sz w:val="21"/>
                      <w:szCs w:val="21"/>
                      <w:highlight w:val="none"/>
                      <w:lang w:val="en-US" w:eastAsia="zh-CN"/>
                    </w:rPr>
                    <w:t>；</w:t>
                  </w:r>
                </w:p>
                <w:p w14:paraId="7475FF3F">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⑥废液化气罐交由具有相应资质的单位利用和处置</w:t>
                  </w:r>
                  <w:r>
                    <w:rPr>
                      <w:rFonts w:hint="eastAsia" w:cs="Times New Roman"/>
                      <w:color w:val="auto"/>
                      <w:sz w:val="21"/>
                      <w:szCs w:val="21"/>
                      <w:highlight w:val="none"/>
                      <w:lang w:val="en-US" w:eastAsia="zh-CN"/>
                    </w:rPr>
                    <w:t>；</w:t>
                  </w:r>
                </w:p>
                <w:p w14:paraId="65E69580">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⑦其它不可利用物交由具有相应处理能力或经营范围的单位利用和处置。</w:t>
                  </w:r>
                </w:p>
                <w:p w14:paraId="5226B2C2">
                  <w:pPr>
                    <w:keepNext w:val="0"/>
                    <w:keepLines w:val="0"/>
                    <w:pageBreakBefore w:val="0"/>
                    <w:widowControl w:val="0"/>
                    <w:numPr>
                      <w:ilvl w:val="0"/>
                      <w:numId w:val="0"/>
                    </w:numPr>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（2）危险废物</w:t>
                  </w:r>
                </w:p>
                <w:p w14:paraId="4CCC7353">
                  <w:pPr>
                    <w:keepNext w:val="0"/>
                    <w:keepLines w:val="0"/>
                    <w:suppressLineNumbers w:val="0"/>
                    <w:spacing w:before="0" w:beforeAutospacing="0" w:after="0" w:afterAutospacing="0"/>
                    <w:ind w:left="0" w:leftChars="0" w:right="0" w:firstLine="0" w:firstLineChars="0"/>
                    <w:jc w:val="both"/>
                    <w:rPr>
                      <w:rFonts w:hint="default" w:ascii="Times New Roman" w:hAnsi="Times New Roman" w:eastAsia="宋体" w:cs="Times New Roman"/>
                      <w:color w:val="auto"/>
                      <w:sz w:val="21"/>
                      <w:szCs w:val="21"/>
                      <w:highlight w:val="none"/>
                      <w:u w:val="none" w:color="auto"/>
                      <w:lang w:bidi="zh-CN"/>
                    </w:rPr>
                  </w:pPr>
                  <w:r>
                    <w:rPr>
                      <w:rFonts w:hint="default" w:ascii="Times New Roman" w:hAnsi="Times New Roman" w:eastAsia="宋体" w:cs="Times New Roman"/>
                      <w:color w:val="auto"/>
                      <w:sz w:val="21"/>
                      <w:szCs w:val="21"/>
                      <w:highlight w:val="none"/>
                      <w:lang w:val="en-US" w:eastAsia="zh-CN"/>
                    </w:rPr>
                    <w:t>项目</w:t>
                  </w:r>
                  <w:r>
                    <w:rPr>
                      <w:rFonts w:hint="eastAsia"/>
                      <w:color w:val="auto"/>
                    </w:rPr>
                    <w:t>含有机溶剂废物</w:t>
                  </w:r>
                  <w:r>
                    <w:rPr>
                      <w:rFonts w:hint="eastAsia"/>
                      <w:color w:val="auto"/>
                      <w:lang w:val="en-US" w:eastAsia="zh-CN"/>
                    </w:rPr>
                    <w:t>、</w:t>
                  </w:r>
                  <w:r>
                    <w:rPr>
                      <w:rFonts w:hint="eastAsia"/>
                      <w:color w:val="auto"/>
                    </w:rPr>
                    <w:t>废矿物油与含油废物</w:t>
                  </w:r>
                  <w:r>
                    <w:rPr>
                      <w:rFonts w:hint="eastAsia"/>
                      <w:color w:val="auto"/>
                      <w:lang w:val="en-US" w:eastAsia="zh-CN"/>
                    </w:rPr>
                    <w:t>、</w:t>
                  </w:r>
                  <w:r>
                    <w:rPr>
                      <w:rFonts w:hint="eastAsia"/>
                      <w:color w:val="auto"/>
                    </w:rPr>
                    <w:t>废铅蓄电池</w:t>
                  </w:r>
                  <w:r>
                    <w:rPr>
                      <w:rFonts w:hint="eastAsia"/>
                      <w:color w:val="auto"/>
                      <w:lang w:val="en-US" w:eastAsia="zh-CN"/>
                    </w:rPr>
                    <w:t>、</w:t>
                  </w:r>
                  <w:r>
                    <w:rPr>
                      <w:rFonts w:hint="default" w:ascii="Times New Roman" w:hAnsi="Times New Roman" w:eastAsia="宋体" w:cs="Times New Roman"/>
                      <w:color w:val="auto"/>
                      <w:sz w:val="21"/>
                      <w:szCs w:val="21"/>
                      <w:highlight w:val="none"/>
                      <w:lang w:val="en-US" w:eastAsia="zh-CN"/>
                    </w:rPr>
                    <w:t>废动力电池</w:t>
                  </w:r>
                  <w:r>
                    <w:rPr>
                      <w:rFonts w:hint="eastAsia"/>
                      <w:color w:val="auto"/>
                      <w:lang w:val="en-US" w:eastAsia="zh-CN"/>
                    </w:rPr>
                    <w:t>、</w:t>
                  </w:r>
                  <w:r>
                    <w:rPr>
                      <w:rFonts w:hint="eastAsia"/>
                      <w:color w:val="auto"/>
                    </w:rPr>
                    <w:t>废电路板及元器件</w:t>
                  </w:r>
                  <w:r>
                    <w:rPr>
                      <w:rFonts w:hint="eastAsia"/>
                      <w:color w:val="auto"/>
                      <w:lang w:val="en-US" w:eastAsia="zh-CN"/>
                    </w:rPr>
                    <w:t>、</w:t>
                  </w:r>
                  <w:r>
                    <w:rPr>
                      <w:rFonts w:hint="eastAsia"/>
                      <w:color w:val="auto"/>
                    </w:rPr>
                    <w:t>废尾气催化剂</w:t>
                  </w:r>
                  <w:r>
                    <w:rPr>
                      <w:rFonts w:hint="eastAsia"/>
                      <w:color w:val="auto"/>
                      <w:lang w:val="en-US" w:eastAsia="zh-CN"/>
                    </w:rPr>
                    <w:t>、</w:t>
                  </w:r>
                  <w:r>
                    <w:rPr>
                      <w:rFonts w:hint="eastAsia"/>
                      <w:color w:val="auto"/>
                    </w:rPr>
                    <w:t>废机油滤清器</w:t>
                  </w:r>
                  <w:r>
                    <w:rPr>
                      <w:rFonts w:hint="eastAsia"/>
                      <w:color w:val="auto"/>
                      <w:lang w:val="en-US" w:eastAsia="zh-CN"/>
                    </w:rPr>
                    <w:t>、</w:t>
                  </w:r>
                  <w:r>
                    <w:rPr>
                      <w:rFonts w:hint="eastAsia"/>
                      <w:color w:val="auto"/>
                    </w:rPr>
                    <w:t>废油箱</w:t>
                  </w:r>
                  <w:r>
                    <w:rPr>
                      <w:rFonts w:hint="eastAsia"/>
                      <w:color w:val="auto"/>
                      <w:lang w:val="en-US" w:eastAsia="zh-CN"/>
                    </w:rPr>
                    <w:t>、</w:t>
                  </w:r>
                  <w:r>
                    <w:rPr>
                      <w:rFonts w:hint="eastAsia"/>
                      <w:color w:val="auto"/>
                    </w:rPr>
                    <w:t>含油手套抹布</w:t>
                  </w:r>
                  <w:r>
                    <w:rPr>
                      <w:rFonts w:hint="eastAsia"/>
                      <w:color w:val="auto"/>
                      <w:lang w:val="en-US" w:eastAsia="zh-CN"/>
                    </w:rPr>
                    <w:t>、</w:t>
                  </w:r>
                  <w:r>
                    <w:rPr>
                      <w:rFonts w:hint="eastAsia"/>
                      <w:color w:val="auto"/>
                    </w:rPr>
                    <w:t>废活性炭</w:t>
                  </w:r>
                  <w:r>
                    <w:rPr>
                      <w:rFonts w:hint="eastAsia"/>
                      <w:color w:val="auto"/>
                      <w:lang w:val="en-US" w:eastAsia="zh-CN"/>
                    </w:rPr>
                    <w:t>、</w:t>
                  </w:r>
                  <w:r>
                    <w:rPr>
                      <w:rFonts w:hint="eastAsia"/>
                      <w:color w:val="auto"/>
                    </w:rPr>
                    <w:t>污水处理设施污泥</w:t>
                  </w:r>
                  <w:r>
                    <w:rPr>
                      <w:rFonts w:hint="eastAsia"/>
                      <w:color w:val="auto"/>
                      <w:lang w:val="en-US" w:eastAsia="zh-CN"/>
                    </w:rPr>
                    <w:t>暂存于危废贮存库（125m</w:t>
                  </w:r>
                  <w:r>
                    <w:rPr>
                      <w:rFonts w:hint="eastAsia"/>
                      <w:color w:val="auto"/>
                      <w:vertAlign w:val="superscript"/>
                      <w:lang w:val="en-US" w:eastAsia="zh-CN"/>
                    </w:rPr>
                    <w:t>2</w:t>
                  </w:r>
                  <w:r>
                    <w:rPr>
                      <w:rFonts w:hint="eastAsia"/>
                      <w:color w:val="auto"/>
                      <w:lang w:val="en-US" w:eastAsia="zh-CN"/>
                    </w:rPr>
                    <w:t>），</w:t>
                  </w:r>
                  <w:r>
                    <w:rPr>
                      <w:rFonts w:hint="default" w:ascii="Times New Roman" w:hAnsi="Times New Roman" w:eastAsia="宋体" w:cs="Times New Roman"/>
                      <w:color w:val="auto"/>
                      <w:sz w:val="21"/>
                      <w:szCs w:val="21"/>
                      <w:highlight w:val="none"/>
                      <w:u w:val="none" w:color="auto"/>
                      <w:lang w:val="en-US" w:eastAsia="zh-CN" w:bidi="zh-CN"/>
                    </w:rPr>
                    <w:t>定期交有资质单位进行处理。</w:t>
                  </w:r>
                </w:p>
                <w:p w14:paraId="11B8DC06">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cs="Times New Roman"/>
                      <w:color w:val="auto"/>
                      <w:spacing w:val="9"/>
                      <w:sz w:val="21"/>
                      <w:szCs w:val="21"/>
                      <w:highlight w:val="none"/>
                      <w:lang w:val="en-US" w:eastAsia="zh-CN"/>
                    </w:rPr>
                  </w:pPr>
                  <w:r>
                    <w:rPr>
                      <w:rFonts w:hint="default" w:ascii="Times New Roman" w:hAnsi="Times New Roman" w:eastAsia="宋体" w:cs="Times New Roman"/>
                      <w:color w:val="auto"/>
                      <w:sz w:val="21"/>
                      <w:szCs w:val="21"/>
                      <w:highlight w:val="none"/>
                      <w:lang w:val="zh-CN" w:eastAsia="zh-CN" w:bidi="ar-SA"/>
                    </w:rPr>
                    <w:t>（</w:t>
                  </w:r>
                  <w:r>
                    <w:rPr>
                      <w:rFonts w:hint="default" w:ascii="Times New Roman" w:hAnsi="Times New Roman" w:eastAsia="宋体" w:cs="Times New Roman"/>
                      <w:color w:val="auto"/>
                      <w:sz w:val="21"/>
                      <w:szCs w:val="21"/>
                      <w:highlight w:val="none"/>
                      <w:lang w:val="en-US" w:eastAsia="zh-CN" w:bidi="ar-SA"/>
                    </w:rPr>
                    <w:t>3</w:t>
                  </w:r>
                  <w:r>
                    <w:rPr>
                      <w:rFonts w:hint="default" w:ascii="Times New Roman" w:hAnsi="Times New Roman" w:eastAsia="宋体" w:cs="Times New Roman"/>
                      <w:color w:val="auto"/>
                      <w:sz w:val="21"/>
                      <w:szCs w:val="21"/>
                      <w:highlight w:val="none"/>
                      <w:lang w:val="zh-CN" w:eastAsia="zh-CN" w:bidi="ar-SA"/>
                    </w:rPr>
                    <w:t>）</w:t>
                  </w:r>
                  <w:r>
                    <w:rPr>
                      <w:rFonts w:hint="eastAsia" w:cs="Times New Roman"/>
                      <w:color w:val="auto"/>
                      <w:sz w:val="21"/>
                      <w:szCs w:val="21"/>
                      <w:highlight w:val="none"/>
                      <w:lang w:val="en-US" w:eastAsia="zh-CN" w:bidi="ar-SA"/>
                    </w:rPr>
                    <w:t>食堂废水经隔油池（5m</w:t>
                  </w:r>
                  <w:r>
                    <w:rPr>
                      <w:rFonts w:hint="eastAsia" w:cs="Times New Roman"/>
                      <w:color w:val="auto"/>
                      <w:sz w:val="21"/>
                      <w:szCs w:val="21"/>
                      <w:highlight w:val="none"/>
                      <w:vertAlign w:val="superscript"/>
                      <w:lang w:val="en-US" w:eastAsia="zh-CN" w:bidi="ar-SA"/>
                    </w:rPr>
                    <w:t>3</w:t>
                  </w:r>
                  <w:r>
                    <w:rPr>
                      <w:rFonts w:hint="eastAsia" w:cs="Times New Roman"/>
                      <w:color w:val="auto"/>
                      <w:sz w:val="21"/>
                      <w:szCs w:val="21"/>
                      <w:highlight w:val="none"/>
                      <w:lang w:val="en-US" w:eastAsia="zh-CN" w:bidi="ar-SA"/>
                    </w:rPr>
                    <w:t>）处理后产生的隔油渣和</w:t>
                  </w:r>
                  <w:r>
                    <w:rPr>
                      <w:rFonts w:hint="default" w:ascii="Times New Roman" w:hAnsi="Times New Roman" w:eastAsia="宋体" w:cs="Times New Roman"/>
                      <w:color w:val="auto"/>
                      <w:sz w:val="21"/>
                      <w:szCs w:val="21"/>
                      <w:highlight w:val="none"/>
                      <w:lang w:val="zh-CN" w:eastAsia="zh-CN" w:bidi="ar-SA"/>
                    </w:rPr>
                    <w:t>生活垃圾</w:t>
                  </w:r>
                  <w:r>
                    <w:rPr>
                      <w:rFonts w:hint="eastAsia" w:cs="Times New Roman"/>
                      <w:color w:val="auto"/>
                      <w:sz w:val="21"/>
                      <w:szCs w:val="21"/>
                      <w:highlight w:val="none"/>
                      <w:lang w:val="en-US" w:eastAsia="zh-CN" w:bidi="ar-SA"/>
                    </w:rPr>
                    <w:t>集中</w:t>
                  </w:r>
                  <w:r>
                    <w:rPr>
                      <w:rFonts w:hint="default" w:ascii="Times New Roman" w:hAnsi="Times New Roman" w:eastAsia="宋体" w:cs="Times New Roman"/>
                      <w:color w:val="auto"/>
                      <w:sz w:val="21"/>
                      <w:szCs w:val="21"/>
                      <w:highlight w:val="none"/>
                      <w:lang w:val="en-US" w:eastAsia="zh-CN"/>
                    </w:rPr>
                    <w:t>收集后委托环卫部门定期清运。</w:t>
                  </w:r>
                </w:p>
              </w:tc>
              <w:tc>
                <w:tcPr>
                  <w:tcW w:w="858" w:type="pct"/>
                  <w:tcBorders>
                    <w:tl2br w:val="nil"/>
                    <w:tr2bl w:val="nil"/>
                  </w:tcBorders>
                  <w:noWrap w:val="0"/>
                  <w:vAlign w:val="center"/>
                </w:tcPr>
                <w:p w14:paraId="095392BA">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lang w:val="en-US" w:eastAsia="zh-CN" w:bidi="ar-SA"/>
                    </w:rPr>
                  </w:pPr>
                  <w:r>
                    <w:rPr>
                      <w:rFonts w:hint="eastAsia" w:cs="Times New Roman"/>
                      <w:color w:val="auto"/>
                      <w:sz w:val="21"/>
                      <w:szCs w:val="21"/>
                      <w:highlight w:val="none"/>
                      <w:lang w:val="en-US" w:eastAsia="zh-CN" w:bidi="ar-SA"/>
                    </w:rPr>
                    <w:t>新建</w:t>
                  </w:r>
                </w:p>
              </w:tc>
            </w:tr>
            <w:tr w14:paraId="4E38948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7" w:type="pct"/>
                  <w:tcBorders>
                    <w:tl2br w:val="nil"/>
                    <w:tr2bl w:val="nil"/>
                  </w:tcBorders>
                  <w:noWrap w:val="0"/>
                  <w:vAlign w:val="center"/>
                </w:tcPr>
                <w:p w14:paraId="1A309FE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lang w:val="en-US" w:eastAsia="zh-CN"/>
                    </w:rPr>
                  </w:pPr>
                  <w:r>
                    <w:rPr>
                      <w:rFonts w:hint="eastAsia"/>
                      <w:color w:val="auto"/>
                      <w:spacing w:val="-3"/>
                      <w:sz w:val="21"/>
                      <w:szCs w:val="21"/>
                      <w:highlight w:val="none"/>
                      <w:lang w:val="en-US" w:eastAsia="zh-CN"/>
                    </w:rPr>
                    <w:t>地下水</w:t>
                  </w:r>
                </w:p>
              </w:tc>
              <w:tc>
                <w:tcPr>
                  <w:tcW w:w="3603" w:type="pct"/>
                  <w:gridSpan w:val="2"/>
                  <w:tcBorders>
                    <w:tl2br w:val="nil"/>
                    <w:tr2bl w:val="nil"/>
                  </w:tcBorders>
                  <w:noWrap w:val="0"/>
                  <w:vAlign w:val="center"/>
                </w:tcPr>
                <w:p w14:paraId="58FD62EC">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重点防渗区</w:t>
                  </w:r>
                  <w:r>
                    <w:rPr>
                      <w:rFonts w:hint="eastAsia" w:ascii="Times New Roman" w:hAnsi="Times New Roman" w:eastAsia="宋体" w:cs="Times New Roman"/>
                      <w:color w:val="auto"/>
                      <w:kern w:val="2"/>
                      <w:sz w:val="21"/>
                      <w:szCs w:val="21"/>
                      <w:highlight w:val="none"/>
                      <w:lang w:val="en-US" w:eastAsia="zh-CN" w:bidi="ar-SA"/>
                    </w:rPr>
                    <w:t>危险废物</w:t>
                  </w:r>
                  <w:r>
                    <w:rPr>
                      <w:rFonts w:hint="eastAsia" w:cs="Times New Roman"/>
                      <w:color w:val="auto"/>
                      <w:kern w:val="2"/>
                      <w:sz w:val="21"/>
                      <w:szCs w:val="21"/>
                      <w:highlight w:val="none"/>
                      <w:lang w:val="en-US" w:eastAsia="zh-CN" w:bidi="ar-SA"/>
                    </w:rPr>
                    <w:t>贮存库</w:t>
                  </w:r>
                  <w:r>
                    <w:rPr>
                      <w:rFonts w:hint="eastAsia" w:ascii="Times New Roman" w:hAnsi="Times New Roman" w:eastAsia="宋体" w:cs="Times New Roman"/>
                      <w:color w:val="auto"/>
                      <w:kern w:val="2"/>
                      <w:sz w:val="21"/>
                      <w:szCs w:val="21"/>
                      <w:highlight w:val="none"/>
                      <w:lang w:val="en-US" w:eastAsia="zh-CN" w:bidi="ar-SA"/>
                    </w:rPr>
                    <w:t>防治措施：</w:t>
                  </w:r>
                  <w:r>
                    <w:rPr>
                      <w:rFonts w:hint="default" w:ascii="Times New Roman" w:hAnsi="Times New Roman" w:eastAsia="宋体" w:cs="Times New Roman"/>
                      <w:color w:val="auto"/>
                      <w:sz w:val="21"/>
                      <w:szCs w:val="21"/>
                      <w:highlight w:val="none"/>
                      <w:lang w:val="en-US" w:eastAsia="zh-CN"/>
                    </w:rPr>
                    <w:t>人工材料的渗透系数小于</w:t>
                  </w:r>
                  <w:r>
                    <w:rPr>
                      <w:rFonts w:hint="default" w:ascii="Times New Roman" w:hAnsi="Times New Roman" w:eastAsia="宋体" w:cs="Times New Roman"/>
                      <w:color w:val="auto"/>
                      <w:sz w:val="21"/>
                      <w:szCs w:val="21"/>
                      <w:highlight w:val="none"/>
                    </w:rPr>
                    <w:t>1.0×10</w:t>
                  </w:r>
                  <w:r>
                    <w:rPr>
                      <w:rFonts w:hint="default" w:ascii="Times New Roman" w:hAnsi="Times New Roman" w:eastAsia="宋体" w:cs="Times New Roman"/>
                      <w:color w:val="auto"/>
                      <w:sz w:val="21"/>
                      <w:szCs w:val="21"/>
                      <w:highlight w:val="none"/>
                      <w:vertAlign w:val="superscript"/>
                    </w:rPr>
                    <w:t>-</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rPr>
                    <w:t>cm/s</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切断污染途径；</w:t>
                  </w:r>
                </w:p>
                <w:p w14:paraId="54E25469">
                  <w:pPr>
                    <w:pStyle w:val="73"/>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其他重点防渗区防治措施：</w:t>
                  </w:r>
                  <w:r>
                    <w:rPr>
                      <w:rFonts w:hint="default" w:ascii="Times New Roman" w:hAnsi="Times New Roman" w:eastAsia="宋体" w:cs="Times New Roman"/>
                      <w:color w:val="auto"/>
                      <w:sz w:val="21"/>
                      <w:szCs w:val="21"/>
                      <w:highlight w:val="none"/>
                      <w:lang w:val="en-US" w:eastAsia="zh-CN"/>
                    </w:rPr>
                    <w:t>人工材料的渗透系数应小于</w:t>
                  </w:r>
                  <w:r>
                    <w:rPr>
                      <w:rFonts w:hint="default" w:ascii="Times New Roman" w:hAnsi="Times New Roman" w:eastAsia="宋体" w:cs="Times New Roman"/>
                      <w:color w:val="auto"/>
                      <w:sz w:val="21"/>
                      <w:szCs w:val="21"/>
                      <w:highlight w:val="none"/>
                    </w:rPr>
                    <w:t>1.0×10</w:t>
                  </w:r>
                  <w:r>
                    <w:rPr>
                      <w:rFonts w:hint="default" w:ascii="Times New Roman" w:hAnsi="Times New Roman" w:eastAsia="宋体" w:cs="Times New Roman"/>
                      <w:color w:val="auto"/>
                      <w:sz w:val="21"/>
                      <w:szCs w:val="21"/>
                      <w:highlight w:val="none"/>
                      <w:vertAlign w:val="superscript"/>
                    </w:rPr>
                    <w:t>-</w:t>
                  </w:r>
                  <w:r>
                    <w:rPr>
                      <w:rFonts w:hint="default" w:ascii="Times New Roman" w:hAnsi="Times New Roman" w:eastAsia="宋体" w:cs="Times New Roman"/>
                      <w:color w:val="auto"/>
                      <w:sz w:val="21"/>
                      <w:szCs w:val="21"/>
                      <w:highlight w:val="none"/>
                      <w:vertAlign w:val="superscript"/>
                      <w:lang w:val="en-US" w:eastAsia="zh-CN"/>
                    </w:rPr>
                    <w:t>7</w:t>
                  </w:r>
                  <w:r>
                    <w:rPr>
                      <w:rFonts w:hint="default" w:ascii="Times New Roman" w:hAnsi="Times New Roman" w:eastAsia="宋体" w:cs="Times New Roman"/>
                      <w:color w:val="auto"/>
                      <w:sz w:val="21"/>
                      <w:szCs w:val="21"/>
                      <w:highlight w:val="none"/>
                      <w:lang w:val="en-US" w:eastAsia="zh-CN"/>
                    </w:rPr>
                    <w:t>cm/s，切断污染途径</w:t>
                  </w:r>
                  <w:r>
                    <w:rPr>
                      <w:rFonts w:hint="eastAsia" w:ascii="Times New Roman" w:hAnsi="Times New Roman" w:eastAsia="宋体" w:cs="Times New Roman"/>
                      <w:color w:val="auto"/>
                      <w:sz w:val="21"/>
                      <w:szCs w:val="21"/>
                      <w:highlight w:val="none"/>
                      <w:lang w:val="en-US" w:eastAsia="zh-CN"/>
                    </w:rPr>
                    <w:t>；</w:t>
                  </w:r>
                </w:p>
                <w:p w14:paraId="6DB171F1">
                  <w:pPr>
                    <w:pStyle w:val="73"/>
                    <w:keepNext w:val="0"/>
                    <w:keepLines w:val="0"/>
                    <w:pageBreakBefore w:val="0"/>
                    <w:widowControl w:val="0"/>
                    <w:suppressLineNumbers w:val="0"/>
                    <w:kinsoku w:val="0"/>
                    <w:wordWrap/>
                    <w:overflowPunct/>
                    <w:topLinePunct w:val="0"/>
                    <w:autoSpaceDE w:val="0"/>
                    <w:autoSpaceDN w:val="0"/>
                    <w:bidi w:val="0"/>
                    <w:adjustRightInd/>
                    <w:snapToGrid/>
                    <w:spacing w:before="0" w:beforeAutospacing="0" w:after="0" w:afterAutospacing="0" w:line="240" w:lineRule="auto"/>
                    <w:ind w:left="0" w:leftChars="0" w:right="0" w:firstLine="0" w:firstLineChars="0"/>
                    <w:jc w:val="both"/>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一般防渗区</w:t>
                  </w:r>
                  <w:r>
                    <w:rPr>
                      <w:rFonts w:hint="eastAsia" w:ascii="Times New Roman" w:hAnsi="Times New Roman" w:eastAsia="宋体" w:cs="Times New Roman"/>
                      <w:color w:val="auto"/>
                      <w:kern w:val="2"/>
                      <w:sz w:val="21"/>
                      <w:szCs w:val="21"/>
                      <w:highlight w:val="none"/>
                      <w:lang w:val="en-US" w:eastAsia="zh-CN" w:bidi="ar-SA"/>
                    </w:rPr>
                    <w:t>防治措施：</w:t>
                  </w:r>
                  <w:r>
                    <w:rPr>
                      <w:rFonts w:hint="default" w:ascii="Times New Roman" w:hAnsi="Times New Roman" w:eastAsia="宋体" w:cs="Times New Roman"/>
                      <w:b w:val="0"/>
                      <w:color w:val="auto"/>
                      <w:kern w:val="2"/>
                      <w:sz w:val="21"/>
                      <w:szCs w:val="21"/>
                      <w:highlight w:val="none"/>
                      <w:lang w:val="en-US" w:eastAsia="zh-CN" w:bidi="ar"/>
                    </w:rPr>
                    <w:t>采用防渗混凝土硬化地面，等效黏土防渗层Mb&gt;1.5m,K≤1x10</w:t>
                  </w:r>
                  <w:r>
                    <w:rPr>
                      <w:rFonts w:hint="default" w:ascii="Times New Roman" w:hAnsi="Times New Roman" w:eastAsia="宋体" w:cs="Times New Roman"/>
                      <w:b w:val="0"/>
                      <w:color w:val="auto"/>
                      <w:kern w:val="2"/>
                      <w:sz w:val="21"/>
                      <w:szCs w:val="21"/>
                      <w:highlight w:val="none"/>
                      <w:vertAlign w:val="superscript"/>
                      <w:lang w:val="en-US" w:eastAsia="zh-CN" w:bidi="ar"/>
                    </w:rPr>
                    <w:t>-7</w:t>
                  </w:r>
                  <w:r>
                    <w:rPr>
                      <w:rFonts w:hint="default" w:ascii="Times New Roman" w:hAnsi="Times New Roman" w:eastAsia="宋体" w:cs="Times New Roman"/>
                      <w:b w:val="0"/>
                      <w:color w:val="auto"/>
                      <w:kern w:val="2"/>
                      <w:sz w:val="21"/>
                      <w:szCs w:val="21"/>
                      <w:highlight w:val="none"/>
                      <w:lang w:val="en-US" w:eastAsia="zh-CN" w:bidi="ar"/>
                    </w:rPr>
                    <w:t>cm/s</w:t>
                  </w:r>
                  <w:r>
                    <w:rPr>
                      <w:rFonts w:hint="eastAsia" w:ascii="Times New Roman" w:hAnsi="Times New Roman" w:eastAsia="宋体" w:cs="Times New Roman"/>
                      <w:b w:val="0"/>
                      <w:color w:val="auto"/>
                      <w:kern w:val="2"/>
                      <w:sz w:val="21"/>
                      <w:szCs w:val="21"/>
                      <w:highlight w:val="none"/>
                      <w:lang w:val="en-US" w:eastAsia="zh-CN" w:bidi="ar"/>
                    </w:rPr>
                    <w:t>；</w:t>
                  </w:r>
                </w:p>
                <w:p w14:paraId="5CB5872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color w:val="auto"/>
                      <w:spacing w:val="9"/>
                      <w:sz w:val="21"/>
                      <w:szCs w:val="21"/>
                      <w:highlight w:val="none"/>
                      <w:lang w:val="en-US" w:eastAsia="zh-CN"/>
                    </w:rPr>
                  </w:pPr>
                  <w:r>
                    <w:rPr>
                      <w:rFonts w:hint="eastAsia" w:ascii="Times New Roman" w:hAnsi="Times New Roman" w:eastAsia="宋体" w:cs="Times New Roman"/>
                      <w:color w:val="auto"/>
                      <w:kern w:val="2"/>
                      <w:sz w:val="21"/>
                      <w:szCs w:val="21"/>
                      <w:highlight w:val="none"/>
                      <w:lang w:val="en-US" w:eastAsia="zh-CN" w:bidi="ar-SA"/>
                    </w:rPr>
                    <w:t>简单防渗区防治措施：普通硬化防渗。</w:t>
                  </w:r>
                </w:p>
              </w:tc>
              <w:tc>
                <w:tcPr>
                  <w:tcW w:w="858" w:type="pct"/>
                  <w:tcBorders>
                    <w:tl2br w:val="nil"/>
                    <w:tr2bl w:val="nil"/>
                  </w:tcBorders>
                  <w:noWrap w:val="0"/>
                  <w:vAlign w:val="center"/>
                </w:tcPr>
                <w:p w14:paraId="34F07C7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新建</w:t>
                  </w:r>
                </w:p>
              </w:tc>
            </w:tr>
            <w:tr w14:paraId="75F8518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537" w:type="pct"/>
                  <w:tcBorders>
                    <w:tl2br w:val="nil"/>
                    <w:tr2bl w:val="nil"/>
                  </w:tcBorders>
                  <w:noWrap w:val="0"/>
                  <w:vAlign w:val="center"/>
                </w:tcPr>
                <w:p w14:paraId="27F1232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pacing w:val="-3"/>
                      <w:sz w:val="21"/>
                      <w:szCs w:val="21"/>
                      <w:highlight w:val="none"/>
                      <w:lang w:val="en-US" w:eastAsia="zh-CN"/>
                    </w:rPr>
                  </w:pPr>
                  <w:r>
                    <w:rPr>
                      <w:rFonts w:hint="eastAsia"/>
                      <w:color w:val="auto"/>
                      <w:spacing w:val="-3"/>
                      <w:sz w:val="21"/>
                      <w:szCs w:val="21"/>
                      <w:highlight w:val="none"/>
                      <w:lang w:val="en-US" w:eastAsia="zh-CN"/>
                    </w:rPr>
                    <w:t>环境风险</w:t>
                  </w:r>
                </w:p>
              </w:tc>
              <w:tc>
                <w:tcPr>
                  <w:tcW w:w="3603" w:type="pct"/>
                  <w:gridSpan w:val="2"/>
                  <w:tcBorders>
                    <w:tl2br w:val="nil"/>
                    <w:tr2bl w:val="nil"/>
                  </w:tcBorders>
                  <w:noWrap w:val="0"/>
                  <w:vAlign w:val="center"/>
                </w:tcPr>
                <w:p w14:paraId="5FF4E33E">
                  <w:pPr>
                    <w:pStyle w:val="73"/>
                    <w:keepNext w:val="0"/>
                    <w:keepLines w:val="0"/>
                    <w:suppressLineNumbers w:val="0"/>
                    <w:spacing w:before="66" w:beforeAutospacing="0" w:after="0" w:afterAutospacing="0" w:line="218" w:lineRule="auto"/>
                    <w:ind w:left="0" w:leftChars="0" w:right="0" w:firstLine="0" w:firstLineChars="0"/>
                    <w:jc w:val="both"/>
                    <w:rPr>
                      <w:rFonts w:hint="default" w:cs="Times New Roman"/>
                      <w:color w:val="auto"/>
                      <w:sz w:val="21"/>
                      <w:szCs w:val="21"/>
                      <w:highlight w:val="none"/>
                      <w:lang w:val="en-US" w:eastAsia="zh-CN"/>
                    </w:rPr>
                  </w:pPr>
                  <w:r>
                    <w:rPr>
                      <w:rFonts w:hint="default"/>
                      <w:color w:val="auto"/>
                      <w:spacing w:val="4"/>
                      <w:sz w:val="21"/>
                      <w:szCs w:val="21"/>
                      <w:highlight w:val="none"/>
                    </w:rPr>
                    <w:t>厂区内设置事故池</w:t>
                  </w:r>
                  <w:r>
                    <w:rPr>
                      <w:rFonts w:hint="eastAsia"/>
                      <w:color w:val="auto"/>
                      <w:spacing w:val="4"/>
                      <w:sz w:val="21"/>
                      <w:szCs w:val="21"/>
                      <w:highlight w:val="none"/>
                      <w:lang w:eastAsia="zh-CN"/>
                    </w:rPr>
                    <w:t>（</w:t>
                  </w:r>
                  <w:r>
                    <w:rPr>
                      <w:rFonts w:hint="eastAsia"/>
                      <w:color w:val="auto"/>
                      <w:spacing w:val="4"/>
                      <w:sz w:val="21"/>
                      <w:szCs w:val="21"/>
                      <w:highlight w:val="none"/>
                      <w:lang w:val="en-US" w:eastAsia="zh-CN"/>
                    </w:rPr>
                    <w:t>50m</w:t>
                  </w:r>
                  <w:r>
                    <w:rPr>
                      <w:rFonts w:hint="eastAsia"/>
                      <w:color w:val="auto"/>
                      <w:spacing w:val="4"/>
                      <w:sz w:val="21"/>
                      <w:szCs w:val="21"/>
                      <w:highlight w:val="none"/>
                      <w:vertAlign w:val="superscript"/>
                      <w:lang w:val="en-US" w:eastAsia="zh-CN"/>
                    </w:rPr>
                    <w:t>3</w:t>
                  </w:r>
                  <w:r>
                    <w:rPr>
                      <w:rFonts w:hint="eastAsia"/>
                      <w:color w:val="auto"/>
                      <w:spacing w:val="4"/>
                      <w:sz w:val="21"/>
                      <w:szCs w:val="21"/>
                      <w:highlight w:val="none"/>
                      <w:lang w:val="en-US" w:eastAsia="zh-CN"/>
                    </w:rPr>
                    <w:t>）</w:t>
                  </w:r>
                  <w:r>
                    <w:rPr>
                      <w:rFonts w:hint="default"/>
                      <w:color w:val="auto"/>
                      <w:spacing w:val="4"/>
                      <w:sz w:val="21"/>
                      <w:szCs w:val="21"/>
                      <w:highlight w:val="none"/>
                    </w:rPr>
                    <w:t>、初期雨水池</w:t>
                  </w:r>
                  <w:r>
                    <w:rPr>
                      <w:rFonts w:hint="eastAsia"/>
                      <w:color w:val="auto"/>
                      <w:spacing w:val="4"/>
                      <w:sz w:val="21"/>
                      <w:szCs w:val="21"/>
                      <w:highlight w:val="none"/>
                      <w:lang w:eastAsia="zh-CN"/>
                    </w:rPr>
                    <w:t>（</w:t>
                  </w:r>
                  <w:r>
                    <w:rPr>
                      <w:rFonts w:hint="eastAsia"/>
                      <w:color w:val="auto"/>
                      <w:spacing w:val="4"/>
                      <w:sz w:val="21"/>
                      <w:szCs w:val="21"/>
                      <w:highlight w:val="none"/>
                      <w:lang w:val="en-US" w:eastAsia="zh-CN"/>
                    </w:rPr>
                    <w:t>50m</w:t>
                  </w:r>
                  <w:r>
                    <w:rPr>
                      <w:rFonts w:hint="eastAsia"/>
                      <w:color w:val="auto"/>
                      <w:spacing w:val="4"/>
                      <w:sz w:val="21"/>
                      <w:szCs w:val="21"/>
                      <w:highlight w:val="none"/>
                      <w:vertAlign w:val="superscript"/>
                      <w:lang w:val="en-US" w:eastAsia="zh-CN"/>
                    </w:rPr>
                    <w:t>3</w:t>
                  </w:r>
                  <w:r>
                    <w:rPr>
                      <w:rFonts w:hint="eastAsia"/>
                      <w:color w:val="auto"/>
                      <w:spacing w:val="4"/>
                      <w:sz w:val="21"/>
                      <w:szCs w:val="21"/>
                      <w:highlight w:val="none"/>
                      <w:lang w:val="en-US" w:eastAsia="zh-CN"/>
                    </w:rPr>
                    <w:t>）</w:t>
                  </w:r>
                  <w:r>
                    <w:rPr>
                      <w:rFonts w:hint="default"/>
                      <w:color w:val="auto"/>
                      <w:spacing w:val="4"/>
                      <w:sz w:val="21"/>
                      <w:szCs w:val="21"/>
                      <w:highlight w:val="none"/>
                    </w:rPr>
                    <w:t>。</w:t>
                  </w:r>
                  <w:r>
                    <w:rPr>
                      <w:rFonts w:hint="default"/>
                      <w:color w:val="auto"/>
                      <w:spacing w:val="9"/>
                      <w:sz w:val="21"/>
                      <w:szCs w:val="21"/>
                      <w:highlight w:val="none"/>
                    </w:rPr>
                    <w:t>配备应急物资，制定应急计划、方案和程序，成立重大事故应急救援小组，</w:t>
                  </w:r>
                  <w:r>
                    <w:rPr>
                      <w:rFonts w:hint="eastAsia"/>
                      <w:color w:val="auto"/>
                      <w:spacing w:val="9"/>
                      <w:sz w:val="21"/>
                      <w:szCs w:val="21"/>
                      <w:highlight w:val="none"/>
                      <w:lang w:val="en-US" w:eastAsia="zh-CN"/>
                    </w:rPr>
                    <w:t>项目建成后应</w:t>
                  </w:r>
                  <w:r>
                    <w:rPr>
                      <w:rFonts w:hint="default"/>
                      <w:color w:val="auto"/>
                      <w:spacing w:val="9"/>
                      <w:sz w:val="21"/>
                      <w:szCs w:val="21"/>
                      <w:highlight w:val="none"/>
                    </w:rPr>
                    <w:t>编制突发环境事件应急预案，并至</w:t>
                  </w:r>
                  <w:r>
                    <w:rPr>
                      <w:rFonts w:hint="default"/>
                      <w:color w:val="auto"/>
                      <w:spacing w:val="7"/>
                      <w:sz w:val="21"/>
                      <w:szCs w:val="21"/>
                      <w:highlight w:val="none"/>
                    </w:rPr>
                    <w:t>生态环境主管部门备案。</w:t>
                  </w:r>
                </w:p>
              </w:tc>
              <w:tc>
                <w:tcPr>
                  <w:tcW w:w="858" w:type="pct"/>
                  <w:tcBorders>
                    <w:tl2br w:val="nil"/>
                    <w:tr2bl w:val="nil"/>
                  </w:tcBorders>
                  <w:noWrap w:val="0"/>
                  <w:vAlign w:val="center"/>
                </w:tcPr>
                <w:p w14:paraId="4DFFBF58">
                  <w:pPr>
                    <w:pStyle w:val="73"/>
                    <w:keepNext w:val="0"/>
                    <w:keepLines w:val="0"/>
                    <w:suppressLineNumbers w:val="0"/>
                    <w:spacing w:before="66" w:beforeAutospacing="0" w:after="0" w:afterAutospacing="0" w:line="218" w:lineRule="auto"/>
                    <w:ind w:left="0" w:leftChars="0" w:right="0" w:firstLine="0" w:firstLineChars="0"/>
                    <w:jc w:val="center"/>
                    <w:rPr>
                      <w:rFonts w:hint="eastAsia" w:eastAsia="宋体"/>
                      <w:color w:val="auto"/>
                      <w:spacing w:val="4"/>
                      <w:sz w:val="21"/>
                      <w:szCs w:val="21"/>
                      <w:highlight w:val="none"/>
                      <w:lang w:val="en-US" w:eastAsia="zh-CN"/>
                    </w:rPr>
                  </w:pPr>
                  <w:r>
                    <w:rPr>
                      <w:rFonts w:hint="eastAsia"/>
                      <w:color w:val="auto"/>
                      <w:spacing w:val="4"/>
                      <w:sz w:val="21"/>
                      <w:szCs w:val="21"/>
                      <w:highlight w:val="none"/>
                      <w:lang w:val="en-US" w:eastAsia="zh-CN"/>
                    </w:rPr>
                    <w:t>新建</w:t>
                  </w:r>
                </w:p>
              </w:tc>
            </w:tr>
          </w:tbl>
          <w:p w14:paraId="58E707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lang w:val="en-US" w:eastAsia="zh-CN"/>
              </w:rPr>
              <w:t>拆解规模及产品方案</w:t>
            </w:r>
          </w:p>
          <w:p w14:paraId="0EFA223F">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w:t>
            </w:r>
            <w:r>
              <w:rPr>
                <w:rFonts w:hint="eastAsia" w:cs="Times New Roman"/>
                <w:color w:val="auto"/>
                <w:sz w:val="24"/>
                <w:szCs w:val="24"/>
                <w:highlight w:val="none"/>
                <w:lang w:val="en-US" w:eastAsia="zh-CN"/>
              </w:rPr>
              <w:t>车辆</w:t>
            </w:r>
            <w:r>
              <w:rPr>
                <w:rFonts w:hint="default" w:ascii="Times New Roman" w:hAnsi="Times New Roman" w:eastAsia="宋体" w:cs="Times New Roman"/>
                <w:color w:val="auto"/>
                <w:sz w:val="24"/>
                <w:szCs w:val="24"/>
                <w:highlight w:val="none"/>
                <w:lang w:val="en-US" w:eastAsia="zh-CN"/>
              </w:rPr>
              <w:t>拆解规模</w:t>
            </w:r>
          </w:p>
          <w:p w14:paraId="62402EEC">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4"/>
                <w:szCs w:val="24"/>
                <w:highlight w:val="none"/>
                <w:lang w:val="en-US" w:eastAsia="zh-CN"/>
              </w:rPr>
              <w:t>本项目回收报废机动车，设计可年拆解报废车辆</w:t>
            </w:r>
            <w:r>
              <w:rPr>
                <w:rFonts w:hint="eastAsia"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0000辆，其中拆解报废</w:t>
            </w:r>
            <w:r>
              <w:rPr>
                <w:rFonts w:hint="eastAsia" w:cs="Times New Roman"/>
                <w:color w:val="auto"/>
                <w:sz w:val="24"/>
                <w:szCs w:val="24"/>
                <w:highlight w:val="none"/>
                <w:lang w:val="en-US" w:eastAsia="zh-CN"/>
              </w:rPr>
              <w:t>传统</w:t>
            </w:r>
            <w:r>
              <w:rPr>
                <w:rFonts w:hint="eastAsia" w:ascii="Times New Roman" w:hAnsi="Times New Roman" w:eastAsia="宋体" w:cs="Times New Roman"/>
                <w:color w:val="auto"/>
                <w:sz w:val="24"/>
                <w:szCs w:val="24"/>
                <w:highlight w:val="none"/>
                <w:lang w:val="en-US" w:eastAsia="zh-CN"/>
              </w:rPr>
              <w:t>燃油车5000辆/年（包括大中型燃油车2000辆/年、小型燃油车3000辆/年）</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拆解新能源车</w:t>
            </w:r>
            <w:r>
              <w:rPr>
                <w:rFonts w:hint="eastAsia" w:cs="Times New Roman"/>
                <w:color w:val="auto"/>
                <w:sz w:val="24"/>
                <w:szCs w:val="24"/>
                <w:highlight w:val="none"/>
                <w:lang w:val="en-US" w:eastAsia="zh-CN"/>
              </w:rPr>
              <w:t>3000</w:t>
            </w:r>
            <w:r>
              <w:rPr>
                <w:rFonts w:hint="eastAsia" w:ascii="Times New Roman" w:hAnsi="Times New Roman" w:eastAsia="宋体" w:cs="Times New Roman"/>
                <w:color w:val="auto"/>
                <w:sz w:val="24"/>
                <w:szCs w:val="24"/>
                <w:highlight w:val="none"/>
                <w:lang w:val="en-US" w:eastAsia="zh-CN"/>
              </w:rPr>
              <w:t>辆/年（包括大中型新能源车</w:t>
            </w:r>
            <w:r>
              <w:rPr>
                <w:rFonts w:hint="eastAsia" w:cs="Times New Roman"/>
                <w:color w:val="auto"/>
                <w:sz w:val="24"/>
                <w:szCs w:val="24"/>
                <w:highlight w:val="none"/>
                <w:lang w:val="en-US" w:eastAsia="zh-CN"/>
              </w:rPr>
              <w:t>1000</w:t>
            </w:r>
            <w:r>
              <w:rPr>
                <w:rFonts w:hint="eastAsia" w:ascii="Times New Roman" w:hAnsi="Times New Roman" w:eastAsia="宋体" w:cs="Times New Roman"/>
                <w:color w:val="auto"/>
                <w:sz w:val="24"/>
                <w:szCs w:val="24"/>
                <w:highlight w:val="none"/>
                <w:lang w:val="en-US" w:eastAsia="zh-CN"/>
              </w:rPr>
              <w:t>辆/年、小型新能源车</w:t>
            </w:r>
            <w:r>
              <w:rPr>
                <w:rFonts w:hint="eastAsia" w:cs="Times New Roman"/>
                <w:color w:val="auto"/>
                <w:sz w:val="24"/>
                <w:szCs w:val="24"/>
                <w:highlight w:val="none"/>
                <w:lang w:val="en-US" w:eastAsia="zh-CN"/>
              </w:rPr>
              <w:t>2000</w:t>
            </w:r>
            <w:r>
              <w:rPr>
                <w:rFonts w:hint="eastAsia" w:ascii="Times New Roman" w:hAnsi="Times New Roman" w:eastAsia="宋体" w:cs="Times New Roman"/>
                <w:color w:val="auto"/>
                <w:sz w:val="24"/>
                <w:szCs w:val="24"/>
                <w:highlight w:val="none"/>
                <w:lang w:val="en-US" w:eastAsia="zh-CN"/>
              </w:rPr>
              <w:t>辆/年）</w:t>
            </w:r>
            <w:r>
              <w:rPr>
                <w:rFonts w:hint="eastAsia" w:cs="Times New Roman"/>
                <w:color w:val="auto"/>
                <w:sz w:val="24"/>
                <w:szCs w:val="24"/>
                <w:highlight w:val="none"/>
                <w:lang w:val="en-US" w:eastAsia="zh-CN"/>
              </w:rPr>
              <w:t>、拆解农机2000辆/年</w:t>
            </w:r>
            <w:r>
              <w:rPr>
                <w:rFonts w:hint="default" w:ascii="Times New Roman" w:hAnsi="Times New Roman" w:eastAsia="宋体" w:cs="Times New Roman"/>
                <w:color w:val="auto"/>
                <w:sz w:val="24"/>
                <w:szCs w:val="24"/>
                <w:highlight w:val="none"/>
                <w:lang w:val="en-US" w:eastAsia="zh-CN"/>
              </w:rPr>
              <w:t>。拆解规模见</w:t>
            </w:r>
            <w:r>
              <w:rPr>
                <w:rFonts w:hint="eastAsia" w:ascii="Times New Roman" w:hAnsi="Times New Roman" w:eastAsia="宋体" w:cs="Times New Roman"/>
                <w:color w:val="auto"/>
                <w:sz w:val="24"/>
                <w:szCs w:val="24"/>
                <w:highlight w:val="none"/>
                <w:lang w:val="en-US" w:eastAsia="zh-CN"/>
              </w:rPr>
              <w:t>下表</w:t>
            </w:r>
            <w:r>
              <w:rPr>
                <w:rFonts w:hint="default" w:ascii="Times New Roman" w:hAnsi="Times New Roman" w:eastAsia="宋体" w:cs="Times New Roman"/>
                <w:color w:val="auto"/>
                <w:sz w:val="24"/>
                <w:szCs w:val="24"/>
                <w:highlight w:val="none"/>
                <w:lang w:val="en-US" w:eastAsia="zh-CN"/>
              </w:rPr>
              <w:t>。</w:t>
            </w:r>
          </w:p>
          <w:p w14:paraId="7BE744C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sz w:val="21"/>
                <w:szCs w:val="21"/>
                <w:highlight w:val="none"/>
              </w:rPr>
              <w:t>表2</w:t>
            </w:r>
            <w:r>
              <w:rPr>
                <w:rFonts w:hint="default" w:ascii="Times New Roman" w:hAnsi="Times New Roman" w:eastAsia="宋体" w:cs="Times New Roman"/>
                <w:b/>
                <w:bCs/>
                <w:color w:val="auto"/>
                <w:sz w:val="21"/>
                <w:szCs w:val="21"/>
                <w:highlight w:val="none"/>
                <w:lang w:val="en-US" w:eastAsia="zh-CN"/>
              </w:rPr>
              <w:t xml:space="preserve">-2 </w:t>
            </w:r>
            <w:r>
              <w:rPr>
                <w:rFonts w:hint="default" w:ascii="Times New Roman" w:hAnsi="Times New Roman" w:eastAsia="宋体" w:cs="Times New Roman"/>
                <w:b/>
                <w:bCs/>
                <w:color w:val="auto"/>
                <w:sz w:val="21"/>
                <w:szCs w:val="21"/>
                <w:highlight w:val="none"/>
              </w:rPr>
              <w:t xml:space="preserve"> 拆解方案一览表</w:t>
            </w:r>
          </w:p>
          <w:tbl>
            <w:tblPr>
              <w:tblStyle w:val="26"/>
              <w:tblW w:w="4998"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499"/>
              <w:gridCol w:w="2183"/>
              <w:gridCol w:w="1565"/>
              <w:gridCol w:w="1945"/>
              <w:gridCol w:w="1946"/>
            </w:tblGrid>
            <w:tr w14:paraId="23DDB3D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20" w:type="pct"/>
                  <w:tcBorders>
                    <w:tl2br w:val="nil"/>
                    <w:tr2bl w:val="nil"/>
                  </w:tcBorders>
                  <w:noWrap w:val="0"/>
                  <w:vAlign w:val="center"/>
                </w:tcPr>
                <w:p w14:paraId="11DBCC8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eastAsia="zh-CN" w:bidi="ar"/>
                    </w:rPr>
                  </w:pPr>
                  <w:r>
                    <w:rPr>
                      <w:rFonts w:hint="default" w:ascii="Times New Roman" w:hAnsi="Times New Roman" w:eastAsia="宋体" w:cs="Times New Roman"/>
                      <w:b/>
                      <w:bCs/>
                      <w:color w:val="auto"/>
                      <w:kern w:val="2"/>
                      <w:sz w:val="21"/>
                      <w:szCs w:val="21"/>
                      <w:highlight w:val="none"/>
                      <w:lang w:eastAsia="zh-CN" w:bidi="ar"/>
                    </w:rPr>
                    <w:t>类型</w:t>
                  </w:r>
                </w:p>
              </w:tc>
              <w:tc>
                <w:tcPr>
                  <w:tcW w:w="1193" w:type="pct"/>
                  <w:tcBorders>
                    <w:tl2br w:val="nil"/>
                    <w:tr2bl w:val="nil"/>
                  </w:tcBorders>
                  <w:noWrap w:val="0"/>
                  <w:vAlign w:val="center"/>
                </w:tcPr>
                <w:p w14:paraId="44646E3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kern w:val="2"/>
                      <w:sz w:val="21"/>
                      <w:szCs w:val="21"/>
                      <w:highlight w:val="none"/>
                      <w:lang w:bidi="ar"/>
                    </w:rPr>
                    <w:t>拆解类型</w:t>
                  </w:r>
                </w:p>
              </w:tc>
              <w:tc>
                <w:tcPr>
                  <w:tcW w:w="856" w:type="pct"/>
                  <w:tcBorders>
                    <w:tl2br w:val="nil"/>
                    <w:tr2bl w:val="nil"/>
                  </w:tcBorders>
                  <w:noWrap w:val="0"/>
                  <w:vAlign w:val="center"/>
                </w:tcPr>
                <w:p w14:paraId="064B594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kern w:val="2"/>
                      <w:sz w:val="21"/>
                      <w:szCs w:val="21"/>
                      <w:highlight w:val="none"/>
                      <w:lang w:bidi="ar"/>
                    </w:rPr>
                    <w:t>拆解数量</w:t>
                  </w:r>
                  <w:r>
                    <w:rPr>
                      <w:rFonts w:hint="eastAsia" w:ascii="Times New Roman" w:hAnsi="Times New Roman" w:eastAsia="宋体" w:cs="Times New Roman"/>
                      <w:b/>
                      <w:bCs/>
                      <w:color w:val="auto"/>
                      <w:kern w:val="2"/>
                      <w:sz w:val="21"/>
                      <w:szCs w:val="21"/>
                      <w:highlight w:val="none"/>
                      <w:lang w:val="en-US" w:eastAsia="zh-CN" w:bidi="ar"/>
                    </w:rPr>
                    <w:t xml:space="preserve"> </w:t>
                  </w:r>
                  <w:r>
                    <w:rPr>
                      <w:rFonts w:hint="default" w:ascii="Times New Roman" w:hAnsi="Times New Roman" w:eastAsia="宋体" w:cs="Times New Roman"/>
                      <w:b/>
                      <w:bCs/>
                      <w:color w:val="auto"/>
                      <w:kern w:val="2"/>
                      <w:sz w:val="21"/>
                      <w:szCs w:val="21"/>
                      <w:highlight w:val="none"/>
                      <w:lang w:bidi="ar"/>
                    </w:rPr>
                    <w:t>辆/</w:t>
                  </w:r>
                  <w:r>
                    <w:rPr>
                      <w:rFonts w:hint="default" w:ascii="Times New Roman" w:hAnsi="Times New Roman" w:eastAsia="宋体" w:cs="Times New Roman"/>
                      <w:b/>
                      <w:bCs/>
                      <w:color w:val="auto"/>
                      <w:kern w:val="2"/>
                      <w:sz w:val="21"/>
                      <w:szCs w:val="21"/>
                      <w:highlight w:val="none"/>
                      <w:lang w:val="en-US" w:eastAsia="zh-CN" w:bidi="ar"/>
                    </w:rPr>
                    <w:t>a</w:t>
                  </w:r>
                </w:p>
              </w:tc>
              <w:tc>
                <w:tcPr>
                  <w:tcW w:w="1064" w:type="pct"/>
                  <w:tcBorders>
                    <w:tl2br w:val="nil"/>
                    <w:tr2bl w:val="nil"/>
                  </w:tcBorders>
                  <w:noWrap w:val="0"/>
                  <w:vAlign w:val="center"/>
                </w:tcPr>
                <w:p w14:paraId="2A5993C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eastAsia" w:ascii="Times New Roman" w:hAnsi="Times New Roman" w:eastAsia="宋体" w:cs="Times New Roman"/>
                      <w:b/>
                      <w:bCs/>
                      <w:color w:val="auto"/>
                      <w:kern w:val="2"/>
                      <w:sz w:val="21"/>
                      <w:szCs w:val="21"/>
                      <w:highlight w:val="none"/>
                      <w:lang w:val="en-US" w:eastAsia="zh-CN" w:bidi="ar"/>
                    </w:rPr>
                    <w:t>平均重量 t</w:t>
                  </w:r>
                </w:p>
              </w:tc>
              <w:tc>
                <w:tcPr>
                  <w:tcW w:w="1064" w:type="pct"/>
                  <w:tcBorders>
                    <w:tl2br w:val="nil"/>
                    <w:tr2bl w:val="nil"/>
                  </w:tcBorders>
                  <w:noWrap w:val="0"/>
                  <w:vAlign w:val="center"/>
                </w:tcPr>
                <w:p w14:paraId="503E5B7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eastAsia" w:ascii="Times New Roman" w:hAnsi="Times New Roman" w:eastAsia="宋体" w:cs="Times New Roman"/>
                      <w:b/>
                      <w:bCs/>
                      <w:color w:val="auto"/>
                      <w:kern w:val="2"/>
                      <w:sz w:val="21"/>
                      <w:szCs w:val="21"/>
                      <w:highlight w:val="none"/>
                      <w:lang w:val="en-US" w:eastAsia="zh-CN" w:bidi="ar"/>
                    </w:rPr>
                    <w:t>总重量 t</w:t>
                  </w:r>
                </w:p>
              </w:tc>
            </w:tr>
            <w:tr w14:paraId="0CD2C5A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20" w:type="pct"/>
                  <w:vMerge w:val="restart"/>
                  <w:tcBorders>
                    <w:tl2br w:val="nil"/>
                    <w:tr2bl w:val="nil"/>
                  </w:tcBorders>
                  <w:noWrap w:val="0"/>
                  <w:vAlign w:val="center"/>
                </w:tcPr>
                <w:p w14:paraId="3F95601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传统燃料机动车</w:t>
                  </w:r>
                </w:p>
              </w:tc>
              <w:tc>
                <w:tcPr>
                  <w:tcW w:w="1193" w:type="pct"/>
                  <w:tcBorders>
                    <w:tl2br w:val="nil"/>
                    <w:tr2bl w:val="nil"/>
                  </w:tcBorders>
                  <w:noWrap w:val="0"/>
                  <w:vAlign w:val="center"/>
                </w:tcPr>
                <w:p w14:paraId="7AFCA7C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bidi="ar"/>
                    </w:rPr>
                    <w:t>小型</w:t>
                  </w:r>
                  <w:r>
                    <w:rPr>
                      <w:rFonts w:hint="eastAsia" w:ascii="Times New Roman" w:hAnsi="Times New Roman" w:eastAsia="宋体" w:cs="Times New Roman"/>
                      <w:color w:val="auto"/>
                      <w:kern w:val="2"/>
                      <w:sz w:val="21"/>
                      <w:szCs w:val="21"/>
                      <w:highlight w:val="none"/>
                      <w:lang w:val="en-US" w:eastAsia="zh-CN" w:bidi="ar"/>
                    </w:rPr>
                    <w:t>燃油</w:t>
                  </w:r>
                  <w:r>
                    <w:rPr>
                      <w:rFonts w:hint="default" w:ascii="Times New Roman" w:hAnsi="Times New Roman" w:eastAsia="宋体" w:cs="Times New Roman"/>
                      <w:color w:val="auto"/>
                      <w:kern w:val="2"/>
                      <w:sz w:val="21"/>
                      <w:szCs w:val="21"/>
                      <w:highlight w:val="none"/>
                      <w:lang w:bidi="ar"/>
                    </w:rPr>
                    <w:t>车</w:t>
                  </w:r>
                </w:p>
              </w:tc>
              <w:tc>
                <w:tcPr>
                  <w:tcW w:w="856" w:type="pct"/>
                  <w:tcBorders>
                    <w:tl2br w:val="nil"/>
                    <w:tr2bl w:val="nil"/>
                  </w:tcBorders>
                  <w:noWrap w:val="0"/>
                  <w:vAlign w:val="center"/>
                </w:tcPr>
                <w:p w14:paraId="7773190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3000</w:t>
                  </w:r>
                </w:p>
              </w:tc>
              <w:tc>
                <w:tcPr>
                  <w:tcW w:w="1064" w:type="pct"/>
                  <w:tcBorders>
                    <w:tl2br w:val="nil"/>
                    <w:tr2bl w:val="nil"/>
                  </w:tcBorders>
                  <w:noWrap w:val="0"/>
                  <w:vAlign w:val="center"/>
                </w:tcPr>
                <w:p w14:paraId="238667B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1.4</w:t>
                  </w:r>
                </w:p>
              </w:tc>
              <w:tc>
                <w:tcPr>
                  <w:tcW w:w="1064" w:type="pct"/>
                  <w:tcBorders>
                    <w:tl2br w:val="nil"/>
                    <w:tr2bl w:val="nil"/>
                  </w:tcBorders>
                  <w:noWrap w:val="0"/>
                  <w:vAlign w:val="center"/>
                </w:tcPr>
                <w:p w14:paraId="00F6C89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4200</w:t>
                  </w:r>
                </w:p>
              </w:tc>
            </w:tr>
            <w:tr w14:paraId="531873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20" w:type="pct"/>
                  <w:vMerge w:val="continue"/>
                  <w:tcBorders>
                    <w:tl2br w:val="nil"/>
                    <w:tr2bl w:val="nil"/>
                  </w:tcBorders>
                  <w:noWrap w:val="0"/>
                  <w:vAlign w:val="center"/>
                </w:tcPr>
                <w:p w14:paraId="46CBC94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eastAsia="zh-CN"/>
                    </w:rPr>
                  </w:pPr>
                </w:p>
              </w:tc>
              <w:tc>
                <w:tcPr>
                  <w:tcW w:w="1193" w:type="pct"/>
                  <w:tcBorders>
                    <w:tl2br w:val="nil"/>
                    <w:tr2bl w:val="nil"/>
                  </w:tcBorders>
                  <w:noWrap w:val="0"/>
                  <w:vAlign w:val="center"/>
                </w:tcPr>
                <w:p w14:paraId="2B770C3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大中型</w:t>
                  </w:r>
                  <w:r>
                    <w:rPr>
                      <w:rFonts w:hint="eastAsia" w:ascii="Times New Roman" w:hAnsi="Times New Roman" w:eastAsia="宋体" w:cs="Times New Roman"/>
                      <w:color w:val="auto"/>
                      <w:kern w:val="2"/>
                      <w:sz w:val="21"/>
                      <w:szCs w:val="21"/>
                      <w:highlight w:val="none"/>
                      <w:lang w:val="en-US" w:eastAsia="zh-CN" w:bidi="ar"/>
                    </w:rPr>
                    <w:t>燃油</w:t>
                  </w:r>
                  <w:r>
                    <w:rPr>
                      <w:rFonts w:hint="default" w:ascii="Times New Roman" w:hAnsi="Times New Roman" w:eastAsia="宋体" w:cs="Times New Roman"/>
                      <w:color w:val="auto"/>
                      <w:sz w:val="21"/>
                      <w:szCs w:val="21"/>
                      <w:highlight w:val="none"/>
                      <w:lang w:val="en-US" w:eastAsia="zh-CN"/>
                    </w:rPr>
                    <w:t>车</w:t>
                  </w:r>
                </w:p>
              </w:tc>
              <w:tc>
                <w:tcPr>
                  <w:tcW w:w="856" w:type="pct"/>
                  <w:tcBorders>
                    <w:tl2br w:val="nil"/>
                    <w:tr2bl w:val="nil"/>
                  </w:tcBorders>
                  <w:noWrap w:val="0"/>
                  <w:vAlign w:val="center"/>
                </w:tcPr>
                <w:p w14:paraId="29C7E44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rPr>
                  </w:pPr>
                  <w:r>
                    <w:rPr>
                      <w:rFonts w:hint="eastAsia" w:ascii="Times New Roman" w:hAnsi="Times New Roman" w:eastAsia="宋体" w:cs="Times New Roman"/>
                      <w:color w:val="auto"/>
                      <w:sz w:val="21"/>
                      <w:szCs w:val="21"/>
                      <w:highlight w:val="none"/>
                      <w:lang w:val="en-US" w:eastAsia="zh-CN"/>
                    </w:rPr>
                    <w:t>2000</w:t>
                  </w:r>
                </w:p>
              </w:tc>
              <w:tc>
                <w:tcPr>
                  <w:tcW w:w="1064" w:type="pct"/>
                  <w:tcBorders>
                    <w:tl2br w:val="nil"/>
                    <w:tr2bl w:val="nil"/>
                  </w:tcBorders>
                  <w:noWrap w:val="0"/>
                  <w:vAlign w:val="center"/>
                </w:tcPr>
                <w:p w14:paraId="5060BBC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5.4</w:t>
                  </w:r>
                </w:p>
              </w:tc>
              <w:tc>
                <w:tcPr>
                  <w:tcW w:w="1064" w:type="pct"/>
                  <w:tcBorders>
                    <w:tl2br w:val="nil"/>
                    <w:tr2bl w:val="nil"/>
                  </w:tcBorders>
                  <w:noWrap w:val="0"/>
                  <w:vAlign w:val="center"/>
                </w:tcPr>
                <w:p w14:paraId="0212C4F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10800</w:t>
                  </w:r>
                </w:p>
              </w:tc>
            </w:tr>
            <w:tr w14:paraId="3EF779F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20" w:type="pct"/>
                  <w:vMerge w:val="restart"/>
                  <w:tcBorders>
                    <w:tl2br w:val="nil"/>
                    <w:tr2bl w:val="nil"/>
                  </w:tcBorders>
                  <w:noWrap w:val="0"/>
                  <w:vAlign w:val="center"/>
                </w:tcPr>
                <w:p w14:paraId="62DA79A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新能源汽车</w:t>
                  </w:r>
                </w:p>
              </w:tc>
              <w:tc>
                <w:tcPr>
                  <w:tcW w:w="1193" w:type="pct"/>
                  <w:tcBorders>
                    <w:tl2br w:val="nil"/>
                    <w:tr2bl w:val="nil"/>
                  </w:tcBorders>
                  <w:noWrap w:val="0"/>
                  <w:vAlign w:val="center"/>
                </w:tcPr>
                <w:p w14:paraId="4254A88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bidi="ar"/>
                    </w:rPr>
                    <w:t>小型</w:t>
                  </w:r>
                  <w:r>
                    <w:rPr>
                      <w:rFonts w:hint="default" w:ascii="Times New Roman" w:hAnsi="Times New Roman" w:eastAsia="宋体" w:cs="Times New Roman"/>
                      <w:color w:val="auto"/>
                      <w:sz w:val="21"/>
                      <w:szCs w:val="21"/>
                      <w:highlight w:val="none"/>
                      <w:lang w:eastAsia="zh-CN"/>
                    </w:rPr>
                    <w:t>新能源</w:t>
                  </w:r>
                  <w:r>
                    <w:rPr>
                      <w:rFonts w:hint="default" w:ascii="Times New Roman" w:hAnsi="Times New Roman" w:eastAsia="宋体" w:cs="Times New Roman"/>
                      <w:color w:val="auto"/>
                      <w:kern w:val="2"/>
                      <w:sz w:val="21"/>
                      <w:szCs w:val="21"/>
                      <w:highlight w:val="none"/>
                      <w:lang w:bidi="ar"/>
                    </w:rPr>
                    <w:t>车</w:t>
                  </w:r>
                </w:p>
              </w:tc>
              <w:tc>
                <w:tcPr>
                  <w:tcW w:w="856" w:type="pct"/>
                  <w:tcBorders>
                    <w:tl2br w:val="nil"/>
                    <w:tr2bl w:val="nil"/>
                  </w:tcBorders>
                  <w:noWrap w:val="0"/>
                  <w:vAlign w:val="center"/>
                </w:tcPr>
                <w:p w14:paraId="0BC8753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2000</w:t>
                  </w:r>
                </w:p>
              </w:tc>
              <w:tc>
                <w:tcPr>
                  <w:tcW w:w="1064" w:type="pct"/>
                  <w:tcBorders>
                    <w:tl2br w:val="nil"/>
                    <w:tr2bl w:val="nil"/>
                  </w:tcBorders>
                  <w:noWrap w:val="0"/>
                  <w:vAlign w:val="center"/>
                </w:tcPr>
                <w:p w14:paraId="4B41482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0.8</w:t>
                  </w:r>
                </w:p>
              </w:tc>
              <w:tc>
                <w:tcPr>
                  <w:tcW w:w="1064" w:type="pct"/>
                  <w:tcBorders>
                    <w:tl2br w:val="nil"/>
                    <w:tr2bl w:val="nil"/>
                  </w:tcBorders>
                  <w:noWrap w:val="0"/>
                  <w:vAlign w:val="center"/>
                </w:tcPr>
                <w:p w14:paraId="6E33EC2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1600</w:t>
                  </w:r>
                </w:p>
              </w:tc>
            </w:tr>
            <w:tr w14:paraId="44AB1C9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820" w:type="pct"/>
                  <w:vMerge w:val="continue"/>
                  <w:tcBorders>
                    <w:tl2br w:val="nil"/>
                    <w:tr2bl w:val="nil"/>
                  </w:tcBorders>
                  <w:noWrap w:val="0"/>
                  <w:vAlign w:val="center"/>
                </w:tcPr>
                <w:p w14:paraId="05E64F2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eastAsia="zh-CN"/>
                    </w:rPr>
                  </w:pPr>
                </w:p>
              </w:tc>
              <w:tc>
                <w:tcPr>
                  <w:tcW w:w="1193" w:type="pct"/>
                  <w:tcBorders>
                    <w:tl2br w:val="nil"/>
                    <w:tr2bl w:val="nil"/>
                  </w:tcBorders>
                  <w:noWrap w:val="0"/>
                  <w:vAlign w:val="center"/>
                </w:tcPr>
                <w:p w14:paraId="1EC73DA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大中型</w:t>
                  </w:r>
                  <w:r>
                    <w:rPr>
                      <w:rFonts w:hint="eastAsia" w:ascii="Times New Roman" w:hAnsi="Times New Roman" w:cs="Times New Roman"/>
                      <w:color w:val="auto"/>
                      <w:sz w:val="21"/>
                      <w:szCs w:val="21"/>
                      <w:highlight w:val="none"/>
                      <w:lang w:val="en-US" w:eastAsia="zh-CN"/>
                    </w:rPr>
                    <w:t>新能源</w:t>
                  </w:r>
                  <w:r>
                    <w:rPr>
                      <w:rFonts w:hint="default" w:ascii="Times New Roman" w:hAnsi="Times New Roman" w:eastAsia="宋体" w:cs="Times New Roman"/>
                      <w:color w:val="auto"/>
                      <w:sz w:val="21"/>
                      <w:szCs w:val="21"/>
                      <w:highlight w:val="none"/>
                      <w:lang w:val="en-US" w:eastAsia="zh-CN"/>
                    </w:rPr>
                    <w:t>车</w:t>
                  </w:r>
                </w:p>
              </w:tc>
              <w:tc>
                <w:tcPr>
                  <w:tcW w:w="856" w:type="pct"/>
                  <w:tcBorders>
                    <w:tl2br w:val="nil"/>
                    <w:tr2bl w:val="nil"/>
                  </w:tcBorders>
                  <w:noWrap w:val="0"/>
                  <w:vAlign w:val="center"/>
                </w:tcPr>
                <w:p w14:paraId="4F6ABBD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bidi="ar-SA"/>
                    </w:rPr>
                    <w:t>1000</w:t>
                  </w:r>
                </w:p>
              </w:tc>
              <w:tc>
                <w:tcPr>
                  <w:tcW w:w="1064" w:type="pct"/>
                  <w:tcBorders>
                    <w:tl2br w:val="nil"/>
                    <w:tr2bl w:val="nil"/>
                  </w:tcBorders>
                  <w:noWrap w:val="0"/>
                  <w:vAlign w:val="center"/>
                </w:tcPr>
                <w:p w14:paraId="371D147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2.3</w:t>
                  </w:r>
                </w:p>
              </w:tc>
              <w:tc>
                <w:tcPr>
                  <w:tcW w:w="1064" w:type="pct"/>
                  <w:tcBorders>
                    <w:tl2br w:val="nil"/>
                    <w:tr2bl w:val="nil"/>
                  </w:tcBorders>
                  <w:noWrap w:val="0"/>
                  <w:vAlign w:val="center"/>
                </w:tcPr>
                <w:p w14:paraId="34C3D88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2300</w:t>
                  </w:r>
                </w:p>
              </w:tc>
            </w:tr>
            <w:tr w14:paraId="09786DF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820" w:type="pct"/>
                  <w:tcBorders>
                    <w:tl2br w:val="nil"/>
                    <w:tr2bl w:val="nil"/>
                  </w:tcBorders>
                  <w:noWrap w:val="0"/>
                  <w:vAlign w:val="center"/>
                </w:tcPr>
                <w:p w14:paraId="60931D2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农机</w:t>
                  </w:r>
                </w:p>
              </w:tc>
              <w:tc>
                <w:tcPr>
                  <w:tcW w:w="1193" w:type="pct"/>
                  <w:tcBorders>
                    <w:tl2br w:val="nil"/>
                    <w:tr2bl w:val="nil"/>
                  </w:tcBorders>
                  <w:noWrap w:val="0"/>
                  <w:vAlign w:val="center"/>
                </w:tcPr>
                <w:p w14:paraId="7C66CD3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拖拉机、收割机等</w:t>
                  </w:r>
                </w:p>
              </w:tc>
              <w:tc>
                <w:tcPr>
                  <w:tcW w:w="856" w:type="pct"/>
                  <w:tcBorders>
                    <w:tl2br w:val="nil"/>
                    <w:tr2bl w:val="nil"/>
                  </w:tcBorders>
                  <w:noWrap w:val="0"/>
                  <w:vAlign w:val="center"/>
                </w:tcPr>
                <w:p w14:paraId="4AA4FB0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cs="Times New Roman"/>
                      <w:color w:val="auto"/>
                      <w:kern w:val="0"/>
                      <w:sz w:val="21"/>
                      <w:szCs w:val="21"/>
                      <w:highlight w:val="none"/>
                      <w:lang w:val="en-US" w:eastAsia="zh-CN" w:bidi="ar-SA"/>
                    </w:rPr>
                    <w:t>2000</w:t>
                  </w:r>
                </w:p>
              </w:tc>
              <w:tc>
                <w:tcPr>
                  <w:tcW w:w="1064" w:type="pct"/>
                  <w:tcBorders>
                    <w:tl2br w:val="nil"/>
                    <w:tr2bl w:val="nil"/>
                  </w:tcBorders>
                  <w:noWrap w:val="0"/>
                  <w:vAlign w:val="center"/>
                </w:tcPr>
                <w:p w14:paraId="18BCA41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w:t>
                  </w:r>
                </w:p>
              </w:tc>
              <w:tc>
                <w:tcPr>
                  <w:tcW w:w="1064" w:type="pct"/>
                  <w:tcBorders>
                    <w:tl2br w:val="nil"/>
                    <w:tr2bl w:val="nil"/>
                  </w:tcBorders>
                  <w:noWrap w:val="0"/>
                  <w:vAlign w:val="center"/>
                </w:tcPr>
                <w:p w14:paraId="459683C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6000</w:t>
                  </w:r>
                </w:p>
              </w:tc>
            </w:tr>
            <w:tr w14:paraId="7F93C87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jc w:val="center"/>
              </w:trPr>
              <w:tc>
                <w:tcPr>
                  <w:tcW w:w="2014" w:type="pct"/>
                  <w:gridSpan w:val="2"/>
                  <w:tcBorders>
                    <w:tl2br w:val="nil"/>
                    <w:tr2bl w:val="nil"/>
                  </w:tcBorders>
                  <w:noWrap w:val="0"/>
                  <w:vAlign w:val="center"/>
                </w:tcPr>
                <w:p w14:paraId="53D799C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bidi="ar"/>
                    </w:rPr>
                  </w:pPr>
                  <w:r>
                    <w:rPr>
                      <w:rFonts w:hint="default" w:ascii="Times New Roman" w:hAnsi="Times New Roman" w:eastAsia="宋体" w:cs="Times New Roman"/>
                      <w:color w:val="auto"/>
                      <w:kern w:val="2"/>
                      <w:sz w:val="21"/>
                      <w:szCs w:val="21"/>
                      <w:highlight w:val="none"/>
                      <w:lang w:bidi="ar"/>
                    </w:rPr>
                    <w:t>合计</w:t>
                  </w:r>
                </w:p>
              </w:tc>
              <w:tc>
                <w:tcPr>
                  <w:tcW w:w="856" w:type="pct"/>
                  <w:tcBorders>
                    <w:tl2br w:val="nil"/>
                    <w:tr2bl w:val="nil"/>
                  </w:tcBorders>
                  <w:noWrap w:val="0"/>
                  <w:vAlign w:val="center"/>
                </w:tcPr>
                <w:p w14:paraId="6371E0F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10000</w:t>
                  </w:r>
                </w:p>
              </w:tc>
              <w:tc>
                <w:tcPr>
                  <w:tcW w:w="1064" w:type="pct"/>
                  <w:tcBorders>
                    <w:tl2br w:val="nil"/>
                    <w:tr2bl w:val="nil"/>
                  </w:tcBorders>
                  <w:noWrap w:val="0"/>
                  <w:vAlign w:val="center"/>
                </w:tcPr>
                <w:p w14:paraId="4442359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eastAsia" w:ascii="Times New Roman" w:hAnsi="Times New Roman" w:cs="Times New Roman"/>
                      <w:color w:val="auto"/>
                      <w:kern w:val="2"/>
                      <w:sz w:val="21"/>
                      <w:szCs w:val="21"/>
                      <w:highlight w:val="none"/>
                      <w:lang w:val="en-US" w:eastAsia="zh-CN" w:bidi="ar"/>
                    </w:rPr>
                  </w:pPr>
                </w:p>
              </w:tc>
              <w:tc>
                <w:tcPr>
                  <w:tcW w:w="1064" w:type="pct"/>
                  <w:tcBorders>
                    <w:tl2br w:val="nil"/>
                    <w:tr2bl w:val="nil"/>
                  </w:tcBorders>
                  <w:noWrap w:val="0"/>
                  <w:vAlign w:val="center"/>
                </w:tcPr>
                <w:p w14:paraId="3F5B719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24900</w:t>
                  </w:r>
                </w:p>
              </w:tc>
            </w:tr>
          </w:tbl>
          <w:p w14:paraId="21E6843A">
            <w:pPr>
              <w:pStyle w:val="73"/>
              <w:keepNext w:val="0"/>
              <w:keepLines w:val="0"/>
              <w:suppressLineNumbers w:val="0"/>
              <w:spacing w:before="142" w:beforeAutospacing="0" w:after="0" w:afterAutospacing="0" w:line="360" w:lineRule="auto"/>
              <w:ind w:left="107" w:right="102" w:firstLine="480"/>
              <w:jc w:val="both"/>
              <w:rPr>
                <w:rFonts w:hint="default"/>
                <w:color w:val="auto"/>
                <w:highlight w:val="none"/>
              </w:rPr>
            </w:pPr>
            <w:r>
              <w:rPr>
                <w:rFonts w:hint="default"/>
                <w:color w:val="auto"/>
                <w:spacing w:val="3"/>
                <w:highlight w:val="none"/>
              </w:rPr>
              <w:t>拆解深度：拆解过程按从外到里，分成车身外观件拆除、车内装</w:t>
            </w:r>
            <w:r>
              <w:rPr>
                <w:rFonts w:hint="default"/>
                <w:color w:val="auto"/>
                <w:spacing w:val="2"/>
                <w:highlight w:val="none"/>
              </w:rPr>
              <w:t>拆除和总成拆除三个部分。根据《报废机动车回收管理办法》（</w:t>
            </w:r>
            <w:r>
              <w:rPr>
                <w:rFonts w:hint="default"/>
                <w:color w:val="auto"/>
                <w:spacing w:val="1"/>
                <w:highlight w:val="none"/>
              </w:rPr>
              <w:t>国务院令第</w:t>
            </w:r>
            <w:r>
              <w:rPr>
                <w:rFonts w:hint="default"/>
                <w:color w:val="auto"/>
                <w:spacing w:val="-47"/>
                <w:highlight w:val="none"/>
              </w:rPr>
              <w:t xml:space="preserve"> </w:t>
            </w:r>
            <w:r>
              <w:rPr>
                <w:rFonts w:hint="default" w:ascii="Times New Roman" w:hAnsi="Times New Roman" w:eastAsia="Times New Roman" w:cs="Times New Roman"/>
                <w:color w:val="auto"/>
                <w:spacing w:val="1"/>
                <w:highlight w:val="none"/>
              </w:rPr>
              <w:t>715</w:t>
            </w:r>
            <w:r>
              <w:rPr>
                <w:rFonts w:hint="default" w:ascii="Times New Roman" w:hAnsi="Times New Roman" w:eastAsia="Times New Roman" w:cs="Times New Roman"/>
                <w:color w:val="auto"/>
                <w:spacing w:val="17"/>
                <w:w w:val="101"/>
                <w:highlight w:val="none"/>
              </w:rPr>
              <w:t xml:space="preserve"> </w:t>
            </w:r>
            <w:r>
              <w:rPr>
                <w:rFonts w:hint="default"/>
                <w:color w:val="auto"/>
                <w:spacing w:val="1"/>
                <w:highlight w:val="none"/>
              </w:rPr>
              <w:t>号</w:t>
            </w:r>
            <w:r>
              <w:rPr>
                <w:rFonts w:hint="default"/>
                <w:color w:val="auto"/>
                <w:spacing w:val="3"/>
                <w:highlight w:val="none"/>
              </w:rPr>
              <w:t>），</w:t>
            </w:r>
            <w:r>
              <w:rPr>
                <w:rFonts w:hint="default"/>
                <w:color w:val="auto"/>
                <w:spacing w:val="2"/>
                <w:highlight w:val="none"/>
              </w:rPr>
              <w:t>具备再制造条件的“五大总成</w:t>
            </w:r>
            <w:r>
              <w:rPr>
                <w:rFonts w:hint="default"/>
                <w:color w:val="auto"/>
                <w:spacing w:val="-86"/>
                <w:highlight w:val="none"/>
              </w:rPr>
              <w:t xml:space="preserve"> </w:t>
            </w:r>
            <w:r>
              <w:rPr>
                <w:rFonts w:hint="default"/>
                <w:color w:val="auto"/>
                <w:spacing w:val="2"/>
                <w:highlight w:val="none"/>
              </w:rPr>
              <w:t>”，包括发动机、方向机、</w:t>
            </w:r>
            <w:r>
              <w:rPr>
                <w:rFonts w:hint="default"/>
                <w:color w:val="auto"/>
                <w:spacing w:val="1"/>
                <w:highlight w:val="none"/>
              </w:rPr>
              <w:t>变速器、前后桥、车</w:t>
            </w:r>
            <w:r>
              <w:rPr>
                <w:rFonts w:hint="default"/>
                <w:color w:val="auto"/>
                <w:spacing w:val="3"/>
                <w:highlight w:val="none"/>
              </w:rPr>
              <w:t>架等拆除下来后不进一步清洗，分类储存后出售给具有再</w:t>
            </w:r>
            <w:r>
              <w:rPr>
                <w:rFonts w:hint="default"/>
                <w:color w:val="auto"/>
                <w:spacing w:val="2"/>
                <w:highlight w:val="none"/>
              </w:rPr>
              <w:t>制造能力的企业经过</w:t>
            </w:r>
            <w:r>
              <w:rPr>
                <w:rFonts w:hint="default"/>
                <w:color w:val="auto"/>
                <w:spacing w:val="3"/>
                <w:highlight w:val="none"/>
              </w:rPr>
              <w:t>再制造予以循环利用。不对发动机、变速箱等总成及蓄电</w:t>
            </w:r>
            <w:r>
              <w:rPr>
                <w:rFonts w:hint="default"/>
                <w:color w:val="auto"/>
                <w:spacing w:val="2"/>
                <w:highlight w:val="none"/>
              </w:rPr>
              <w:t>池进行二次拆解；项</w:t>
            </w:r>
            <w:r>
              <w:rPr>
                <w:rFonts w:hint="default"/>
                <w:color w:val="auto"/>
                <w:spacing w:val="3"/>
                <w:highlight w:val="none"/>
              </w:rPr>
              <w:t>目不接收液化气（天然气）罐车、油罐车、危化品车、消</w:t>
            </w:r>
            <w:r>
              <w:rPr>
                <w:rFonts w:hint="default"/>
                <w:color w:val="auto"/>
                <w:spacing w:val="2"/>
                <w:highlight w:val="none"/>
              </w:rPr>
              <w:t>防车等特种车辆、专</w:t>
            </w:r>
            <w:r>
              <w:rPr>
                <w:rFonts w:hint="default"/>
                <w:color w:val="auto"/>
                <w:spacing w:val="3"/>
                <w:highlight w:val="none"/>
              </w:rPr>
              <w:t>用车辆；厂区内不涉及零件的清洗及精细拆解、翻新等深</w:t>
            </w:r>
            <w:r>
              <w:rPr>
                <w:rFonts w:hint="default"/>
                <w:color w:val="auto"/>
                <w:spacing w:val="2"/>
                <w:highlight w:val="none"/>
              </w:rPr>
              <w:t>度工序。项目拆解过</w:t>
            </w:r>
            <w:r>
              <w:rPr>
                <w:rFonts w:hint="default"/>
                <w:color w:val="auto"/>
                <w:spacing w:val="1"/>
                <w:highlight w:val="none"/>
              </w:rPr>
              <w:t>程产生的废液化气罐来自</w:t>
            </w:r>
            <w:r>
              <w:rPr>
                <w:rFonts w:hint="default" w:ascii="Times New Roman" w:hAnsi="Times New Roman" w:eastAsia="Times New Roman" w:cs="Times New Roman"/>
                <w:color w:val="auto"/>
                <w:highlight w:val="none"/>
              </w:rPr>
              <w:t>CNG</w:t>
            </w:r>
            <w:r>
              <w:rPr>
                <w:rFonts w:hint="default" w:ascii="Times New Roman" w:hAnsi="Times New Roman" w:eastAsia="Times New Roman" w:cs="Times New Roman"/>
                <w:color w:val="auto"/>
                <w:spacing w:val="1"/>
                <w:highlight w:val="none"/>
              </w:rPr>
              <w:t xml:space="preserve"> </w:t>
            </w:r>
            <w:r>
              <w:rPr>
                <w:rFonts w:hint="default"/>
                <w:color w:val="auto"/>
                <w:spacing w:val="1"/>
                <w:highlight w:val="none"/>
              </w:rPr>
              <w:t>汽车或</w:t>
            </w:r>
            <w:r>
              <w:rPr>
                <w:rFonts w:hint="default"/>
                <w:color w:val="auto"/>
                <w:spacing w:val="-37"/>
                <w:highlight w:val="none"/>
              </w:rPr>
              <w:t xml:space="preserve"> </w:t>
            </w:r>
            <w:r>
              <w:rPr>
                <w:rFonts w:hint="default" w:ascii="Times New Roman" w:hAnsi="Times New Roman" w:eastAsia="Times New Roman" w:cs="Times New Roman"/>
                <w:color w:val="auto"/>
                <w:highlight w:val="none"/>
              </w:rPr>
              <w:t>LNG</w:t>
            </w:r>
            <w:r>
              <w:rPr>
                <w:rFonts w:hint="default"/>
                <w:color w:val="auto"/>
                <w:spacing w:val="1"/>
                <w:highlight w:val="none"/>
              </w:rPr>
              <w:t>汽车（油改气车辆）。</w:t>
            </w:r>
          </w:p>
          <w:p w14:paraId="5D6CE41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4" w:firstLineChars="200"/>
              <w:textAlignment w:val="auto"/>
              <w:rPr>
                <w:rFonts w:hint="eastAsia" w:ascii="Times New Roman" w:hAnsi="Times New Roman" w:eastAsia="宋体" w:cs="Times New Roman"/>
                <w:b/>
                <w:bCs/>
                <w:color w:val="auto"/>
                <w:spacing w:val="1"/>
                <w:sz w:val="24"/>
                <w:szCs w:val="24"/>
                <w:highlight w:val="none"/>
                <w:lang w:val="en-US" w:eastAsia="zh-CN"/>
              </w:rPr>
            </w:pPr>
            <w:r>
              <w:rPr>
                <w:rFonts w:hint="default"/>
                <w:color w:val="auto"/>
                <w:spacing w:val="1"/>
                <w:highlight w:val="none"/>
              </w:rPr>
              <w:t>根据《报废机动车拆解企业污染控制技术规范》（</w:t>
            </w:r>
            <w:r>
              <w:rPr>
                <w:rFonts w:hint="default" w:ascii="Times New Roman" w:hAnsi="Times New Roman" w:eastAsia="Times New Roman" w:cs="Times New Roman"/>
                <w:color w:val="auto"/>
                <w:highlight w:val="none"/>
              </w:rPr>
              <w:t>HJ</w:t>
            </w:r>
            <w:r>
              <w:rPr>
                <w:rFonts w:hint="default" w:ascii="Times New Roman" w:hAnsi="Times New Roman" w:eastAsia="Times New Roman" w:cs="Times New Roman"/>
                <w:color w:val="auto"/>
                <w:spacing w:val="1"/>
                <w:highlight w:val="none"/>
              </w:rPr>
              <w:t xml:space="preserve"> 348-2022</w:t>
            </w:r>
            <w:r>
              <w:rPr>
                <w:rFonts w:hint="default"/>
                <w:color w:val="auto"/>
                <w:spacing w:val="1"/>
                <w:highlight w:val="none"/>
              </w:rPr>
              <w:t>）、《报废</w:t>
            </w:r>
            <w:r>
              <w:rPr>
                <w:rFonts w:hint="default"/>
                <w:color w:val="auto"/>
                <w:spacing w:val="-2"/>
                <w:highlight w:val="none"/>
              </w:rPr>
              <w:t>农业机械回收拆解技术规范》（</w:t>
            </w:r>
            <w:r>
              <w:rPr>
                <w:rFonts w:hint="default" w:ascii="Times New Roman" w:hAnsi="Times New Roman" w:eastAsia="Times New Roman" w:cs="Times New Roman"/>
                <w:color w:val="auto"/>
                <w:spacing w:val="-2"/>
                <w:highlight w:val="none"/>
              </w:rPr>
              <w:t>NY/T2900-2022</w:t>
            </w:r>
            <w:r>
              <w:rPr>
                <w:rFonts w:hint="default"/>
                <w:color w:val="auto"/>
                <w:spacing w:val="-2"/>
                <w:highlight w:val="none"/>
              </w:rPr>
              <w:t>）、汽车报废拆解与材料回收利</w:t>
            </w:r>
            <w:r>
              <w:rPr>
                <w:rFonts w:hint="default"/>
                <w:color w:val="auto"/>
                <w:spacing w:val="3"/>
                <w:highlight w:val="none"/>
              </w:rPr>
              <w:t>用》及《汽车产品回收利用技术政策》中相关资料，同</w:t>
            </w:r>
            <w:r>
              <w:rPr>
                <w:rFonts w:hint="default"/>
                <w:color w:val="auto"/>
                <w:spacing w:val="2"/>
                <w:highlight w:val="none"/>
              </w:rPr>
              <w:t>时类比同行业拆解车辆</w:t>
            </w:r>
            <w:r>
              <w:rPr>
                <w:rFonts w:hint="default"/>
                <w:color w:val="auto"/>
                <w:spacing w:val="-1"/>
                <w:highlight w:val="none"/>
              </w:rPr>
              <w:t>现状及汽车行业的发展，各种机动车拆解产生的物品情况见下表。</w:t>
            </w:r>
          </w:p>
          <w:p w14:paraId="641BB1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表</w:t>
            </w:r>
            <w:r>
              <w:rPr>
                <w:rFonts w:hint="eastAsia" w:ascii="Times New Roman" w:hAnsi="Times New Roman" w:eastAsia="宋体" w:cs="Times New Roman"/>
                <w:b/>
                <w:bCs/>
                <w:color w:val="auto"/>
                <w:sz w:val="21"/>
                <w:szCs w:val="21"/>
                <w:highlight w:val="none"/>
                <w:lang w:val="en-US" w:eastAsia="zh-CN"/>
              </w:rPr>
              <w:t>2-3</w:t>
            </w:r>
            <w:r>
              <w:rPr>
                <w:rFonts w:hint="default" w:ascii="Times New Roman" w:hAnsi="Times New Roman" w:eastAsia="宋体" w:cs="Times New Roman"/>
                <w:b/>
                <w:bCs/>
                <w:color w:val="auto"/>
                <w:sz w:val="21"/>
                <w:szCs w:val="21"/>
                <w:highlight w:val="none"/>
              </w:rPr>
              <w:t xml:space="preserve">  报废新能源汽车拆解总产出情况表</w:t>
            </w:r>
          </w:p>
          <w:tbl>
            <w:tblPr>
              <w:tblStyle w:val="74"/>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282"/>
              <w:gridCol w:w="1427"/>
              <w:gridCol w:w="1260"/>
              <w:gridCol w:w="1012"/>
              <w:gridCol w:w="1012"/>
              <w:gridCol w:w="1164"/>
            </w:tblGrid>
            <w:tr w14:paraId="4697CF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Merge w:val="restart"/>
                  <w:tcBorders>
                    <w:bottom w:val="nil"/>
                  </w:tcBorders>
                  <w:vAlign w:val="center"/>
                </w:tcPr>
                <w:p w14:paraId="4073544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拆解产物名称</w:t>
                  </w:r>
                </w:p>
              </w:tc>
              <w:tc>
                <w:tcPr>
                  <w:tcW w:w="2487" w:type="dxa"/>
                  <w:gridSpan w:val="2"/>
                  <w:vAlign w:val="center"/>
                </w:tcPr>
                <w:p w14:paraId="68F5E89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拆解产物重量（</w:t>
                  </w:r>
                  <w:r>
                    <w:rPr>
                      <w:rFonts w:hint="default" w:ascii="Times New Roman" w:hAnsi="Times New Roman" w:eastAsia="宋体" w:cs="Times New Roman"/>
                      <w:color w:val="auto"/>
                      <w:sz w:val="21"/>
                      <w:szCs w:val="21"/>
                      <w:highlight w:val="none"/>
                    </w:rPr>
                    <w:t>kg</w:t>
                  </w:r>
                  <w:r>
                    <w:rPr>
                      <w:rFonts w:hint="default" w:ascii="Times New Roman" w:hAnsi="Times New Roman" w:eastAsia="宋体" w:cs="Times New Roman"/>
                      <w:color w:val="auto"/>
                      <w:spacing w:val="8"/>
                      <w:sz w:val="21"/>
                      <w:szCs w:val="21"/>
                      <w:highlight w:val="none"/>
                    </w:rPr>
                    <w:t>/辆）</w:t>
                  </w:r>
                </w:p>
              </w:tc>
              <w:tc>
                <w:tcPr>
                  <w:tcW w:w="2950" w:type="dxa"/>
                  <w:gridSpan w:val="3"/>
                  <w:tcBorders>
                    <w:right w:val="single" w:color="000000" w:sz="6" w:space="0"/>
                  </w:tcBorders>
                  <w:vAlign w:val="center"/>
                </w:tcPr>
                <w:p w14:paraId="4A0A5E3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总重量（t/a）</w:t>
                  </w:r>
                </w:p>
              </w:tc>
            </w:tr>
            <w:tr w14:paraId="6BBCB7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49" w:hRule="atLeast"/>
              </w:trPr>
              <w:tc>
                <w:tcPr>
                  <w:tcW w:w="3038" w:type="dxa"/>
                  <w:vMerge w:val="continue"/>
                  <w:tcBorders>
                    <w:top w:val="nil"/>
                  </w:tcBorders>
                  <w:vAlign w:val="center"/>
                </w:tcPr>
                <w:p w14:paraId="07F29D8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321" w:type="dxa"/>
                  <w:vAlign w:val="center"/>
                </w:tcPr>
                <w:p w14:paraId="71562ED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小型</w:t>
                  </w:r>
                </w:p>
              </w:tc>
              <w:tc>
                <w:tcPr>
                  <w:tcW w:w="1166" w:type="dxa"/>
                  <w:vAlign w:val="center"/>
                </w:tcPr>
                <w:p w14:paraId="5CE9C3F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大中型</w:t>
                  </w:r>
                </w:p>
              </w:tc>
              <w:tc>
                <w:tcPr>
                  <w:tcW w:w="937" w:type="dxa"/>
                  <w:vAlign w:val="center"/>
                </w:tcPr>
                <w:p w14:paraId="1226EA6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小型</w:t>
                  </w:r>
                </w:p>
              </w:tc>
              <w:tc>
                <w:tcPr>
                  <w:tcW w:w="937" w:type="dxa"/>
                  <w:vAlign w:val="center"/>
                </w:tcPr>
                <w:p w14:paraId="5FB9036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sz w:val="21"/>
                      <w:szCs w:val="21"/>
                      <w:highlight w:val="none"/>
                    </w:rPr>
                    <w:t>大中型</w:t>
                  </w:r>
                </w:p>
              </w:tc>
              <w:tc>
                <w:tcPr>
                  <w:tcW w:w="1076" w:type="dxa"/>
                  <w:tcBorders>
                    <w:right w:val="single" w:color="000000" w:sz="6" w:space="0"/>
                  </w:tcBorders>
                  <w:vAlign w:val="center"/>
                </w:tcPr>
                <w:p w14:paraId="2D668E1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合计</w:t>
                  </w:r>
                </w:p>
              </w:tc>
            </w:tr>
            <w:tr w14:paraId="064BB7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283884B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7"/>
                      <w:sz w:val="21"/>
                      <w:szCs w:val="21"/>
                      <w:highlight w:val="none"/>
                    </w:rPr>
                    <w:t>钢铁（车门、车身）</w:t>
                  </w:r>
                </w:p>
              </w:tc>
              <w:tc>
                <w:tcPr>
                  <w:tcW w:w="1321" w:type="dxa"/>
                  <w:vAlign w:val="center"/>
                </w:tcPr>
                <w:p w14:paraId="7272021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1"/>
                      <w:sz w:val="21"/>
                      <w:szCs w:val="21"/>
                      <w:highlight w:val="none"/>
                      <w:lang w:val="en-US" w:eastAsia="zh-CN"/>
                    </w:rPr>
                    <w:t>215.2</w:t>
                  </w:r>
                </w:p>
              </w:tc>
              <w:tc>
                <w:tcPr>
                  <w:tcW w:w="1166" w:type="dxa"/>
                  <w:shd w:val="clear" w:color="auto" w:fill="auto"/>
                  <w:vAlign w:val="center"/>
                </w:tcPr>
                <w:p w14:paraId="38F4E15C">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518.7</w:t>
                  </w:r>
                </w:p>
              </w:tc>
              <w:tc>
                <w:tcPr>
                  <w:tcW w:w="937" w:type="dxa"/>
                  <w:shd w:val="clear" w:color="auto" w:fill="auto"/>
                  <w:vAlign w:val="center"/>
                </w:tcPr>
                <w:p w14:paraId="2F084E9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430.4</w:t>
                  </w:r>
                </w:p>
              </w:tc>
              <w:tc>
                <w:tcPr>
                  <w:tcW w:w="937" w:type="dxa"/>
                  <w:shd w:val="clear" w:color="auto" w:fill="auto"/>
                  <w:vAlign w:val="center"/>
                </w:tcPr>
                <w:p w14:paraId="1E59F52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518.7</w:t>
                  </w:r>
                </w:p>
              </w:tc>
              <w:tc>
                <w:tcPr>
                  <w:tcW w:w="1076" w:type="dxa"/>
                  <w:tcBorders>
                    <w:right w:val="single" w:color="000000" w:sz="6" w:space="0"/>
                  </w:tcBorders>
                  <w:shd w:val="clear" w:color="auto" w:fill="auto"/>
                  <w:vAlign w:val="center"/>
                </w:tcPr>
                <w:p w14:paraId="2AF5D9C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949.1</w:t>
                  </w:r>
                </w:p>
              </w:tc>
            </w:tr>
            <w:tr w14:paraId="4E6309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78211DA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有色金属（散热器、消声器</w:t>
                  </w:r>
                  <w:r>
                    <w:rPr>
                      <w:rFonts w:hint="default" w:ascii="Times New Roman" w:hAnsi="Times New Roman" w:eastAsia="宋体" w:cs="Times New Roman"/>
                      <w:color w:val="auto"/>
                      <w:spacing w:val="2"/>
                      <w:sz w:val="21"/>
                      <w:szCs w:val="21"/>
                      <w:highlight w:val="none"/>
                    </w:rPr>
                    <w:t>）</w:t>
                  </w:r>
                </w:p>
              </w:tc>
              <w:tc>
                <w:tcPr>
                  <w:tcW w:w="1321" w:type="dxa"/>
                  <w:vAlign w:val="center"/>
                </w:tcPr>
                <w:p w14:paraId="150815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3"/>
                      <w:sz w:val="21"/>
                      <w:szCs w:val="21"/>
                      <w:highlight w:val="none"/>
                      <w:lang w:val="en-US" w:eastAsia="zh-CN"/>
                    </w:rPr>
                    <w:t>53.3</w:t>
                  </w:r>
                </w:p>
              </w:tc>
              <w:tc>
                <w:tcPr>
                  <w:tcW w:w="1166" w:type="dxa"/>
                  <w:shd w:val="clear" w:color="auto" w:fill="auto"/>
                  <w:vAlign w:val="center"/>
                </w:tcPr>
                <w:p w14:paraId="4F4FD01D">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153.25</w:t>
                  </w:r>
                </w:p>
              </w:tc>
              <w:tc>
                <w:tcPr>
                  <w:tcW w:w="937" w:type="dxa"/>
                  <w:shd w:val="clear" w:color="auto" w:fill="auto"/>
                  <w:vAlign w:val="center"/>
                </w:tcPr>
                <w:p w14:paraId="76C1DD5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106.6</w:t>
                  </w:r>
                </w:p>
              </w:tc>
              <w:tc>
                <w:tcPr>
                  <w:tcW w:w="937" w:type="dxa"/>
                  <w:shd w:val="clear" w:color="auto" w:fill="auto"/>
                  <w:vAlign w:val="center"/>
                </w:tcPr>
                <w:p w14:paraId="4DF4274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153.25</w:t>
                  </w:r>
                </w:p>
              </w:tc>
              <w:tc>
                <w:tcPr>
                  <w:tcW w:w="1076" w:type="dxa"/>
                  <w:tcBorders>
                    <w:right w:val="single" w:color="000000" w:sz="6" w:space="0"/>
                  </w:tcBorders>
                  <w:shd w:val="clear" w:color="auto" w:fill="auto"/>
                  <w:vAlign w:val="center"/>
                </w:tcPr>
                <w:p w14:paraId="4A6C94C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259.85</w:t>
                  </w:r>
                </w:p>
              </w:tc>
            </w:tr>
            <w:tr w14:paraId="2E29A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25ABA80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玻璃</w:t>
                  </w:r>
                </w:p>
              </w:tc>
              <w:tc>
                <w:tcPr>
                  <w:tcW w:w="1321" w:type="dxa"/>
                  <w:vAlign w:val="center"/>
                </w:tcPr>
                <w:p w14:paraId="6082EDC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31</w:t>
                  </w:r>
                </w:p>
              </w:tc>
              <w:tc>
                <w:tcPr>
                  <w:tcW w:w="1166" w:type="dxa"/>
                  <w:shd w:val="clear" w:color="auto" w:fill="auto"/>
                  <w:vAlign w:val="center"/>
                </w:tcPr>
                <w:p w14:paraId="0547465F">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75</w:t>
                  </w:r>
                </w:p>
              </w:tc>
              <w:tc>
                <w:tcPr>
                  <w:tcW w:w="937" w:type="dxa"/>
                  <w:shd w:val="clear" w:color="auto" w:fill="auto"/>
                  <w:vAlign w:val="center"/>
                </w:tcPr>
                <w:p w14:paraId="215C40D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62</w:t>
                  </w:r>
                </w:p>
              </w:tc>
              <w:tc>
                <w:tcPr>
                  <w:tcW w:w="937" w:type="dxa"/>
                  <w:shd w:val="clear" w:color="auto" w:fill="auto"/>
                  <w:vAlign w:val="center"/>
                </w:tcPr>
                <w:p w14:paraId="265C8F0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75</w:t>
                  </w:r>
                </w:p>
              </w:tc>
              <w:tc>
                <w:tcPr>
                  <w:tcW w:w="1076" w:type="dxa"/>
                  <w:tcBorders>
                    <w:right w:val="single" w:color="000000" w:sz="6" w:space="0"/>
                  </w:tcBorders>
                  <w:shd w:val="clear" w:color="auto" w:fill="auto"/>
                  <w:vAlign w:val="center"/>
                </w:tcPr>
                <w:p w14:paraId="49CD341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137</w:t>
                  </w:r>
                </w:p>
              </w:tc>
            </w:tr>
            <w:tr w14:paraId="36C892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3759E18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塑料</w:t>
                  </w:r>
                </w:p>
              </w:tc>
              <w:tc>
                <w:tcPr>
                  <w:tcW w:w="1321" w:type="dxa"/>
                  <w:vAlign w:val="center"/>
                </w:tcPr>
                <w:p w14:paraId="12F10C8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20</w:t>
                  </w:r>
                </w:p>
              </w:tc>
              <w:tc>
                <w:tcPr>
                  <w:tcW w:w="1166" w:type="dxa"/>
                  <w:shd w:val="clear" w:color="auto" w:fill="auto"/>
                  <w:vAlign w:val="center"/>
                </w:tcPr>
                <w:p w14:paraId="26FED05E">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60</w:t>
                  </w:r>
                </w:p>
              </w:tc>
              <w:tc>
                <w:tcPr>
                  <w:tcW w:w="937" w:type="dxa"/>
                  <w:shd w:val="clear" w:color="auto" w:fill="auto"/>
                  <w:vAlign w:val="center"/>
                </w:tcPr>
                <w:p w14:paraId="1164FE1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40</w:t>
                  </w:r>
                </w:p>
              </w:tc>
              <w:tc>
                <w:tcPr>
                  <w:tcW w:w="937" w:type="dxa"/>
                  <w:shd w:val="clear" w:color="auto" w:fill="auto"/>
                  <w:vAlign w:val="center"/>
                </w:tcPr>
                <w:p w14:paraId="40C750F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60</w:t>
                  </w:r>
                </w:p>
              </w:tc>
              <w:tc>
                <w:tcPr>
                  <w:tcW w:w="1076" w:type="dxa"/>
                  <w:tcBorders>
                    <w:right w:val="single" w:color="000000" w:sz="6" w:space="0"/>
                  </w:tcBorders>
                  <w:shd w:val="clear" w:color="auto" w:fill="auto"/>
                  <w:vAlign w:val="center"/>
                </w:tcPr>
                <w:p w14:paraId="5FE91D5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100</w:t>
                  </w:r>
                </w:p>
              </w:tc>
            </w:tr>
            <w:tr w14:paraId="16A115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2E28765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橡胶</w:t>
                  </w:r>
                </w:p>
              </w:tc>
              <w:tc>
                <w:tcPr>
                  <w:tcW w:w="1321" w:type="dxa"/>
                  <w:vAlign w:val="center"/>
                </w:tcPr>
                <w:p w14:paraId="5D870FC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21.5</w:t>
                  </w:r>
                </w:p>
              </w:tc>
              <w:tc>
                <w:tcPr>
                  <w:tcW w:w="1166" w:type="dxa"/>
                  <w:shd w:val="clear" w:color="auto" w:fill="auto"/>
                  <w:vAlign w:val="center"/>
                </w:tcPr>
                <w:p w14:paraId="41C37550">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62.5</w:t>
                  </w:r>
                </w:p>
              </w:tc>
              <w:tc>
                <w:tcPr>
                  <w:tcW w:w="937" w:type="dxa"/>
                  <w:shd w:val="clear" w:color="auto" w:fill="auto"/>
                  <w:vAlign w:val="center"/>
                </w:tcPr>
                <w:p w14:paraId="0E00CD0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43</w:t>
                  </w:r>
                </w:p>
              </w:tc>
              <w:tc>
                <w:tcPr>
                  <w:tcW w:w="937" w:type="dxa"/>
                  <w:shd w:val="clear" w:color="auto" w:fill="auto"/>
                  <w:vAlign w:val="center"/>
                </w:tcPr>
                <w:p w14:paraId="5E7D706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62.5</w:t>
                  </w:r>
                </w:p>
              </w:tc>
              <w:tc>
                <w:tcPr>
                  <w:tcW w:w="1076" w:type="dxa"/>
                  <w:tcBorders>
                    <w:right w:val="single" w:color="000000" w:sz="6" w:space="0"/>
                  </w:tcBorders>
                  <w:shd w:val="clear" w:color="auto" w:fill="auto"/>
                  <w:vAlign w:val="center"/>
                </w:tcPr>
                <w:p w14:paraId="0071232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105.5</w:t>
                  </w:r>
                </w:p>
              </w:tc>
            </w:tr>
            <w:tr w14:paraId="7CE888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49AF0D6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可用零部件（螺丝、轴承等）</w:t>
                  </w:r>
                </w:p>
              </w:tc>
              <w:tc>
                <w:tcPr>
                  <w:tcW w:w="1321" w:type="dxa"/>
                  <w:vAlign w:val="center"/>
                </w:tcPr>
                <w:p w14:paraId="690FEB6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32.5</w:t>
                  </w:r>
                </w:p>
              </w:tc>
              <w:tc>
                <w:tcPr>
                  <w:tcW w:w="1166" w:type="dxa"/>
                  <w:shd w:val="clear" w:color="auto" w:fill="auto"/>
                  <w:vAlign w:val="center"/>
                </w:tcPr>
                <w:p w14:paraId="6F489825">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94.3</w:t>
                  </w:r>
                </w:p>
              </w:tc>
              <w:tc>
                <w:tcPr>
                  <w:tcW w:w="937" w:type="dxa"/>
                  <w:shd w:val="clear" w:color="auto" w:fill="auto"/>
                  <w:vAlign w:val="center"/>
                </w:tcPr>
                <w:p w14:paraId="46864FC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65</w:t>
                  </w:r>
                </w:p>
              </w:tc>
              <w:tc>
                <w:tcPr>
                  <w:tcW w:w="937" w:type="dxa"/>
                  <w:shd w:val="clear" w:color="auto" w:fill="auto"/>
                  <w:vAlign w:val="center"/>
                </w:tcPr>
                <w:p w14:paraId="550D163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94.3</w:t>
                  </w:r>
                </w:p>
              </w:tc>
              <w:tc>
                <w:tcPr>
                  <w:tcW w:w="1076" w:type="dxa"/>
                  <w:tcBorders>
                    <w:right w:val="single" w:color="000000" w:sz="6" w:space="0"/>
                  </w:tcBorders>
                  <w:shd w:val="clear" w:color="auto" w:fill="auto"/>
                  <w:vAlign w:val="center"/>
                </w:tcPr>
                <w:p w14:paraId="46E59B2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159.3</w:t>
                  </w:r>
                </w:p>
              </w:tc>
            </w:tr>
            <w:tr w14:paraId="0A40DE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3038" w:type="dxa"/>
                  <w:vAlign w:val="center"/>
                </w:tcPr>
                <w:p w14:paraId="5E976EB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5"/>
                      <w:sz w:val="21"/>
                      <w:szCs w:val="21"/>
                      <w:highlight w:val="none"/>
                    </w:rPr>
                    <w:t>五大总成</w:t>
                  </w:r>
                  <w:r>
                    <w:rPr>
                      <w:rFonts w:hint="eastAsia" w:ascii="Times New Roman" w:hAnsi="Times New Roman" w:eastAsia="宋体" w:cs="Times New Roman"/>
                      <w:color w:val="auto"/>
                      <w:spacing w:val="5"/>
                      <w:sz w:val="21"/>
                      <w:szCs w:val="21"/>
                      <w:highlight w:val="none"/>
                      <w:vertAlign w:val="superscript"/>
                      <w:lang w:val="en-US" w:eastAsia="zh-CN"/>
                    </w:rPr>
                    <w:t>①</w:t>
                  </w:r>
                  <w:r>
                    <w:rPr>
                      <w:rFonts w:hint="default" w:ascii="Times New Roman" w:hAnsi="Times New Roman" w:eastAsia="宋体" w:cs="Times New Roman"/>
                      <w:color w:val="auto"/>
                      <w:spacing w:val="5"/>
                      <w:sz w:val="21"/>
                      <w:szCs w:val="21"/>
                      <w:highlight w:val="none"/>
                    </w:rPr>
                    <w:t>（方向机、前后桥、</w:t>
                  </w:r>
                  <w:r>
                    <w:rPr>
                      <w:rFonts w:hint="default" w:ascii="Times New Roman" w:hAnsi="Times New Roman" w:eastAsia="宋体" w:cs="Times New Roman"/>
                      <w:color w:val="auto"/>
                      <w:spacing w:val="7"/>
                      <w:sz w:val="21"/>
                      <w:szCs w:val="21"/>
                      <w:highlight w:val="none"/>
                    </w:rPr>
                    <w:t>发动机、变速器、车架）</w:t>
                  </w:r>
                </w:p>
              </w:tc>
              <w:tc>
                <w:tcPr>
                  <w:tcW w:w="1321" w:type="dxa"/>
                  <w:vAlign w:val="center"/>
                </w:tcPr>
                <w:p w14:paraId="53A360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343</w:t>
                  </w:r>
                </w:p>
              </w:tc>
              <w:tc>
                <w:tcPr>
                  <w:tcW w:w="1166" w:type="dxa"/>
                  <w:shd w:val="clear" w:color="auto" w:fill="auto"/>
                  <w:vAlign w:val="center"/>
                </w:tcPr>
                <w:p w14:paraId="08AE31E2">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833</w:t>
                  </w:r>
                </w:p>
              </w:tc>
              <w:tc>
                <w:tcPr>
                  <w:tcW w:w="937" w:type="dxa"/>
                  <w:shd w:val="clear" w:color="auto" w:fill="auto"/>
                  <w:vAlign w:val="center"/>
                </w:tcPr>
                <w:p w14:paraId="3D97BAF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686</w:t>
                  </w:r>
                </w:p>
              </w:tc>
              <w:tc>
                <w:tcPr>
                  <w:tcW w:w="937" w:type="dxa"/>
                  <w:shd w:val="clear" w:color="auto" w:fill="auto"/>
                  <w:vAlign w:val="center"/>
                </w:tcPr>
                <w:p w14:paraId="15FA542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833</w:t>
                  </w:r>
                </w:p>
              </w:tc>
              <w:tc>
                <w:tcPr>
                  <w:tcW w:w="1076" w:type="dxa"/>
                  <w:tcBorders>
                    <w:right w:val="single" w:color="000000" w:sz="6" w:space="0"/>
                  </w:tcBorders>
                  <w:shd w:val="clear" w:color="auto" w:fill="auto"/>
                  <w:vAlign w:val="center"/>
                </w:tcPr>
                <w:p w14:paraId="1315D68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1519</w:t>
                  </w:r>
                </w:p>
              </w:tc>
            </w:tr>
            <w:tr w14:paraId="2E30E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7D03B98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pacing w:val="7"/>
                      <w:sz w:val="21"/>
                      <w:szCs w:val="21"/>
                      <w:highlight w:val="none"/>
                    </w:rPr>
                    <w:t>不可利用废物</w:t>
                  </w:r>
                  <w:r>
                    <w:rPr>
                      <w:rFonts w:hint="eastAsia" w:ascii="Times New Roman" w:hAnsi="Times New Roman" w:eastAsia="宋体" w:cs="Times New Roman"/>
                      <w:color w:val="auto"/>
                      <w:spacing w:val="7"/>
                      <w:sz w:val="21"/>
                      <w:szCs w:val="21"/>
                      <w:highlight w:val="none"/>
                      <w:vertAlign w:val="superscript"/>
                      <w:lang w:val="en-US" w:eastAsia="zh-CN"/>
                    </w:rPr>
                    <w:t>②</w:t>
                  </w:r>
                </w:p>
              </w:tc>
              <w:tc>
                <w:tcPr>
                  <w:tcW w:w="1321" w:type="dxa"/>
                  <w:vAlign w:val="center"/>
                </w:tcPr>
                <w:p w14:paraId="5EE0D02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20</w:t>
                  </w:r>
                </w:p>
              </w:tc>
              <w:tc>
                <w:tcPr>
                  <w:tcW w:w="1166" w:type="dxa"/>
                  <w:shd w:val="clear" w:color="auto" w:fill="auto"/>
                  <w:vAlign w:val="center"/>
                </w:tcPr>
                <w:p w14:paraId="28D6FA24">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57.5</w:t>
                  </w:r>
                </w:p>
              </w:tc>
              <w:tc>
                <w:tcPr>
                  <w:tcW w:w="937" w:type="dxa"/>
                  <w:shd w:val="clear" w:color="auto" w:fill="auto"/>
                  <w:vAlign w:val="center"/>
                </w:tcPr>
                <w:p w14:paraId="73EEE10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40</w:t>
                  </w:r>
                </w:p>
              </w:tc>
              <w:tc>
                <w:tcPr>
                  <w:tcW w:w="937" w:type="dxa"/>
                  <w:shd w:val="clear" w:color="auto" w:fill="auto"/>
                  <w:vAlign w:val="center"/>
                </w:tcPr>
                <w:p w14:paraId="1C1A650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57.5</w:t>
                  </w:r>
                </w:p>
              </w:tc>
              <w:tc>
                <w:tcPr>
                  <w:tcW w:w="1076" w:type="dxa"/>
                  <w:tcBorders>
                    <w:right w:val="single" w:color="000000" w:sz="6" w:space="0"/>
                  </w:tcBorders>
                  <w:shd w:val="clear" w:color="auto" w:fill="auto"/>
                  <w:vAlign w:val="center"/>
                </w:tcPr>
                <w:p w14:paraId="3FA9C32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97.5</w:t>
                  </w:r>
                </w:p>
              </w:tc>
            </w:tr>
            <w:tr w14:paraId="15C85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vAlign w:val="center"/>
                </w:tcPr>
                <w:p w14:paraId="09486B5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8"/>
                      <w:sz w:val="21"/>
                      <w:szCs w:val="21"/>
                      <w:highlight w:val="none"/>
                    </w:rPr>
                    <w:t>废安全气囊（引爆后）</w:t>
                  </w:r>
                </w:p>
              </w:tc>
              <w:tc>
                <w:tcPr>
                  <w:tcW w:w="1321" w:type="dxa"/>
                  <w:vAlign w:val="center"/>
                </w:tcPr>
                <w:p w14:paraId="6D67B6F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1</w:t>
                  </w:r>
                </w:p>
              </w:tc>
              <w:tc>
                <w:tcPr>
                  <w:tcW w:w="1166" w:type="dxa"/>
                  <w:shd w:val="clear" w:color="auto" w:fill="auto"/>
                  <w:vAlign w:val="center"/>
                </w:tcPr>
                <w:p w14:paraId="2D4BA12E">
                  <w:pPr>
                    <w:keepNext w:val="0"/>
                    <w:keepLines w:val="0"/>
                    <w:suppressLineNumbers w:val="0"/>
                    <w:spacing w:before="0" w:beforeLines="0" w:beforeAutospacing="0" w:after="0" w:afterLines="0" w:afterAutospacing="0"/>
                    <w:ind w:left="0" w:right="0"/>
                    <w:jc w:val="center"/>
                    <w:rPr>
                      <w:rFonts w:hint="eastAsia"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2</w:t>
                  </w:r>
                </w:p>
              </w:tc>
              <w:tc>
                <w:tcPr>
                  <w:tcW w:w="937" w:type="dxa"/>
                  <w:shd w:val="clear" w:color="auto" w:fill="auto"/>
                  <w:vAlign w:val="center"/>
                </w:tcPr>
                <w:p w14:paraId="307E160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2</w:t>
                  </w:r>
                </w:p>
              </w:tc>
              <w:tc>
                <w:tcPr>
                  <w:tcW w:w="937" w:type="dxa"/>
                  <w:shd w:val="clear" w:color="auto" w:fill="auto"/>
                  <w:vAlign w:val="center"/>
                </w:tcPr>
                <w:p w14:paraId="7C05317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2</w:t>
                  </w:r>
                </w:p>
              </w:tc>
              <w:tc>
                <w:tcPr>
                  <w:tcW w:w="1076" w:type="dxa"/>
                  <w:tcBorders>
                    <w:right w:val="single" w:color="000000" w:sz="6" w:space="0"/>
                  </w:tcBorders>
                  <w:shd w:val="clear" w:color="auto" w:fill="auto"/>
                  <w:vAlign w:val="center"/>
                </w:tcPr>
                <w:p w14:paraId="6E3B304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ascii="Times New Roman" w:hAnsi="Times New Roman" w:eastAsia="宋体" w:cs="Times New Roman"/>
                      <w:color w:val="auto"/>
                      <w:spacing w:val="2"/>
                      <w:sz w:val="21"/>
                      <w:szCs w:val="21"/>
                      <w:highlight w:val="none"/>
                    </w:rPr>
                    <w:t>4</w:t>
                  </w:r>
                </w:p>
              </w:tc>
            </w:tr>
            <w:tr w14:paraId="27965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537BE90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pacing w:val="8"/>
                      <w:sz w:val="21"/>
                      <w:szCs w:val="21"/>
                      <w:highlight w:val="none"/>
                    </w:rPr>
                    <w:t>废动力蓄电池</w:t>
                  </w:r>
                  <w:r>
                    <w:rPr>
                      <w:rFonts w:hint="eastAsia" w:ascii="Times New Roman" w:hAnsi="Times New Roman" w:eastAsia="宋体" w:cs="Times New Roman"/>
                      <w:color w:val="auto"/>
                      <w:spacing w:val="8"/>
                      <w:sz w:val="21"/>
                      <w:szCs w:val="21"/>
                      <w:highlight w:val="none"/>
                      <w:vertAlign w:val="superscript"/>
                      <w:lang w:val="en-US" w:eastAsia="zh-CN"/>
                    </w:rPr>
                    <w:t>③</w:t>
                  </w:r>
                </w:p>
              </w:tc>
              <w:tc>
                <w:tcPr>
                  <w:tcW w:w="1321" w:type="dxa"/>
                  <w:shd w:val="clear" w:color="auto" w:fill="auto"/>
                  <w:vAlign w:val="center"/>
                </w:tcPr>
                <w:p w14:paraId="46C7ED1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2"/>
                      <w:sz w:val="21"/>
                      <w:szCs w:val="21"/>
                      <w:highlight w:val="none"/>
                    </w:rPr>
                    <w:t>51.25</w:t>
                  </w:r>
                </w:p>
              </w:tc>
              <w:tc>
                <w:tcPr>
                  <w:tcW w:w="1166" w:type="dxa"/>
                  <w:shd w:val="clear" w:color="auto" w:fill="auto"/>
                  <w:vAlign w:val="center"/>
                </w:tcPr>
                <w:p w14:paraId="5857450A">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410</w:t>
                  </w:r>
                </w:p>
              </w:tc>
              <w:tc>
                <w:tcPr>
                  <w:tcW w:w="937" w:type="dxa"/>
                  <w:shd w:val="clear" w:color="auto" w:fill="auto"/>
                  <w:vAlign w:val="center"/>
                </w:tcPr>
                <w:p w14:paraId="795EFC7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102.5</w:t>
                  </w:r>
                </w:p>
              </w:tc>
              <w:tc>
                <w:tcPr>
                  <w:tcW w:w="937" w:type="dxa"/>
                  <w:shd w:val="clear" w:color="auto" w:fill="auto"/>
                  <w:vAlign w:val="center"/>
                </w:tcPr>
                <w:p w14:paraId="40D82E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410</w:t>
                  </w:r>
                </w:p>
              </w:tc>
              <w:tc>
                <w:tcPr>
                  <w:tcW w:w="1076" w:type="dxa"/>
                  <w:tcBorders>
                    <w:right w:val="single" w:color="000000" w:sz="6" w:space="0"/>
                  </w:tcBorders>
                  <w:shd w:val="clear" w:color="auto" w:fill="auto"/>
                  <w:vAlign w:val="center"/>
                </w:tcPr>
                <w:p w14:paraId="09BED33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512.5</w:t>
                  </w:r>
                </w:p>
              </w:tc>
            </w:tr>
            <w:tr w14:paraId="202C82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06F5A36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废电容器</w:t>
                  </w:r>
                </w:p>
              </w:tc>
              <w:tc>
                <w:tcPr>
                  <w:tcW w:w="1321" w:type="dxa"/>
                  <w:shd w:val="clear" w:color="auto" w:fill="auto"/>
                  <w:vAlign w:val="center"/>
                </w:tcPr>
                <w:p w14:paraId="332D09C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z w:val="21"/>
                      <w:szCs w:val="21"/>
                      <w:highlight w:val="none"/>
                    </w:rPr>
                    <w:t>6</w:t>
                  </w:r>
                </w:p>
              </w:tc>
              <w:tc>
                <w:tcPr>
                  <w:tcW w:w="1166" w:type="dxa"/>
                  <w:shd w:val="clear" w:color="auto" w:fill="auto"/>
                  <w:vAlign w:val="center"/>
                </w:tcPr>
                <w:p w14:paraId="4DBFAE00">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17.25</w:t>
                  </w:r>
                </w:p>
              </w:tc>
              <w:tc>
                <w:tcPr>
                  <w:tcW w:w="937" w:type="dxa"/>
                  <w:shd w:val="clear" w:color="auto" w:fill="auto"/>
                  <w:vAlign w:val="center"/>
                </w:tcPr>
                <w:p w14:paraId="1530D47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12</w:t>
                  </w:r>
                </w:p>
              </w:tc>
              <w:tc>
                <w:tcPr>
                  <w:tcW w:w="937" w:type="dxa"/>
                  <w:shd w:val="clear" w:color="auto" w:fill="auto"/>
                  <w:vAlign w:val="center"/>
                </w:tcPr>
                <w:p w14:paraId="6956CC4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17.25</w:t>
                  </w:r>
                </w:p>
              </w:tc>
              <w:tc>
                <w:tcPr>
                  <w:tcW w:w="1076" w:type="dxa"/>
                  <w:tcBorders>
                    <w:right w:val="single" w:color="000000" w:sz="6" w:space="0"/>
                  </w:tcBorders>
                  <w:shd w:val="clear" w:color="auto" w:fill="auto"/>
                  <w:vAlign w:val="center"/>
                </w:tcPr>
                <w:p w14:paraId="699627B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29.25</w:t>
                  </w:r>
                </w:p>
              </w:tc>
            </w:tr>
            <w:tr w14:paraId="503851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tcBorders>
                    <w:bottom w:val="single" w:color="000000" w:sz="6" w:space="0"/>
                  </w:tcBorders>
                  <w:shd w:val="clear" w:color="auto" w:fill="auto"/>
                  <w:vAlign w:val="center"/>
                </w:tcPr>
                <w:p w14:paraId="7C9C854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pacing w:val="7"/>
                      <w:sz w:val="21"/>
                      <w:szCs w:val="21"/>
                      <w:highlight w:val="none"/>
                    </w:rPr>
                    <w:t>废油液</w:t>
                  </w:r>
                  <w:r>
                    <w:rPr>
                      <w:rFonts w:hint="eastAsia" w:ascii="Times New Roman" w:hAnsi="Times New Roman" w:eastAsia="宋体" w:cs="Times New Roman"/>
                      <w:color w:val="auto"/>
                      <w:spacing w:val="7"/>
                      <w:sz w:val="21"/>
                      <w:szCs w:val="21"/>
                      <w:highlight w:val="none"/>
                      <w:vertAlign w:val="superscript"/>
                      <w:lang w:val="en-US" w:eastAsia="zh-CN"/>
                    </w:rPr>
                    <w:t>④</w:t>
                  </w:r>
                </w:p>
              </w:tc>
              <w:tc>
                <w:tcPr>
                  <w:tcW w:w="1321" w:type="dxa"/>
                  <w:tcBorders>
                    <w:bottom w:val="single" w:color="000000" w:sz="6" w:space="0"/>
                  </w:tcBorders>
                  <w:shd w:val="clear" w:color="auto" w:fill="auto"/>
                  <w:vAlign w:val="center"/>
                </w:tcPr>
                <w:p w14:paraId="65AC52A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z w:val="21"/>
                      <w:szCs w:val="21"/>
                      <w:highlight w:val="none"/>
                    </w:rPr>
                    <w:t>2</w:t>
                  </w:r>
                </w:p>
              </w:tc>
              <w:tc>
                <w:tcPr>
                  <w:tcW w:w="1166" w:type="dxa"/>
                  <w:tcBorders>
                    <w:bottom w:val="single" w:color="000000" w:sz="6" w:space="0"/>
                  </w:tcBorders>
                  <w:shd w:val="clear" w:color="auto" w:fill="auto"/>
                  <w:vAlign w:val="center"/>
                </w:tcPr>
                <w:p w14:paraId="22CAA00A">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7.4</w:t>
                  </w:r>
                </w:p>
              </w:tc>
              <w:tc>
                <w:tcPr>
                  <w:tcW w:w="937" w:type="dxa"/>
                  <w:tcBorders>
                    <w:bottom w:val="single" w:color="000000" w:sz="6" w:space="0"/>
                  </w:tcBorders>
                  <w:shd w:val="clear" w:color="auto" w:fill="auto"/>
                  <w:vAlign w:val="center"/>
                </w:tcPr>
                <w:p w14:paraId="5F72998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4</w:t>
                  </w:r>
                </w:p>
              </w:tc>
              <w:tc>
                <w:tcPr>
                  <w:tcW w:w="937" w:type="dxa"/>
                  <w:tcBorders>
                    <w:bottom w:val="single" w:color="000000" w:sz="6" w:space="0"/>
                  </w:tcBorders>
                  <w:shd w:val="clear" w:color="auto" w:fill="auto"/>
                  <w:vAlign w:val="center"/>
                </w:tcPr>
                <w:p w14:paraId="15FB6EB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7.4</w:t>
                  </w:r>
                </w:p>
              </w:tc>
              <w:tc>
                <w:tcPr>
                  <w:tcW w:w="1076" w:type="dxa"/>
                  <w:tcBorders>
                    <w:bottom w:val="single" w:color="000000" w:sz="6" w:space="0"/>
                    <w:right w:val="single" w:color="000000" w:sz="6" w:space="0"/>
                  </w:tcBorders>
                  <w:shd w:val="clear" w:color="auto" w:fill="auto"/>
                  <w:vAlign w:val="center"/>
                </w:tcPr>
                <w:p w14:paraId="732B033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11.4</w:t>
                  </w:r>
                </w:p>
              </w:tc>
            </w:tr>
            <w:tr w14:paraId="53358B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6B5ABB2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color w:val="auto"/>
                      <w:spacing w:val="7"/>
                      <w:sz w:val="21"/>
                      <w:szCs w:val="21"/>
                      <w:highlight w:val="none"/>
                    </w:rPr>
                    <w:t>废有机溶剂</w:t>
                  </w:r>
                  <w:r>
                    <w:rPr>
                      <w:rFonts w:hint="eastAsia" w:ascii="Times New Roman" w:hAnsi="Times New Roman" w:eastAsia="宋体" w:cs="Times New Roman"/>
                      <w:color w:val="auto"/>
                      <w:spacing w:val="7"/>
                      <w:sz w:val="21"/>
                      <w:szCs w:val="21"/>
                      <w:highlight w:val="none"/>
                      <w:vertAlign w:val="superscript"/>
                      <w:lang w:val="en-US" w:eastAsia="zh-CN"/>
                    </w:rPr>
                    <w:t>⑤</w:t>
                  </w:r>
                </w:p>
              </w:tc>
              <w:tc>
                <w:tcPr>
                  <w:tcW w:w="1321" w:type="dxa"/>
                  <w:shd w:val="clear" w:color="auto" w:fill="auto"/>
                  <w:vAlign w:val="center"/>
                </w:tcPr>
                <w:p w14:paraId="26B12BA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1"/>
                      <w:sz w:val="21"/>
                      <w:szCs w:val="21"/>
                      <w:highlight w:val="none"/>
                    </w:rPr>
                    <w:t>0.5</w:t>
                  </w:r>
                </w:p>
              </w:tc>
              <w:tc>
                <w:tcPr>
                  <w:tcW w:w="1166" w:type="dxa"/>
                  <w:shd w:val="clear" w:color="auto" w:fill="auto"/>
                  <w:vAlign w:val="center"/>
                </w:tcPr>
                <w:p w14:paraId="276244A4">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2.05</w:t>
                  </w:r>
                </w:p>
              </w:tc>
              <w:tc>
                <w:tcPr>
                  <w:tcW w:w="937" w:type="dxa"/>
                  <w:shd w:val="clear" w:color="auto" w:fill="auto"/>
                  <w:vAlign w:val="center"/>
                </w:tcPr>
                <w:p w14:paraId="23534EC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w:t>
                  </w:r>
                </w:p>
              </w:tc>
              <w:tc>
                <w:tcPr>
                  <w:tcW w:w="937" w:type="dxa"/>
                  <w:shd w:val="clear" w:color="auto" w:fill="auto"/>
                  <w:vAlign w:val="center"/>
                </w:tcPr>
                <w:p w14:paraId="62EEB5D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2.05</w:t>
                  </w:r>
                </w:p>
              </w:tc>
              <w:tc>
                <w:tcPr>
                  <w:tcW w:w="1076" w:type="dxa"/>
                  <w:shd w:val="clear" w:color="auto" w:fill="auto"/>
                  <w:vAlign w:val="center"/>
                </w:tcPr>
                <w:p w14:paraId="1D1AB0E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3.05</w:t>
                  </w:r>
                </w:p>
              </w:tc>
            </w:tr>
            <w:tr w14:paraId="1E5029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6071EBE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8"/>
                      <w:sz w:val="21"/>
                      <w:szCs w:val="21"/>
                      <w:highlight w:val="none"/>
                    </w:rPr>
                    <w:t>废空调制冷剂</w:t>
                  </w:r>
                </w:p>
              </w:tc>
              <w:tc>
                <w:tcPr>
                  <w:tcW w:w="1321" w:type="dxa"/>
                  <w:shd w:val="clear" w:color="auto" w:fill="auto"/>
                  <w:vAlign w:val="center"/>
                </w:tcPr>
                <w:p w14:paraId="5E53C35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2"/>
                      <w:sz w:val="21"/>
                      <w:szCs w:val="21"/>
                      <w:highlight w:val="none"/>
                    </w:rPr>
                    <w:t>0.75</w:t>
                  </w:r>
                </w:p>
              </w:tc>
              <w:tc>
                <w:tcPr>
                  <w:tcW w:w="1166" w:type="dxa"/>
                  <w:shd w:val="clear" w:color="auto" w:fill="auto"/>
                  <w:vAlign w:val="center"/>
                </w:tcPr>
                <w:p w14:paraId="539F2AB5">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1.25</w:t>
                  </w:r>
                </w:p>
              </w:tc>
              <w:tc>
                <w:tcPr>
                  <w:tcW w:w="937" w:type="dxa"/>
                  <w:shd w:val="clear" w:color="auto" w:fill="auto"/>
                  <w:vAlign w:val="center"/>
                </w:tcPr>
                <w:p w14:paraId="68922AF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1.5</w:t>
                  </w:r>
                </w:p>
              </w:tc>
              <w:tc>
                <w:tcPr>
                  <w:tcW w:w="937" w:type="dxa"/>
                  <w:shd w:val="clear" w:color="auto" w:fill="auto"/>
                  <w:vAlign w:val="center"/>
                </w:tcPr>
                <w:p w14:paraId="21061A2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1.25</w:t>
                  </w:r>
                </w:p>
              </w:tc>
              <w:tc>
                <w:tcPr>
                  <w:tcW w:w="1076" w:type="dxa"/>
                  <w:shd w:val="clear" w:color="auto" w:fill="auto"/>
                  <w:vAlign w:val="center"/>
                </w:tcPr>
                <w:p w14:paraId="6A7780C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2.75</w:t>
                  </w:r>
                </w:p>
              </w:tc>
            </w:tr>
            <w:tr w14:paraId="16ED4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59FA594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废电路板</w:t>
                  </w:r>
                </w:p>
              </w:tc>
              <w:tc>
                <w:tcPr>
                  <w:tcW w:w="1321" w:type="dxa"/>
                  <w:shd w:val="clear" w:color="auto" w:fill="auto"/>
                  <w:vAlign w:val="center"/>
                </w:tcPr>
                <w:p w14:paraId="0DD3120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4"/>
                      <w:sz w:val="21"/>
                      <w:szCs w:val="21"/>
                      <w:highlight w:val="none"/>
                    </w:rPr>
                    <w:t>1.7</w:t>
                  </w:r>
                </w:p>
              </w:tc>
              <w:tc>
                <w:tcPr>
                  <w:tcW w:w="1166" w:type="dxa"/>
                  <w:shd w:val="clear" w:color="auto" w:fill="auto"/>
                  <w:vAlign w:val="center"/>
                </w:tcPr>
                <w:p w14:paraId="6FE97EB2">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4.9</w:t>
                  </w:r>
                </w:p>
              </w:tc>
              <w:tc>
                <w:tcPr>
                  <w:tcW w:w="937" w:type="dxa"/>
                  <w:shd w:val="clear" w:color="auto" w:fill="auto"/>
                  <w:vAlign w:val="center"/>
                </w:tcPr>
                <w:p w14:paraId="502215D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3.4</w:t>
                  </w:r>
                </w:p>
              </w:tc>
              <w:tc>
                <w:tcPr>
                  <w:tcW w:w="937" w:type="dxa"/>
                  <w:shd w:val="clear" w:color="auto" w:fill="auto"/>
                  <w:vAlign w:val="center"/>
                </w:tcPr>
                <w:p w14:paraId="2B97B0F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4.9</w:t>
                  </w:r>
                </w:p>
              </w:tc>
              <w:tc>
                <w:tcPr>
                  <w:tcW w:w="1076" w:type="dxa"/>
                  <w:shd w:val="clear" w:color="auto" w:fill="auto"/>
                  <w:vAlign w:val="center"/>
                </w:tcPr>
                <w:p w14:paraId="4BCDAAE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8.3</w:t>
                  </w:r>
                </w:p>
              </w:tc>
            </w:tr>
            <w:tr w14:paraId="10C3E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373F27C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7"/>
                      <w:sz w:val="21"/>
                      <w:szCs w:val="21"/>
                      <w:highlight w:val="none"/>
                    </w:rPr>
                    <w:t>石棉废物</w:t>
                  </w:r>
                </w:p>
              </w:tc>
              <w:tc>
                <w:tcPr>
                  <w:tcW w:w="1321" w:type="dxa"/>
                  <w:shd w:val="clear" w:color="auto" w:fill="auto"/>
                  <w:vAlign w:val="center"/>
                </w:tcPr>
                <w:p w14:paraId="4C0E247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1"/>
                      <w:sz w:val="21"/>
                      <w:szCs w:val="21"/>
                      <w:highlight w:val="none"/>
                    </w:rPr>
                    <w:t>0.3</w:t>
                  </w:r>
                </w:p>
              </w:tc>
              <w:tc>
                <w:tcPr>
                  <w:tcW w:w="1166" w:type="dxa"/>
                  <w:shd w:val="clear" w:color="auto" w:fill="auto"/>
                  <w:vAlign w:val="center"/>
                </w:tcPr>
                <w:p w14:paraId="35305E62">
                  <w:pPr>
                    <w:keepNext w:val="0"/>
                    <w:keepLines w:val="0"/>
                    <w:suppressLineNumbers w:val="0"/>
                    <w:spacing w:before="0" w:beforeLines="0" w:beforeAutospacing="0" w:after="0" w:afterLines="0" w:afterAutospacing="0"/>
                    <w:ind w:left="0" w:right="0"/>
                    <w:jc w:val="center"/>
                    <w:rPr>
                      <w:rFonts w:hint="default" w:ascii="Times New Roman" w:hAnsi="Times New Roman" w:eastAsia="Times New Roman" w:cs="Times New Roman"/>
                      <w:color w:val="auto"/>
                      <w:kern w:val="2"/>
                      <w:sz w:val="21"/>
                      <w:szCs w:val="24"/>
                      <w:lang w:val="en-US" w:eastAsia="zh-CN" w:bidi="ar-SA"/>
                    </w:rPr>
                  </w:pPr>
                  <w:r>
                    <w:rPr>
                      <w:rFonts w:hint="eastAsia" w:ascii="Times New Roman" w:hAnsi="Times New Roman" w:eastAsia="Times New Roman"/>
                      <w:color w:val="auto"/>
                      <w:sz w:val="21"/>
                      <w:szCs w:val="24"/>
                    </w:rPr>
                    <w:t>0.9</w:t>
                  </w:r>
                </w:p>
              </w:tc>
              <w:tc>
                <w:tcPr>
                  <w:tcW w:w="937" w:type="dxa"/>
                  <w:shd w:val="clear" w:color="auto" w:fill="auto"/>
                  <w:vAlign w:val="center"/>
                </w:tcPr>
                <w:p w14:paraId="4FD075D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0.6</w:t>
                  </w:r>
                </w:p>
              </w:tc>
              <w:tc>
                <w:tcPr>
                  <w:tcW w:w="937" w:type="dxa"/>
                  <w:shd w:val="clear" w:color="auto" w:fill="auto"/>
                  <w:vAlign w:val="center"/>
                </w:tcPr>
                <w:p w14:paraId="2409AC2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0.9</w:t>
                  </w:r>
                </w:p>
              </w:tc>
              <w:tc>
                <w:tcPr>
                  <w:tcW w:w="1076" w:type="dxa"/>
                  <w:shd w:val="clear" w:color="auto" w:fill="auto"/>
                  <w:vAlign w:val="center"/>
                </w:tcPr>
                <w:p w14:paraId="7CE8886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1.5</w:t>
                  </w:r>
                </w:p>
              </w:tc>
            </w:tr>
            <w:tr w14:paraId="36A22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3038" w:type="dxa"/>
                  <w:shd w:val="clear" w:color="auto" w:fill="auto"/>
                  <w:vAlign w:val="center"/>
                </w:tcPr>
                <w:p w14:paraId="308A83B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eastAsia="宋体" w:cs="Times New Roman"/>
                      <w:color w:val="auto"/>
                      <w:spacing w:val="4"/>
                      <w:sz w:val="21"/>
                      <w:szCs w:val="21"/>
                      <w:highlight w:val="none"/>
                    </w:rPr>
                    <w:t>合计</w:t>
                  </w:r>
                </w:p>
              </w:tc>
              <w:tc>
                <w:tcPr>
                  <w:tcW w:w="1321" w:type="dxa"/>
                  <w:shd w:val="clear" w:color="auto" w:fill="auto"/>
                  <w:vAlign w:val="center"/>
                </w:tcPr>
                <w:p w14:paraId="76B6B7F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zh-CN" w:bidi="ar-SA"/>
                    </w:rPr>
                  </w:pPr>
                  <w:r>
                    <w:rPr>
                      <w:rFonts w:hint="eastAsia" w:cs="Times New Roman"/>
                      <w:color w:val="auto"/>
                      <w:spacing w:val="2"/>
                      <w:sz w:val="21"/>
                      <w:szCs w:val="21"/>
                      <w:highlight w:val="none"/>
                      <w:lang w:val="en-US" w:eastAsia="zh-CN"/>
                    </w:rPr>
                    <w:t>800</w:t>
                  </w:r>
                </w:p>
              </w:tc>
              <w:tc>
                <w:tcPr>
                  <w:tcW w:w="1166" w:type="dxa"/>
                  <w:shd w:val="clear" w:color="auto" w:fill="auto"/>
                  <w:vAlign w:val="center"/>
                </w:tcPr>
                <w:p w14:paraId="2EF4170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zh-CN" w:bidi="ar-SA"/>
                    </w:rPr>
                  </w:pPr>
                  <w:r>
                    <w:rPr>
                      <w:rFonts w:hint="eastAsia" w:cs="Times New Roman"/>
                      <w:color w:val="auto"/>
                      <w:spacing w:val="2"/>
                      <w:sz w:val="21"/>
                      <w:szCs w:val="21"/>
                      <w:highlight w:val="none"/>
                      <w:lang w:val="en-US" w:eastAsia="zh-CN"/>
                    </w:rPr>
                    <w:t>2300</w:t>
                  </w:r>
                </w:p>
              </w:tc>
              <w:tc>
                <w:tcPr>
                  <w:tcW w:w="937" w:type="dxa"/>
                  <w:shd w:val="clear" w:color="auto" w:fill="auto"/>
                  <w:vAlign w:val="center"/>
                </w:tcPr>
                <w:p w14:paraId="576038A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1600</w:t>
                  </w:r>
                </w:p>
              </w:tc>
              <w:tc>
                <w:tcPr>
                  <w:tcW w:w="937" w:type="dxa"/>
                  <w:shd w:val="clear" w:color="auto" w:fill="auto"/>
                  <w:vAlign w:val="center"/>
                </w:tcPr>
                <w:p w14:paraId="2DCE05F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2300</w:t>
                  </w:r>
                </w:p>
              </w:tc>
              <w:tc>
                <w:tcPr>
                  <w:tcW w:w="1076" w:type="dxa"/>
                  <w:shd w:val="clear" w:color="auto" w:fill="auto"/>
                  <w:vAlign w:val="center"/>
                </w:tcPr>
                <w:p w14:paraId="1CC461E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en-US"/>
                    </w:rPr>
                  </w:pPr>
                  <w:r>
                    <w:rPr>
                      <w:rFonts w:hint="eastAsia" w:ascii="Times New Roman" w:hAnsi="Times New Roman" w:eastAsia="宋体" w:cs="Times New Roman"/>
                      <w:color w:val="auto"/>
                      <w:spacing w:val="2"/>
                      <w:sz w:val="21"/>
                      <w:szCs w:val="21"/>
                      <w:highlight w:val="none"/>
                    </w:rPr>
                    <w:t>3900</w:t>
                  </w:r>
                </w:p>
              </w:tc>
            </w:tr>
            <w:tr w14:paraId="7E63C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8475" w:type="dxa"/>
                  <w:gridSpan w:val="6"/>
                  <w:shd w:val="clear" w:color="auto" w:fill="auto"/>
                  <w:vAlign w:val="center"/>
                </w:tcPr>
                <w:p w14:paraId="72C8455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pacing w:val="9"/>
                      <w:sz w:val="21"/>
                      <w:szCs w:val="21"/>
                      <w:highlight w:val="none"/>
                    </w:rPr>
                  </w:pPr>
                  <w:r>
                    <w:rPr>
                      <w:rFonts w:hint="default"/>
                      <w:color w:val="auto"/>
                      <w:spacing w:val="9"/>
                      <w:sz w:val="21"/>
                      <w:szCs w:val="21"/>
                      <w:highlight w:val="none"/>
                    </w:rPr>
                    <w:t>注：①</w:t>
                  </w:r>
                  <w:r>
                    <w:rPr>
                      <w:rFonts w:hint="default"/>
                      <w:color w:val="auto"/>
                      <w:spacing w:val="8"/>
                      <w:sz w:val="21"/>
                      <w:szCs w:val="21"/>
                      <w:highlight w:val="none"/>
                    </w:rPr>
                    <w:t>“五大总成</w:t>
                  </w:r>
                  <w:r>
                    <w:rPr>
                      <w:rFonts w:hint="default"/>
                      <w:color w:val="auto"/>
                      <w:spacing w:val="-60"/>
                      <w:sz w:val="21"/>
                      <w:szCs w:val="21"/>
                      <w:highlight w:val="none"/>
                    </w:rPr>
                    <w:t xml:space="preserve"> </w:t>
                  </w:r>
                  <w:r>
                    <w:rPr>
                      <w:rFonts w:hint="default"/>
                      <w:color w:val="auto"/>
                      <w:spacing w:val="8"/>
                      <w:sz w:val="21"/>
                      <w:szCs w:val="21"/>
                      <w:highlight w:val="none"/>
                    </w:rPr>
                    <w:t>”指的是发动机、方向盘、变速器、前后桥、车架。</w:t>
                  </w:r>
                </w:p>
                <w:p w14:paraId="2C93496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rPr>
                  </w:pPr>
                  <w:r>
                    <w:rPr>
                      <w:rFonts w:hint="default"/>
                      <w:color w:val="auto"/>
                      <w:spacing w:val="9"/>
                      <w:sz w:val="21"/>
                      <w:szCs w:val="21"/>
                      <w:highlight w:val="none"/>
                    </w:rPr>
                    <w:t>②不可利用废物主要为麻织物、废泡沫、废海绵及废皮革等。</w:t>
                  </w:r>
                </w:p>
                <w:p w14:paraId="2C8239E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rPr>
                  </w:pPr>
                  <w:r>
                    <w:rPr>
                      <w:rFonts w:hint="default"/>
                      <w:color w:val="auto"/>
                      <w:spacing w:val="8"/>
                      <w:sz w:val="21"/>
                      <w:szCs w:val="21"/>
                      <w:highlight w:val="none"/>
                    </w:rPr>
                    <w:t>③</w:t>
                  </w:r>
                  <w:r>
                    <w:rPr>
                      <w:rFonts w:hint="default"/>
                      <w:color w:val="auto"/>
                      <w:spacing w:val="9"/>
                      <w:sz w:val="20"/>
                      <w:szCs w:val="20"/>
                      <w:highlight w:val="none"/>
                    </w:rPr>
                    <w:t>废动力蓄电池指新能源汽车的锂离子等动力电池。</w:t>
                  </w:r>
                  <w:r>
                    <w:rPr>
                      <w:rFonts w:hint="default"/>
                      <w:color w:val="auto"/>
                      <w:spacing w:val="9"/>
                      <w:sz w:val="21"/>
                      <w:szCs w:val="21"/>
                      <w:highlight w:val="none"/>
                    </w:rPr>
                    <w:t>。</w:t>
                  </w:r>
                </w:p>
                <w:p w14:paraId="61E683E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rPr>
                  </w:pPr>
                  <w:r>
                    <w:rPr>
                      <w:rFonts w:hint="default"/>
                      <w:color w:val="auto"/>
                      <w:spacing w:val="8"/>
                      <w:sz w:val="21"/>
                      <w:szCs w:val="21"/>
                      <w:highlight w:val="none"/>
                    </w:rPr>
                    <w:t>④废油液是指除燃油外的废矿物油（发动机润滑油、变速箱油、助力转向</w:t>
                  </w:r>
                  <w:r>
                    <w:rPr>
                      <w:rFonts w:hint="default"/>
                      <w:color w:val="auto"/>
                      <w:spacing w:val="7"/>
                      <w:sz w:val="21"/>
                      <w:szCs w:val="21"/>
                      <w:highlight w:val="none"/>
                    </w:rPr>
                    <w:t>油、差速器油、</w:t>
                  </w:r>
                  <w:r>
                    <w:rPr>
                      <w:rFonts w:hint="default"/>
                      <w:color w:val="auto"/>
                      <w:spacing w:val="8"/>
                      <w:sz w:val="21"/>
                      <w:szCs w:val="21"/>
                      <w:highlight w:val="none"/>
                    </w:rPr>
                    <w:t>制动液等石油类或合成润滑剂物质）。</w:t>
                  </w:r>
                </w:p>
                <w:p w14:paraId="0990AA2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left"/>
                    <w:textAlignment w:val="baseline"/>
                    <w:rPr>
                      <w:rFonts w:hint="default" w:ascii="Times New Roman" w:hAnsi="Times New Roman" w:eastAsia="宋体" w:cs="Times New Roman"/>
                      <w:color w:val="auto"/>
                      <w:spacing w:val="2"/>
                      <w:sz w:val="21"/>
                      <w:szCs w:val="21"/>
                      <w:highlight w:val="none"/>
                    </w:rPr>
                  </w:pPr>
                  <w:r>
                    <w:rPr>
                      <w:rFonts w:hint="default"/>
                      <w:color w:val="auto"/>
                      <w:spacing w:val="9"/>
                      <w:sz w:val="21"/>
                      <w:szCs w:val="21"/>
                      <w:highlight w:val="none"/>
                    </w:rPr>
                    <w:t>⑤废有机溶剂是指防冻液、汽车挡风玻璃清洗液（玻璃水）和动力电池冷却液等。</w:t>
                  </w:r>
                </w:p>
              </w:tc>
            </w:tr>
          </w:tbl>
          <w:p w14:paraId="352F3D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rPr>
            </w:pPr>
          </w:p>
          <w:p w14:paraId="44EDA69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b/>
                <w:bCs/>
                <w:color w:val="auto"/>
                <w:spacing w:val="1"/>
                <w:sz w:val="24"/>
                <w:szCs w:val="24"/>
                <w:highlight w:val="none"/>
                <w:lang w:val="en-US" w:eastAsia="zh-CN"/>
              </w:rPr>
            </w:pPr>
            <w:r>
              <w:rPr>
                <w:rFonts w:hint="default" w:ascii="Times New Roman" w:hAnsi="Times New Roman" w:eastAsia="宋体" w:cs="Times New Roman"/>
                <w:b/>
                <w:bCs/>
                <w:color w:val="auto"/>
                <w:sz w:val="21"/>
                <w:szCs w:val="21"/>
                <w:highlight w:val="none"/>
              </w:rPr>
              <w:t>表</w:t>
            </w:r>
            <w:r>
              <w:rPr>
                <w:rFonts w:hint="eastAsia" w:ascii="Times New Roman" w:hAnsi="Times New Roman" w:eastAsia="宋体" w:cs="Times New Roman"/>
                <w:b/>
                <w:bCs/>
                <w:color w:val="auto"/>
                <w:sz w:val="21"/>
                <w:szCs w:val="21"/>
                <w:highlight w:val="none"/>
                <w:lang w:val="en-US" w:eastAsia="zh-CN"/>
              </w:rPr>
              <w:t>2-4</w:t>
            </w:r>
            <w:r>
              <w:rPr>
                <w:rFonts w:hint="default" w:ascii="Times New Roman" w:hAnsi="Times New Roman" w:eastAsia="宋体" w:cs="Times New Roman"/>
                <w:b/>
                <w:bCs/>
                <w:color w:val="auto"/>
                <w:sz w:val="21"/>
                <w:szCs w:val="21"/>
                <w:highlight w:val="none"/>
              </w:rPr>
              <w:t xml:space="preserve">  报废</w:t>
            </w:r>
            <w:r>
              <w:rPr>
                <w:rFonts w:hint="eastAsia" w:ascii="Times New Roman" w:hAnsi="Times New Roman" w:eastAsia="宋体" w:cs="Times New Roman"/>
                <w:b/>
                <w:bCs/>
                <w:color w:val="auto"/>
                <w:sz w:val="21"/>
                <w:szCs w:val="21"/>
                <w:highlight w:val="none"/>
                <w:lang w:val="en-US" w:eastAsia="zh-CN"/>
              </w:rPr>
              <w:t>燃油车</w:t>
            </w:r>
            <w:r>
              <w:rPr>
                <w:rFonts w:hint="default" w:ascii="Times New Roman" w:hAnsi="Times New Roman" w:eastAsia="宋体" w:cs="Times New Roman"/>
                <w:b/>
                <w:bCs/>
                <w:color w:val="auto"/>
                <w:sz w:val="21"/>
                <w:szCs w:val="21"/>
                <w:highlight w:val="none"/>
              </w:rPr>
              <w:t>拆解总产出情况表</w:t>
            </w:r>
          </w:p>
          <w:tbl>
            <w:tblPr>
              <w:tblStyle w:val="74"/>
              <w:tblW w:w="9155"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592"/>
              <w:gridCol w:w="1014"/>
              <w:gridCol w:w="1465"/>
              <w:gridCol w:w="883"/>
              <w:gridCol w:w="1002"/>
              <w:gridCol w:w="1199"/>
            </w:tblGrid>
            <w:tr w14:paraId="3D7A9C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Merge w:val="restart"/>
                  <w:tcBorders>
                    <w:bottom w:val="nil"/>
                  </w:tcBorders>
                  <w:vAlign w:val="center"/>
                </w:tcPr>
                <w:p w14:paraId="40F3E4A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8"/>
                      <w:sz w:val="21"/>
                      <w:szCs w:val="21"/>
                      <w:highlight w:val="none"/>
                    </w:rPr>
                    <w:t>拆解产物名称</w:t>
                  </w:r>
                </w:p>
              </w:tc>
              <w:tc>
                <w:tcPr>
                  <w:tcW w:w="1354" w:type="pct"/>
                  <w:gridSpan w:val="2"/>
                  <w:vAlign w:val="center"/>
                </w:tcPr>
                <w:p w14:paraId="53396D6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8"/>
                      <w:sz w:val="21"/>
                      <w:szCs w:val="21"/>
                      <w:highlight w:val="none"/>
                    </w:rPr>
                    <w:t>拆解产物重量（</w:t>
                  </w:r>
                  <w:r>
                    <w:rPr>
                      <w:rFonts w:hint="default" w:ascii="Times New Roman" w:hAnsi="Times New Roman" w:eastAsia="Times New Roman" w:cs="Times New Roman"/>
                      <w:color w:val="auto"/>
                      <w:sz w:val="21"/>
                      <w:szCs w:val="21"/>
                      <w:highlight w:val="none"/>
                    </w:rPr>
                    <w:t>kg</w:t>
                  </w:r>
                  <w:r>
                    <w:rPr>
                      <w:rFonts w:hint="default" w:ascii="Times New Roman" w:hAnsi="Times New Roman" w:eastAsia="Times New Roman" w:cs="Times New Roman"/>
                      <w:color w:val="auto"/>
                      <w:spacing w:val="8"/>
                      <w:sz w:val="21"/>
                      <w:szCs w:val="21"/>
                      <w:highlight w:val="none"/>
                    </w:rPr>
                    <w:t>/</w:t>
                  </w:r>
                  <w:r>
                    <w:rPr>
                      <w:rFonts w:hint="default"/>
                      <w:color w:val="auto"/>
                      <w:spacing w:val="8"/>
                      <w:sz w:val="21"/>
                      <w:szCs w:val="21"/>
                      <w:highlight w:val="none"/>
                    </w:rPr>
                    <w:t>辆）</w:t>
                  </w:r>
                </w:p>
              </w:tc>
              <w:tc>
                <w:tcPr>
                  <w:tcW w:w="1682" w:type="pct"/>
                  <w:gridSpan w:val="3"/>
                  <w:tcBorders>
                    <w:right w:val="single" w:color="000000" w:sz="6" w:space="0"/>
                  </w:tcBorders>
                  <w:vAlign w:val="center"/>
                </w:tcPr>
                <w:p w14:paraId="4B353C0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4"/>
                      <w:sz w:val="21"/>
                      <w:szCs w:val="21"/>
                      <w:highlight w:val="none"/>
                    </w:rPr>
                    <w:t>总重量（</w:t>
                  </w:r>
                  <w:r>
                    <w:rPr>
                      <w:rFonts w:hint="default" w:ascii="Times New Roman" w:hAnsi="Times New Roman" w:eastAsia="Times New Roman" w:cs="Times New Roman"/>
                      <w:color w:val="auto"/>
                      <w:spacing w:val="4"/>
                      <w:sz w:val="21"/>
                      <w:szCs w:val="21"/>
                      <w:highlight w:val="none"/>
                    </w:rPr>
                    <w:t>t/a</w:t>
                  </w:r>
                  <w:r>
                    <w:rPr>
                      <w:rFonts w:hint="default"/>
                      <w:color w:val="auto"/>
                      <w:spacing w:val="4"/>
                      <w:sz w:val="21"/>
                      <w:szCs w:val="21"/>
                      <w:highlight w:val="none"/>
                    </w:rPr>
                    <w:t>）</w:t>
                  </w:r>
                </w:p>
              </w:tc>
            </w:tr>
            <w:tr w14:paraId="048DE0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Merge w:val="continue"/>
                  <w:tcBorders>
                    <w:top w:val="nil"/>
                  </w:tcBorders>
                  <w:vAlign w:val="center"/>
                </w:tcPr>
                <w:p w14:paraId="76132C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Arial"/>
                      <w:color w:val="auto"/>
                      <w:sz w:val="21"/>
                      <w:szCs w:val="21"/>
                      <w:highlight w:val="none"/>
                    </w:rPr>
                  </w:pPr>
                </w:p>
              </w:tc>
              <w:tc>
                <w:tcPr>
                  <w:tcW w:w="554" w:type="pct"/>
                  <w:vAlign w:val="center"/>
                </w:tcPr>
                <w:p w14:paraId="3A044C9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2"/>
                      <w:sz w:val="21"/>
                      <w:szCs w:val="21"/>
                      <w:highlight w:val="none"/>
                    </w:rPr>
                    <w:t>小型</w:t>
                  </w:r>
                </w:p>
              </w:tc>
              <w:tc>
                <w:tcPr>
                  <w:tcW w:w="800" w:type="pct"/>
                  <w:vAlign w:val="center"/>
                </w:tcPr>
                <w:p w14:paraId="2D2FF1A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6"/>
                      <w:sz w:val="21"/>
                      <w:szCs w:val="21"/>
                      <w:highlight w:val="none"/>
                    </w:rPr>
                    <w:t>大中型</w:t>
                  </w:r>
                </w:p>
              </w:tc>
              <w:tc>
                <w:tcPr>
                  <w:tcW w:w="482" w:type="pct"/>
                  <w:vAlign w:val="center"/>
                </w:tcPr>
                <w:p w14:paraId="067F769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2"/>
                      <w:sz w:val="21"/>
                      <w:szCs w:val="21"/>
                      <w:highlight w:val="none"/>
                    </w:rPr>
                    <w:t>小型</w:t>
                  </w:r>
                </w:p>
              </w:tc>
              <w:tc>
                <w:tcPr>
                  <w:tcW w:w="547" w:type="pct"/>
                  <w:vAlign w:val="center"/>
                </w:tcPr>
                <w:p w14:paraId="1AA01F3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6"/>
                      <w:sz w:val="21"/>
                      <w:szCs w:val="21"/>
                      <w:highlight w:val="none"/>
                    </w:rPr>
                    <w:t>大中型</w:t>
                  </w:r>
                </w:p>
              </w:tc>
              <w:tc>
                <w:tcPr>
                  <w:tcW w:w="652" w:type="pct"/>
                  <w:tcBorders>
                    <w:right w:val="single" w:color="000000" w:sz="6" w:space="0"/>
                  </w:tcBorders>
                  <w:vAlign w:val="center"/>
                </w:tcPr>
                <w:p w14:paraId="260D661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4"/>
                      <w:sz w:val="21"/>
                      <w:szCs w:val="21"/>
                      <w:highlight w:val="none"/>
                    </w:rPr>
                    <w:t>合计</w:t>
                  </w:r>
                </w:p>
              </w:tc>
            </w:tr>
            <w:tr w14:paraId="2E414B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13D8A65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7"/>
                      <w:sz w:val="21"/>
                      <w:szCs w:val="21"/>
                      <w:highlight w:val="none"/>
                    </w:rPr>
                    <w:t>钢铁（车门、车身）</w:t>
                  </w:r>
                </w:p>
              </w:tc>
              <w:tc>
                <w:tcPr>
                  <w:tcW w:w="554" w:type="pct"/>
                  <w:vAlign w:val="center"/>
                </w:tcPr>
                <w:p w14:paraId="791A7B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Times New Roman" w:cs="Times New Roman"/>
                      <w:color w:val="auto"/>
                      <w:spacing w:val="2"/>
                      <w:sz w:val="21"/>
                      <w:szCs w:val="21"/>
                      <w:highlight w:val="none"/>
                    </w:rPr>
                    <w:t>323.</w:t>
                  </w:r>
                  <w:r>
                    <w:rPr>
                      <w:rFonts w:hint="eastAsia" w:eastAsia="宋体" w:cs="Times New Roman"/>
                      <w:color w:val="auto"/>
                      <w:spacing w:val="2"/>
                      <w:sz w:val="21"/>
                      <w:szCs w:val="21"/>
                      <w:highlight w:val="none"/>
                      <w:lang w:val="en-US" w:eastAsia="zh-CN"/>
                    </w:rPr>
                    <w:t>5</w:t>
                  </w:r>
                </w:p>
              </w:tc>
              <w:tc>
                <w:tcPr>
                  <w:tcW w:w="800" w:type="pct"/>
                  <w:vAlign w:val="center"/>
                </w:tcPr>
                <w:p w14:paraId="61D6EA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Times New Roman" w:cs="Times New Roman"/>
                      <w:color w:val="auto"/>
                      <w:spacing w:val="3"/>
                      <w:sz w:val="21"/>
                      <w:szCs w:val="21"/>
                      <w:highlight w:val="none"/>
                    </w:rPr>
                    <w:t>2787.</w:t>
                  </w:r>
                  <w:r>
                    <w:rPr>
                      <w:rFonts w:hint="eastAsia" w:eastAsia="宋体" w:cs="Times New Roman"/>
                      <w:color w:val="auto"/>
                      <w:spacing w:val="3"/>
                      <w:sz w:val="21"/>
                      <w:szCs w:val="21"/>
                      <w:highlight w:val="none"/>
                      <w:lang w:val="en-US" w:eastAsia="zh-CN"/>
                    </w:rPr>
                    <w:t>8</w:t>
                  </w:r>
                </w:p>
              </w:tc>
              <w:tc>
                <w:tcPr>
                  <w:tcW w:w="482" w:type="pct"/>
                  <w:shd w:val="clear" w:color="auto" w:fill="auto"/>
                  <w:vAlign w:val="center"/>
                </w:tcPr>
                <w:p w14:paraId="7BE987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9</w:t>
                  </w:r>
                  <w:r>
                    <w:rPr>
                      <w:rFonts w:hint="eastAsia" w:eastAsia="宋体" w:cs="Times New Roman"/>
                      <w:color w:val="auto"/>
                      <w:sz w:val="21"/>
                      <w:szCs w:val="21"/>
                      <w:highlight w:val="none"/>
                      <w:lang w:val="en-US" w:eastAsia="zh-CN"/>
                    </w:rPr>
                    <w:t>70.5</w:t>
                  </w:r>
                </w:p>
              </w:tc>
              <w:tc>
                <w:tcPr>
                  <w:tcW w:w="547" w:type="pct"/>
                  <w:shd w:val="clear" w:color="auto" w:fill="auto"/>
                  <w:vAlign w:val="center"/>
                </w:tcPr>
                <w:p w14:paraId="191938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557</w:t>
                  </w:r>
                  <w:r>
                    <w:rPr>
                      <w:rFonts w:hint="eastAsia" w:eastAsia="宋体" w:cs="Times New Roman"/>
                      <w:color w:val="auto"/>
                      <w:sz w:val="21"/>
                      <w:szCs w:val="21"/>
                      <w:highlight w:val="none"/>
                      <w:lang w:val="en-US" w:eastAsia="zh-CN"/>
                    </w:rPr>
                    <w:t>6</w:t>
                  </w:r>
                  <w:r>
                    <w:rPr>
                      <w:rFonts w:hint="eastAsia" w:ascii="Times New Roman" w:hAnsi="Times New Roman" w:eastAsia="Times New Roman" w:cs="Times New Roman"/>
                      <w:color w:val="auto"/>
                      <w:sz w:val="21"/>
                      <w:szCs w:val="21"/>
                      <w:highlight w:val="none"/>
                    </w:rPr>
                    <w:t>.6</w:t>
                  </w:r>
                </w:p>
              </w:tc>
              <w:tc>
                <w:tcPr>
                  <w:tcW w:w="652" w:type="pct"/>
                  <w:tcBorders>
                    <w:right w:val="single" w:color="000000" w:sz="6" w:space="0"/>
                  </w:tcBorders>
                  <w:shd w:val="clear" w:color="auto" w:fill="auto"/>
                  <w:vAlign w:val="center"/>
                </w:tcPr>
                <w:p w14:paraId="42BD61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654</w:t>
                  </w:r>
                  <w:r>
                    <w:rPr>
                      <w:rFonts w:hint="eastAsia" w:eastAsia="宋体" w:cs="Times New Roman"/>
                      <w:color w:val="auto"/>
                      <w:sz w:val="21"/>
                      <w:szCs w:val="21"/>
                      <w:highlight w:val="none"/>
                      <w:lang w:val="en-US" w:eastAsia="zh-CN"/>
                    </w:rPr>
                    <w:t>6.1</w:t>
                  </w:r>
                </w:p>
              </w:tc>
            </w:tr>
            <w:tr w14:paraId="7B73CF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0B211C6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8"/>
                      <w:sz w:val="21"/>
                      <w:szCs w:val="21"/>
                      <w:highlight w:val="none"/>
                    </w:rPr>
                    <w:t>有色金属（散热器、消声器、</w:t>
                  </w:r>
                  <w:r>
                    <w:rPr>
                      <w:rFonts w:hint="default"/>
                      <w:color w:val="auto"/>
                      <w:spacing w:val="2"/>
                      <w:sz w:val="21"/>
                      <w:szCs w:val="21"/>
                      <w:highlight w:val="none"/>
                    </w:rPr>
                    <w:t>油箱）</w:t>
                  </w:r>
                </w:p>
              </w:tc>
              <w:tc>
                <w:tcPr>
                  <w:tcW w:w="554" w:type="pct"/>
                  <w:vAlign w:val="center"/>
                </w:tcPr>
                <w:p w14:paraId="55727BF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80</w:t>
                  </w:r>
                </w:p>
              </w:tc>
              <w:tc>
                <w:tcPr>
                  <w:tcW w:w="800" w:type="pct"/>
                  <w:vAlign w:val="center"/>
                </w:tcPr>
                <w:p w14:paraId="6A1163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300</w:t>
                  </w:r>
                </w:p>
              </w:tc>
              <w:tc>
                <w:tcPr>
                  <w:tcW w:w="482" w:type="pct"/>
                  <w:shd w:val="clear" w:color="auto" w:fill="auto"/>
                  <w:vAlign w:val="center"/>
                </w:tcPr>
                <w:p w14:paraId="6424D8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240</w:t>
                  </w:r>
                </w:p>
              </w:tc>
              <w:tc>
                <w:tcPr>
                  <w:tcW w:w="547" w:type="pct"/>
                  <w:shd w:val="clear" w:color="auto" w:fill="auto"/>
                  <w:vAlign w:val="center"/>
                </w:tcPr>
                <w:p w14:paraId="781EFE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600</w:t>
                  </w:r>
                </w:p>
              </w:tc>
              <w:tc>
                <w:tcPr>
                  <w:tcW w:w="652" w:type="pct"/>
                  <w:tcBorders>
                    <w:right w:val="single" w:color="000000" w:sz="6" w:space="0"/>
                  </w:tcBorders>
                  <w:shd w:val="clear" w:color="auto" w:fill="auto"/>
                  <w:vAlign w:val="center"/>
                </w:tcPr>
                <w:p w14:paraId="131684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840</w:t>
                  </w:r>
                </w:p>
              </w:tc>
            </w:tr>
            <w:tr w14:paraId="4DC82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7812C68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3"/>
                      <w:sz w:val="21"/>
                      <w:szCs w:val="21"/>
                      <w:highlight w:val="none"/>
                    </w:rPr>
                    <w:t>玻璃</w:t>
                  </w:r>
                </w:p>
              </w:tc>
              <w:tc>
                <w:tcPr>
                  <w:tcW w:w="554" w:type="pct"/>
                  <w:vAlign w:val="center"/>
                </w:tcPr>
                <w:p w14:paraId="1BD568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62</w:t>
                  </w:r>
                </w:p>
              </w:tc>
              <w:tc>
                <w:tcPr>
                  <w:tcW w:w="800" w:type="pct"/>
                  <w:vAlign w:val="center"/>
                </w:tcPr>
                <w:p w14:paraId="63ECDA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100</w:t>
                  </w:r>
                </w:p>
              </w:tc>
              <w:tc>
                <w:tcPr>
                  <w:tcW w:w="482" w:type="pct"/>
                  <w:shd w:val="clear" w:color="auto" w:fill="auto"/>
                  <w:vAlign w:val="center"/>
                </w:tcPr>
                <w:p w14:paraId="61C535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186</w:t>
                  </w:r>
                </w:p>
              </w:tc>
              <w:tc>
                <w:tcPr>
                  <w:tcW w:w="547" w:type="pct"/>
                  <w:shd w:val="clear" w:color="auto" w:fill="auto"/>
                  <w:vAlign w:val="center"/>
                </w:tcPr>
                <w:p w14:paraId="48302A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200</w:t>
                  </w:r>
                </w:p>
              </w:tc>
              <w:tc>
                <w:tcPr>
                  <w:tcW w:w="652" w:type="pct"/>
                  <w:tcBorders>
                    <w:right w:val="single" w:color="000000" w:sz="6" w:space="0"/>
                  </w:tcBorders>
                  <w:shd w:val="clear" w:color="auto" w:fill="auto"/>
                  <w:vAlign w:val="center"/>
                </w:tcPr>
                <w:p w14:paraId="7E9A21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386</w:t>
                  </w:r>
                </w:p>
              </w:tc>
            </w:tr>
            <w:tr w14:paraId="3FCC62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3A9D988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2"/>
                      <w:sz w:val="21"/>
                      <w:szCs w:val="21"/>
                      <w:highlight w:val="none"/>
                    </w:rPr>
                    <w:t>塑料</w:t>
                  </w:r>
                </w:p>
              </w:tc>
              <w:tc>
                <w:tcPr>
                  <w:tcW w:w="554" w:type="pct"/>
                  <w:vAlign w:val="center"/>
                </w:tcPr>
                <w:p w14:paraId="6AEDA3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40</w:t>
                  </w:r>
                </w:p>
              </w:tc>
              <w:tc>
                <w:tcPr>
                  <w:tcW w:w="800" w:type="pct"/>
                  <w:vAlign w:val="center"/>
                </w:tcPr>
                <w:p w14:paraId="2855C9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80</w:t>
                  </w:r>
                </w:p>
              </w:tc>
              <w:tc>
                <w:tcPr>
                  <w:tcW w:w="482" w:type="pct"/>
                  <w:shd w:val="clear" w:color="auto" w:fill="auto"/>
                  <w:vAlign w:val="center"/>
                </w:tcPr>
                <w:p w14:paraId="5083ED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120</w:t>
                  </w:r>
                </w:p>
              </w:tc>
              <w:tc>
                <w:tcPr>
                  <w:tcW w:w="547" w:type="pct"/>
                  <w:shd w:val="clear" w:color="auto" w:fill="auto"/>
                  <w:vAlign w:val="center"/>
                </w:tcPr>
                <w:p w14:paraId="763B08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160</w:t>
                  </w:r>
                </w:p>
              </w:tc>
              <w:tc>
                <w:tcPr>
                  <w:tcW w:w="652" w:type="pct"/>
                  <w:tcBorders>
                    <w:right w:val="single" w:color="000000" w:sz="6" w:space="0"/>
                  </w:tcBorders>
                  <w:shd w:val="clear" w:color="auto" w:fill="auto"/>
                  <w:vAlign w:val="center"/>
                </w:tcPr>
                <w:p w14:paraId="20B49F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280</w:t>
                  </w:r>
                </w:p>
              </w:tc>
            </w:tr>
            <w:tr w14:paraId="3D0E99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001DC29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5"/>
                      <w:sz w:val="21"/>
                      <w:szCs w:val="21"/>
                      <w:highlight w:val="none"/>
                    </w:rPr>
                    <w:t>橡胶</w:t>
                  </w:r>
                </w:p>
              </w:tc>
              <w:tc>
                <w:tcPr>
                  <w:tcW w:w="554" w:type="pct"/>
                  <w:vAlign w:val="center"/>
                </w:tcPr>
                <w:p w14:paraId="16C415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43</w:t>
                  </w:r>
                </w:p>
              </w:tc>
              <w:tc>
                <w:tcPr>
                  <w:tcW w:w="800" w:type="pct"/>
                  <w:vAlign w:val="center"/>
                </w:tcPr>
                <w:p w14:paraId="5DF45C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170</w:t>
                  </w:r>
                </w:p>
              </w:tc>
              <w:tc>
                <w:tcPr>
                  <w:tcW w:w="482" w:type="pct"/>
                  <w:shd w:val="clear" w:color="auto" w:fill="auto"/>
                  <w:vAlign w:val="center"/>
                </w:tcPr>
                <w:p w14:paraId="434464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129</w:t>
                  </w:r>
                </w:p>
              </w:tc>
              <w:tc>
                <w:tcPr>
                  <w:tcW w:w="547" w:type="pct"/>
                  <w:shd w:val="clear" w:color="auto" w:fill="auto"/>
                  <w:vAlign w:val="center"/>
                </w:tcPr>
                <w:p w14:paraId="427061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340</w:t>
                  </w:r>
                </w:p>
              </w:tc>
              <w:tc>
                <w:tcPr>
                  <w:tcW w:w="652" w:type="pct"/>
                  <w:tcBorders>
                    <w:right w:val="single" w:color="000000" w:sz="6" w:space="0"/>
                  </w:tcBorders>
                  <w:shd w:val="clear" w:color="auto" w:fill="auto"/>
                  <w:vAlign w:val="center"/>
                </w:tcPr>
                <w:p w14:paraId="709F368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469</w:t>
                  </w:r>
                </w:p>
              </w:tc>
            </w:tr>
            <w:tr w14:paraId="30ECF0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53E3DCE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8"/>
                      <w:sz w:val="21"/>
                      <w:szCs w:val="21"/>
                      <w:highlight w:val="none"/>
                    </w:rPr>
                    <w:t>可用零部件（螺丝、轴承等）</w:t>
                  </w:r>
                </w:p>
              </w:tc>
              <w:tc>
                <w:tcPr>
                  <w:tcW w:w="554" w:type="pct"/>
                  <w:vAlign w:val="center"/>
                </w:tcPr>
                <w:p w14:paraId="4F2061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65</w:t>
                  </w:r>
                </w:p>
              </w:tc>
              <w:tc>
                <w:tcPr>
                  <w:tcW w:w="800" w:type="pct"/>
                  <w:vAlign w:val="center"/>
                </w:tcPr>
                <w:p w14:paraId="70420F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105</w:t>
                  </w:r>
                </w:p>
              </w:tc>
              <w:tc>
                <w:tcPr>
                  <w:tcW w:w="482" w:type="pct"/>
                  <w:shd w:val="clear" w:color="auto" w:fill="auto"/>
                  <w:vAlign w:val="center"/>
                </w:tcPr>
                <w:p w14:paraId="36CC9E3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195</w:t>
                  </w:r>
                </w:p>
              </w:tc>
              <w:tc>
                <w:tcPr>
                  <w:tcW w:w="547" w:type="pct"/>
                  <w:shd w:val="clear" w:color="auto" w:fill="auto"/>
                  <w:vAlign w:val="center"/>
                </w:tcPr>
                <w:p w14:paraId="2B8582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210</w:t>
                  </w:r>
                </w:p>
              </w:tc>
              <w:tc>
                <w:tcPr>
                  <w:tcW w:w="652" w:type="pct"/>
                  <w:tcBorders>
                    <w:right w:val="single" w:color="000000" w:sz="6" w:space="0"/>
                  </w:tcBorders>
                  <w:shd w:val="clear" w:color="auto" w:fill="auto"/>
                  <w:vAlign w:val="center"/>
                </w:tcPr>
                <w:p w14:paraId="16610C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405</w:t>
                  </w:r>
                </w:p>
              </w:tc>
            </w:tr>
            <w:tr w14:paraId="3F3D28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2AC49E3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5"/>
                      <w:sz w:val="21"/>
                      <w:szCs w:val="21"/>
                      <w:highlight w:val="none"/>
                    </w:rPr>
                    <w:t>五大总成</w:t>
                  </w:r>
                  <w:r>
                    <w:rPr>
                      <w:rFonts w:hint="eastAsia"/>
                      <w:color w:val="auto"/>
                      <w:spacing w:val="5"/>
                      <w:sz w:val="21"/>
                      <w:szCs w:val="21"/>
                      <w:highlight w:val="none"/>
                      <w:vertAlign w:val="superscript"/>
                      <w:lang w:val="en-US" w:eastAsia="zh-CN"/>
                    </w:rPr>
                    <w:t>①</w:t>
                  </w:r>
                  <w:r>
                    <w:rPr>
                      <w:rFonts w:hint="default"/>
                      <w:color w:val="auto"/>
                      <w:spacing w:val="5"/>
                      <w:sz w:val="21"/>
                      <w:szCs w:val="21"/>
                      <w:highlight w:val="none"/>
                    </w:rPr>
                    <w:t>（方向机、前后桥、</w:t>
                  </w:r>
                  <w:r>
                    <w:rPr>
                      <w:rFonts w:hint="default"/>
                      <w:color w:val="auto"/>
                      <w:spacing w:val="7"/>
                      <w:sz w:val="21"/>
                      <w:szCs w:val="21"/>
                      <w:highlight w:val="none"/>
                    </w:rPr>
                    <w:t>发动机、变速器、车架）</w:t>
                  </w:r>
                </w:p>
              </w:tc>
              <w:tc>
                <w:tcPr>
                  <w:tcW w:w="554" w:type="pct"/>
                  <w:vAlign w:val="center"/>
                </w:tcPr>
                <w:p w14:paraId="3D16B2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692</w:t>
                  </w:r>
                </w:p>
              </w:tc>
              <w:tc>
                <w:tcPr>
                  <w:tcW w:w="800" w:type="pct"/>
                  <w:vAlign w:val="center"/>
                </w:tcPr>
                <w:p w14:paraId="0AFCB5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1582</w:t>
                  </w:r>
                </w:p>
              </w:tc>
              <w:tc>
                <w:tcPr>
                  <w:tcW w:w="482" w:type="pct"/>
                  <w:shd w:val="clear" w:color="auto" w:fill="auto"/>
                  <w:vAlign w:val="center"/>
                </w:tcPr>
                <w:p w14:paraId="6FC743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2076</w:t>
                  </w:r>
                </w:p>
              </w:tc>
              <w:tc>
                <w:tcPr>
                  <w:tcW w:w="547" w:type="pct"/>
                  <w:shd w:val="clear" w:color="auto" w:fill="auto"/>
                  <w:vAlign w:val="center"/>
                </w:tcPr>
                <w:p w14:paraId="1E1FE2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3164</w:t>
                  </w:r>
                </w:p>
              </w:tc>
              <w:tc>
                <w:tcPr>
                  <w:tcW w:w="652" w:type="pct"/>
                  <w:tcBorders>
                    <w:right w:val="single" w:color="000000" w:sz="6" w:space="0"/>
                  </w:tcBorders>
                  <w:shd w:val="clear" w:color="auto" w:fill="auto"/>
                  <w:vAlign w:val="center"/>
                </w:tcPr>
                <w:p w14:paraId="063051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5240</w:t>
                  </w:r>
                </w:p>
              </w:tc>
            </w:tr>
            <w:tr w14:paraId="009E62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255A537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color w:val="auto"/>
                      <w:sz w:val="21"/>
                      <w:szCs w:val="21"/>
                      <w:highlight w:val="none"/>
                      <w:lang w:val="en-US" w:eastAsia="zh-CN"/>
                    </w:rPr>
                  </w:pPr>
                  <w:r>
                    <w:rPr>
                      <w:rFonts w:hint="default"/>
                      <w:color w:val="auto"/>
                      <w:spacing w:val="7"/>
                      <w:sz w:val="21"/>
                      <w:szCs w:val="21"/>
                      <w:highlight w:val="none"/>
                    </w:rPr>
                    <w:t>不可利用废物</w:t>
                  </w:r>
                  <w:r>
                    <w:rPr>
                      <w:rFonts w:hint="eastAsia"/>
                      <w:color w:val="auto"/>
                      <w:spacing w:val="7"/>
                      <w:sz w:val="21"/>
                      <w:szCs w:val="21"/>
                      <w:highlight w:val="none"/>
                      <w:vertAlign w:val="superscript"/>
                      <w:lang w:val="en-US" w:eastAsia="zh-CN"/>
                    </w:rPr>
                    <w:t>②</w:t>
                  </w:r>
                </w:p>
              </w:tc>
              <w:tc>
                <w:tcPr>
                  <w:tcW w:w="554" w:type="pct"/>
                  <w:vAlign w:val="center"/>
                </w:tcPr>
                <w:p w14:paraId="10FCA0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40</w:t>
                  </w:r>
                </w:p>
              </w:tc>
              <w:tc>
                <w:tcPr>
                  <w:tcW w:w="800" w:type="pct"/>
                  <w:vAlign w:val="center"/>
                </w:tcPr>
                <w:p w14:paraId="58F5FE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150</w:t>
                  </w:r>
                </w:p>
              </w:tc>
              <w:tc>
                <w:tcPr>
                  <w:tcW w:w="482" w:type="pct"/>
                  <w:shd w:val="clear" w:color="auto" w:fill="auto"/>
                  <w:vAlign w:val="center"/>
                </w:tcPr>
                <w:p w14:paraId="1ED664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120</w:t>
                  </w:r>
                </w:p>
              </w:tc>
              <w:tc>
                <w:tcPr>
                  <w:tcW w:w="547" w:type="pct"/>
                  <w:shd w:val="clear" w:color="auto" w:fill="auto"/>
                  <w:vAlign w:val="center"/>
                </w:tcPr>
                <w:p w14:paraId="7ECDD2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300</w:t>
                  </w:r>
                </w:p>
              </w:tc>
              <w:tc>
                <w:tcPr>
                  <w:tcW w:w="652" w:type="pct"/>
                  <w:tcBorders>
                    <w:right w:val="single" w:color="000000" w:sz="6" w:space="0"/>
                  </w:tcBorders>
                  <w:shd w:val="clear" w:color="auto" w:fill="auto"/>
                  <w:vAlign w:val="center"/>
                </w:tcPr>
                <w:p w14:paraId="254C80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420</w:t>
                  </w:r>
                </w:p>
              </w:tc>
            </w:tr>
            <w:tr w14:paraId="71384F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613A0A9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8"/>
                      <w:sz w:val="21"/>
                      <w:szCs w:val="21"/>
                      <w:highlight w:val="none"/>
                    </w:rPr>
                    <w:t>废安全气囊（引爆后）</w:t>
                  </w:r>
                </w:p>
              </w:tc>
              <w:tc>
                <w:tcPr>
                  <w:tcW w:w="554" w:type="pct"/>
                  <w:vAlign w:val="center"/>
                </w:tcPr>
                <w:p w14:paraId="3056C6E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2</w:t>
                  </w:r>
                </w:p>
              </w:tc>
              <w:tc>
                <w:tcPr>
                  <w:tcW w:w="800" w:type="pct"/>
                  <w:vAlign w:val="center"/>
                </w:tcPr>
                <w:p w14:paraId="2EE84A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482" w:type="pct"/>
                  <w:shd w:val="clear" w:color="auto" w:fill="auto"/>
                  <w:vAlign w:val="center"/>
                </w:tcPr>
                <w:p w14:paraId="08E62E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w:t>
                  </w:r>
                </w:p>
              </w:tc>
              <w:tc>
                <w:tcPr>
                  <w:tcW w:w="547" w:type="pct"/>
                  <w:shd w:val="clear" w:color="auto" w:fill="auto"/>
                  <w:vAlign w:val="center"/>
                </w:tcPr>
                <w:p w14:paraId="4E949D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w:t>
                  </w:r>
                </w:p>
              </w:tc>
              <w:tc>
                <w:tcPr>
                  <w:tcW w:w="652" w:type="pct"/>
                  <w:tcBorders>
                    <w:right w:val="single" w:color="000000" w:sz="6" w:space="0"/>
                  </w:tcBorders>
                  <w:shd w:val="clear" w:color="auto" w:fill="auto"/>
                  <w:vAlign w:val="center"/>
                </w:tcPr>
                <w:p w14:paraId="0F9639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8</w:t>
                  </w:r>
                </w:p>
              </w:tc>
            </w:tr>
            <w:tr w14:paraId="53374C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7FCC417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color w:val="auto"/>
                      <w:sz w:val="21"/>
                      <w:szCs w:val="21"/>
                      <w:highlight w:val="none"/>
                      <w:lang w:val="en-US" w:eastAsia="zh-CN"/>
                    </w:rPr>
                  </w:pPr>
                  <w:r>
                    <w:rPr>
                      <w:rFonts w:hint="default"/>
                      <w:color w:val="auto"/>
                      <w:spacing w:val="7"/>
                      <w:sz w:val="21"/>
                      <w:szCs w:val="21"/>
                      <w:highlight w:val="none"/>
                    </w:rPr>
                    <w:t>废铅蓄电池</w:t>
                  </w:r>
                  <w:r>
                    <w:rPr>
                      <w:rFonts w:hint="eastAsia"/>
                      <w:color w:val="auto"/>
                      <w:spacing w:val="7"/>
                      <w:sz w:val="21"/>
                      <w:szCs w:val="21"/>
                      <w:highlight w:val="none"/>
                      <w:vertAlign w:val="superscript"/>
                      <w:lang w:val="en-US" w:eastAsia="zh-CN"/>
                    </w:rPr>
                    <w:t>③</w:t>
                  </w:r>
                </w:p>
              </w:tc>
              <w:tc>
                <w:tcPr>
                  <w:tcW w:w="554" w:type="pct"/>
                  <w:vAlign w:val="center"/>
                </w:tcPr>
                <w:p w14:paraId="7B1452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14.5</w:t>
                  </w:r>
                </w:p>
              </w:tc>
              <w:tc>
                <w:tcPr>
                  <w:tcW w:w="800" w:type="pct"/>
                  <w:vAlign w:val="center"/>
                </w:tcPr>
                <w:p w14:paraId="53BE37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55</w:t>
                  </w:r>
                </w:p>
              </w:tc>
              <w:tc>
                <w:tcPr>
                  <w:tcW w:w="482" w:type="pct"/>
                  <w:shd w:val="clear" w:color="auto" w:fill="auto"/>
                  <w:vAlign w:val="center"/>
                </w:tcPr>
                <w:p w14:paraId="283F32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43.5</w:t>
                  </w:r>
                </w:p>
              </w:tc>
              <w:tc>
                <w:tcPr>
                  <w:tcW w:w="547" w:type="pct"/>
                  <w:shd w:val="clear" w:color="auto" w:fill="auto"/>
                  <w:vAlign w:val="center"/>
                </w:tcPr>
                <w:p w14:paraId="7A6B87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110</w:t>
                  </w:r>
                </w:p>
              </w:tc>
              <w:tc>
                <w:tcPr>
                  <w:tcW w:w="652" w:type="pct"/>
                  <w:tcBorders>
                    <w:right w:val="single" w:color="000000" w:sz="6" w:space="0"/>
                  </w:tcBorders>
                  <w:shd w:val="clear" w:color="auto" w:fill="auto"/>
                  <w:vAlign w:val="center"/>
                </w:tcPr>
                <w:p w14:paraId="061935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153.5</w:t>
                  </w:r>
                </w:p>
              </w:tc>
            </w:tr>
            <w:tr w14:paraId="518DD8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2EEA85F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7"/>
                      <w:sz w:val="21"/>
                      <w:szCs w:val="21"/>
                      <w:highlight w:val="none"/>
                    </w:rPr>
                    <w:t>废电容器</w:t>
                  </w:r>
                </w:p>
              </w:tc>
              <w:tc>
                <w:tcPr>
                  <w:tcW w:w="554" w:type="pct"/>
                  <w:vAlign w:val="center"/>
                </w:tcPr>
                <w:p w14:paraId="3E7C85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sz w:val="21"/>
                      <w:szCs w:val="21"/>
                      <w:highlight w:val="none"/>
                    </w:rPr>
                    <w:t>12</w:t>
                  </w:r>
                </w:p>
              </w:tc>
              <w:tc>
                <w:tcPr>
                  <w:tcW w:w="800" w:type="pct"/>
                  <w:vAlign w:val="center"/>
                </w:tcPr>
                <w:p w14:paraId="710BBD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sz w:val="21"/>
                      <w:szCs w:val="21"/>
                      <w:highlight w:val="none"/>
                    </w:rPr>
                    <w:t>14</w:t>
                  </w:r>
                </w:p>
              </w:tc>
              <w:tc>
                <w:tcPr>
                  <w:tcW w:w="482" w:type="pct"/>
                  <w:shd w:val="clear" w:color="auto" w:fill="auto"/>
                  <w:vAlign w:val="center"/>
                </w:tcPr>
                <w:p w14:paraId="10AE4F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36</w:t>
                  </w:r>
                </w:p>
              </w:tc>
              <w:tc>
                <w:tcPr>
                  <w:tcW w:w="547" w:type="pct"/>
                  <w:shd w:val="clear" w:color="auto" w:fill="auto"/>
                  <w:vAlign w:val="center"/>
                </w:tcPr>
                <w:p w14:paraId="608142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28</w:t>
                  </w:r>
                </w:p>
              </w:tc>
              <w:tc>
                <w:tcPr>
                  <w:tcW w:w="652" w:type="pct"/>
                  <w:tcBorders>
                    <w:right w:val="single" w:color="000000" w:sz="6" w:space="0"/>
                  </w:tcBorders>
                  <w:shd w:val="clear" w:color="auto" w:fill="auto"/>
                  <w:vAlign w:val="center"/>
                </w:tcPr>
                <w:p w14:paraId="264E83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64</w:t>
                  </w:r>
                </w:p>
              </w:tc>
            </w:tr>
            <w:tr w14:paraId="6A3F38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16CAB04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8"/>
                      <w:sz w:val="21"/>
                      <w:szCs w:val="21"/>
                      <w:highlight w:val="none"/>
                    </w:rPr>
                    <w:t>废尾气催化剂</w:t>
                  </w:r>
                </w:p>
              </w:tc>
              <w:tc>
                <w:tcPr>
                  <w:tcW w:w="554" w:type="pct"/>
                  <w:vAlign w:val="center"/>
                </w:tcPr>
                <w:p w14:paraId="2257B7C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800" w:type="pct"/>
                  <w:vAlign w:val="center"/>
                </w:tcPr>
                <w:p w14:paraId="1FBA21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2</w:t>
                  </w:r>
                </w:p>
              </w:tc>
              <w:tc>
                <w:tcPr>
                  <w:tcW w:w="482" w:type="pct"/>
                  <w:shd w:val="clear" w:color="auto" w:fill="auto"/>
                  <w:vAlign w:val="center"/>
                </w:tcPr>
                <w:p w14:paraId="6DB10F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w:t>
                  </w:r>
                </w:p>
              </w:tc>
              <w:tc>
                <w:tcPr>
                  <w:tcW w:w="547" w:type="pct"/>
                  <w:shd w:val="clear" w:color="auto" w:fill="auto"/>
                  <w:vAlign w:val="center"/>
                </w:tcPr>
                <w:p w14:paraId="56F943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4</w:t>
                  </w:r>
                </w:p>
              </w:tc>
              <w:tc>
                <w:tcPr>
                  <w:tcW w:w="652" w:type="pct"/>
                  <w:tcBorders>
                    <w:right w:val="single" w:color="000000" w:sz="6" w:space="0"/>
                  </w:tcBorders>
                  <w:shd w:val="clear" w:color="auto" w:fill="auto"/>
                  <w:vAlign w:val="center"/>
                </w:tcPr>
                <w:p w14:paraId="34BBD4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7</w:t>
                  </w:r>
                </w:p>
              </w:tc>
            </w:tr>
            <w:tr w14:paraId="01FF0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6467D08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eastAsia="宋体"/>
                      <w:color w:val="auto"/>
                      <w:sz w:val="21"/>
                      <w:szCs w:val="21"/>
                      <w:highlight w:val="none"/>
                      <w:lang w:val="en-US" w:eastAsia="zh-CN"/>
                    </w:rPr>
                  </w:pPr>
                  <w:r>
                    <w:rPr>
                      <w:rFonts w:hint="default"/>
                      <w:color w:val="auto"/>
                      <w:spacing w:val="7"/>
                      <w:sz w:val="21"/>
                      <w:szCs w:val="21"/>
                      <w:highlight w:val="none"/>
                    </w:rPr>
                    <w:t>废油液</w:t>
                  </w:r>
                  <w:r>
                    <w:rPr>
                      <w:rFonts w:hint="eastAsia"/>
                      <w:color w:val="auto"/>
                      <w:spacing w:val="7"/>
                      <w:sz w:val="21"/>
                      <w:szCs w:val="21"/>
                      <w:highlight w:val="none"/>
                      <w:vertAlign w:val="superscript"/>
                      <w:lang w:val="en-US" w:eastAsia="zh-CN"/>
                    </w:rPr>
                    <w:t>④</w:t>
                  </w:r>
                </w:p>
              </w:tc>
              <w:tc>
                <w:tcPr>
                  <w:tcW w:w="554" w:type="pct"/>
                  <w:vAlign w:val="center"/>
                </w:tcPr>
                <w:p w14:paraId="0DE36A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sz w:val="21"/>
                      <w:szCs w:val="21"/>
                      <w:highlight w:val="none"/>
                    </w:rPr>
                    <w:t>10</w:t>
                  </w:r>
                </w:p>
              </w:tc>
              <w:tc>
                <w:tcPr>
                  <w:tcW w:w="800" w:type="pct"/>
                  <w:vAlign w:val="center"/>
                </w:tcPr>
                <w:p w14:paraId="052594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8"/>
                      <w:sz w:val="21"/>
                      <w:szCs w:val="21"/>
                      <w:highlight w:val="none"/>
                    </w:rPr>
                    <w:t>15</w:t>
                  </w:r>
                </w:p>
              </w:tc>
              <w:tc>
                <w:tcPr>
                  <w:tcW w:w="482" w:type="pct"/>
                  <w:shd w:val="clear" w:color="auto" w:fill="auto"/>
                  <w:vAlign w:val="center"/>
                </w:tcPr>
                <w:p w14:paraId="4FDD35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30</w:t>
                  </w:r>
                </w:p>
              </w:tc>
              <w:tc>
                <w:tcPr>
                  <w:tcW w:w="547" w:type="pct"/>
                  <w:shd w:val="clear" w:color="auto" w:fill="auto"/>
                  <w:vAlign w:val="center"/>
                </w:tcPr>
                <w:p w14:paraId="3C5E9B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30</w:t>
                  </w:r>
                </w:p>
              </w:tc>
              <w:tc>
                <w:tcPr>
                  <w:tcW w:w="652" w:type="pct"/>
                  <w:tcBorders>
                    <w:right w:val="single" w:color="000000" w:sz="6" w:space="0"/>
                  </w:tcBorders>
                  <w:shd w:val="clear" w:color="auto" w:fill="auto"/>
                  <w:vAlign w:val="center"/>
                </w:tcPr>
                <w:p w14:paraId="2ADB6B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60</w:t>
                  </w:r>
                </w:p>
              </w:tc>
            </w:tr>
            <w:tr w14:paraId="0EDB42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0F5C2C7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7"/>
                      <w:sz w:val="21"/>
                      <w:szCs w:val="21"/>
                      <w:highlight w:val="none"/>
                    </w:rPr>
                    <w:t>废油箱</w:t>
                  </w:r>
                </w:p>
              </w:tc>
              <w:tc>
                <w:tcPr>
                  <w:tcW w:w="554" w:type="pct"/>
                  <w:vAlign w:val="center"/>
                </w:tcPr>
                <w:p w14:paraId="459299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2</w:t>
                  </w:r>
                </w:p>
              </w:tc>
              <w:tc>
                <w:tcPr>
                  <w:tcW w:w="800" w:type="pct"/>
                  <w:vAlign w:val="center"/>
                </w:tcPr>
                <w:p w14:paraId="79E712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3</w:t>
                  </w:r>
                </w:p>
              </w:tc>
              <w:tc>
                <w:tcPr>
                  <w:tcW w:w="482" w:type="pct"/>
                  <w:shd w:val="clear" w:color="auto" w:fill="auto"/>
                  <w:vAlign w:val="center"/>
                </w:tcPr>
                <w:p w14:paraId="08ECF2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w:t>
                  </w:r>
                </w:p>
              </w:tc>
              <w:tc>
                <w:tcPr>
                  <w:tcW w:w="547" w:type="pct"/>
                  <w:shd w:val="clear" w:color="auto" w:fill="auto"/>
                  <w:vAlign w:val="center"/>
                </w:tcPr>
                <w:p w14:paraId="32ADD4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w:t>
                  </w:r>
                </w:p>
              </w:tc>
              <w:tc>
                <w:tcPr>
                  <w:tcW w:w="652" w:type="pct"/>
                  <w:tcBorders>
                    <w:right w:val="single" w:color="000000" w:sz="6" w:space="0"/>
                  </w:tcBorders>
                  <w:shd w:val="clear" w:color="auto" w:fill="auto"/>
                  <w:vAlign w:val="center"/>
                </w:tcPr>
                <w:p w14:paraId="233806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12</w:t>
                  </w:r>
                </w:p>
              </w:tc>
            </w:tr>
            <w:tr w14:paraId="6DA9BA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vAlign w:val="center"/>
                </w:tcPr>
                <w:p w14:paraId="4856625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r>
                    <w:rPr>
                      <w:rFonts w:hint="default"/>
                      <w:color w:val="auto"/>
                      <w:spacing w:val="7"/>
                      <w:sz w:val="21"/>
                      <w:szCs w:val="21"/>
                      <w:highlight w:val="none"/>
                    </w:rPr>
                    <w:t>燃油（柴、汽油）</w:t>
                  </w:r>
                </w:p>
              </w:tc>
              <w:tc>
                <w:tcPr>
                  <w:tcW w:w="554" w:type="pct"/>
                  <w:vAlign w:val="center"/>
                </w:tcPr>
                <w:p w14:paraId="78559C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2</w:t>
                  </w:r>
                </w:p>
              </w:tc>
              <w:tc>
                <w:tcPr>
                  <w:tcW w:w="800" w:type="pct"/>
                  <w:vAlign w:val="center"/>
                </w:tcPr>
                <w:p w14:paraId="25784A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5</w:t>
                  </w:r>
                </w:p>
              </w:tc>
              <w:tc>
                <w:tcPr>
                  <w:tcW w:w="482" w:type="pct"/>
                  <w:shd w:val="clear" w:color="auto" w:fill="auto"/>
                  <w:vAlign w:val="center"/>
                </w:tcPr>
                <w:p w14:paraId="3C941B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6</w:t>
                  </w:r>
                </w:p>
              </w:tc>
              <w:tc>
                <w:tcPr>
                  <w:tcW w:w="547" w:type="pct"/>
                  <w:shd w:val="clear" w:color="auto" w:fill="auto"/>
                  <w:vAlign w:val="center"/>
                </w:tcPr>
                <w:p w14:paraId="60BFFE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10</w:t>
                  </w:r>
                </w:p>
              </w:tc>
              <w:tc>
                <w:tcPr>
                  <w:tcW w:w="652" w:type="pct"/>
                  <w:tcBorders>
                    <w:right w:val="single" w:color="000000" w:sz="6" w:space="0"/>
                  </w:tcBorders>
                  <w:shd w:val="clear" w:color="auto" w:fill="auto"/>
                  <w:vAlign w:val="center"/>
                </w:tcPr>
                <w:p w14:paraId="67168F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zh-CN"/>
                    </w:rPr>
                  </w:pPr>
                  <w:r>
                    <w:rPr>
                      <w:rFonts w:hint="eastAsia" w:ascii="Times New Roman" w:hAnsi="Times New Roman" w:eastAsia="Times New Roman" w:cs="Times New Roman"/>
                      <w:color w:val="auto"/>
                      <w:sz w:val="21"/>
                      <w:szCs w:val="21"/>
                      <w:highlight w:val="none"/>
                    </w:rPr>
                    <w:t>16</w:t>
                  </w:r>
                </w:p>
              </w:tc>
            </w:tr>
            <w:tr w14:paraId="7C3F83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tcBorders>
                    <w:bottom w:val="single" w:color="000000" w:sz="6" w:space="0"/>
                  </w:tcBorders>
                  <w:shd w:val="clear" w:color="auto" w:fill="auto"/>
                  <w:vAlign w:val="center"/>
                </w:tcPr>
                <w:p w14:paraId="588FE14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snapToGrid w:val="0"/>
                      <w:color w:val="auto"/>
                      <w:kern w:val="0"/>
                      <w:sz w:val="21"/>
                      <w:szCs w:val="21"/>
                      <w:highlight w:val="none"/>
                      <w:lang w:val="en-US" w:eastAsia="zh-CN" w:bidi="ar-SA"/>
                    </w:rPr>
                  </w:pPr>
                  <w:r>
                    <w:rPr>
                      <w:rFonts w:hint="default"/>
                      <w:color w:val="auto"/>
                      <w:spacing w:val="7"/>
                      <w:sz w:val="21"/>
                      <w:szCs w:val="21"/>
                      <w:highlight w:val="none"/>
                    </w:rPr>
                    <w:t>废有机溶剂</w:t>
                  </w:r>
                  <w:r>
                    <w:rPr>
                      <w:rFonts w:hint="eastAsia"/>
                      <w:color w:val="auto"/>
                      <w:spacing w:val="7"/>
                      <w:sz w:val="21"/>
                      <w:szCs w:val="21"/>
                      <w:highlight w:val="none"/>
                      <w:vertAlign w:val="superscript"/>
                      <w:lang w:val="en-US" w:eastAsia="zh-CN"/>
                    </w:rPr>
                    <w:t>⑤</w:t>
                  </w:r>
                </w:p>
              </w:tc>
              <w:tc>
                <w:tcPr>
                  <w:tcW w:w="554" w:type="pct"/>
                  <w:tcBorders>
                    <w:bottom w:val="single" w:color="000000" w:sz="6" w:space="0"/>
                  </w:tcBorders>
                  <w:shd w:val="clear" w:color="auto" w:fill="auto"/>
                  <w:vAlign w:val="center"/>
                </w:tcPr>
                <w:p w14:paraId="03829C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2</w:t>
                  </w:r>
                </w:p>
              </w:tc>
              <w:tc>
                <w:tcPr>
                  <w:tcW w:w="800" w:type="pct"/>
                  <w:tcBorders>
                    <w:bottom w:val="single" w:color="000000" w:sz="6" w:space="0"/>
                  </w:tcBorders>
                  <w:shd w:val="clear" w:color="auto" w:fill="auto"/>
                  <w:vAlign w:val="center"/>
                </w:tcPr>
                <w:p w14:paraId="49B536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1"/>
                      <w:sz w:val="21"/>
                      <w:szCs w:val="21"/>
                      <w:highlight w:val="none"/>
                    </w:rPr>
                    <w:t>4</w:t>
                  </w:r>
                </w:p>
              </w:tc>
              <w:tc>
                <w:tcPr>
                  <w:tcW w:w="482" w:type="pct"/>
                  <w:tcBorders>
                    <w:bottom w:val="single" w:color="000000" w:sz="6" w:space="0"/>
                  </w:tcBorders>
                  <w:shd w:val="clear" w:color="auto" w:fill="auto"/>
                  <w:vAlign w:val="center"/>
                </w:tcPr>
                <w:p w14:paraId="2FCD6E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6</w:t>
                  </w:r>
                </w:p>
              </w:tc>
              <w:tc>
                <w:tcPr>
                  <w:tcW w:w="547" w:type="pct"/>
                  <w:tcBorders>
                    <w:bottom w:val="single" w:color="000000" w:sz="6" w:space="0"/>
                  </w:tcBorders>
                  <w:shd w:val="clear" w:color="auto" w:fill="auto"/>
                  <w:vAlign w:val="center"/>
                </w:tcPr>
                <w:p w14:paraId="69543F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8</w:t>
                  </w:r>
                </w:p>
              </w:tc>
              <w:tc>
                <w:tcPr>
                  <w:tcW w:w="652" w:type="pct"/>
                  <w:tcBorders>
                    <w:bottom w:val="single" w:color="000000" w:sz="6" w:space="0"/>
                    <w:right w:val="single" w:color="000000" w:sz="6" w:space="0"/>
                  </w:tcBorders>
                  <w:shd w:val="clear" w:color="auto" w:fill="auto"/>
                  <w:vAlign w:val="center"/>
                </w:tcPr>
                <w:p w14:paraId="37869F9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14</w:t>
                  </w:r>
                </w:p>
              </w:tc>
            </w:tr>
            <w:tr w14:paraId="48DC8C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shd w:val="clear" w:color="auto" w:fill="auto"/>
                  <w:vAlign w:val="center"/>
                </w:tcPr>
                <w:p w14:paraId="31D60D8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snapToGrid w:val="0"/>
                      <w:color w:val="auto"/>
                      <w:kern w:val="0"/>
                      <w:sz w:val="21"/>
                      <w:szCs w:val="21"/>
                      <w:highlight w:val="none"/>
                      <w:lang w:val="en-US" w:eastAsia="en-US" w:bidi="ar-SA"/>
                    </w:rPr>
                  </w:pPr>
                  <w:r>
                    <w:rPr>
                      <w:rFonts w:hint="default"/>
                      <w:color w:val="auto"/>
                      <w:spacing w:val="8"/>
                      <w:sz w:val="21"/>
                      <w:szCs w:val="21"/>
                      <w:highlight w:val="none"/>
                    </w:rPr>
                    <w:t>废空调制冷剂</w:t>
                  </w:r>
                </w:p>
              </w:tc>
              <w:tc>
                <w:tcPr>
                  <w:tcW w:w="554" w:type="pct"/>
                  <w:shd w:val="clear" w:color="auto" w:fill="auto"/>
                  <w:vAlign w:val="center"/>
                </w:tcPr>
                <w:p w14:paraId="6F6762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4"/>
                      <w:sz w:val="21"/>
                      <w:szCs w:val="21"/>
                      <w:highlight w:val="none"/>
                    </w:rPr>
                    <w:t>1.5</w:t>
                  </w:r>
                </w:p>
              </w:tc>
              <w:tc>
                <w:tcPr>
                  <w:tcW w:w="800" w:type="pct"/>
                  <w:shd w:val="clear" w:color="auto" w:fill="auto"/>
                  <w:vAlign w:val="center"/>
                </w:tcPr>
                <w:p w14:paraId="6CBFC5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2</w:t>
                  </w:r>
                </w:p>
              </w:tc>
              <w:tc>
                <w:tcPr>
                  <w:tcW w:w="482" w:type="pct"/>
                  <w:shd w:val="clear" w:color="auto" w:fill="auto"/>
                  <w:vAlign w:val="center"/>
                </w:tcPr>
                <w:p w14:paraId="010C1F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4.5</w:t>
                  </w:r>
                </w:p>
              </w:tc>
              <w:tc>
                <w:tcPr>
                  <w:tcW w:w="547" w:type="pct"/>
                  <w:shd w:val="clear" w:color="auto" w:fill="auto"/>
                  <w:vAlign w:val="center"/>
                </w:tcPr>
                <w:p w14:paraId="7AE394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4</w:t>
                  </w:r>
                </w:p>
              </w:tc>
              <w:tc>
                <w:tcPr>
                  <w:tcW w:w="652" w:type="pct"/>
                  <w:shd w:val="clear" w:color="auto" w:fill="auto"/>
                  <w:vAlign w:val="center"/>
                </w:tcPr>
                <w:p w14:paraId="1841C7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8.5</w:t>
                  </w:r>
                </w:p>
              </w:tc>
            </w:tr>
            <w:tr w14:paraId="3981AB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shd w:val="clear" w:color="auto" w:fill="auto"/>
                  <w:vAlign w:val="center"/>
                </w:tcPr>
                <w:p w14:paraId="010420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snapToGrid w:val="0"/>
                      <w:color w:val="auto"/>
                      <w:kern w:val="0"/>
                      <w:sz w:val="21"/>
                      <w:szCs w:val="21"/>
                      <w:highlight w:val="none"/>
                      <w:lang w:val="en-US" w:eastAsia="en-US" w:bidi="ar-SA"/>
                    </w:rPr>
                  </w:pPr>
                  <w:r>
                    <w:rPr>
                      <w:rFonts w:hint="default"/>
                      <w:color w:val="auto"/>
                      <w:spacing w:val="7"/>
                      <w:sz w:val="21"/>
                      <w:szCs w:val="21"/>
                      <w:highlight w:val="none"/>
                    </w:rPr>
                    <w:t>废电路板</w:t>
                  </w:r>
                </w:p>
              </w:tc>
              <w:tc>
                <w:tcPr>
                  <w:tcW w:w="554" w:type="pct"/>
                  <w:shd w:val="clear" w:color="auto" w:fill="auto"/>
                  <w:vAlign w:val="center"/>
                </w:tcPr>
                <w:p w14:paraId="2E87EC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2"/>
                      <w:sz w:val="21"/>
                      <w:szCs w:val="21"/>
                      <w:highlight w:val="none"/>
                    </w:rPr>
                    <w:t>2.2</w:t>
                  </w:r>
                </w:p>
              </w:tc>
              <w:tc>
                <w:tcPr>
                  <w:tcW w:w="800" w:type="pct"/>
                  <w:shd w:val="clear" w:color="auto" w:fill="auto"/>
                  <w:vAlign w:val="center"/>
                </w:tcPr>
                <w:p w14:paraId="7D1D9E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3"/>
                      <w:sz w:val="21"/>
                      <w:szCs w:val="21"/>
                      <w:highlight w:val="none"/>
                    </w:rPr>
                    <w:t>4.7</w:t>
                  </w:r>
                </w:p>
              </w:tc>
              <w:tc>
                <w:tcPr>
                  <w:tcW w:w="482" w:type="pct"/>
                  <w:shd w:val="clear" w:color="auto" w:fill="auto"/>
                  <w:vAlign w:val="center"/>
                </w:tcPr>
                <w:p w14:paraId="1D5EAC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6.6</w:t>
                  </w:r>
                </w:p>
              </w:tc>
              <w:tc>
                <w:tcPr>
                  <w:tcW w:w="547" w:type="pct"/>
                  <w:shd w:val="clear" w:color="auto" w:fill="auto"/>
                  <w:vAlign w:val="center"/>
                </w:tcPr>
                <w:p w14:paraId="61FD03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9.4</w:t>
                  </w:r>
                </w:p>
              </w:tc>
              <w:tc>
                <w:tcPr>
                  <w:tcW w:w="652" w:type="pct"/>
                  <w:shd w:val="clear" w:color="auto" w:fill="auto"/>
                  <w:vAlign w:val="center"/>
                </w:tcPr>
                <w:p w14:paraId="61DBD0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16</w:t>
                  </w:r>
                </w:p>
              </w:tc>
            </w:tr>
            <w:tr w14:paraId="2084B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shd w:val="clear" w:color="auto" w:fill="auto"/>
                  <w:vAlign w:val="center"/>
                </w:tcPr>
                <w:p w14:paraId="435EDAD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snapToGrid w:val="0"/>
                      <w:color w:val="auto"/>
                      <w:kern w:val="0"/>
                      <w:sz w:val="21"/>
                      <w:szCs w:val="21"/>
                      <w:highlight w:val="none"/>
                      <w:lang w:val="en-US" w:eastAsia="en-US" w:bidi="ar-SA"/>
                    </w:rPr>
                  </w:pPr>
                  <w:r>
                    <w:rPr>
                      <w:rFonts w:hint="default"/>
                      <w:color w:val="auto"/>
                      <w:spacing w:val="8"/>
                      <w:sz w:val="21"/>
                      <w:szCs w:val="21"/>
                      <w:highlight w:val="none"/>
                    </w:rPr>
                    <w:t>废机油滤清器</w:t>
                  </w:r>
                </w:p>
              </w:tc>
              <w:tc>
                <w:tcPr>
                  <w:tcW w:w="554" w:type="pct"/>
                  <w:shd w:val="clear" w:color="auto" w:fill="auto"/>
                  <w:vAlign w:val="center"/>
                </w:tcPr>
                <w:p w14:paraId="62AA42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1"/>
                      <w:sz w:val="21"/>
                      <w:szCs w:val="21"/>
                      <w:highlight w:val="none"/>
                    </w:rPr>
                    <w:t>0.3</w:t>
                  </w:r>
                </w:p>
              </w:tc>
              <w:tc>
                <w:tcPr>
                  <w:tcW w:w="800" w:type="pct"/>
                  <w:shd w:val="clear" w:color="auto" w:fill="auto"/>
                  <w:vAlign w:val="center"/>
                </w:tcPr>
                <w:p w14:paraId="159AE4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1"/>
                      <w:sz w:val="21"/>
                      <w:szCs w:val="21"/>
                      <w:highlight w:val="none"/>
                    </w:rPr>
                    <w:t>0.5</w:t>
                  </w:r>
                </w:p>
              </w:tc>
              <w:tc>
                <w:tcPr>
                  <w:tcW w:w="482" w:type="pct"/>
                  <w:shd w:val="clear" w:color="auto" w:fill="auto"/>
                  <w:vAlign w:val="center"/>
                </w:tcPr>
                <w:p w14:paraId="439C77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0.9</w:t>
                  </w:r>
                </w:p>
              </w:tc>
              <w:tc>
                <w:tcPr>
                  <w:tcW w:w="547" w:type="pct"/>
                  <w:shd w:val="clear" w:color="auto" w:fill="auto"/>
                  <w:vAlign w:val="center"/>
                </w:tcPr>
                <w:p w14:paraId="382E0C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w:t>
                  </w:r>
                </w:p>
              </w:tc>
              <w:tc>
                <w:tcPr>
                  <w:tcW w:w="652" w:type="pct"/>
                  <w:shd w:val="clear" w:color="auto" w:fill="auto"/>
                  <w:vAlign w:val="center"/>
                </w:tcPr>
                <w:p w14:paraId="15CF2C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1.9</w:t>
                  </w:r>
                </w:p>
              </w:tc>
            </w:tr>
            <w:tr w14:paraId="582AA9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shd w:val="clear" w:color="auto" w:fill="auto"/>
                  <w:vAlign w:val="center"/>
                </w:tcPr>
                <w:p w14:paraId="44CA648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snapToGrid w:val="0"/>
                      <w:color w:val="auto"/>
                      <w:kern w:val="0"/>
                      <w:sz w:val="21"/>
                      <w:szCs w:val="21"/>
                      <w:highlight w:val="none"/>
                      <w:lang w:val="en-US" w:eastAsia="en-US" w:bidi="ar-SA"/>
                    </w:rPr>
                  </w:pPr>
                  <w:r>
                    <w:rPr>
                      <w:rFonts w:hint="default"/>
                      <w:color w:val="auto"/>
                      <w:spacing w:val="7"/>
                      <w:sz w:val="21"/>
                      <w:szCs w:val="21"/>
                      <w:highlight w:val="none"/>
                    </w:rPr>
                    <w:t>石棉废物</w:t>
                  </w:r>
                </w:p>
              </w:tc>
              <w:tc>
                <w:tcPr>
                  <w:tcW w:w="554" w:type="pct"/>
                  <w:shd w:val="clear" w:color="auto" w:fill="auto"/>
                  <w:vAlign w:val="center"/>
                </w:tcPr>
                <w:p w14:paraId="0FC25C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1"/>
                      <w:sz w:val="21"/>
                      <w:szCs w:val="21"/>
                      <w:highlight w:val="none"/>
                    </w:rPr>
                    <w:t>0.5</w:t>
                  </w:r>
                </w:p>
              </w:tc>
              <w:tc>
                <w:tcPr>
                  <w:tcW w:w="800" w:type="pct"/>
                  <w:shd w:val="clear" w:color="auto" w:fill="auto"/>
                  <w:vAlign w:val="center"/>
                </w:tcPr>
                <w:p w14:paraId="2D552E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2" w:type="pct"/>
                  <w:shd w:val="clear" w:color="auto" w:fill="auto"/>
                  <w:vAlign w:val="center"/>
                </w:tcPr>
                <w:p w14:paraId="7A67ED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1.5</w:t>
                  </w:r>
                </w:p>
              </w:tc>
              <w:tc>
                <w:tcPr>
                  <w:tcW w:w="547" w:type="pct"/>
                  <w:shd w:val="clear" w:color="auto" w:fill="auto"/>
                  <w:vAlign w:val="center"/>
                </w:tcPr>
                <w:p w14:paraId="3DF1E4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2</w:t>
                  </w:r>
                </w:p>
              </w:tc>
              <w:tc>
                <w:tcPr>
                  <w:tcW w:w="652" w:type="pct"/>
                  <w:shd w:val="clear" w:color="auto" w:fill="auto"/>
                  <w:vAlign w:val="center"/>
                </w:tcPr>
                <w:p w14:paraId="0E686B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3.5</w:t>
                  </w:r>
                </w:p>
              </w:tc>
            </w:tr>
            <w:tr w14:paraId="4046B8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shd w:val="clear" w:color="auto" w:fill="auto"/>
                  <w:vAlign w:val="center"/>
                </w:tcPr>
                <w:p w14:paraId="167C2DE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snapToGrid w:val="0"/>
                      <w:color w:val="auto"/>
                      <w:kern w:val="0"/>
                      <w:sz w:val="21"/>
                      <w:szCs w:val="21"/>
                      <w:highlight w:val="none"/>
                      <w:lang w:val="en-US" w:eastAsia="en-US" w:bidi="ar-SA"/>
                    </w:rPr>
                  </w:pPr>
                  <w:r>
                    <w:rPr>
                      <w:rFonts w:hint="default"/>
                      <w:color w:val="auto"/>
                      <w:spacing w:val="8"/>
                      <w:sz w:val="21"/>
                      <w:szCs w:val="21"/>
                      <w:highlight w:val="none"/>
                    </w:rPr>
                    <w:t>废液化气罐</w:t>
                  </w:r>
                </w:p>
              </w:tc>
              <w:tc>
                <w:tcPr>
                  <w:tcW w:w="554" w:type="pct"/>
                  <w:shd w:val="clear" w:color="auto" w:fill="auto"/>
                  <w:vAlign w:val="center"/>
                </w:tcPr>
                <w:p w14:paraId="454395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3"/>
                      <w:sz w:val="21"/>
                      <w:szCs w:val="21"/>
                      <w:highlight w:val="none"/>
                    </w:rPr>
                    <w:t>4.5</w:t>
                  </w:r>
                </w:p>
              </w:tc>
              <w:tc>
                <w:tcPr>
                  <w:tcW w:w="800" w:type="pct"/>
                  <w:shd w:val="clear" w:color="auto" w:fill="auto"/>
                  <w:vAlign w:val="center"/>
                </w:tcPr>
                <w:p w14:paraId="185839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8"/>
                      <w:sz w:val="21"/>
                      <w:szCs w:val="21"/>
                      <w:highlight w:val="none"/>
                    </w:rPr>
                    <w:t>18</w:t>
                  </w:r>
                </w:p>
              </w:tc>
              <w:tc>
                <w:tcPr>
                  <w:tcW w:w="482" w:type="pct"/>
                  <w:shd w:val="clear" w:color="auto" w:fill="auto"/>
                  <w:vAlign w:val="center"/>
                </w:tcPr>
                <w:p w14:paraId="399DA9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13.5</w:t>
                  </w:r>
                </w:p>
              </w:tc>
              <w:tc>
                <w:tcPr>
                  <w:tcW w:w="547" w:type="pct"/>
                  <w:shd w:val="clear" w:color="auto" w:fill="auto"/>
                  <w:vAlign w:val="center"/>
                </w:tcPr>
                <w:p w14:paraId="0E372F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36</w:t>
                  </w:r>
                </w:p>
              </w:tc>
              <w:tc>
                <w:tcPr>
                  <w:tcW w:w="652" w:type="pct"/>
                  <w:shd w:val="clear" w:color="auto" w:fill="auto"/>
                  <w:vAlign w:val="center"/>
                </w:tcPr>
                <w:p w14:paraId="67D320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49.5</w:t>
                  </w:r>
                </w:p>
              </w:tc>
            </w:tr>
            <w:tr w14:paraId="2B0A4D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1962" w:type="pct"/>
                  <w:shd w:val="clear" w:color="auto" w:fill="auto"/>
                  <w:vAlign w:val="center"/>
                </w:tcPr>
                <w:p w14:paraId="70E07B3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宋体" w:hAnsi="宋体" w:eastAsia="宋体" w:cs="宋体"/>
                      <w:snapToGrid w:val="0"/>
                      <w:color w:val="auto"/>
                      <w:kern w:val="0"/>
                      <w:sz w:val="21"/>
                      <w:szCs w:val="21"/>
                      <w:highlight w:val="none"/>
                      <w:lang w:val="en-US" w:eastAsia="en-US" w:bidi="ar-SA"/>
                    </w:rPr>
                  </w:pPr>
                  <w:r>
                    <w:rPr>
                      <w:rFonts w:hint="default"/>
                      <w:color w:val="auto"/>
                      <w:spacing w:val="4"/>
                      <w:sz w:val="21"/>
                      <w:szCs w:val="21"/>
                      <w:highlight w:val="none"/>
                    </w:rPr>
                    <w:t>合计</w:t>
                  </w:r>
                </w:p>
              </w:tc>
              <w:tc>
                <w:tcPr>
                  <w:tcW w:w="554" w:type="pct"/>
                  <w:shd w:val="clear" w:color="auto" w:fill="auto"/>
                  <w:vAlign w:val="center"/>
                </w:tcPr>
                <w:p w14:paraId="37D52E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eastAsia" w:eastAsia="宋体" w:cs="Times New Roman"/>
                      <w:snapToGrid w:val="0"/>
                      <w:color w:val="auto"/>
                      <w:kern w:val="0"/>
                      <w:sz w:val="21"/>
                      <w:szCs w:val="21"/>
                      <w:highlight w:val="none"/>
                      <w:lang w:val="en-US" w:eastAsia="zh-CN" w:bidi="ar-SA"/>
                    </w:rPr>
                    <w:t>1400</w:t>
                  </w:r>
                </w:p>
              </w:tc>
              <w:tc>
                <w:tcPr>
                  <w:tcW w:w="800" w:type="pct"/>
                  <w:shd w:val="clear" w:color="auto" w:fill="auto"/>
                  <w:vAlign w:val="center"/>
                </w:tcPr>
                <w:p w14:paraId="460F61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snapToGrid w:val="0"/>
                      <w:color w:val="auto"/>
                      <w:kern w:val="0"/>
                      <w:sz w:val="21"/>
                      <w:szCs w:val="21"/>
                      <w:highlight w:val="none"/>
                      <w:lang w:val="en-US" w:eastAsia="zh-CN" w:bidi="ar-SA"/>
                    </w:rPr>
                  </w:pPr>
                  <w:r>
                    <w:rPr>
                      <w:rFonts w:hint="eastAsia" w:eastAsia="宋体" w:cs="Times New Roman"/>
                      <w:snapToGrid w:val="0"/>
                      <w:color w:val="auto"/>
                      <w:kern w:val="0"/>
                      <w:sz w:val="21"/>
                      <w:szCs w:val="21"/>
                      <w:highlight w:val="none"/>
                      <w:lang w:val="en-US" w:eastAsia="zh-CN" w:bidi="ar-SA"/>
                    </w:rPr>
                    <w:t>5400</w:t>
                  </w:r>
                </w:p>
              </w:tc>
              <w:tc>
                <w:tcPr>
                  <w:tcW w:w="482" w:type="pct"/>
                  <w:shd w:val="clear" w:color="auto" w:fill="auto"/>
                  <w:vAlign w:val="center"/>
                </w:tcPr>
                <w:p w14:paraId="0B59D5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4200</w:t>
                  </w:r>
                </w:p>
              </w:tc>
              <w:tc>
                <w:tcPr>
                  <w:tcW w:w="547" w:type="pct"/>
                  <w:shd w:val="clear" w:color="auto" w:fill="auto"/>
                  <w:vAlign w:val="center"/>
                </w:tcPr>
                <w:p w14:paraId="7900F6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eastAsia" w:ascii="Times New Roman" w:hAnsi="Times New Roman" w:eastAsia="Times New Roman" w:cs="Times New Roman"/>
                      <w:color w:val="auto"/>
                      <w:sz w:val="21"/>
                      <w:szCs w:val="21"/>
                      <w:highlight w:val="none"/>
                    </w:rPr>
                    <w:t>10800</w:t>
                  </w:r>
                </w:p>
              </w:tc>
              <w:tc>
                <w:tcPr>
                  <w:tcW w:w="652" w:type="pct"/>
                  <w:shd w:val="clear" w:color="auto" w:fill="auto"/>
                  <w:vAlign w:val="center"/>
                </w:tcPr>
                <w:p w14:paraId="311B70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highlight w:val="none"/>
                      <w:lang w:val="en-US" w:eastAsia="en-US"/>
                    </w:rPr>
                  </w:pPr>
                  <w:r>
                    <w:rPr>
                      <w:rFonts w:hint="default" w:ascii="Times New Roman" w:hAnsi="Times New Roman" w:eastAsia="Times New Roman" w:cs="Times New Roman"/>
                      <w:color w:val="auto"/>
                      <w:sz w:val="21"/>
                      <w:szCs w:val="21"/>
                      <w:highlight w:val="none"/>
                    </w:rPr>
                    <w:t>15000</w:t>
                  </w:r>
                </w:p>
              </w:tc>
            </w:tr>
            <w:tr w14:paraId="244E06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5000" w:type="pct"/>
                  <w:gridSpan w:val="6"/>
                  <w:shd w:val="clear" w:color="auto" w:fill="auto"/>
                  <w:vAlign w:val="center"/>
                </w:tcPr>
                <w:p w14:paraId="50B9F21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pacing w:val="9"/>
                      <w:sz w:val="21"/>
                      <w:szCs w:val="21"/>
                      <w:highlight w:val="none"/>
                    </w:rPr>
                  </w:pPr>
                  <w:r>
                    <w:rPr>
                      <w:rFonts w:hint="default"/>
                      <w:color w:val="auto"/>
                      <w:spacing w:val="9"/>
                      <w:sz w:val="21"/>
                      <w:szCs w:val="21"/>
                      <w:highlight w:val="none"/>
                    </w:rPr>
                    <w:t>注：①</w:t>
                  </w:r>
                  <w:r>
                    <w:rPr>
                      <w:rFonts w:hint="default"/>
                      <w:color w:val="auto"/>
                      <w:spacing w:val="8"/>
                      <w:sz w:val="21"/>
                      <w:szCs w:val="21"/>
                      <w:highlight w:val="none"/>
                    </w:rPr>
                    <w:t>“五大总成</w:t>
                  </w:r>
                  <w:r>
                    <w:rPr>
                      <w:rFonts w:hint="default"/>
                      <w:color w:val="auto"/>
                      <w:spacing w:val="-60"/>
                      <w:sz w:val="21"/>
                      <w:szCs w:val="21"/>
                      <w:highlight w:val="none"/>
                    </w:rPr>
                    <w:t xml:space="preserve"> </w:t>
                  </w:r>
                  <w:r>
                    <w:rPr>
                      <w:rFonts w:hint="default"/>
                      <w:color w:val="auto"/>
                      <w:spacing w:val="8"/>
                      <w:sz w:val="21"/>
                      <w:szCs w:val="21"/>
                      <w:highlight w:val="none"/>
                    </w:rPr>
                    <w:t>”指的是发动机、方向盘、变速器、前后桥、车架。</w:t>
                  </w:r>
                </w:p>
                <w:p w14:paraId="391E6E3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rPr>
                  </w:pPr>
                  <w:r>
                    <w:rPr>
                      <w:rFonts w:hint="default"/>
                      <w:color w:val="auto"/>
                      <w:spacing w:val="9"/>
                      <w:sz w:val="21"/>
                      <w:szCs w:val="21"/>
                      <w:highlight w:val="none"/>
                    </w:rPr>
                    <w:t>②不可利用废物主要为麻织物、废泡沫、废海绵及废皮革等。</w:t>
                  </w:r>
                </w:p>
                <w:p w14:paraId="77CF648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rPr>
                  </w:pPr>
                  <w:r>
                    <w:rPr>
                      <w:rFonts w:hint="default"/>
                      <w:color w:val="auto"/>
                      <w:spacing w:val="8"/>
                      <w:sz w:val="21"/>
                      <w:szCs w:val="21"/>
                      <w:highlight w:val="none"/>
                    </w:rPr>
                    <w:t>③</w:t>
                  </w:r>
                  <w:r>
                    <w:rPr>
                      <w:rFonts w:hint="default"/>
                      <w:color w:val="auto"/>
                      <w:spacing w:val="9"/>
                      <w:sz w:val="21"/>
                      <w:szCs w:val="21"/>
                      <w:highlight w:val="none"/>
                    </w:rPr>
                    <w:t>废铅蓄电池指普通燃油机动车的铅酸蓄电池，属于危险废物。</w:t>
                  </w:r>
                </w:p>
                <w:p w14:paraId="2A4CEC0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left"/>
                    <w:textAlignment w:val="auto"/>
                    <w:rPr>
                      <w:rFonts w:hint="default"/>
                      <w:color w:val="auto"/>
                      <w:sz w:val="21"/>
                      <w:szCs w:val="21"/>
                      <w:highlight w:val="none"/>
                    </w:rPr>
                  </w:pPr>
                  <w:r>
                    <w:rPr>
                      <w:rFonts w:hint="default"/>
                      <w:color w:val="auto"/>
                      <w:spacing w:val="8"/>
                      <w:sz w:val="21"/>
                      <w:szCs w:val="21"/>
                      <w:highlight w:val="none"/>
                    </w:rPr>
                    <w:t>④废油液是指除燃油外的废矿物油（发动机润滑油、变速箱油、助力转向</w:t>
                  </w:r>
                  <w:r>
                    <w:rPr>
                      <w:rFonts w:hint="default"/>
                      <w:color w:val="auto"/>
                      <w:spacing w:val="7"/>
                      <w:sz w:val="21"/>
                      <w:szCs w:val="21"/>
                      <w:highlight w:val="none"/>
                    </w:rPr>
                    <w:t>油、差速器油、</w:t>
                  </w:r>
                  <w:r>
                    <w:rPr>
                      <w:rFonts w:hint="default"/>
                      <w:color w:val="auto"/>
                      <w:spacing w:val="8"/>
                      <w:sz w:val="21"/>
                      <w:szCs w:val="21"/>
                      <w:highlight w:val="none"/>
                    </w:rPr>
                    <w:t>制动液等石油类或合成润滑剂物质）。</w:t>
                  </w:r>
                </w:p>
                <w:p w14:paraId="5D5E35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left"/>
                    <w:textAlignment w:val="auto"/>
                    <w:rPr>
                      <w:rFonts w:hint="default" w:ascii="Times New Roman" w:hAnsi="Times New Roman" w:eastAsia="Times New Roman" w:cs="Times New Roman"/>
                      <w:color w:val="auto"/>
                      <w:sz w:val="21"/>
                      <w:szCs w:val="21"/>
                      <w:highlight w:val="none"/>
                    </w:rPr>
                  </w:pPr>
                  <w:r>
                    <w:rPr>
                      <w:rFonts w:hint="default"/>
                      <w:color w:val="auto"/>
                      <w:spacing w:val="9"/>
                      <w:sz w:val="21"/>
                      <w:szCs w:val="21"/>
                      <w:highlight w:val="none"/>
                    </w:rPr>
                    <w:t>⑤废有机溶剂是指防冻液、汽车挡风玻璃清洗液（玻璃水）和动力电池冷却液等。</w:t>
                  </w:r>
                </w:p>
              </w:tc>
            </w:tr>
          </w:tbl>
          <w:p w14:paraId="468F27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1"/>
                <w:szCs w:val="21"/>
                <w:highlight w:val="none"/>
              </w:rPr>
            </w:pPr>
          </w:p>
          <w:p w14:paraId="7824EE6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b/>
                <w:bCs/>
                <w:color w:val="auto"/>
                <w:spacing w:val="1"/>
                <w:sz w:val="24"/>
                <w:szCs w:val="24"/>
                <w:highlight w:val="none"/>
                <w:lang w:val="en-US" w:eastAsia="zh-CN"/>
              </w:rPr>
            </w:pPr>
            <w:r>
              <w:rPr>
                <w:rFonts w:hint="default" w:ascii="Times New Roman" w:hAnsi="Times New Roman" w:eastAsia="宋体" w:cs="Times New Roman"/>
                <w:b/>
                <w:bCs/>
                <w:color w:val="auto"/>
                <w:sz w:val="21"/>
                <w:szCs w:val="21"/>
                <w:highlight w:val="none"/>
              </w:rPr>
              <w:t>表</w:t>
            </w:r>
            <w:r>
              <w:rPr>
                <w:rFonts w:hint="eastAsia" w:ascii="Times New Roman" w:hAnsi="Times New Roman" w:eastAsia="宋体"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5</w:t>
            </w:r>
            <w:r>
              <w:rPr>
                <w:rFonts w:hint="default" w:ascii="Times New Roman" w:hAnsi="Times New Roman" w:eastAsia="宋体" w:cs="Times New Roman"/>
                <w:b/>
                <w:bCs/>
                <w:color w:val="auto"/>
                <w:sz w:val="21"/>
                <w:szCs w:val="21"/>
                <w:highlight w:val="none"/>
              </w:rPr>
              <w:t xml:space="preserve">  </w:t>
            </w:r>
            <w:r>
              <w:rPr>
                <w:rFonts w:hint="eastAsia" w:cs="Times New Roman"/>
                <w:b/>
                <w:bCs/>
                <w:color w:val="auto"/>
                <w:sz w:val="21"/>
                <w:szCs w:val="21"/>
                <w:highlight w:val="none"/>
                <w:lang w:val="en-US" w:eastAsia="zh-CN"/>
              </w:rPr>
              <w:t>报废农机</w:t>
            </w:r>
            <w:r>
              <w:rPr>
                <w:rFonts w:hint="default" w:ascii="Times New Roman" w:hAnsi="Times New Roman" w:eastAsia="宋体" w:cs="Times New Roman"/>
                <w:b/>
                <w:bCs/>
                <w:color w:val="auto"/>
                <w:sz w:val="21"/>
                <w:szCs w:val="21"/>
                <w:highlight w:val="none"/>
              </w:rPr>
              <w:t>拆解总产出情况表</w:t>
            </w:r>
          </w:p>
          <w:tbl>
            <w:tblPr>
              <w:tblStyle w:val="74"/>
              <w:tblW w:w="5004"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3684"/>
              <w:gridCol w:w="2915"/>
              <w:gridCol w:w="2565"/>
            </w:tblGrid>
            <w:tr w14:paraId="34CCB4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Merge w:val="restart"/>
                  <w:tcBorders>
                    <w:bottom w:val="nil"/>
                  </w:tcBorders>
                  <w:vAlign w:val="center"/>
                </w:tcPr>
                <w:p w14:paraId="535D00E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8"/>
                      <w:sz w:val="21"/>
                      <w:szCs w:val="21"/>
                    </w:rPr>
                    <w:t>拆解产物名称</w:t>
                  </w:r>
                </w:p>
              </w:tc>
              <w:tc>
                <w:tcPr>
                  <w:tcW w:w="1590" w:type="pct"/>
                  <w:vAlign w:val="center"/>
                </w:tcPr>
                <w:p w14:paraId="3E1CDF8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8"/>
                      <w:sz w:val="21"/>
                      <w:szCs w:val="21"/>
                    </w:rPr>
                    <w:t>拆解产物重量（</w:t>
                  </w:r>
                  <w:r>
                    <w:rPr>
                      <w:rFonts w:hint="default" w:ascii="Times New Roman" w:hAnsi="Times New Roman" w:eastAsia="Times New Roman" w:cs="Times New Roman"/>
                      <w:color w:val="auto"/>
                      <w:sz w:val="21"/>
                      <w:szCs w:val="21"/>
                    </w:rPr>
                    <w:t>kg</w:t>
                  </w:r>
                  <w:r>
                    <w:rPr>
                      <w:rFonts w:hint="default" w:ascii="Times New Roman" w:hAnsi="Times New Roman" w:eastAsia="Times New Roman" w:cs="Times New Roman"/>
                      <w:color w:val="auto"/>
                      <w:spacing w:val="8"/>
                      <w:sz w:val="21"/>
                      <w:szCs w:val="21"/>
                    </w:rPr>
                    <w:t>/</w:t>
                  </w:r>
                  <w:r>
                    <w:rPr>
                      <w:rFonts w:hint="default"/>
                      <w:color w:val="auto"/>
                      <w:spacing w:val="8"/>
                      <w:sz w:val="21"/>
                      <w:szCs w:val="21"/>
                    </w:rPr>
                    <w:t>辆）</w:t>
                  </w:r>
                </w:p>
              </w:tc>
              <w:tc>
                <w:tcPr>
                  <w:tcW w:w="1399" w:type="pct"/>
                  <w:vAlign w:val="center"/>
                </w:tcPr>
                <w:p w14:paraId="7E88E0E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4"/>
                      <w:sz w:val="21"/>
                      <w:szCs w:val="21"/>
                    </w:rPr>
                  </w:pPr>
                  <w:r>
                    <w:rPr>
                      <w:rFonts w:hint="default"/>
                      <w:color w:val="auto"/>
                      <w:spacing w:val="4"/>
                      <w:sz w:val="21"/>
                      <w:szCs w:val="21"/>
                    </w:rPr>
                    <w:t>总重量（</w:t>
                  </w:r>
                  <w:r>
                    <w:rPr>
                      <w:rFonts w:hint="default" w:ascii="Times New Roman" w:hAnsi="Times New Roman" w:eastAsia="Times New Roman" w:cs="Times New Roman"/>
                      <w:color w:val="auto"/>
                      <w:spacing w:val="4"/>
                      <w:sz w:val="21"/>
                      <w:szCs w:val="21"/>
                    </w:rPr>
                    <w:t>t/a</w:t>
                  </w:r>
                  <w:r>
                    <w:rPr>
                      <w:rFonts w:hint="default"/>
                      <w:color w:val="auto"/>
                      <w:spacing w:val="4"/>
                      <w:sz w:val="21"/>
                      <w:szCs w:val="21"/>
                    </w:rPr>
                    <w:t>）</w:t>
                  </w:r>
                </w:p>
              </w:tc>
            </w:tr>
            <w:tr w14:paraId="60CC8E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Merge w:val="continue"/>
                  <w:tcBorders>
                    <w:top w:val="nil"/>
                  </w:tcBorders>
                  <w:vAlign w:val="center"/>
                </w:tcPr>
                <w:p w14:paraId="13C0AF2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Arial"/>
                      <w:color w:val="auto"/>
                      <w:sz w:val="21"/>
                      <w:szCs w:val="21"/>
                    </w:rPr>
                  </w:pPr>
                </w:p>
              </w:tc>
              <w:tc>
                <w:tcPr>
                  <w:tcW w:w="1590" w:type="pct"/>
                  <w:vAlign w:val="center"/>
                </w:tcPr>
                <w:p w14:paraId="06650A9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eastAsia="宋体"/>
                      <w:color w:val="auto"/>
                      <w:sz w:val="21"/>
                      <w:szCs w:val="21"/>
                      <w:lang w:val="en-US" w:eastAsia="zh-CN"/>
                    </w:rPr>
                  </w:pPr>
                  <w:r>
                    <w:rPr>
                      <w:rFonts w:hint="default"/>
                      <w:color w:val="auto"/>
                      <w:spacing w:val="4"/>
                      <w:sz w:val="21"/>
                      <w:szCs w:val="21"/>
                    </w:rPr>
                    <w:t>收割机</w:t>
                  </w:r>
                  <w:r>
                    <w:rPr>
                      <w:rFonts w:hint="eastAsia"/>
                      <w:color w:val="auto"/>
                      <w:spacing w:val="4"/>
                      <w:sz w:val="21"/>
                      <w:szCs w:val="21"/>
                      <w:lang w:val="en-US" w:eastAsia="zh-CN"/>
                    </w:rPr>
                    <w:t>/拖拉机</w:t>
                  </w:r>
                </w:p>
              </w:tc>
              <w:tc>
                <w:tcPr>
                  <w:tcW w:w="1399" w:type="pct"/>
                  <w:vAlign w:val="center"/>
                </w:tcPr>
                <w:p w14:paraId="2F45B77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4"/>
                      <w:sz w:val="21"/>
                      <w:szCs w:val="21"/>
                    </w:rPr>
                    <w:t>收割机</w:t>
                  </w:r>
                  <w:r>
                    <w:rPr>
                      <w:rFonts w:hint="eastAsia"/>
                      <w:color w:val="auto"/>
                      <w:spacing w:val="4"/>
                      <w:sz w:val="21"/>
                      <w:szCs w:val="21"/>
                      <w:lang w:val="en-US" w:eastAsia="zh-CN"/>
                    </w:rPr>
                    <w:t>/</w:t>
                  </w:r>
                  <w:r>
                    <w:rPr>
                      <w:rFonts w:hint="default"/>
                      <w:color w:val="auto"/>
                      <w:spacing w:val="6"/>
                      <w:sz w:val="21"/>
                      <w:szCs w:val="21"/>
                    </w:rPr>
                    <w:t>拖拉机</w:t>
                  </w:r>
                </w:p>
              </w:tc>
            </w:tr>
            <w:tr w14:paraId="455A6A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0284019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钢铁</w:t>
                  </w:r>
                </w:p>
              </w:tc>
              <w:tc>
                <w:tcPr>
                  <w:tcW w:w="1590" w:type="pct"/>
                  <w:vAlign w:val="center"/>
                </w:tcPr>
                <w:p w14:paraId="47F9EC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878</w:t>
                  </w:r>
                </w:p>
              </w:tc>
              <w:tc>
                <w:tcPr>
                  <w:tcW w:w="1399" w:type="pct"/>
                  <w:shd w:val="clear" w:color="auto" w:fill="auto"/>
                  <w:vAlign w:val="top"/>
                </w:tcPr>
                <w:p w14:paraId="1FDFDE3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1756</w:t>
                  </w:r>
                </w:p>
              </w:tc>
            </w:tr>
            <w:tr w14:paraId="4D16EB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2336115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eastAsia="宋体"/>
                      <w:color w:val="auto"/>
                      <w:spacing w:val="7"/>
                      <w:sz w:val="21"/>
                      <w:szCs w:val="21"/>
                      <w:lang w:val="en-US" w:eastAsia="zh-CN"/>
                    </w:rPr>
                  </w:pPr>
                  <w:r>
                    <w:rPr>
                      <w:rFonts w:hint="eastAsia"/>
                      <w:color w:val="auto"/>
                      <w:spacing w:val="7"/>
                      <w:sz w:val="21"/>
                      <w:szCs w:val="21"/>
                      <w:lang w:val="en-US" w:eastAsia="zh-CN"/>
                    </w:rPr>
                    <w:t>总成零部件</w:t>
                  </w:r>
                </w:p>
              </w:tc>
              <w:tc>
                <w:tcPr>
                  <w:tcW w:w="1590" w:type="pct"/>
                  <w:vAlign w:val="center"/>
                </w:tcPr>
                <w:p w14:paraId="686620E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4"/>
                      <w:sz w:val="21"/>
                      <w:szCs w:val="21"/>
                      <w:lang w:val="en-US" w:eastAsia="zh-CN"/>
                    </w:rPr>
                  </w:pPr>
                  <w:r>
                    <w:rPr>
                      <w:rFonts w:hint="eastAsia" w:cs="Times New Roman"/>
                      <w:color w:val="auto"/>
                      <w:spacing w:val="4"/>
                      <w:sz w:val="21"/>
                      <w:szCs w:val="21"/>
                      <w:lang w:val="en-US" w:eastAsia="zh-CN"/>
                    </w:rPr>
                    <w:t>2000</w:t>
                  </w:r>
                </w:p>
              </w:tc>
              <w:tc>
                <w:tcPr>
                  <w:tcW w:w="1399" w:type="pct"/>
                  <w:shd w:val="clear" w:color="auto" w:fill="auto"/>
                  <w:vAlign w:val="top"/>
                </w:tcPr>
                <w:p w14:paraId="1B4CA1D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4000</w:t>
                  </w:r>
                </w:p>
              </w:tc>
            </w:tr>
            <w:tr w14:paraId="259616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03B1356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有色金属</w:t>
                  </w:r>
                </w:p>
              </w:tc>
              <w:tc>
                <w:tcPr>
                  <w:tcW w:w="1590" w:type="pct"/>
                  <w:vAlign w:val="center"/>
                </w:tcPr>
                <w:p w14:paraId="788BD17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30</w:t>
                  </w:r>
                </w:p>
              </w:tc>
              <w:tc>
                <w:tcPr>
                  <w:tcW w:w="1399" w:type="pct"/>
                  <w:shd w:val="clear" w:color="auto" w:fill="auto"/>
                  <w:vAlign w:val="top"/>
                </w:tcPr>
                <w:p w14:paraId="04A500B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60</w:t>
                  </w:r>
                </w:p>
              </w:tc>
            </w:tr>
            <w:tr w14:paraId="7B8B1F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1FF75FD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废旧轮胎</w:t>
                  </w:r>
                </w:p>
              </w:tc>
              <w:tc>
                <w:tcPr>
                  <w:tcW w:w="1590" w:type="pct"/>
                  <w:vAlign w:val="center"/>
                </w:tcPr>
                <w:p w14:paraId="228EAFB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30</w:t>
                  </w:r>
                </w:p>
              </w:tc>
              <w:tc>
                <w:tcPr>
                  <w:tcW w:w="1399" w:type="pct"/>
                  <w:shd w:val="clear" w:color="auto" w:fill="auto"/>
                  <w:vAlign w:val="top"/>
                </w:tcPr>
                <w:p w14:paraId="02E5CA8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60</w:t>
                  </w:r>
                </w:p>
              </w:tc>
            </w:tr>
            <w:tr w14:paraId="3B7811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5421285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废旧玻璃</w:t>
                  </w:r>
                </w:p>
              </w:tc>
              <w:tc>
                <w:tcPr>
                  <w:tcW w:w="1590" w:type="pct"/>
                  <w:vAlign w:val="center"/>
                </w:tcPr>
                <w:p w14:paraId="2CC6D68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30</w:t>
                  </w:r>
                </w:p>
              </w:tc>
              <w:tc>
                <w:tcPr>
                  <w:tcW w:w="1399" w:type="pct"/>
                  <w:shd w:val="clear" w:color="auto" w:fill="auto"/>
                  <w:vAlign w:val="top"/>
                </w:tcPr>
                <w:p w14:paraId="3FA0D4E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60</w:t>
                  </w:r>
                </w:p>
              </w:tc>
            </w:tr>
            <w:tr w14:paraId="095D5C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7D41CDB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8"/>
                      <w:sz w:val="21"/>
                      <w:szCs w:val="21"/>
                    </w:rPr>
                    <w:t>废塑料</w:t>
                  </w:r>
                </w:p>
              </w:tc>
              <w:tc>
                <w:tcPr>
                  <w:tcW w:w="1590" w:type="pct"/>
                  <w:vAlign w:val="center"/>
                </w:tcPr>
                <w:p w14:paraId="4785293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1"/>
                      <w:sz w:val="21"/>
                      <w:szCs w:val="21"/>
                    </w:rPr>
                    <w:t>4</w:t>
                  </w:r>
                </w:p>
              </w:tc>
              <w:tc>
                <w:tcPr>
                  <w:tcW w:w="1399" w:type="pct"/>
                  <w:shd w:val="clear" w:color="auto" w:fill="auto"/>
                  <w:vAlign w:val="top"/>
                </w:tcPr>
                <w:p w14:paraId="6FDCDC9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8</w:t>
                  </w:r>
                </w:p>
              </w:tc>
            </w:tr>
            <w:tr w14:paraId="6C2C75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2CDDC9A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5"/>
                      <w:sz w:val="21"/>
                      <w:szCs w:val="21"/>
                    </w:rPr>
                    <w:t>海绵及座椅材料、</w:t>
                  </w:r>
                  <w:r>
                    <w:rPr>
                      <w:rFonts w:hint="default"/>
                      <w:color w:val="auto"/>
                      <w:spacing w:val="-51"/>
                      <w:sz w:val="21"/>
                      <w:szCs w:val="21"/>
                    </w:rPr>
                    <w:t xml:space="preserve"> </w:t>
                  </w:r>
                  <w:r>
                    <w:rPr>
                      <w:rFonts w:hint="default"/>
                      <w:color w:val="auto"/>
                      <w:spacing w:val="5"/>
                      <w:sz w:val="21"/>
                      <w:szCs w:val="21"/>
                    </w:rPr>
                    <w:t>内饰材料</w:t>
                  </w:r>
                </w:p>
              </w:tc>
              <w:tc>
                <w:tcPr>
                  <w:tcW w:w="1590" w:type="pct"/>
                  <w:vAlign w:val="center"/>
                </w:tcPr>
                <w:p w14:paraId="027D79E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1"/>
                      <w:sz w:val="21"/>
                      <w:szCs w:val="21"/>
                    </w:rPr>
                    <w:t>4</w:t>
                  </w:r>
                </w:p>
              </w:tc>
              <w:tc>
                <w:tcPr>
                  <w:tcW w:w="1399" w:type="pct"/>
                  <w:shd w:val="clear" w:color="auto" w:fill="auto"/>
                  <w:vAlign w:val="top"/>
                </w:tcPr>
                <w:p w14:paraId="63F01B0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8</w:t>
                  </w:r>
                </w:p>
              </w:tc>
            </w:tr>
            <w:tr w14:paraId="24DE6D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47A5A6B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8"/>
                      <w:sz w:val="21"/>
                      <w:szCs w:val="21"/>
                    </w:rPr>
                    <w:t>安全带及相关纺织品、废安全</w:t>
                  </w:r>
                  <w:r>
                    <w:rPr>
                      <w:rFonts w:hint="default"/>
                      <w:color w:val="auto"/>
                      <w:spacing w:val="4"/>
                      <w:sz w:val="21"/>
                      <w:szCs w:val="21"/>
                    </w:rPr>
                    <w:t>气囊</w:t>
                  </w:r>
                </w:p>
              </w:tc>
              <w:tc>
                <w:tcPr>
                  <w:tcW w:w="1590" w:type="pct"/>
                  <w:vAlign w:val="center"/>
                </w:tcPr>
                <w:p w14:paraId="4F5EDDF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2</w:t>
                  </w:r>
                </w:p>
              </w:tc>
              <w:tc>
                <w:tcPr>
                  <w:tcW w:w="1399" w:type="pct"/>
                  <w:shd w:val="clear" w:color="auto" w:fill="auto"/>
                  <w:vAlign w:val="top"/>
                </w:tcPr>
                <w:p w14:paraId="323C087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4</w:t>
                  </w:r>
                </w:p>
              </w:tc>
            </w:tr>
            <w:tr w14:paraId="10841B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72A0A19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8"/>
                      <w:sz w:val="21"/>
                      <w:szCs w:val="21"/>
                    </w:rPr>
                    <w:t>废弃车用电子零部件、报废机动车破碎残余物</w:t>
                  </w:r>
                </w:p>
              </w:tc>
              <w:tc>
                <w:tcPr>
                  <w:tcW w:w="1590" w:type="pct"/>
                  <w:vAlign w:val="center"/>
                </w:tcPr>
                <w:p w14:paraId="13F0BF5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2</w:t>
                  </w:r>
                </w:p>
              </w:tc>
              <w:tc>
                <w:tcPr>
                  <w:tcW w:w="1399" w:type="pct"/>
                  <w:shd w:val="clear" w:color="auto" w:fill="auto"/>
                  <w:vAlign w:val="top"/>
                </w:tcPr>
                <w:p w14:paraId="536F17D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4</w:t>
                  </w:r>
                </w:p>
              </w:tc>
            </w:tr>
            <w:tr w14:paraId="672C8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20FADC0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废油液</w:t>
                  </w:r>
                </w:p>
              </w:tc>
              <w:tc>
                <w:tcPr>
                  <w:tcW w:w="1590" w:type="pct"/>
                  <w:vAlign w:val="center"/>
                </w:tcPr>
                <w:p w14:paraId="5A5E919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8</w:t>
                  </w:r>
                </w:p>
              </w:tc>
              <w:tc>
                <w:tcPr>
                  <w:tcW w:w="1399" w:type="pct"/>
                  <w:shd w:val="clear" w:color="auto" w:fill="auto"/>
                  <w:vAlign w:val="top"/>
                </w:tcPr>
                <w:p w14:paraId="39F69EC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16</w:t>
                  </w:r>
                </w:p>
              </w:tc>
            </w:tr>
            <w:tr w14:paraId="732BC6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56E6F05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废防冻液</w:t>
                  </w:r>
                </w:p>
              </w:tc>
              <w:tc>
                <w:tcPr>
                  <w:tcW w:w="1590" w:type="pct"/>
                  <w:vAlign w:val="center"/>
                </w:tcPr>
                <w:p w14:paraId="7167162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1</w:t>
                  </w:r>
                </w:p>
              </w:tc>
              <w:tc>
                <w:tcPr>
                  <w:tcW w:w="1399" w:type="pct"/>
                  <w:shd w:val="clear" w:color="auto" w:fill="auto"/>
                  <w:vAlign w:val="top"/>
                </w:tcPr>
                <w:p w14:paraId="43AB339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2</w:t>
                  </w:r>
                </w:p>
              </w:tc>
            </w:tr>
            <w:tr w14:paraId="73C9F1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08EA30A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8"/>
                      <w:sz w:val="21"/>
                      <w:szCs w:val="21"/>
                    </w:rPr>
                    <w:t>废机油滤清器</w:t>
                  </w:r>
                </w:p>
              </w:tc>
              <w:tc>
                <w:tcPr>
                  <w:tcW w:w="1590" w:type="pct"/>
                  <w:vAlign w:val="center"/>
                </w:tcPr>
                <w:p w14:paraId="77F6F22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2</w:t>
                  </w:r>
                </w:p>
              </w:tc>
              <w:tc>
                <w:tcPr>
                  <w:tcW w:w="1399" w:type="pct"/>
                  <w:shd w:val="clear" w:color="auto" w:fill="auto"/>
                  <w:vAlign w:val="top"/>
                </w:tcPr>
                <w:p w14:paraId="54D1F53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4</w:t>
                  </w:r>
                </w:p>
              </w:tc>
            </w:tr>
            <w:tr w14:paraId="657965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0EB9170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eastAsia="宋体"/>
                      <w:color w:val="auto"/>
                      <w:sz w:val="21"/>
                      <w:szCs w:val="21"/>
                      <w:lang w:eastAsia="zh-CN"/>
                    </w:rPr>
                  </w:pPr>
                  <w:r>
                    <w:rPr>
                      <w:rFonts w:hint="default"/>
                      <w:color w:val="auto"/>
                      <w:spacing w:val="8"/>
                      <w:sz w:val="21"/>
                      <w:szCs w:val="21"/>
                    </w:rPr>
                    <w:t>废尾气</w:t>
                  </w:r>
                  <w:r>
                    <w:rPr>
                      <w:rFonts w:hint="eastAsia"/>
                      <w:color w:val="auto"/>
                      <w:spacing w:val="8"/>
                      <w:sz w:val="21"/>
                      <w:szCs w:val="21"/>
                      <w:lang w:val="en-US" w:eastAsia="zh-CN"/>
                    </w:rPr>
                    <w:t>催化剂</w:t>
                  </w:r>
                </w:p>
              </w:tc>
              <w:tc>
                <w:tcPr>
                  <w:tcW w:w="1590" w:type="pct"/>
                  <w:vAlign w:val="center"/>
                </w:tcPr>
                <w:p w14:paraId="09C6BA9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2</w:t>
                  </w:r>
                </w:p>
              </w:tc>
              <w:tc>
                <w:tcPr>
                  <w:tcW w:w="1399" w:type="pct"/>
                  <w:shd w:val="clear" w:color="auto" w:fill="auto"/>
                  <w:vAlign w:val="top"/>
                </w:tcPr>
                <w:p w14:paraId="24A11A5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4</w:t>
                  </w:r>
                </w:p>
              </w:tc>
            </w:tr>
            <w:tr w14:paraId="64AF23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184AF65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eastAsia="宋体"/>
                      <w:color w:val="auto"/>
                      <w:spacing w:val="8"/>
                      <w:sz w:val="21"/>
                      <w:szCs w:val="21"/>
                      <w:lang w:val="en-US" w:eastAsia="zh-CN"/>
                    </w:rPr>
                  </w:pPr>
                  <w:r>
                    <w:rPr>
                      <w:rFonts w:hint="eastAsia"/>
                      <w:color w:val="auto"/>
                      <w:spacing w:val="8"/>
                      <w:sz w:val="21"/>
                      <w:szCs w:val="21"/>
                      <w:lang w:val="en-US" w:eastAsia="zh-CN"/>
                    </w:rPr>
                    <w:t>废油箱</w:t>
                  </w:r>
                </w:p>
              </w:tc>
              <w:tc>
                <w:tcPr>
                  <w:tcW w:w="1590" w:type="pct"/>
                  <w:vAlign w:val="center"/>
                </w:tcPr>
                <w:p w14:paraId="4B75CAC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w:t>
                  </w:r>
                </w:p>
              </w:tc>
              <w:tc>
                <w:tcPr>
                  <w:tcW w:w="1399" w:type="pct"/>
                  <w:shd w:val="clear" w:color="auto" w:fill="auto"/>
                  <w:vAlign w:val="top"/>
                </w:tcPr>
                <w:p w14:paraId="603C08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w:t>
                  </w:r>
                </w:p>
              </w:tc>
            </w:tr>
            <w:tr w14:paraId="402B55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10619DC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废电路板</w:t>
                  </w:r>
                </w:p>
              </w:tc>
              <w:tc>
                <w:tcPr>
                  <w:tcW w:w="1590" w:type="pct"/>
                  <w:vAlign w:val="center"/>
                </w:tcPr>
                <w:p w14:paraId="3A46052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3</w:t>
                  </w:r>
                </w:p>
              </w:tc>
              <w:tc>
                <w:tcPr>
                  <w:tcW w:w="1399" w:type="pct"/>
                  <w:shd w:val="clear" w:color="auto" w:fill="auto"/>
                  <w:vAlign w:val="top"/>
                </w:tcPr>
                <w:p w14:paraId="671C2F1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6</w:t>
                  </w:r>
                </w:p>
              </w:tc>
            </w:tr>
            <w:tr w14:paraId="163C67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2733BE5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rPr>
                  </w:pPr>
                  <w:r>
                    <w:rPr>
                      <w:rFonts w:hint="default"/>
                      <w:color w:val="auto"/>
                      <w:spacing w:val="7"/>
                      <w:sz w:val="21"/>
                      <w:szCs w:val="21"/>
                    </w:rPr>
                    <w:t>石棉废物</w:t>
                  </w:r>
                </w:p>
              </w:tc>
              <w:tc>
                <w:tcPr>
                  <w:tcW w:w="1590" w:type="pct"/>
                  <w:vAlign w:val="center"/>
                </w:tcPr>
                <w:p w14:paraId="6B53783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z w:val="21"/>
                      <w:szCs w:val="21"/>
                    </w:rPr>
                    <w:t>1</w:t>
                  </w:r>
                </w:p>
              </w:tc>
              <w:tc>
                <w:tcPr>
                  <w:tcW w:w="1399" w:type="pct"/>
                  <w:shd w:val="clear" w:color="auto" w:fill="auto"/>
                  <w:vAlign w:val="top"/>
                </w:tcPr>
                <w:p w14:paraId="2704FDD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Times New Roman" w:cs="Times New Roman"/>
                      <w:color w:val="auto"/>
                      <w:sz w:val="21"/>
                      <w:szCs w:val="21"/>
                      <w:lang w:val="en-US" w:eastAsia="en-US"/>
                    </w:rPr>
                  </w:pPr>
                  <w:r>
                    <w:rPr>
                      <w:rFonts w:hint="eastAsia" w:ascii="Times New Roman" w:hAnsi="Times New Roman" w:eastAsia="Times New Roman" w:cs="Times New Roman"/>
                      <w:color w:val="auto"/>
                      <w:sz w:val="21"/>
                      <w:szCs w:val="21"/>
                    </w:rPr>
                    <w:t>2</w:t>
                  </w:r>
                </w:p>
              </w:tc>
            </w:tr>
            <w:tr w14:paraId="000A5FE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 w:hRule="atLeast"/>
              </w:trPr>
              <w:tc>
                <w:tcPr>
                  <w:tcW w:w="2009" w:type="pct"/>
                  <w:vAlign w:val="center"/>
                </w:tcPr>
                <w:p w14:paraId="428C3AF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eastAsia="宋体"/>
                      <w:color w:val="auto"/>
                      <w:spacing w:val="7"/>
                      <w:sz w:val="21"/>
                      <w:szCs w:val="21"/>
                      <w:lang w:val="en-US" w:eastAsia="zh-CN"/>
                    </w:rPr>
                  </w:pPr>
                  <w:r>
                    <w:rPr>
                      <w:rFonts w:hint="eastAsia"/>
                      <w:color w:val="auto"/>
                      <w:spacing w:val="7"/>
                      <w:sz w:val="21"/>
                      <w:szCs w:val="21"/>
                      <w:lang w:val="en-US" w:eastAsia="zh-CN"/>
                    </w:rPr>
                    <w:t>合计</w:t>
                  </w:r>
                </w:p>
              </w:tc>
              <w:tc>
                <w:tcPr>
                  <w:tcW w:w="1590" w:type="pct"/>
                  <w:vAlign w:val="center"/>
                </w:tcPr>
                <w:p w14:paraId="4A0DCCB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3000</w:t>
                  </w:r>
                </w:p>
              </w:tc>
              <w:tc>
                <w:tcPr>
                  <w:tcW w:w="1399" w:type="pct"/>
                  <w:vAlign w:val="center"/>
                </w:tcPr>
                <w:p w14:paraId="432315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lang w:val="en-US" w:eastAsia="zh-CN"/>
                    </w:rPr>
                  </w:pPr>
                  <w:r>
                    <w:rPr>
                      <w:rFonts w:hint="eastAsia" w:ascii="Times New Roman" w:hAnsi="Times New Roman" w:eastAsia="Times New Roman" w:cs="Times New Roman"/>
                      <w:color w:val="auto"/>
                      <w:sz w:val="21"/>
                      <w:szCs w:val="21"/>
                      <w:lang w:val="en-US" w:eastAsia="zh-CN"/>
                    </w:rPr>
                    <w:t>6000</w:t>
                  </w:r>
                </w:p>
              </w:tc>
            </w:tr>
          </w:tbl>
          <w:p w14:paraId="1741C19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表2-</w:t>
            </w:r>
            <w:r>
              <w:rPr>
                <w:rFonts w:hint="eastAsia" w:cs="Times New Roman"/>
                <w:b/>
                <w:bCs/>
                <w:color w:val="auto"/>
                <w:sz w:val="21"/>
                <w:szCs w:val="21"/>
                <w:highlight w:val="none"/>
                <w:lang w:val="en-US" w:eastAsia="zh-CN"/>
              </w:rPr>
              <w:t>6</w:t>
            </w:r>
            <w:r>
              <w:rPr>
                <w:rFonts w:hint="default" w:ascii="Times New Roman" w:hAnsi="Times New Roman" w:eastAsia="宋体" w:cs="Times New Roman"/>
                <w:b/>
                <w:bCs/>
                <w:color w:val="auto"/>
                <w:sz w:val="21"/>
                <w:szCs w:val="21"/>
                <w:highlight w:val="none"/>
                <w:lang w:val="en-US" w:eastAsia="zh-CN"/>
              </w:rPr>
              <w:t xml:space="preserve">   车辆拆解产品汇总一览表</w:t>
            </w:r>
          </w:p>
          <w:tbl>
            <w:tblPr>
              <w:tblStyle w:val="26"/>
              <w:tblW w:w="4995"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690"/>
              <w:gridCol w:w="3639"/>
              <w:gridCol w:w="2249"/>
              <w:gridCol w:w="1555"/>
            </w:tblGrid>
            <w:tr w14:paraId="76AAF32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45F2EB5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bidi="ar"/>
                    </w:rPr>
                  </w:pPr>
                  <w:r>
                    <w:rPr>
                      <w:rFonts w:hint="default" w:ascii="Times New Roman" w:hAnsi="Times New Roman" w:eastAsia="宋体" w:cs="Times New Roman"/>
                      <w:b/>
                      <w:bCs/>
                      <w:color w:val="auto"/>
                      <w:sz w:val="21"/>
                      <w:szCs w:val="21"/>
                      <w:highlight w:val="none"/>
                      <w:lang w:val="en-US" w:eastAsia="zh-CN"/>
                    </w:rPr>
                    <w:t>名称</w:t>
                  </w:r>
                </w:p>
              </w:tc>
              <w:tc>
                <w:tcPr>
                  <w:tcW w:w="1231" w:type="pct"/>
                  <w:tcBorders>
                    <w:tl2br w:val="nil"/>
                    <w:tr2bl w:val="nil"/>
                  </w:tcBorders>
                  <w:noWrap w:val="0"/>
                  <w:vAlign w:val="center"/>
                </w:tcPr>
                <w:p w14:paraId="6470BAC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bCs/>
                      <w:color w:val="auto"/>
                      <w:sz w:val="21"/>
                      <w:szCs w:val="21"/>
                      <w:highlight w:val="none"/>
                      <w:lang w:val="en-US" w:eastAsia="zh-CN"/>
                    </w:rPr>
                    <w:t>总产出量/t</w:t>
                  </w:r>
                </w:p>
              </w:tc>
              <w:tc>
                <w:tcPr>
                  <w:tcW w:w="851" w:type="pct"/>
                  <w:tcBorders>
                    <w:tl2br w:val="nil"/>
                    <w:tr2bl w:val="nil"/>
                  </w:tcBorders>
                  <w:noWrap w:val="0"/>
                  <w:vAlign w:val="center"/>
                </w:tcPr>
                <w:p w14:paraId="5C2368D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备注</w:t>
                  </w:r>
                </w:p>
              </w:tc>
            </w:tr>
            <w:tr w14:paraId="7D35EFB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4487651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钢铁</w:t>
                  </w:r>
                </w:p>
              </w:tc>
              <w:tc>
                <w:tcPr>
                  <w:tcW w:w="1231" w:type="pct"/>
                  <w:tcBorders>
                    <w:tl2br w:val="nil"/>
                    <w:tr2bl w:val="nil"/>
                  </w:tcBorders>
                  <w:noWrap w:val="0"/>
                  <w:vAlign w:val="center"/>
                </w:tcPr>
                <w:p w14:paraId="273C111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9251.2</w:t>
                  </w:r>
                </w:p>
              </w:tc>
              <w:tc>
                <w:tcPr>
                  <w:tcW w:w="851" w:type="pct"/>
                  <w:vMerge w:val="restart"/>
                  <w:tcBorders>
                    <w:tl2br w:val="nil"/>
                    <w:tr2bl w:val="nil"/>
                  </w:tcBorders>
                  <w:noWrap w:val="0"/>
                  <w:vAlign w:val="center"/>
                </w:tcPr>
                <w:p w14:paraId="738E8DF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主要产品</w:t>
                  </w:r>
                </w:p>
              </w:tc>
            </w:tr>
            <w:tr w14:paraId="48D1CC5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7EFF848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有色金属</w:t>
                  </w:r>
                </w:p>
              </w:tc>
              <w:tc>
                <w:tcPr>
                  <w:tcW w:w="1231" w:type="pct"/>
                  <w:tcBorders>
                    <w:tl2br w:val="nil"/>
                    <w:tr2bl w:val="nil"/>
                  </w:tcBorders>
                  <w:noWrap w:val="0"/>
                  <w:vAlign w:val="center"/>
                </w:tcPr>
                <w:p w14:paraId="14D4519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1159.85</w:t>
                  </w:r>
                </w:p>
              </w:tc>
              <w:tc>
                <w:tcPr>
                  <w:tcW w:w="851" w:type="pct"/>
                  <w:vMerge w:val="continue"/>
                  <w:tcBorders>
                    <w:tl2br w:val="nil"/>
                    <w:tr2bl w:val="nil"/>
                  </w:tcBorders>
                  <w:noWrap w:val="0"/>
                  <w:vAlign w:val="center"/>
                </w:tcPr>
                <w:p w14:paraId="79DB5B8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171056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1D420DC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废橡胶</w:t>
                  </w:r>
                  <w:r>
                    <w:rPr>
                      <w:rFonts w:hint="eastAsia" w:ascii="Times New Roman" w:hAnsi="Times New Roman" w:cs="Times New Roman"/>
                      <w:color w:val="auto"/>
                      <w:kern w:val="2"/>
                      <w:sz w:val="21"/>
                      <w:szCs w:val="21"/>
                      <w:highlight w:val="none"/>
                      <w:lang w:val="en-US" w:eastAsia="zh-CN" w:bidi="ar"/>
                    </w:rPr>
                    <w:t>（包括报废农机的废轮胎）</w:t>
                  </w:r>
                </w:p>
              </w:tc>
              <w:tc>
                <w:tcPr>
                  <w:tcW w:w="1231" w:type="pct"/>
                  <w:tcBorders>
                    <w:tl2br w:val="nil"/>
                    <w:tr2bl w:val="nil"/>
                  </w:tcBorders>
                  <w:noWrap w:val="0"/>
                  <w:vAlign w:val="center"/>
                </w:tcPr>
                <w:p w14:paraId="20750C1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634.5</w:t>
                  </w:r>
                </w:p>
              </w:tc>
              <w:tc>
                <w:tcPr>
                  <w:tcW w:w="851" w:type="pct"/>
                  <w:vMerge w:val="continue"/>
                  <w:tcBorders>
                    <w:tl2br w:val="nil"/>
                    <w:tr2bl w:val="nil"/>
                  </w:tcBorders>
                  <w:noWrap w:val="0"/>
                  <w:vAlign w:val="center"/>
                </w:tcPr>
                <w:p w14:paraId="24D114A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320B66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4A25724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废塑料</w:t>
                  </w:r>
                </w:p>
              </w:tc>
              <w:tc>
                <w:tcPr>
                  <w:tcW w:w="1231" w:type="pct"/>
                  <w:tcBorders>
                    <w:tl2br w:val="nil"/>
                    <w:tr2bl w:val="nil"/>
                  </w:tcBorders>
                  <w:noWrap w:val="0"/>
                  <w:vAlign w:val="center"/>
                </w:tcPr>
                <w:p w14:paraId="310C98C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388</w:t>
                  </w:r>
                </w:p>
              </w:tc>
              <w:tc>
                <w:tcPr>
                  <w:tcW w:w="851" w:type="pct"/>
                  <w:vMerge w:val="continue"/>
                  <w:tcBorders>
                    <w:tl2br w:val="nil"/>
                    <w:tr2bl w:val="nil"/>
                  </w:tcBorders>
                  <w:noWrap w:val="0"/>
                  <w:vAlign w:val="center"/>
                </w:tcPr>
                <w:p w14:paraId="3EBDABC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03725EF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1C4C6CA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玻璃</w:t>
                  </w:r>
                </w:p>
              </w:tc>
              <w:tc>
                <w:tcPr>
                  <w:tcW w:w="1231" w:type="pct"/>
                  <w:tcBorders>
                    <w:tl2br w:val="nil"/>
                    <w:tr2bl w:val="nil"/>
                  </w:tcBorders>
                  <w:noWrap w:val="0"/>
                  <w:vAlign w:val="center"/>
                </w:tcPr>
                <w:p w14:paraId="5E5F2F0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583</w:t>
                  </w:r>
                </w:p>
              </w:tc>
              <w:tc>
                <w:tcPr>
                  <w:tcW w:w="851" w:type="pct"/>
                  <w:vMerge w:val="continue"/>
                  <w:tcBorders>
                    <w:tl2br w:val="nil"/>
                    <w:tr2bl w:val="nil"/>
                  </w:tcBorders>
                  <w:noWrap w:val="0"/>
                  <w:vAlign w:val="center"/>
                </w:tcPr>
                <w:p w14:paraId="26A8D1D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74C5835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469A177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可用零部件</w:t>
                  </w:r>
                  <w:r>
                    <w:rPr>
                      <w:rFonts w:hint="eastAsia" w:ascii="Times New Roman" w:hAnsi="Times New Roman" w:eastAsia="宋体" w:cs="Times New Roman"/>
                      <w:color w:val="auto"/>
                      <w:kern w:val="2"/>
                      <w:sz w:val="21"/>
                      <w:szCs w:val="21"/>
                      <w:highlight w:val="none"/>
                      <w:lang w:val="en-US" w:eastAsia="zh-CN" w:bidi="ar"/>
                    </w:rPr>
                    <w:t>（包括螺丝轴承等可用零部件以及五大总成等零部件）</w:t>
                  </w:r>
                </w:p>
              </w:tc>
              <w:tc>
                <w:tcPr>
                  <w:tcW w:w="1231" w:type="pct"/>
                  <w:tcBorders>
                    <w:tl2br w:val="nil"/>
                    <w:tr2bl w:val="nil"/>
                  </w:tcBorders>
                  <w:noWrap w:val="0"/>
                  <w:vAlign w:val="center"/>
                </w:tcPr>
                <w:p w14:paraId="4665561B">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11323.3</w:t>
                  </w:r>
                </w:p>
              </w:tc>
              <w:tc>
                <w:tcPr>
                  <w:tcW w:w="851" w:type="pct"/>
                  <w:vMerge w:val="continue"/>
                  <w:tcBorders>
                    <w:tl2br w:val="nil"/>
                    <w:tr2bl w:val="nil"/>
                  </w:tcBorders>
                  <w:noWrap w:val="0"/>
                  <w:vAlign w:val="center"/>
                </w:tcPr>
                <w:p w14:paraId="79990CD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A63860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restart"/>
                  <w:tcBorders>
                    <w:tl2br w:val="nil"/>
                    <w:tr2bl w:val="nil"/>
                  </w:tcBorders>
                  <w:noWrap w:val="0"/>
                  <w:vAlign w:val="center"/>
                </w:tcPr>
                <w:p w14:paraId="33291CA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含有机溶剂废物</w:t>
                  </w:r>
                </w:p>
              </w:tc>
              <w:tc>
                <w:tcPr>
                  <w:tcW w:w="1992" w:type="pct"/>
                  <w:tcBorders>
                    <w:tl2br w:val="nil"/>
                    <w:tr2bl w:val="nil"/>
                  </w:tcBorders>
                  <w:shd w:val="clear" w:color="auto" w:fill="auto"/>
                  <w:noWrap w:val="0"/>
                  <w:vAlign w:val="center"/>
                </w:tcPr>
                <w:p w14:paraId="3843347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挡风玻璃洗涤液</w:t>
                  </w:r>
                </w:p>
              </w:tc>
              <w:tc>
                <w:tcPr>
                  <w:tcW w:w="1231" w:type="pct"/>
                  <w:vMerge w:val="restart"/>
                  <w:tcBorders>
                    <w:tl2br w:val="nil"/>
                    <w:tr2bl w:val="nil"/>
                  </w:tcBorders>
                  <w:noWrap w:val="0"/>
                  <w:vAlign w:val="center"/>
                </w:tcPr>
                <w:p w14:paraId="76877D9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19.05</w:t>
                  </w:r>
                </w:p>
              </w:tc>
              <w:tc>
                <w:tcPr>
                  <w:tcW w:w="851" w:type="pct"/>
                  <w:vMerge w:val="restart"/>
                  <w:tcBorders>
                    <w:tl2br w:val="nil"/>
                    <w:tr2bl w:val="nil"/>
                  </w:tcBorders>
                  <w:noWrap w:val="0"/>
                  <w:vAlign w:val="center"/>
                </w:tcPr>
                <w:p w14:paraId="75D9096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危险废物</w:t>
                  </w:r>
                </w:p>
              </w:tc>
            </w:tr>
            <w:tr w14:paraId="55CCDE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continue"/>
                  <w:tcBorders>
                    <w:tl2br w:val="nil"/>
                    <w:tr2bl w:val="nil"/>
                  </w:tcBorders>
                  <w:noWrap w:val="0"/>
                  <w:vAlign w:val="center"/>
                </w:tcPr>
                <w:p w14:paraId="07002FC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992" w:type="pct"/>
                  <w:tcBorders>
                    <w:tl2br w:val="nil"/>
                    <w:tr2bl w:val="nil"/>
                  </w:tcBorders>
                  <w:shd w:val="clear" w:color="auto" w:fill="auto"/>
                  <w:noWrap w:val="0"/>
                  <w:vAlign w:val="center"/>
                </w:tcPr>
                <w:p w14:paraId="15A8889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防冻液</w:t>
                  </w:r>
                </w:p>
              </w:tc>
              <w:tc>
                <w:tcPr>
                  <w:tcW w:w="1231" w:type="pct"/>
                  <w:vMerge w:val="continue"/>
                  <w:tcBorders>
                    <w:tl2br w:val="nil"/>
                    <w:tr2bl w:val="nil"/>
                  </w:tcBorders>
                  <w:noWrap w:val="0"/>
                  <w:vAlign w:val="center"/>
                </w:tcPr>
                <w:p w14:paraId="71E23CD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851" w:type="pct"/>
                  <w:vMerge w:val="continue"/>
                  <w:tcBorders>
                    <w:tl2br w:val="nil"/>
                    <w:tr2bl w:val="nil"/>
                  </w:tcBorders>
                  <w:noWrap w:val="0"/>
                  <w:vAlign w:val="center"/>
                </w:tcPr>
                <w:p w14:paraId="6D8FF29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03588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continue"/>
                  <w:tcBorders>
                    <w:tl2br w:val="nil"/>
                    <w:tr2bl w:val="nil"/>
                  </w:tcBorders>
                  <w:noWrap w:val="0"/>
                  <w:vAlign w:val="center"/>
                </w:tcPr>
                <w:p w14:paraId="188435E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992" w:type="pct"/>
                  <w:tcBorders>
                    <w:tl2br w:val="nil"/>
                    <w:tr2bl w:val="nil"/>
                  </w:tcBorders>
                  <w:shd w:val="clear" w:color="auto" w:fill="auto"/>
                  <w:noWrap w:val="0"/>
                  <w:vAlign w:val="center"/>
                </w:tcPr>
                <w:p w14:paraId="2B1A426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废制冷剂</w:t>
                  </w:r>
                </w:p>
              </w:tc>
              <w:tc>
                <w:tcPr>
                  <w:tcW w:w="1231" w:type="pct"/>
                  <w:tcBorders>
                    <w:tl2br w:val="nil"/>
                    <w:tr2bl w:val="nil"/>
                  </w:tcBorders>
                  <w:noWrap w:val="0"/>
                  <w:vAlign w:val="center"/>
                </w:tcPr>
                <w:p w14:paraId="1063EB6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11.25</w:t>
                  </w:r>
                </w:p>
              </w:tc>
              <w:tc>
                <w:tcPr>
                  <w:tcW w:w="851" w:type="pct"/>
                  <w:vMerge w:val="continue"/>
                  <w:tcBorders>
                    <w:tl2br w:val="nil"/>
                    <w:tr2bl w:val="nil"/>
                  </w:tcBorders>
                  <w:noWrap w:val="0"/>
                  <w:vAlign w:val="center"/>
                </w:tcPr>
                <w:p w14:paraId="2ABBADB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FEDE22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restart"/>
                  <w:tcBorders>
                    <w:tl2br w:val="nil"/>
                    <w:tr2bl w:val="nil"/>
                  </w:tcBorders>
                  <w:noWrap w:val="0"/>
                  <w:vAlign w:val="center"/>
                </w:tcPr>
                <w:p w14:paraId="3BF2151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废矿物油与含矿物油废物</w:t>
                  </w:r>
                </w:p>
              </w:tc>
              <w:tc>
                <w:tcPr>
                  <w:tcW w:w="1992" w:type="pct"/>
                  <w:tcBorders>
                    <w:tl2br w:val="nil"/>
                    <w:tr2bl w:val="nil"/>
                  </w:tcBorders>
                  <w:noWrap w:val="0"/>
                  <w:vAlign w:val="center"/>
                </w:tcPr>
                <w:p w14:paraId="1F7B281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废燃料油</w:t>
                  </w:r>
                </w:p>
              </w:tc>
              <w:tc>
                <w:tcPr>
                  <w:tcW w:w="1231" w:type="pct"/>
                  <w:vMerge w:val="restart"/>
                  <w:tcBorders>
                    <w:tl2br w:val="nil"/>
                    <w:tr2bl w:val="nil"/>
                  </w:tcBorders>
                  <w:noWrap w:val="0"/>
                  <w:vAlign w:val="center"/>
                </w:tcPr>
                <w:p w14:paraId="49130EB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103.4</w:t>
                  </w:r>
                </w:p>
              </w:tc>
              <w:tc>
                <w:tcPr>
                  <w:tcW w:w="851" w:type="pct"/>
                  <w:vMerge w:val="continue"/>
                  <w:tcBorders>
                    <w:tl2br w:val="nil"/>
                    <w:tr2bl w:val="nil"/>
                  </w:tcBorders>
                  <w:noWrap w:val="0"/>
                  <w:vAlign w:val="center"/>
                </w:tcPr>
                <w:p w14:paraId="242BAC4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72EAA0C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continue"/>
                  <w:tcBorders>
                    <w:tl2br w:val="nil"/>
                    <w:tr2bl w:val="nil"/>
                  </w:tcBorders>
                  <w:noWrap w:val="0"/>
                  <w:vAlign w:val="center"/>
                </w:tcPr>
                <w:p w14:paraId="08257E5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992" w:type="pct"/>
                  <w:tcBorders>
                    <w:tl2br w:val="nil"/>
                    <w:tr2bl w:val="nil"/>
                  </w:tcBorders>
                  <w:noWrap w:val="0"/>
                  <w:vAlign w:val="center"/>
                </w:tcPr>
                <w:p w14:paraId="5B929C1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发动机油</w:t>
                  </w:r>
                </w:p>
              </w:tc>
              <w:tc>
                <w:tcPr>
                  <w:tcW w:w="1231" w:type="pct"/>
                  <w:vMerge w:val="continue"/>
                  <w:tcBorders>
                    <w:tl2br w:val="nil"/>
                    <w:tr2bl w:val="nil"/>
                  </w:tcBorders>
                  <w:noWrap w:val="0"/>
                  <w:vAlign w:val="center"/>
                </w:tcPr>
                <w:p w14:paraId="4692A97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851" w:type="pct"/>
                  <w:vMerge w:val="continue"/>
                  <w:tcBorders>
                    <w:tl2br w:val="nil"/>
                    <w:tr2bl w:val="nil"/>
                  </w:tcBorders>
                  <w:noWrap w:val="0"/>
                  <w:vAlign w:val="center"/>
                </w:tcPr>
                <w:p w14:paraId="2BC2C06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76DC54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25" w:type="pct"/>
                  <w:vMerge w:val="continue"/>
                  <w:tcBorders>
                    <w:tl2br w:val="nil"/>
                    <w:tr2bl w:val="nil"/>
                  </w:tcBorders>
                  <w:noWrap w:val="0"/>
                  <w:vAlign w:val="center"/>
                </w:tcPr>
                <w:p w14:paraId="6AD949B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992" w:type="pct"/>
                  <w:tcBorders>
                    <w:tl2br w:val="nil"/>
                    <w:tr2bl w:val="nil"/>
                  </w:tcBorders>
                  <w:noWrap w:val="0"/>
                  <w:vAlign w:val="center"/>
                </w:tcPr>
                <w:p w14:paraId="56E604F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变速器/齿轮箱油</w:t>
                  </w:r>
                </w:p>
              </w:tc>
              <w:tc>
                <w:tcPr>
                  <w:tcW w:w="1231" w:type="pct"/>
                  <w:vMerge w:val="continue"/>
                  <w:tcBorders>
                    <w:tl2br w:val="nil"/>
                    <w:tr2bl w:val="nil"/>
                  </w:tcBorders>
                  <w:noWrap w:val="0"/>
                  <w:vAlign w:val="center"/>
                </w:tcPr>
                <w:p w14:paraId="070F0522">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851" w:type="pct"/>
                  <w:vMerge w:val="continue"/>
                  <w:tcBorders>
                    <w:tl2br w:val="nil"/>
                    <w:tr2bl w:val="nil"/>
                  </w:tcBorders>
                  <w:noWrap w:val="0"/>
                  <w:vAlign w:val="center"/>
                </w:tcPr>
                <w:p w14:paraId="44D9DE5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32652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continue"/>
                  <w:tcBorders>
                    <w:tl2br w:val="nil"/>
                    <w:tr2bl w:val="nil"/>
                  </w:tcBorders>
                  <w:noWrap w:val="0"/>
                  <w:vAlign w:val="center"/>
                </w:tcPr>
                <w:p w14:paraId="6482477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992" w:type="pct"/>
                  <w:tcBorders>
                    <w:tl2br w:val="nil"/>
                    <w:tr2bl w:val="nil"/>
                  </w:tcBorders>
                  <w:noWrap w:val="0"/>
                  <w:vAlign w:val="center"/>
                </w:tcPr>
                <w:p w14:paraId="7566289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动力转向油</w:t>
                  </w:r>
                </w:p>
              </w:tc>
              <w:tc>
                <w:tcPr>
                  <w:tcW w:w="1231" w:type="pct"/>
                  <w:vMerge w:val="continue"/>
                  <w:tcBorders>
                    <w:tl2br w:val="nil"/>
                    <w:tr2bl w:val="nil"/>
                  </w:tcBorders>
                  <w:noWrap w:val="0"/>
                  <w:vAlign w:val="center"/>
                </w:tcPr>
                <w:p w14:paraId="6780E63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851" w:type="pct"/>
                  <w:vMerge w:val="continue"/>
                  <w:tcBorders>
                    <w:tl2br w:val="nil"/>
                    <w:tr2bl w:val="nil"/>
                  </w:tcBorders>
                  <w:noWrap w:val="0"/>
                  <w:vAlign w:val="center"/>
                </w:tcPr>
                <w:p w14:paraId="2E9CC79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90AB99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25" w:type="pct"/>
                  <w:vMerge w:val="continue"/>
                  <w:tcBorders>
                    <w:tl2br w:val="nil"/>
                    <w:tr2bl w:val="nil"/>
                  </w:tcBorders>
                  <w:noWrap w:val="0"/>
                  <w:vAlign w:val="center"/>
                </w:tcPr>
                <w:p w14:paraId="393B129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992" w:type="pct"/>
                  <w:tcBorders>
                    <w:tl2br w:val="nil"/>
                    <w:tr2bl w:val="nil"/>
                  </w:tcBorders>
                  <w:noWrap w:val="0"/>
                  <w:vAlign w:val="center"/>
                </w:tcPr>
                <w:p w14:paraId="0C166AA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制动液</w:t>
                  </w:r>
                </w:p>
              </w:tc>
              <w:tc>
                <w:tcPr>
                  <w:tcW w:w="1231" w:type="pct"/>
                  <w:vMerge w:val="continue"/>
                  <w:tcBorders>
                    <w:tl2br w:val="nil"/>
                    <w:tr2bl w:val="nil"/>
                  </w:tcBorders>
                  <w:noWrap w:val="0"/>
                  <w:vAlign w:val="center"/>
                </w:tcPr>
                <w:p w14:paraId="04D934C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851" w:type="pct"/>
                  <w:vMerge w:val="continue"/>
                  <w:tcBorders>
                    <w:tl2br w:val="nil"/>
                    <w:tr2bl w:val="nil"/>
                  </w:tcBorders>
                  <w:noWrap w:val="0"/>
                  <w:vAlign w:val="center"/>
                </w:tcPr>
                <w:p w14:paraId="0D96000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3142841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4FBB820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废铅蓄电池</w:t>
                  </w:r>
                </w:p>
              </w:tc>
              <w:tc>
                <w:tcPr>
                  <w:tcW w:w="1231" w:type="pct"/>
                  <w:tcBorders>
                    <w:tl2br w:val="nil"/>
                    <w:tr2bl w:val="nil"/>
                  </w:tcBorders>
                  <w:noWrap w:val="0"/>
                  <w:vAlign w:val="center"/>
                </w:tcPr>
                <w:p w14:paraId="27C690D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153.5</w:t>
                  </w:r>
                </w:p>
              </w:tc>
              <w:tc>
                <w:tcPr>
                  <w:tcW w:w="851" w:type="pct"/>
                  <w:vMerge w:val="continue"/>
                  <w:tcBorders>
                    <w:tl2br w:val="nil"/>
                    <w:tr2bl w:val="nil"/>
                  </w:tcBorders>
                  <w:noWrap w:val="0"/>
                  <w:vAlign w:val="center"/>
                </w:tcPr>
                <w:p w14:paraId="2FD56B4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ECB532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PrEx>
              <w:trPr>
                <w:trHeight w:val="283" w:hRule="atLeast"/>
                <w:jc w:val="center"/>
              </w:trPr>
              <w:tc>
                <w:tcPr>
                  <w:tcW w:w="2917" w:type="pct"/>
                  <w:gridSpan w:val="2"/>
                  <w:tcBorders>
                    <w:tl2br w:val="nil"/>
                    <w:tr2bl w:val="nil"/>
                  </w:tcBorders>
                  <w:shd w:val="clear" w:color="auto" w:fill="auto"/>
                  <w:noWrap w:val="0"/>
                  <w:vAlign w:val="center"/>
                </w:tcPr>
                <w:p w14:paraId="61CD555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废动力电池</w:t>
                  </w:r>
                </w:p>
              </w:tc>
              <w:tc>
                <w:tcPr>
                  <w:tcW w:w="1231" w:type="pct"/>
                  <w:tcBorders>
                    <w:tl2br w:val="nil"/>
                    <w:tr2bl w:val="nil"/>
                  </w:tcBorders>
                  <w:shd w:val="clear" w:color="auto" w:fill="auto"/>
                  <w:noWrap w:val="0"/>
                  <w:vAlign w:val="center"/>
                </w:tcPr>
                <w:p w14:paraId="5F5FD1B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512.5</w:t>
                  </w:r>
                </w:p>
              </w:tc>
              <w:tc>
                <w:tcPr>
                  <w:tcW w:w="851" w:type="pct"/>
                  <w:vMerge w:val="continue"/>
                  <w:tcBorders>
                    <w:tl2br w:val="nil"/>
                    <w:tr2bl w:val="nil"/>
                  </w:tcBorders>
                  <w:noWrap w:val="0"/>
                  <w:vAlign w:val="center"/>
                </w:tcPr>
                <w:p w14:paraId="48A3355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2F03585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49987EC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废电路板及元器件</w:t>
                  </w:r>
                </w:p>
              </w:tc>
              <w:tc>
                <w:tcPr>
                  <w:tcW w:w="1231" w:type="pct"/>
                  <w:tcBorders>
                    <w:tl2br w:val="nil"/>
                    <w:tr2bl w:val="nil"/>
                  </w:tcBorders>
                  <w:noWrap w:val="0"/>
                  <w:vAlign w:val="center"/>
                </w:tcPr>
                <w:p w14:paraId="0C100E0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30.3</w:t>
                  </w:r>
                </w:p>
              </w:tc>
              <w:tc>
                <w:tcPr>
                  <w:tcW w:w="851" w:type="pct"/>
                  <w:vMerge w:val="continue"/>
                  <w:tcBorders>
                    <w:tl2br w:val="nil"/>
                    <w:tr2bl w:val="nil"/>
                  </w:tcBorders>
                  <w:noWrap w:val="0"/>
                  <w:vAlign w:val="center"/>
                </w:tcPr>
                <w:p w14:paraId="170C579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C3907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08432E5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废尾气催化剂</w:t>
                  </w:r>
                </w:p>
              </w:tc>
              <w:tc>
                <w:tcPr>
                  <w:tcW w:w="1231" w:type="pct"/>
                  <w:tcBorders>
                    <w:tl2br w:val="nil"/>
                    <w:tr2bl w:val="nil"/>
                  </w:tcBorders>
                  <w:noWrap w:val="0"/>
                  <w:vAlign w:val="center"/>
                </w:tcPr>
                <w:p w14:paraId="1A1E805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w:t>
                  </w:r>
                </w:p>
              </w:tc>
              <w:tc>
                <w:tcPr>
                  <w:tcW w:w="851" w:type="pct"/>
                  <w:vMerge w:val="continue"/>
                  <w:tcBorders>
                    <w:tl2br w:val="nil"/>
                    <w:tr2bl w:val="nil"/>
                  </w:tcBorders>
                  <w:noWrap w:val="0"/>
                  <w:vAlign w:val="center"/>
                </w:tcPr>
                <w:p w14:paraId="47F2DC6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2ABEC4E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2D16C3E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废机油滤清器</w:t>
                  </w:r>
                </w:p>
              </w:tc>
              <w:tc>
                <w:tcPr>
                  <w:tcW w:w="1231" w:type="pct"/>
                  <w:tcBorders>
                    <w:tl2br w:val="nil"/>
                    <w:tr2bl w:val="nil"/>
                  </w:tcBorders>
                  <w:noWrap w:val="0"/>
                  <w:vAlign w:val="center"/>
                </w:tcPr>
                <w:p w14:paraId="7A8B7F8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5.9</w:t>
                  </w:r>
                </w:p>
              </w:tc>
              <w:tc>
                <w:tcPr>
                  <w:tcW w:w="851" w:type="pct"/>
                  <w:vMerge w:val="continue"/>
                  <w:tcBorders>
                    <w:tl2br w:val="nil"/>
                    <w:tr2bl w:val="nil"/>
                  </w:tcBorders>
                  <w:noWrap w:val="0"/>
                  <w:vAlign w:val="center"/>
                </w:tcPr>
                <w:p w14:paraId="556CE86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7E8D72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2749355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废油箱</w:t>
                  </w:r>
                </w:p>
              </w:tc>
              <w:tc>
                <w:tcPr>
                  <w:tcW w:w="1231" w:type="pct"/>
                  <w:tcBorders>
                    <w:tl2br w:val="nil"/>
                    <w:tr2bl w:val="nil"/>
                  </w:tcBorders>
                  <w:noWrap w:val="0"/>
                  <w:vAlign w:val="center"/>
                </w:tcPr>
                <w:p w14:paraId="74C3E9B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18</w:t>
                  </w:r>
                </w:p>
              </w:tc>
              <w:tc>
                <w:tcPr>
                  <w:tcW w:w="851" w:type="pct"/>
                  <w:vMerge w:val="continue"/>
                  <w:tcBorders>
                    <w:tl2br w:val="nil"/>
                    <w:tr2bl w:val="nil"/>
                  </w:tcBorders>
                  <w:noWrap w:val="0"/>
                  <w:vAlign w:val="center"/>
                </w:tcPr>
                <w:p w14:paraId="0AA940C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3B0CE4D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045CA9F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废弃车用电子零部件</w:t>
                  </w:r>
                  <w:r>
                    <w:rPr>
                      <w:rFonts w:hint="eastAsia" w:ascii="Times New Roman" w:hAnsi="Times New Roman" w:eastAsia="宋体" w:cs="Times New Roman"/>
                      <w:color w:val="auto"/>
                      <w:kern w:val="2"/>
                      <w:sz w:val="21"/>
                      <w:szCs w:val="21"/>
                      <w:highlight w:val="none"/>
                      <w:lang w:val="en-US" w:eastAsia="zh-CN" w:bidi="ar"/>
                    </w:rPr>
                    <w:t>（废电容器）</w:t>
                  </w:r>
                </w:p>
              </w:tc>
              <w:tc>
                <w:tcPr>
                  <w:tcW w:w="1231" w:type="pct"/>
                  <w:tcBorders>
                    <w:tl2br w:val="nil"/>
                    <w:tr2bl w:val="nil"/>
                  </w:tcBorders>
                  <w:noWrap w:val="0"/>
                  <w:vAlign w:val="center"/>
                </w:tcPr>
                <w:p w14:paraId="49FA890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93.25</w:t>
                  </w:r>
                </w:p>
              </w:tc>
              <w:tc>
                <w:tcPr>
                  <w:tcW w:w="851" w:type="pct"/>
                  <w:vMerge w:val="restart"/>
                  <w:tcBorders>
                    <w:tl2br w:val="nil"/>
                    <w:tr2bl w:val="nil"/>
                  </w:tcBorders>
                  <w:noWrap w:val="0"/>
                  <w:vAlign w:val="center"/>
                </w:tcPr>
                <w:p w14:paraId="0F6B6DD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一般工业固废</w:t>
                  </w:r>
                </w:p>
              </w:tc>
            </w:tr>
            <w:tr w14:paraId="5C01B8C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432" w:hRule="atLeast"/>
                <w:jc w:val="center"/>
              </w:trPr>
              <w:tc>
                <w:tcPr>
                  <w:tcW w:w="2917" w:type="pct"/>
                  <w:gridSpan w:val="2"/>
                  <w:tcBorders>
                    <w:tl2br w:val="nil"/>
                    <w:tr2bl w:val="nil"/>
                  </w:tcBorders>
                  <w:noWrap w:val="0"/>
                  <w:vAlign w:val="center"/>
                </w:tcPr>
                <w:p w14:paraId="7C71F0A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废安全气囊</w:t>
                  </w:r>
                </w:p>
              </w:tc>
              <w:tc>
                <w:tcPr>
                  <w:tcW w:w="1231" w:type="pct"/>
                  <w:tcBorders>
                    <w:tl2br w:val="nil"/>
                    <w:tr2bl w:val="nil"/>
                  </w:tcBorders>
                  <w:noWrap w:val="0"/>
                  <w:vAlign w:val="center"/>
                </w:tcPr>
                <w:p w14:paraId="196713D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16</w:t>
                  </w:r>
                </w:p>
              </w:tc>
              <w:tc>
                <w:tcPr>
                  <w:tcW w:w="851" w:type="pct"/>
                  <w:vMerge w:val="continue"/>
                  <w:tcBorders>
                    <w:tl2br w:val="nil"/>
                    <w:tr2bl w:val="nil"/>
                  </w:tcBorders>
                  <w:noWrap w:val="0"/>
                  <w:vAlign w:val="center"/>
                </w:tcPr>
                <w:p w14:paraId="1B48D63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1FC05ED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23BFBC1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废尼龙布、废海绵、废皮革</w:t>
                  </w:r>
                </w:p>
              </w:tc>
              <w:tc>
                <w:tcPr>
                  <w:tcW w:w="1231" w:type="pct"/>
                  <w:tcBorders>
                    <w:tl2br w:val="nil"/>
                    <w:tr2bl w:val="nil"/>
                  </w:tcBorders>
                  <w:noWrap w:val="0"/>
                  <w:vAlign w:val="center"/>
                </w:tcPr>
                <w:p w14:paraId="4042834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525.5</w:t>
                  </w:r>
                </w:p>
              </w:tc>
              <w:tc>
                <w:tcPr>
                  <w:tcW w:w="851" w:type="pct"/>
                  <w:vMerge w:val="continue"/>
                  <w:tcBorders>
                    <w:tl2br w:val="nil"/>
                    <w:tr2bl w:val="nil"/>
                  </w:tcBorders>
                  <w:noWrap w:val="0"/>
                  <w:vAlign w:val="center"/>
                </w:tcPr>
                <w:p w14:paraId="6D1F90C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0514D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771AFFD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废液化气罐</w:t>
                  </w:r>
                </w:p>
              </w:tc>
              <w:tc>
                <w:tcPr>
                  <w:tcW w:w="1231" w:type="pct"/>
                  <w:tcBorders>
                    <w:tl2br w:val="nil"/>
                    <w:tr2bl w:val="nil"/>
                  </w:tcBorders>
                  <w:noWrap w:val="0"/>
                  <w:vAlign w:val="center"/>
                </w:tcPr>
                <w:p w14:paraId="66D44A6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49.5</w:t>
                  </w:r>
                </w:p>
              </w:tc>
              <w:tc>
                <w:tcPr>
                  <w:tcW w:w="851" w:type="pct"/>
                  <w:vMerge w:val="continue"/>
                  <w:tcBorders>
                    <w:tl2br w:val="nil"/>
                    <w:tr2bl w:val="nil"/>
                  </w:tcBorders>
                  <w:noWrap w:val="0"/>
                  <w:vAlign w:val="center"/>
                </w:tcPr>
                <w:p w14:paraId="3EBAEC3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13FB09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75B1381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其他不可利用物</w:t>
                  </w:r>
                </w:p>
              </w:tc>
              <w:tc>
                <w:tcPr>
                  <w:tcW w:w="1231" w:type="pct"/>
                  <w:tcBorders>
                    <w:tl2br w:val="nil"/>
                    <w:tr2bl w:val="nil"/>
                  </w:tcBorders>
                  <w:noWrap w:val="0"/>
                  <w:vAlign w:val="center"/>
                </w:tcPr>
                <w:p w14:paraId="3C39FC4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w:t>
                  </w:r>
                </w:p>
              </w:tc>
              <w:tc>
                <w:tcPr>
                  <w:tcW w:w="851" w:type="pct"/>
                  <w:vMerge w:val="continue"/>
                  <w:tcBorders>
                    <w:tl2br w:val="nil"/>
                    <w:tr2bl w:val="nil"/>
                  </w:tcBorders>
                  <w:noWrap w:val="0"/>
                  <w:vAlign w:val="center"/>
                </w:tcPr>
                <w:p w14:paraId="7C97B9A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BD393A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917" w:type="pct"/>
                  <w:gridSpan w:val="2"/>
                  <w:tcBorders>
                    <w:tl2br w:val="nil"/>
                    <w:tr2bl w:val="nil"/>
                  </w:tcBorders>
                  <w:noWrap w:val="0"/>
                  <w:vAlign w:val="center"/>
                </w:tcPr>
                <w:p w14:paraId="67FE580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合计</w:t>
                  </w:r>
                </w:p>
              </w:tc>
              <w:tc>
                <w:tcPr>
                  <w:tcW w:w="1231" w:type="pct"/>
                  <w:tcBorders>
                    <w:tl2br w:val="nil"/>
                    <w:tr2bl w:val="nil"/>
                  </w:tcBorders>
                  <w:noWrap w:val="0"/>
                  <w:vAlign w:val="center"/>
                </w:tcPr>
                <w:p w14:paraId="7FFBE51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24900</w:t>
                  </w:r>
                </w:p>
              </w:tc>
              <w:tc>
                <w:tcPr>
                  <w:tcW w:w="851" w:type="pct"/>
                  <w:tcBorders>
                    <w:tl2br w:val="nil"/>
                    <w:tr2bl w:val="nil"/>
                  </w:tcBorders>
                  <w:noWrap w:val="0"/>
                  <w:vAlign w:val="center"/>
                </w:tcPr>
                <w:p w14:paraId="7AB47A6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r>
          </w:tbl>
          <w:p w14:paraId="63F3B635">
            <w:pPr>
              <w:keepNext w:val="0"/>
              <w:keepLines w:val="0"/>
              <w:pageBreakBefore w:val="0"/>
              <w:suppressLineNumbers w:val="0"/>
              <w:kinsoku/>
              <w:wordWrap/>
              <w:overflowPunct/>
              <w:topLinePunct w:val="0"/>
              <w:bidi w:val="0"/>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车辆</w:t>
            </w:r>
            <w:r>
              <w:rPr>
                <w:rFonts w:hint="default" w:ascii="Times New Roman" w:hAnsi="Times New Roman" w:eastAsia="宋体" w:cs="Times New Roman"/>
                <w:b/>
                <w:bCs/>
                <w:color w:val="auto"/>
                <w:sz w:val="24"/>
                <w:szCs w:val="24"/>
                <w:highlight w:val="none"/>
                <w:lang w:val="en-US" w:eastAsia="zh-CN"/>
              </w:rPr>
              <w:t>拆解产生的有害物质的理化性质</w:t>
            </w:r>
          </w:p>
          <w:p w14:paraId="7FFEA4DD">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b/>
                <w:bCs/>
                <w:color w:val="auto"/>
                <w:sz w:val="21"/>
                <w:szCs w:val="21"/>
                <w:highlight w:val="none"/>
              </w:rPr>
            </w:pPr>
            <w:r>
              <w:rPr>
                <w:rFonts w:hint="eastAsia" w:cs="Times New Roman"/>
                <w:b w:val="0"/>
                <w:bCs w:val="0"/>
                <w:color w:val="auto"/>
                <w:sz w:val="24"/>
                <w:szCs w:val="24"/>
                <w:highlight w:val="none"/>
                <w:lang w:val="en-US" w:eastAsia="zh-CN"/>
              </w:rPr>
              <w:t>①本项目产生的有害物质包括含有机溶剂废物、</w:t>
            </w:r>
            <w:r>
              <w:rPr>
                <w:rFonts w:hint="default" w:ascii="Times New Roman" w:hAnsi="Times New Roman" w:eastAsia="宋体" w:cs="Times New Roman"/>
                <w:b w:val="0"/>
                <w:bCs w:val="0"/>
                <w:color w:val="auto"/>
                <w:kern w:val="0"/>
                <w:sz w:val="24"/>
                <w:szCs w:val="24"/>
                <w:highlight w:val="none"/>
                <w:lang w:val="en-US" w:eastAsia="zh-CN" w:bidi="ar"/>
              </w:rPr>
              <w:t>废矿物油与含油废物</w:t>
            </w:r>
            <w:r>
              <w:rPr>
                <w:rFonts w:hint="eastAsia" w:cs="Times New Roman"/>
                <w:b w:val="0"/>
                <w:bCs w:val="0"/>
                <w:color w:val="auto"/>
                <w:sz w:val="24"/>
                <w:szCs w:val="24"/>
                <w:highlight w:val="none"/>
                <w:lang w:val="en-US" w:eastAsia="zh-CN"/>
              </w:rPr>
              <w:t>、</w:t>
            </w:r>
            <w:r>
              <w:rPr>
                <w:rFonts w:hint="default" w:ascii="Times New Roman" w:hAnsi="Times New Roman" w:eastAsia="宋体" w:cs="Times New Roman"/>
                <w:b w:val="0"/>
                <w:bCs w:val="0"/>
                <w:color w:val="auto"/>
                <w:kern w:val="0"/>
                <w:sz w:val="24"/>
                <w:szCs w:val="24"/>
                <w:highlight w:val="none"/>
                <w:lang w:val="en-US" w:eastAsia="zh-CN" w:bidi="ar"/>
              </w:rPr>
              <w:t>废铅蓄电池</w:t>
            </w:r>
            <w:r>
              <w:rPr>
                <w:rFonts w:hint="eastAsia" w:cs="Times New Roman"/>
                <w:b w:val="0"/>
                <w:bCs w:val="0"/>
                <w:color w:val="auto"/>
                <w:kern w:val="0"/>
                <w:sz w:val="24"/>
                <w:szCs w:val="24"/>
                <w:highlight w:val="none"/>
                <w:lang w:val="en-US" w:eastAsia="zh-CN" w:bidi="ar"/>
              </w:rPr>
              <w:t>及废电解液</w:t>
            </w:r>
            <w:r>
              <w:rPr>
                <w:rFonts w:hint="eastAsia" w:cs="Times New Roman"/>
                <w:b w:val="0"/>
                <w:bCs w:val="0"/>
                <w:color w:val="auto"/>
                <w:sz w:val="24"/>
                <w:szCs w:val="24"/>
                <w:highlight w:val="none"/>
                <w:lang w:val="en-US" w:eastAsia="zh-CN"/>
              </w:rPr>
              <w:t>、废尾气催化剂、</w:t>
            </w:r>
            <w:r>
              <w:rPr>
                <w:rFonts w:hint="default" w:ascii="Times New Roman" w:hAnsi="Times New Roman" w:eastAsia="宋体" w:cs="Times New Roman"/>
                <w:b w:val="0"/>
                <w:bCs w:val="0"/>
                <w:color w:val="auto"/>
                <w:spacing w:val="4"/>
                <w:sz w:val="24"/>
                <w:szCs w:val="24"/>
                <w:highlight w:val="none"/>
                <w:lang w:eastAsia="zh-CN"/>
              </w:rPr>
              <w:t>废电子元器件（</w:t>
            </w:r>
            <w:r>
              <w:rPr>
                <w:rFonts w:hint="eastAsia" w:ascii="Times New Roman" w:hAnsi="Times New Roman" w:eastAsia="宋体" w:cs="Times New Roman"/>
                <w:b w:val="0"/>
                <w:bCs w:val="0"/>
                <w:color w:val="auto"/>
                <w:spacing w:val="4"/>
                <w:sz w:val="24"/>
                <w:szCs w:val="24"/>
                <w:highlight w:val="none"/>
                <w:lang w:val="en-US" w:eastAsia="zh-CN"/>
              </w:rPr>
              <w:t>含</w:t>
            </w:r>
            <w:r>
              <w:rPr>
                <w:rFonts w:hint="default" w:ascii="Times New Roman" w:hAnsi="Times New Roman" w:eastAsia="宋体" w:cs="Times New Roman"/>
                <w:b w:val="0"/>
                <w:bCs w:val="0"/>
                <w:color w:val="auto"/>
                <w:spacing w:val="4"/>
                <w:sz w:val="24"/>
                <w:szCs w:val="24"/>
                <w:highlight w:val="none"/>
                <w:lang w:eastAsia="zh-CN"/>
              </w:rPr>
              <w:t>铅、汞、铬、锰）</w:t>
            </w:r>
            <w:r>
              <w:rPr>
                <w:rFonts w:hint="eastAsia" w:ascii="Times New Roman" w:hAnsi="Times New Roman" w:eastAsia="宋体" w:cs="Times New Roman"/>
                <w:b w:val="0"/>
                <w:bCs w:val="0"/>
                <w:color w:val="auto"/>
                <w:spacing w:val="4"/>
                <w:sz w:val="24"/>
                <w:szCs w:val="24"/>
                <w:highlight w:val="none"/>
                <w:lang w:val="en-US" w:eastAsia="zh-CN"/>
              </w:rPr>
              <w:t>等，上述物质理化性质如下：</w:t>
            </w:r>
          </w:p>
          <w:p w14:paraId="61D876D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表2-</w:t>
            </w:r>
            <w:r>
              <w:rPr>
                <w:rFonts w:hint="eastAsia" w:cs="Times New Roman"/>
                <w:b/>
                <w:bCs/>
                <w:color w:val="auto"/>
                <w:sz w:val="21"/>
                <w:szCs w:val="21"/>
                <w:highlight w:val="none"/>
                <w:lang w:val="en-US" w:eastAsia="zh-CN"/>
              </w:rPr>
              <w:t>7</w:t>
            </w:r>
            <w:r>
              <w:rPr>
                <w:rFonts w:hint="default" w:ascii="Times New Roman" w:hAnsi="Times New Roman" w:eastAsia="宋体" w:cs="Times New Roman"/>
                <w:b/>
                <w:bCs/>
                <w:color w:val="auto"/>
                <w:sz w:val="21"/>
                <w:szCs w:val="21"/>
                <w:highlight w:val="none"/>
              </w:rPr>
              <w:t xml:space="preserve">  </w:t>
            </w:r>
            <w:r>
              <w:rPr>
                <w:rFonts w:hint="default" w:ascii="Times New Roman" w:hAnsi="Times New Roman" w:eastAsia="宋体" w:cs="Times New Roman"/>
                <w:b/>
                <w:bCs/>
                <w:color w:val="auto"/>
                <w:sz w:val="21"/>
                <w:szCs w:val="21"/>
                <w:highlight w:val="none"/>
                <w:lang w:val="en-US" w:eastAsia="zh-CN"/>
              </w:rPr>
              <w:t>产生的有害物质理化性质一览表</w:t>
            </w:r>
          </w:p>
          <w:tbl>
            <w:tblPr>
              <w:tblStyle w:val="26"/>
              <w:tblW w:w="4996"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85"/>
              <w:gridCol w:w="8050"/>
            </w:tblGrid>
            <w:tr w14:paraId="7820AA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4" w:type="pct"/>
                  <w:tcBorders>
                    <w:tl2br w:val="nil"/>
                    <w:tr2bl w:val="nil"/>
                  </w:tcBorders>
                  <w:noWrap w:val="0"/>
                  <w:vAlign w:val="center"/>
                </w:tcPr>
                <w:p w14:paraId="230A883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名称</w:t>
                  </w:r>
                </w:p>
              </w:tc>
              <w:tc>
                <w:tcPr>
                  <w:tcW w:w="4405" w:type="pct"/>
                  <w:tcBorders>
                    <w:tl2br w:val="nil"/>
                    <w:tr2bl w:val="nil"/>
                  </w:tcBorders>
                  <w:noWrap w:val="0"/>
                  <w:vAlign w:val="center"/>
                </w:tcPr>
                <w:p w14:paraId="6F12406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理化性质及危害</w:t>
                  </w:r>
                </w:p>
              </w:tc>
            </w:tr>
            <w:tr w14:paraId="2CD12BC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4" w:type="pct"/>
                  <w:tcBorders>
                    <w:tl2br w:val="nil"/>
                    <w:tr2bl w:val="nil"/>
                  </w:tcBorders>
                  <w:noWrap w:val="0"/>
                  <w:vAlign w:val="center"/>
                </w:tcPr>
                <w:p w14:paraId="4E5BB1A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含有机溶剂废物</w:t>
                  </w:r>
                </w:p>
              </w:tc>
              <w:tc>
                <w:tcPr>
                  <w:tcW w:w="4405" w:type="pct"/>
                  <w:tcBorders>
                    <w:tl2br w:val="nil"/>
                    <w:tr2bl w:val="nil"/>
                  </w:tcBorders>
                  <w:noWrap w:val="0"/>
                  <w:vAlign w:val="center"/>
                </w:tcPr>
                <w:p w14:paraId="736F5F73">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防冻液是有防冻功能的冷却液，成分一般是乙二醇、酒精、甘油、水，任何成分都不具有腐蚀性。防冻液可以防止在寒冷冬季停车时冷却液结冰而胀裂散热器和冻坏发动机气缸体或盖。汽车防冻液的种类很多，像无机物中的氯化钙（CaCl</w:t>
                  </w:r>
                  <w:r>
                    <w:rPr>
                      <w:rFonts w:hint="default" w:ascii="Times New Roman" w:hAnsi="Times New Roman" w:eastAsia="宋体" w:cs="Times New Roman"/>
                      <w:color w:val="auto"/>
                      <w:kern w:val="2"/>
                      <w:sz w:val="21"/>
                      <w:szCs w:val="21"/>
                      <w:highlight w:val="none"/>
                      <w:vertAlign w:val="subscript"/>
                      <w:lang w:val="en-US" w:eastAsia="zh-CN" w:bidi="ar"/>
                    </w:rPr>
                    <w:t>2</w:t>
                  </w:r>
                  <w:r>
                    <w:rPr>
                      <w:rFonts w:hint="default" w:ascii="Times New Roman" w:hAnsi="Times New Roman" w:eastAsia="宋体" w:cs="Times New Roman"/>
                      <w:color w:val="auto"/>
                      <w:kern w:val="2"/>
                      <w:sz w:val="21"/>
                      <w:szCs w:val="21"/>
                      <w:highlight w:val="none"/>
                      <w:lang w:val="en-US" w:eastAsia="zh-CN" w:bidi="ar"/>
                    </w:rPr>
                    <w:t>）、有机物中甲醇（CH</w:t>
                  </w:r>
                  <w:r>
                    <w:rPr>
                      <w:rFonts w:hint="default" w:ascii="Times New Roman" w:hAnsi="Times New Roman" w:eastAsia="宋体" w:cs="Times New Roman"/>
                      <w:color w:val="auto"/>
                      <w:kern w:val="2"/>
                      <w:sz w:val="21"/>
                      <w:szCs w:val="21"/>
                      <w:highlight w:val="none"/>
                      <w:vertAlign w:val="subscript"/>
                      <w:lang w:val="en-US" w:eastAsia="zh-CN" w:bidi="ar"/>
                    </w:rPr>
                    <w:t>3</w:t>
                  </w:r>
                  <w:r>
                    <w:rPr>
                      <w:rFonts w:hint="default" w:ascii="Times New Roman" w:hAnsi="Times New Roman" w:eastAsia="宋体" w:cs="Times New Roman"/>
                      <w:color w:val="auto"/>
                      <w:kern w:val="2"/>
                      <w:sz w:val="21"/>
                      <w:szCs w:val="21"/>
                      <w:highlight w:val="none"/>
                      <w:lang w:val="en-US" w:eastAsia="zh-CN" w:bidi="ar"/>
                    </w:rPr>
                    <w:t>OH）、乙醇（C</w:t>
                  </w:r>
                  <w:r>
                    <w:rPr>
                      <w:rFonts w:hint="default" w:ascii="Times New Roman" w:hAnsi="Times New Roman" w:eastAsia="宋体" w:cs="Times New Roman"/>
                      <w:color w:val="auto"/>
                      <w:kern w:val="2"/>
                      <w:sz w:val="21"/>
                      <w:szCs w:val="21"/>
                      <w:highlight w:val="none"/>
                      <w:vertAlign w:val="subscript"/>
                      <w:lang w:val="en-US" w:eastAsia="zh-CN" w:bidi="ar"/>
                    </w:rPr>
                    <w:t>2</w:t>
                  </w:r>
                  <w:r>
                    <w:rPr>
                      <w:rFonts w:hint="default" w:ascii="Times New Roman" w:hAnsi="Times New Roman" w:eastAsia="宋体" w:cs="Times New Roman"/>
                      <w:color w:val="auto"/>
                      <w:kern w:val="2"/>
                      <w:sz w:val="21"/>
                      <w:szCs w:val="21"/>
                      <w:highlight w:val="none"/>
                      <w:lang w:val="en-US" w:eastAsia="zh-CN" w:bidi="ar"/>
                    </w:rPr>
                    <w:t>H</w:t>
                  </w:r>
                  <w:r>
                    <w:rPr>
                      <w:rFonts w:hint="default" w:ascii="Times New Roman" w:hAnsi="Times New Roman" w:eastAsia="宋体" w:cs="Times New Roman"/>
                      <w:color w:val="auto"/>
                      <w:kern w:val="2"/>
                      <w:sz w:val="21"/>
                      <w:szCs w:val="21"/>
                      <w:highlight w:val="none"/>
                      <w:vertAlign w:val="subscript"/>
                      <w:lang w:val="en-US" w:eastAsia="zh-CN" w:bidi="ar"/>
                    </w:rPr>
                    <w:t>5</w:t>
                  </w:r>
                  <w:r>
                    <w:rPr>
                      <w:rFonts w:hint="default" w:ascii="Times New Roman" w:hAnsi="Times New Roman" w:eastAsia="宋体" w:cs="Times New Roman"/>
                      <w:color w:val="auto"/>
                      <w:kern w:val="2"/>
                      <w:sz w:val="21"/>
                      <w:szCs w:val="21"/>
                      <w:highlight w:val="none"/>
                      <w:lang w:val="en-US" w:eastAsia="zh-CN" w:bidi="ar"/>
                    </w:rPr>
                    <w:t>OH俗名酒精）、乙二醇（C</w:t>
                  </w:r>
                  <w:r>
                    <w:rPr>
                      <w:rFonts w:hint="default" w:ascii="Times New Roman" w:hAnsi="Times New Roman" w:eastAsia="宋体" w:cs="Times New Roman"/>
                      <w:color w:val="auto"/>
                      <w:kern w:val="2"/>
                      <w:sz w:val="21"/>
                      <w:szCs w:val="21"/>
                      <w:highlight w:val="none"/>
                      <w:vertAlign w:val="subscript"/>
                      <w:lang w:val="en-US" w:eastAsia="zh-CN" w:bidi="ar"/>
                    </w:rPr>
                    <w:t>2</w:t>
                  </w:r>
                  <w:r>
                    <w:rPr>
                      <w:rFonts w:hint="default" w:ascii="Times New Roman" w:hAnsi="Times New Roman" w:eastAsia="宋体" w:cs="Times New Roman"/>
                      <w:color w:val="auto"/>
                      <w:kern w:val="2"/>
                      <w:sz w:val="21"/>
                      <w:szCs w:val="21"/>
                      <w:highlight w:val="none"/>
                      <w:lang w:val="en-US" w:eastAsia="zh-CN" w:bidi="ar"/>
                    </w:rPr>
                    <w:t>H</w:t>
                  </w:r>
                  <w:r>
                    <w:rPr>
                      <w:rFonts w:hint="default" w:ascii="Times New Roman" w:hAnsi="Times New Roman" w:eastAsia="宋体" w:cs="Times New Roman"/>
                      <w:color w:val="auto"/>
                      <w:kern w:val="2"/>
                      <w:sz w:val="21"/>
                      <w:szCs w:val="21"/>
                      <w:highlight w:val="none"/>
                      <w:vertAlign w:val="subscript"/>
                      <w:lang w:val="en-US" w:eastAsia="zh-CN" w:bidi="ar"/>
                    </w:rPr>
                    <w:t>4</w:t>
                  </w:r>
                  <w:r>
                    <w:rPr>
                      <w:rFonts w:hint="default" w:ascii="Times New Roman" w:hAnsi="Times New Roman" w:eastAsia="宋体" w:cs="Times New Roman"/>
                      <w:color w:val="auto"/>
                      <w:kern w:val="2"/>
                      <w:sz w:val="21"/>
                      <w:szCs w:val="21"/>
                      <w:highlight w:val="none"/>
                      <w:lang w:val="en-US" w:eastAsia="zh-CN" w:bidi="ar"/>
                    </w:rPr>
                    <w:t>（OH）</w:t>
                  </w:r>
                  <w:r>
                    <w:rPr>
                      <w:rFonts w:hint="default" w:ascii="Times New Roman" w:hAnsi="Times New Roman" w:eastAsia="宋体" w:cs="Times New Roman"/>
                      <w:color w:val="auto"/>
                      <w:kern w:val="2"/>
                      <w:sz w:val="21"/>
                      <w:szCs w:val="21"/>
                      <w:highlight w:val="none"/>
                      <w:vertAlign w:val="subscript"/>
                      <w:lang w:val="en-US" w:eastAsia="zh-CN" w:bidi="ar"/>
                    </w:rPr>
                    <w:t>2</w:t>
                  </w:r>
                  <w:r>
                    <w:rPr>
                      <w:rFonts w:hint="default" w:ascii="Times New Roman" w:hAnsi="Times New Roman" w:eastAsia="宋体" w:cs="Times New Roman"/>
                      <w:color w:val="auto"/>
                      <w:kern w:val="2"/>
                      <w:sz w:val="21"/>
                      <w:szCs w:val="21"/>
                      <w:highlight w:val="none"/>
                      <w:lang w:val="en-US" w:eastAsia="zh-CN" w:bidi="ar"/>
                    </w:rPr>
                    <w:t>，俗名甜醇）、丙三醇（C</w:t>
                  </w:r>
                  <w:r>
                    <w:rPr>
                      <w:rFonts w:hint="default" w:ascii="Times New Roman" w:hAnsi="Times New Roman" w:eastAsia="宋体" w:cs="Times New Roman"/>
                      <w:color w:val="auto"/>
                      <w:kern w:val="2"/>
                      <w:sz w:val="21"/>
                      <w:szCs w:val="21"/>
                      <w:highlight w:val="none"/>
                      <w:vertAlign w:val="subscript"/>
                      <w:lang w:val="en-US" w:eastAsia="zh-CN" w:bidi="ar"/>
                    </w:rPr>
                    <w:t>3</w:t>
                  </w:r>
                  <w:r>
                    <w:rPr>
                      <w:rFonts w:hint="default" w:ascii="Times New Roman" w:hAnsi="Times New Roman" w:eastAsia="宋体" w:cs="Times New Roman"/>
                      <w:color w:val="auto"/>
                      <w:kern w:val="2"/>
                      <w:sz w:val="21"/>
                      <w:szCs w:val="21"/>
                      <w:highlight w:val="none"/>
                      <w:lang w:val="en-US" w:eastAsia="zh-CN" w:bidi="ar"/>
                    </w:rPr>
                    <w:t>H</w:t>
                  </w:r>
                  <w:r>
                    <w:rPr>
                      <w:rFonts w:hint="default" w:ascii="Times New Roman" w:hAnsi="Times New Roman" w:eastAsia="宋体" w:cs="Times New Roman"/>
                      <w:color w:val="auto"/>
                      <w:kern w:val="2"/>
                      <w:sz w:val="21"/>
                      <w:szCs w:val="21"/>
                      <w:highlight w:val="none"/>
                      <w:vertAlign w:val="subscript"/>
                      <w:lang w:val="en-US" w:eastAsia="zh-CN" w:bidi="ar"/>
                    </w:rPr>
                    <w:t>5</w:t>
                  </w:r>
                  <w:r>
                    <w:rPr>
                      <w:rFonts w:hint="default" w:ascii="Times New Roman" w:hAnsi="Times New Roman" w:eastAsia="宋体" w:cs="Times New Roman"/>
                      <w:color w:val="auto"/>
                      <w:kern w:val="2"/>
                      <w:sz w:val="21"/>
                      <w:szCs w:val="21"/>
                      <w:highlight w:val="none"/>
                      <w:lang w:val="en-US" w:eastAsia="zh-CN" w:bidi="ar"/>
                    </w:rPr>
                    <w:t>（OH</w:t>
                  </w:r>
                  <w:r>
                    <w:rPr>
                      <w:rFonts w:hint="default" w:ascii="Times New Roman" w:hAnsi="Times New Roman" w:eastAsia="宋体" w:cs="Times New Roman"/>
                      <w:color w:val="auto"/>
                      <w:kern w:val="2"/>
                      <w:sz w:val="21"/>
                      <w:szCs w:val="21"/>
                      <w:highlight w:val="none"/>
                      <w:vertAlign w:val="subscript"/>
                      <w:lang w:val="en-US" w:eastAsia="zh-CN" w:bidi="ar"/>
                    </w:rPr>
                    <w:t>3</w:t>
                  </w:r>
                  <w:r>
                    <w:rPr>
                      <w:rFonts w:hint="default" w:ascii="Times New Roman" w:hAnsi="Times New Roman" w:eastAsia="宋体" w:cs="Times New Roman"/>
                      <w:color w:val="auto"/>
                      <w:kern w:val="2"/>
                      <w:sz w:val="21"/>
                      <w:szCs w:val="21"/>
                      <w:highlight w:val="none"/>
                      <w:lang w:val="en-US" w:eastAsia="zh-CN" w:bidi="ar"/>
                    </w:rPr>
                    <w:t>，俗名甘油）、润滑油以及我们日常生活中常见的砂糖、蜂蜜等，都可作为防冻液的母液，在加入适量纯净软水（不含或少量含有钙、镁离子水，如蒸馏水、未受污染的雨水、雪水等，其水质的总硬度成分浓度在0-30ppm之间）后，即可成为一般意义上的防冻液。挡风玻璃洗涤液：俗称玻璃水，优质的汽车挡风玻璃水主要由水、酒精、乙二醇、缓蚀及多种表面活性剂组成。理化指标：PH&gt;6，比重&gt;0.9，粘性：水样粘性，气味：轻微愉快气味。</w:t>
                  </w:r>
                </w:p>
              </w:tc>
            </w:tr>
            <w:tr w14:paraId="088A274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4" w:type="pct"/>
                  <w:tcBorders>
                    <w:tl2br w:val="nil"/>
                    <w:tr2bl w:val="nil"/>
                  </w:tcBorders>
                  <w:noWrap w:val="0"/>
                  <w:vAlign w:val="center"/>
                </w:tcPr>
                <w:p w14:paraId="5274A64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kern w:val="0"/>
                      <w:sz w:val="21"/>
                      <w:szCs w:val="21"/>
                      <w:highlight w:val="none"/>
                      <w:lang w:val="en-US" w:eastAsia="zh-CN" w:bidi="ar"/>
                    </w:rPr>
                    <w:t>废矿物油与含油废物</w:t>
                  </w:r>
                </w:p>
              </w:tc>
              <w:tc>
                <w:tcPr>
                  <w:tcW w:w="4405" w:type="pct"/>
                  <w:tcBorders>
                    <w:tl2br w:val="nil"/>
                    <w:tr2bl w:val="nil"/>
                  </w:tcBorders>
                  <w:noWrap w:val="0"/>
                  <w:vAlign w:val="center"/>
                </w:tcPr>
                <w:p w14:paraId="749FD1EC">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燃料油、发动机油、变速器/齿轮箱油、动力转向油、制动液等，危害：急性吸入，可出现乏力、头晕、头痛、恶心，严重者可引起油脂性肺炎。慢接触者，暴露部位可发生油性痤疮和接触性皮炎。可引起神经衰弱综合征，呼吸道和眼刺激症状及慢性油脂性肺炎。</w:t>
                  </w:r>
                </w:p>
              </w:tc>
            </w:tr>
            <w:tr w14:paraId="3E708E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4" w:type="pct"/>
                  <w:tcBorders>
                    <w:tl2br w:val="nil"/>
                    <w:tr2bl w:val="nil"/>
                  </w:tcBorders>
                  <w:noWrap w:val="0"/>
                  <w:vAlign w:val="center"/>
                </w:tcPr>
                <w:p w14:paraId="7685196E">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pacing w:val="4"/>
                      <w:sz w:val="21"/>
                      <w:szCs w:val="21"/>
                      <w:highlight w:val="none"/>
                      <w:lang w:val="en-US"/>
                    </w:rPr>
                  </w:pPr>
                  <w:r>
                    <w:rPr>
                      <w:rFonts w:hint="default" w:ascii="Times New Roman" w:hAnsi="Times New Roman" w:eastAsia="宋体" w:cs="Times New Roman"/>
                      <w:color w:val="auto"/>
                      <w:kern w:val="0"/>
                      <w:sz w:val="21"/>
                      <w:szCs w:val="21"/>
                      <w:highlight w:val="none"/>
                      <w:lang w:val="en-US" w:eastAsia="zh-CN" w:bidi="ar"/>
                    </w:rPr>
                    <w:t>废铅蓄电池</w:t>
                  </w:r>
                  <w:r>
                    <w:rPr>
                      <w:rFonts w:hint="eastAsia" w:cs="Times New Roman"/>
                      <w:color w:val="auto"/>
                      <w:kern w:val="0"/>
                      <w:sz w:val="21"/>
                      <w:szCs w:val="21"/>
                      <w:highlight w:val="none"/>
                      <w:lang w:val="en-US" w:eastAsia="zh-CN" w:bidi="ar"/>
                    </w:rPr>
                    <w:t>及废电解液</w:t>
                  </w:r>
                </w:p>
              </w:tc>
              <w:tc>
                <w:tcPr>
                  <w:tcW w:w="4405" w:type="pct"/>
                  <w:tcBorders>
                    <w:tl2br w:val="nil"/>
                    <w:tr2bl w:val="nil"/>
                  </w:tcBorders>
                  <w:noWrap w:val="0"/>
                  <w:vAlign w:val="center"/>
                </w:tcPr>
                <w:p w14:paraId="644535DB">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铅蓄电池电极主要由铅及其氧化物制成，电解液是硫酸溶液的蓄电池，一般是由电池外壳（主要由塑料、橡胶、玻璃纤维等组成）、电极（正极一般为铅-锑-钙合金栏板，内含氧化铅为活性物质；负极一般为铅-锑-钙合金栏板，内含海绵状纤维活性物质），电解液（硫酸溶液）组成。电解液10%-20%（硫酸浓度约为40%）</w:t>
                  </w:r>
                </w:p>
              </w:tc>
            </w:tr>
            <w:tr w14:paraId="4CB4F4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4" w:type="pct"/>
                  <w:tcBorders>
                    <w:tl2br w:val="nil"/>
                    <w:tr2bl w:val="nil"/>
                  </w:tcBorders>
                  <w:noWrap w:val="0"/>
                  <w:vAlign w:val="center"/>
                </w:tcPr>
                <w:p w14:paraId="1E6218A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pacing w:val="4"/>
                      <w:sz w:val="21"/>
                      <w:szCs w:val="21"/>
                      <w:highlight w:val="none"/>
                    </w:rPr>
                  </w:pPr>
                  <w:r>
                    <w:rPr>
                      <w:rFonts w:hint="default" w:ascii="Times New Roman" w:hAnsi="Times New Roman" w:eastAsia="宋体" w:cs="Times New Roman"/>
                      <w:color w:val="auto"/>
                      <w:kern w:val="0"/>
                      <w:sz w:val="21"/>
                      <w:szCs w:val="21"/>
                      <w:highlight w:val="none"/>
                      <w:lang w:val="en-US" w:eastAsia="zh-CN" w:bidi="ar"/>
                    </w:rPr>
                    <w:t>废尾气催化剂</w:t>
                  </w:r>
                </w:p>
              </w:tc>
              <w:tc>
                <w:tcPr>
                  <w:tcW w:w="4405" w:type="pct"/>
                  <w:tcBorders>
                    <w:tl2br w:val="nil"/>
                    <w:tr2bl w:val="nil"/>
                  </w:tcBorders>
                  <w:noWrap w:val="0"/>
                  <w:vAlign w:val="center"/>
                </w:tcPr>
                <w:p w14:paraId="27FED9DF">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汽车尾气催化剂</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auto-exhaust catalyst</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是汽车尾气催化转化器中使用催化剂。其作用是通过催化汽车尾气中的CO和NOx转化为转化CO</w:t>
                  </w:r>
                  <w:r>
                    <w:rPr>
                      <w:rFonts w:hint="default" w:ascii="Times New Roman" w:hAnsi="Times New Roman" w:eastAsia="宋体" w:cs="Times New Roman"/>
                      <w:color w:val="auto"/>
                      <w:kern w:val="0"/>
                      <w:sz w:val="21"/>
                      <w:szCs w:val="21"/>
                      <w:highlight w:val="none"/>
                      <w:vertAlign w:val="subscript"/>
                      <w:lang w:val="en-US" w:eastAsia="zh-CN" w:bidi="ar"/>
                    </w:rPr>
                    <w:t>2</w:t>
                  </w:r>
                  <w:r>
                    <w:rPr>
                      <w:rFonts w:hint="default" w:ascii="Times New Roman" w:hAnsi="Times New Roman" w:eastAsia="宋体" w:cs="Times New Roman"/>
                      <w:color w:val="auto"/>
                      <w:kern w:val="0"/>
                      <w:sz w:val="21"/>
                      <w:szCs w:val="21"/>
                      <w:highlight w:val="none"/>
                      <w:lang w:val="en-US" w:eastAsia="zh-CN" w:bidi="ar"/>
                    </w:rPr>
                    <w:t>、N</w:t>
                  </w:r>
                  <w:r>
                    <w:rPr>
                      <w:rFonts w:hint="default" w:ascii="Times New Roman" w:hAnsi="Times New Roman" w:eastAsia="宋体" w:cs="Times New Roman"/>
                      <w:color w:val="auto"/>
                      <w:kern w:val="0"/>
                      <w:sz w:val="21"/>
                      <w:szCs w:val="21"/>
                      <w:highlight w:val="none"/>
                      <w:vertAlign w:val="subscript"/>
                      <w:lang w:val="en-US" w:eastAsia="zh-CN" w:bidi="ar"/>
                    </w:rPr>
                    <w:t>2</w:t>
                  </w:r>
                  <w:r>
                    <w:rPr>
                      <w:rFonts w:hint="default" w:ascii="Times New Roman" w:hAnsi="Times New Roman" w:eastAsia="宋体" w:cs="Times New Roman"/>
                      <w:color w:val="auto"/>
                      <w:kern w:val="0"/>
                      <w:sz w:val="21"/>
                      <w:szCs w:val="21"/>
                      <w:highlight w:val="none"/>
                      <w:lang w:val="en-US" w:eastAsia="zh-CN" w:bidi="ar"/>
                    </w:rPr>
                    <w:t>和H</w:t>
                  </w:r>
                  <w:r>
                    <w:rPr>
                      <w:rFonts w:hint="default" w:ascii="Times New Roman" w:hAnsi="Times New Roman" w:eastAsia="宋体" w:cs="Times New Roman"/>
                      <w:color w:val="auto"/>
                      <w:kern w:val="0"/>
                      <w:sz w:val="21"/>
                      <w:szCs w:val="21"/>
                      <w:highlight w:val="none"/>
                      <w:vertAlign w:val="subscript"/>
                      <w:lang w:val="en-US" w:eastAsia="zh-CN" w:bidi="ar"/>
                    </w:rPr>
                    <w:t>2</w:t>
                  </w:r>
                  <w:r>
                    <w:rPr>
                      <w:rFonts w:hint="default" w:ascii="Times New Roman" w:hAnsi="Times New Roman" w:eastAsia="宋体" w:cs="Times New Roman"/>
                      <w:color w:val="auto"/>
                      <w:kern w:val="0"/>
                      <w:sz w:val="21"/>
                      <w:szCs w:val="21"/>
                      <w:highlight w:val="none"/>
                      <w:lang w:val="en-US" w:eastAsia="zh-CN" w:bidi="ar"/>
                    </w:rPr>
                    <w:t>O。一般催化剂主体中含Pt、Rh、Pd等贵金属。</w:t>
                  </w:r>
                </w:p>
              </w:tc>
            </w:tr>
            <w:tr w14:paraId="73B7F1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594" w:type="pct"/>
                  <w:tcBorders>
                    <w:tl2br w:val="nil"/>
                    <w:tr2bl w:val="nil"/>
                  </w:tcBorders>
                  <w:noWrap w:val="0"/>
                  <w:vAlign w:val="center"/>
                </w:tcPr>
                <w:p w14:paraId="70068F5D">
                  <w:pPr>
                    <w:keepNext w:val="0"/>
                    <w:keepLines w:val="0"/>
                    <w:suppressLineNumbers w:val="0"/>
                    <w:spacing w:before="32" w:beforeAutospacing="0" w:after="0" w:afterAutospacing="0" w:line="227" w:lineRule="auto"/>
                    <w:ind w:left="0" w:right="0"/>
                    <w:jc w:val="center"/>
                    <w:rPr>
                      <w:rFonts w:hint="default" w:ascii="Times New Roman" w:hAnsi="Times New Roman" w:eastAsia="宋体" w:cs="Times New Roman"/>
                      <w:color w:val="auto"/>
                      <w:spacing w:val="4"/>
                      <w:sz w:val="21"/>
                      <w:szCs w:val="21"/>
                      <w:highlight w:val="none"/>
                      <w:lang w:eastAsia="zh-CN"/>
                    </w:rPr>
                  </w:pPr>
                  <w:r>
                    <w:rPr>
                      <w:rFonts w:hint="default" w:ascii="Times New Roman" w:hAnsi="Times New Roman" w:eastAsia="宋体" w:cs="Times New Roman"/>
                      <w:color w:val="auto"/>
                      <w:spacing w:val="4"/>
                      <w:sz w:val="21"/>
                      <w:szCs w:val="21"/>
                      <w:highlight w:val="none"/>
                      <w:lang w:eastAsia="zh-CN"/>
                    </w:rPr>
                    <w:t>废电子元器件（铅、汞、铬、锰等）</w:t>
                  </w:r>
                </w:p>
              </w:tc>
              <w:tc>
                <w:tcPr>
                  <w:tcW w:w="4405" w:type="pct"/>
                  <w:tcBorders>
                    <w:tl2br w:val="nil"/>
                    <w:tr2bl w:val="nil"/>
                  </w:tcBorders>
                  <w:noWrap w:val="0"/>
                  <w:vAlign w:val="center"/>
                </w:tcPr>
                <w:p w14:paraId="2CBCA575">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 xml:space="preserve">理化性质 </w:t>
                  </w:r>
                </w:p>
                <w:p w14:paraId="06D9CCA4">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铅：铅是柔软和延展性强的弱金属，有毒，为带蓝色的银白色重金属，熔点327.502℃，沸1740℃，密度11.3437g/cm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 xml:space="preserve">，硬度1.5，质地柔软，抗张强度小。金属铅在空气中受到氧、水和二氧化碳作用，其表面会很快氧化生成保护薄膜；在加热下，铅能很快与氧、硫、卤素化合；铅与冷盐酸、冷硫酸几乎不起作用，能与热或浓盐酸、硫酸反应；铅与稀硝酸反应，但与浓硝酸不反应；铅能缓慢溶于强碱性溶液。 </w:t>
                  </w:r>
                </w:p>
                <w:p w14:paraId="57C6829C">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汞：银白色液态重金属，在常温下可挥发，洒落可形成“小水珠”，熔点为-38.9℃，沸点 356.9℃，密度13.55g/cm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。不溶于水、盐酸、稀硫酸，溶于浓硝酸，易溶于王水及浓硫酸。</w:t>
                  </w:r>
                </w:p>
                <w:p w14:paraId="2E1A42AB">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镉：镉是银白色有光泽的重金属，熔点320.9℃，沸点765℃，密度8.65g/cm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。有韧性和延展性。镉在潮湿空气中缓慢氧化并失去金属光泽，加热时表面形成棕色的氧化物层。高温下镉与卤素反应激烈</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形成卤化镉；也可与硫直接化合，生成硫化镉。镉可溶于酸，但不溶于碱；镉的氧化态为+1、+2；氧化镉和氢氧化镉的溶解度都很小，它们溶于酸</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但不溶于碱。镉可形成多种配离子，如 Cd</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NH</w:t>
                  </w:r>
                  <w:r>
                    <w:rPr>
                      <w:rFonts w:hint="default" w:ascii="Times New Roman" w:hAnsi="Times New Roman" w:eastAsia="宋体" w:cs="Times New Roman"/>
                      <w:color w:val="auto"/>
                      <w:kern w:val="0"/>
                      <w:sz w:val="21"/>
                      <w:szCs w:val="21"/>
                      <w:highlight w:val="none"/>
                      <w:vertAlign w:val="subscript"/>
                      <w:lang w:val="en-US" w:eastAsia="zh-CN" w:bidi="ar"/>
                    </w:rPr>
                    <w:t>3</w:t>
                  </w:r>
                  <w:r>
                    <w:rPr>
                      <w:rFonts w:hint="eastAsia" w:cs="Times New Roman"/>
                      <w:color w:val="auto"/>
                      <w:kern w:val="0"/>
                      <w:sz w:val="21"/>
                      <w:szCs w:val="21"/>
                      <w:highlight w:val="none"/>
                      <w:vertAlign w:val="subscript"/>
                      <w:lang w:val="en-US" w:eastAsia="zh-CN" w:bidi="ar"/>
                    </w:rPr>
                    <w:t>）</w:t>
                  </w:r>
                  <w:r>
                    <w:rPr>
                      <w:rFonts w:hint="default" w:ascii="Times New Roman" w:hAnsi="Times New Roman" w:eastAsia="宋体" w:cs="Times New Roman"/>
                      <w:color w:val="auto"/>
                      <w:kern w:val="0"/>
                      <w:sz w:val="21"/>
                      <w:szCs w:val="21"/>
                      <w:highlight w:val="none"/>
                      <w:lang w:val="en-US" w:eastAsia="zh-CN" w:bidi="ar"/>
                    </w:rPr>
                    <w:t>、Cd(CN</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 xml:space="preserve">、CdCl等。 </w:t>
                  </w:r>
                </w:p>
                <w:p w14:paraId="44455E4C">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锰：锰是一种灰白色、硬脆、有光泽的重金属，熔点1244℃，沸点1962℃，密度7.3g/cm</w:t>
                  </w:r>
                  <w:r>
                    <w:rPr>
                      <w:rFonts w:hint="default" w:ascii="Times New Roman" w:hAnsi="Times New Roman" w:eastAsia="宋体" w:cs="Times New Roman"/>
                      <w:color w:val="auto"/>
                      <w:kern w:val="0"/>
                      <w:sz w:val="21"/>
                      <w:szCs w:val="21"/>
                      <w:highlight w:val="none"/>
                      <w:vertAlign w:val="superscript"/>
                      <w:lang w:val="en-US" w:eastAsia="zh-CN" w:bidi="ar"/>
                    </w:rPr>
                    <w:t>3</w:t>
                  </w:r>
                  <w:r>
                    <w:rPr>
                      <w:rFonts w:hint="default" w:ascii="Times New Roman" w:hAnsi="Times New Roman" w:eastAsia="宋体" w:cs="Times New Roman"/>
                      <w:color w:val="auto"/>
                      <w:kern w:val="0"/>
                      <w:sz w:val="21"/>
                      <w:szCs w:val="21"/>
                      <w:highlight w:val="none"/>
                      <w:lang w:val="en-US" w:eastAsia="zh-CN" w:bidi="ar"/>
                    </w:rPr>
                    <w:t xml:space="preserve">。锰属于比较活泼的金属，加热时能和氧气化合，易溶于稀酸生成二价锰盐。 </w:t>
                  </w:r>
                </w:p>
                <w:p w14:paraId="697696FE">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 xml:space="preserve">危害： </w:t>
                  </w:r>
                </w:p>
                <w:p w14:paraId="7FC5D79A">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铅：神经系统</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神经衰弱、手足麻木</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、消化系统</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消化不良、腹部绞痛</w:t>
                  </w:r>
                  <w:r>
                    <w:rPr>
                      <w:rFonts w:hint="eastAsia" w:cs="Times New Roman"/>
                      <w:color w:val="auto"/>
                      <w:kern w:val="0"/>
                      <w:sz w:val="21"/>
                      <w:szCs w:val="21"/>
                      <w:highlight w:val="none"/>
                      <w:lang w:val="en-US" w:eastAsia="zh-CN" w:bidi="ar"/>
                    </w:rPr>
                    <w:t>）</w:t>
                  </w:r>
                  <w:r>
                    <w:rPr>
                      <w:rFonts w:hint="default" w:ascii="Times New Roman" w:hAnsi="Times New Roman" w:eastAsia="宋体" w:cs="Times New Roman"/>
                      <w:color w:val="auto"/>
                      <w:kern w:val="0"/>
                      <w:sz w:val="21"/>
                      <w:szCs w:val="21"/>
                      <w:highlight w:val="none"/>
                      <w:lang w:val="en-US" w:eastAsia="zh-CN" w:bidi="ar"/>
                    </w:rPr>
                    <w:t>、血液中毒和</w:t>
                  </w:r>
                  <w:r>
                    <w:rPr>
                      <w:rFonts w:hint="eastAsia" w:cs="Times New Roman"/>
                      <w:color w:val="auto"/>
                      <w:kern w:val="0"/>
                      <w:sz w:val="21"/>
                      <w:szCs w:val="21"/>
                      <w:highlight w:val="none"/>
                      <w:lang w:val="en-US" w:eastAsia="zh-CN" w:bidi="ar"/>
                    </w:rPr>
                    <w:t>其他</w:t>
                  </w:r>
                  <w:r>
                    <w:rPr>
                      <w:rFonts w:hint="default" w:ascii="Times New Roman" w:hAnsi="Times New Roman" w:eastAsia="宋体" w:cs="Times New Roman"/>
                      <w:color w:val="auto"/>
                      <w:kern w:val="0"/>
                      <w:sz w:val="21"/>
                      <w:szCs w:val="21"/>
                      <w:highlight w:val="none"/>
                      <w:lang w:val="en-US" w:eastAsia="zh-CN" w:bidi="ar"/>
                    </w:rPr>
                    <w:t xml:space="preserve">病变。 </w:t>
                  </w:r>
                </w:p>
                <w:p w14:paraId="185236A9">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0"/>
                      <w:sz w:val="21"/>
                      <w:szCs w:val="21"/>
                      <w:highlight w:val="none"/>
                      <w:lang w:val="en-US" w:eastAsia="zh-CN" w:bidi="ar"/>
                    </w:rPr>
                    <w:t xml:space="preserve">汞：精神状态改变是汞中毒的-大症状。脉搏加快，肌肉颤动，口腔和消化系统病变。 </w:t>
                  </w:r>
                </w:p>
                <w:p w14:paraId="3E2AE711">
                  <w:pPr>
                    <w:keepNext w:val="0"/>
                    <w:keepLines w:val="0"/>
                    <w:widowControl/>
                    <w:suppressLineNumbers w:val="0"/>
                    <w:spacing w:before="0" w:beforeAutospacing="0" w:after="0" w:afterAutospacing="0"/>
                    <w:ind w:left="0" w:right="0"/>
                    <w:jc w:val="both"/>
                    <w:rPr>
                      <w:rFonts w:hint="default" w:ascii="Times New Roman" w:hAnsi="Times New Roman" w:eastAsia="宋体" w:cs="Times New Roman"/>
                      <w:color w:val="auto"/>
                      <w:spacing w:val="4"/>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bidi="ar"/>
                    </w:rPr>
                    <w:t>镉、锰：主要危害神经系统。</w:t>
                  </w:r>
                </w:p>
              </w:tc>
            </w:tr>
          </w:tbl>
          <w:p w14:paraId="5FFB694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4" w:firstLineChars="200"/>
              <w:textAlignment w:val="auto"/>
              <w:rPr>
                <w:rFonts w:hint="eastAsia" w:cs="Times New Roman"/>
                <w:b w:val="0"/>
                <w:bCs w:val="0"/>
                <w:color w:val="auto"/>
                <w:spacing w:val="1"/>
                <w:sz w:val="24"/>
                <w:szCs w:val="24"/>
                <w:highlight w:val="none"/>
                <w:lang w:val="en-US" w:eastAsia="zh-CN"/>
              </w:rPr>
            </w:pPr>
            <w:r>
              <w:rPr>
                <w:rFonts w:hint="eastAsia" w:cs="Times New Roman"/>
                <w:b w:val="0"/>
                <w:bCs w:val="0"/>
                <w:color w:val="auto"/>
                <w:spacing w:val="1"/>
                <w:sz w:val="24"/>
                <w:szCs w:val="24"/>
                <w:highlight w:val="none"/>
                <w:lang w:val="en-US" w:eastAsia="zh-CN"/>
              </w:rPr>
              <w:t>②</w:t>
            </w:r>
            <w:r>
              <w:rPr>
                <w:rFonts w:hint="default"/>
                <w:b w:val="0"/>
                <w:bCs w:val="0"/>
                <w:color w:val="auto"/>
                <w:spacing w:val="-2"/>
              </w:rPr>
              <w:t>R134a</w:t>
            </w:r>
            <w:r>
              <w:rPr>
                <w:rFonts w:hint="default"/>
                <w:b w:val="0"/>
                <w:bCs w:val="0"/>
                <w:color w:val="auto"/>
                <w:spacing w:val="-48"/>
              </w:rPr>
              <w:t xml:space="preserve"> </w:t>
            </w:r>
            <w:r>
              <w:rPr>
                <w:rFonts w:hint="eastAsia" w:cs="Times New Roman"/>
                <w:b w:val="0"/>
                <w:bCs w:val="0"/>
                <w:color w:val="auto"/>
                <w:spacing w:val="1"/>
                <w:sz w:val="24"/>
                <w:szCs w:val="24"/>
                <w:highlight w:val="none"/>
                <w:lang w:val="en-US" w:eastAsia="zh-CN"/>
              </w:rPr>
              <w:t>制冷剂</w:t>
            </w:r>
          </w:p>
          <w:p w14:paraId="4CBE064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72" w:firstLineChars="200"/>
              <w:textAlignment w:val="auto"/>
              <w:rPr>
                <w:rFonts w:hint="default" w:cs="Times New Roman"/>
                <w:b/>
                <w:bCs/>
                <w:color w:val="auto"/>
                <w:spacing w:val="1"/>
                <w:sz w:val="24"/>
                <w:szCs w:val="24"/>
                <w:highlight w:val="none"/>
                <w:lang w:val="en-US" w:eastAsia="zh-CN"/>
              </w:rPr>
            </w:pPr>
            <w:r>
              <w:rPr>
                <w:rFonts w:hint="default" w:ascii="Times New Roman" w:hAnsi="Times New Roman" w:eastAsia="Times New Roman" w:cs="Times New Roman"/>
                <w:color w:val="auto"/>
                <w:spacing w:val="-2"/>
              </w:rPr>
              <w:t>R-134a</w:t>
            </w:r>
            <w:r>
              <w:rPr>
                <w:rFonts w:hint="default"/>
                <w:color w:val="auto"/>
                <w:spacing w:val="-2"/>
              </w:rPr>
              <w:t>（</w:t>
            </w:r>
            <w:r>
              <w:rPr>
                <w:rFonts w:hint="default" w:ascii="Times New Roman" w:hAnsi="Times New Roman" w:eastAsia="Times New Roman" w:cs="Times New Roman"/>
                <w:color w:val="auto"/>
                <w:spacing w:val="-2"/>
              </w:rPr>
              <w:t>1,</w:t>
            </w:r>
            <w:r>
              <w:rPr>
                <w:rFonts w:hint="default" w:ascii="Times New Roman" w:hAnsi="Times New Roman" w:eastAsia="Times New Roman" w:cs="Times New Roman"/>
                <w:color w:val="auto"/>
                <w:spacing w:val="-32"/>
              </w:rPr>
              <w:t xml:space="preserve"> </w:t>
            </w:r>
            <w:r>
              <w:rPr>
                <w:rFonts w:hint="default" w:ascii="Times New Roman" w:hAnsi="Times New Roman" w:eastAsia="Times New Roman" w:cs="Times New Roman"/>
                <w:color w:val="auto"/>
                <w:spacing w:val="-2"/>
              </w:rPr>
              <w:t>1,</w:t>
            </w:r>
            <w:r>
              <w:rPr>
                <w:rFonts w:hint="default" w:ascii="Times New Roman" w:hAnsi="Times New Roman" w:eastAsia="Times New Roman" w:cs="Times New Roman"/>
                <w:color w:val="auto"/>
                <w:spacing w:val="-32"/>
              </w:rPr>
              <w:t xml:space="preserve"> </w:t>
            </w:r>
            <w:r>
              <w:rPr>
                <w:rFonts w:hint="default" w:ascii="Times New Roman" w:hAnsi="Times New Roman" w:eastAsia="Times New Roman" w:cs="Times New Roman"/>
                <w:color w:val="auto"/>
                <w:spacing w:val="-2"/>
              </w:rPr>
              <w:t>1,2-</w:t>
            </w:r>
            <w:r>
              <w:rPr>
                <w:rFonts w:hint="default"/>
                <w:color w:val="auto"/>
                <w:spacing w:val="-2"/>
              </w:rPr>
              <w:t>四氟乙烷）是一种不含</w:t>
            </w:r>
            <w:r>
              <w:rPr>
                <w:rFonts w:hint="default"/>
                <w:color w:val="auto"/>
                <w:spacing w:val="-3"/>
              </w:rPr>
              <w:t>氯原子，对臭氧层不起破坏作用，具有良</w:t>
            </w:r>
            <w:r>
              <w:rPr>
                <w:rFonts w:hint="default"/>
                <w:color w:val="auto"/>
                <w:spacing w:val="-6"/>
              </w:rPr>
              <w:t>好的安全性能（不易燃、不爆炸、无毒、无刺激性、无腐蚀性）的制冷剂，其制冷量</w:t>
            </w:r>
            <w:r>
              <w:rPr>
                <w:rFonts w:hint="default"/>
                <w:color w:val="auto"/>
                <w:spacing w:val="-3"/>
              </w:rPr>
              <w:t>与效率与</w:t>
            </w:r>
            <w:r>
              <w:rPr>
                <w:rFonts w:hint="default"/>
                <w:color w:val="auto"/>
                <w:spacing w:val="-50"/>
              </w:rPr>
              <w:t xml:space="preserve"> </w:t>
            </w:r>
            <w:r>
              <w:rPr>
                <w:rFonts w:hint="default" w:ascii="Times New Roman" w:hAnsi="Times New Roman" w:eastAsia="Times New Roman" w:cs="Times New Roman"/>
                <w:color w:val="auto"/>
                <w:spacing w:val="-3"/>
              </w:rPr>
              <w:t>R-12</w:t>
            </w:r>
            <w:r>
              <w:rPr>
                <w:rFonts w:hint="default"/>
                <w:color w:val="auto"/>
                <w:spacing w:val="-3"/>
              </w:rPr>
              <w:t>（二氯二氟甲烷，氟利昂）非常接近，所以被视为优秀的长期替代制冷</w:t>
            </w:r>
            <w:r>
              <w:rPr>
                <w:rFonts w:hint="default"/>
                <w:color w:val="auto"/>
                <w:spacing w:val="-1"/>
              </w:rPr>
              <w:t>剂。</w:t>
            </w:r>
            <w:r>
              <w:rPr>
                <w:rFonts w:hint="default" w:ascii="Times New Roman" w:hAnsi="Times New Roman" w:eastAsia="Times New Roman" w:cs="Times New Roman"/>
                <w:color w:val="auto"/>
                <w:spacing w:val="-1"/>
              </w:rPr>
              <w:t>R-134a</w:t>
            </w:r>
            <w:r>
              <w:rPr>
                <w:rFonts w:hint="default" w:ascii="Times New Roman" w:hAnsi="Times New Roman" w:eastAsia="Times New Roman" w:cs="Times New Roman"/>
                <w:color w:val="auto"/>
                <w:spacing w:val="25"/>
                <w:w w:val="101"/>
              </w:rPr>
              <w:t xml:space="preserve"> </w:t>
            </w:r>
            <w:r>
              <w:rPr>
                <w:rFonts w:hint="default"/>
                <w:color w:val="auto"/>
                <w:spacing w:val="-1"/>
              </w:rPr>
              <w:t>是目前国际公认的</w:t>
            </w:r>
            <w:r>
              <w:rPr>
                <w:rFonts w:hint="default"/>
                <w:color w:val="auto"/>
                <w:spacing w:val="-44"/>
              </w:rPr>
              <w:t xml:space="preserve"> </w:t>
            </w:r>
            <w:r>
              <w:rPr>
                <w:rFonts w:hint="default" w:ascii="Times New Roman" w:hAnsi="Times New Roman" w:eastAsia="Times New Roman" w:cs="Times New Roman"/>
                <w:color w:val="auto"/>
                <w:spacing w:val="-1"/>
              </w:rPr>
              <w:t>R-12</w:t>
            </w:r>
            <w:r>
              <w:rPr>
                <w:rFonts w:hint="default" w:ascii="Times New Roman" w:hAnsi="Times New Roman" w:eastAsia="Times New Roman" w:cs="Times New Roman"/>
                <w:color w:val="auto"/>
                <w:spacing w:val="24"/>
                <w:w w:val="101"/>
              </w:rPr>
              <w:t xml:space="preserve"> </w:t>
            </w:r>
            <w:r>
              <w:rPr>
                <w:rFonts w:hint="default"/>
                <w:color w:val="auto"/>
                <w:spacing w:val="-1"/>
              </w:rPr>
              <w:t>最佳的环保替代品。完全不破坏臭氧层，是当前世界绝大多数国家认可并推荐使用的环保制冷剂，也是目前主</w:t>
            </w:r>
            <w:r>
              <w:rPr>
                <w:rFonts w:hint="default"/>
                <w:color w:val="auto"/>
                <w:spacing w:val="-2"/>
              </w:rPr>
              <w:t>流的环保制冷剂，广泛</w:t>
            </w:r>
            <w:r>
              <w:rPr>
                <w:rFonts w:hint="default"/>
                <w:color w:val="auto"/>
                <w:spacing w:val="-1"/>
              </w:rPr>
              <w:t>用于新制冷空调设备上的初装和维修过程中的再添加。</w:t>
            </w:r>
            <w:r>
              <w:rPr>
                <w:rFonts w:hint="default" w:ascii="Times New Roman" w:hAnsi="Times New Roman" w:eastAsia="Times New Roman" w:cs="Times New Roman"/>
                <w:color w:val="auto"/>
                <w:spacing w:val="-1"/>
              </w:rPr>
              <w:t>R134a</w:t>
            </w:r>
            <w:r>
              <w:rPr>
                <w:rFonts w:hint="default" w:ascii="Times New Roman" w:hAnsi="Times New Roman" w:eastAsia="Times New Roman" w:cs="Times New Roman"/>
                <w:color w:val="auto"/>
                <w:spacing w:val="30"/>
                <w:w w:val="101"/>
              </w:rPr>
              <w:t xml:space="preserve"> </w:t>
            </w:r>
            <w:r>
              <w:rPr>
                <w:rFonts w:hint="default"/>
                <w:color w:val="auto"/>
                <w:spacing w:val="-1"/>
              </w:rPr>
              <w:t>的毒性非常</w:t>
            </w:r>
            <w:r>
              <w:rPr>
                <w:rFonts w:hint="default"/>
                <w:color w:val="auto"/>
                <w:spacing w:val="-2"/>
              </w:rPr>
              <w:t>低，在空气</w:t>
            </w:r>
            <w:r>
              <w:rPr>
                <w:rFonts w:hint="default"/>
                <w:color w:val="auto"/>
              </w:rPr>
              <w:t>中不可燃，安全类别为</w:t>
            </w:r>
            <w:r>
              <w:rPr>
                <w:rFonts w:hint="default"/>
                <w:color w:val="auto"/>
                <w:spacing w:val="-45"/>
              </w:rPr>
              <w:t xml:space="preserve"> </w:t>
            </w:r>
            <w:r>
              <w:rPr>
                <w:rFonts w:hint="default" w:ascii="Times New Roman" w:hAnsi="Times New Roman" w:eastAsia="Times New Roman" w:cs="Times New Roman"/>
                <w:color w:val="auto"/>
              </w:rPr>
              <w:t>A1</w:t>
            </w:r>
            <w:r>
              <w:rPr>
                <w:rFonts w:hint="default"/>
                <w:color w:val="auto"/>
              </w:rPr>
              <w:t>，是很安全的制冷剂。</w:t>
            </w:r>
            <w:r>
              <w:rPr>
                <w:rFonts w:hint="default" w:ascii="Times New Roman" w:hAnsi="Times New Roman" w:eastAsia="Times New Roman" w:cs="Times New Roman"/>
                <w:color w:val="auto"/>
              </w:rPr>
              <w:t>R134a</w:t>
            </w:r>
            <w:r>
              <w:rPr>
                <w:rFonts w:hint="default"/>
                <w:color w:val="auto"/>
              </w:rPr>
              <w:t>制冷剂的理化性质见</w:t>
            </w:r>
            <w:r>
              <w:rPr>
                <w:rFonts w:hint="eastAsia"/>
                <w:color w:val="auto"/>
                <w:lang w:val="en-US" w:eastAsia="zh-CN"/>
              </w:rPr>
              <w:t>下表</w:t>
            </w:r>
            <w:r>
              <w:rPr>
                <w:rFonts w:hint="default"/>
                <w:color w:val="auto"/>
              </w:rPr>
              <w:t>。</w:t>
            </w:r>
          </w:p>
          <w:p w14:paraId="33B923A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表2-</w:t>
            </w:r>
            <w:r>
              <w:rPr>
                <w:rFonts w:hint="eastAsia" w:ascii="Times New Roman" w:hAnsi="Times New Roman" w:eastAsia="宋体" w:cs="Times New Roman"/>
                <w:b/>
                <w:bCs/>
                <w:color w:val="auto"/>
                <w:sz w:val="21"/>
                <w:szCs w:val="21"/>
                <w:highlight w:val="none"/>
                <w:lang w:val="en-US" w:eastAsia="zh-CN"/>
              </w:rPr>
              <w:t>8</w:t>
            </w:r>
            <w:r>
              <w:rPr>
                <w:rFonts w:hint="default" w:ascii="Times New Roman" w:hAnsi="Times New Roman" w:eastAsia="宋体" w:cs="Times New Roman"/>
                <w:b/>
                <w:bCs/>
                <w:color w:val="auto"/>
                <w:sz w:val="21"/>
                <w:szCs w:val="21"/>
                <w:highlight w:val="none"/>
              </w:rPr>
              <w:t xml:space="preserve">  R134a 制冷剂理化性质及危险特性一览表</w:t>
            </w:r>
          </w:p>
          <w:p w14:paraId="5DEB6898">
            <w:pPr>
              <w:keepNext w:val="0"/>
              <w:keepLines w:val="0"/>
              <w:suppressLineNumbers w:val="0"/>
              <w:spacing w:before="0" w:beforeAutospacing="0" w:after="0" w:afterAutospacing="0" w:line="129" w:lineRule="exact"/>
              <w:ind w:left="0" w:right="0"/>
              <w:rPr>
                <w:rFonts w:hint="default"/>
                <w:color w:val="auto"/>
              </w:rPr>
            </w:pPr>
          </w:p>
          <w:tbl>
            <w:tblPr>
              <w:tblStyle w:val="74"/>
              <w:tblW w:w="8834" w:type="dxa"/>
              <w:tblInd w:w="10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637"/>
              <w:gridCol w:w="2454"/>
              <w:gridCol w:w="2028"/>
              <w:gridCol w:w="2715"/>
            </w:tblGrid>
            <w:tr w14:paraId="75013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93" w:hRule="atLeast"/>
              </w:trPr>
              <w:tc>
                <w:tcPr>
                  <w:tcW w:w="1637" w:type="dxa"/>
                  <w:vAlign w:val="center"/>
                </w:tcPr>
                <w:p w14:paraId="1388207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7"/>
                      <w:sz w:val="21"/>
                      <w:szCs w:val="21"/>
                    </w:rPr>
                    <w:t>中文名</w:t>
                  </w:r>
                </w:p>
              </w:tc>
              <w:tc>
                <w:tcPr>
                  <w:tcW w:w="2454" w:type="dxa"/>
                  <w:vAlign w:val="center"/>
                </w:tcPr>
                <w:p w14:paraId="57AC9BC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1"/>
                      <w:sz w:val="21"/>
                      <w:szCs w:val="21"/>
                    </w:rPr>
                    <w:t>R134a</w:t>
                  </w:r>
                </w:p>
              </w:tc>
              <w:tc>
                <w:tcPr>
                  <w:tcW w:w="2028" w:type="dxa"/>
                  <w:vAlign w:val="center"/>
                </w:tcPr>
                <w:p w14:paraId="40B3C52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别名</w:t>
                  </w:r>
                </w:p>
              </w:tc>
              <w:tc>
                <w:tcPr>
                  <w:tcW w:w="2715" w:type="dxa"/>
                  <w:vAlign w:val="center"/>
                </w:tcPr>
                <w:p w14:paraId="70FE497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ascii="Times New Roman" w:hAnsi="Times New Roman" w:eastAsia="Times New Roman" w:cs="Times New Roman"/>
                      <w:color w:val="auto"/>
                      <w:spacing w:val="-7"/>
                      <w:sz w:val="21"/>
                      <w:szCs w:val="21"/>
                    </w:rPr>
                    <w:t>1,</w:t>
                  </w:r>
                  <w:r>
                    <w:rPr>
                      <w:rFonts w:hint="default" w:ascii="Times New Roman" w:hAnsi="Times New Roman" w:eastAsia="Times New Roman" w:cs="Times New Roman"/>
                      <w:color w:val="auto"/>
                      <w:spacing w:val="-20"/>
                      <w:sz w:val="21"/>
                      <w:szCs w:val="21"/>
                    </w:rPr>
                    <w:t xml:space="preserve"> </w:t>
                  </w:r>
                  <w:r>
                    <w:rPr>
                      <w:rFonts w:hint="default" w:ascii="Times New Roman" w:hAnsi="Times New Roman" w:eastAsia="Times New Roman" w:cs="Times New Roman"/>
                      <w:color w:val="auto"/>
                      <w:spacing w:val="-7"/>
                      <w:sz w:val="21"/>
                      <w:szCs w:val="21"/>
                    </w:rPr>
                    <w:t>1,</w:t>
                  </w:r>
                  <w:r>
                    <w:rPr>
                      <w:rFonts w:hint="default" w:ascii="Times New Roman" w:hAnsi="Times New Roman" w:eastAsia="Times New Roman" w:cs="Times New Roman"/>
                      <w:color w:val="auto"/>
                      <w:spacing w:val="-27"/>
                      <w:sz w:val="21"/>
                      <w:szCs w:val="21"/>
                    </w:rPr>
                    <w:t xml:space="preserve"> </w:t>
                  </w:r>
                  <w:r>
                    <w:rPr>
                      <w:rFonts w:hint="default" w:ascii="Times New Roman" w:hAnsi="Times New Roman" w:eastAsia="Times New Roman" w:cs="Times New Roman"/>
                      <w:color w:val="auto"/>
                      <w:spacing w:val="-7"/>
                      <w:sz w:val="21"/>
                      <w:szCs w:val="21"/>
                    </w:rPr>
                    <w:t>1,2-</w:t>
                  </w:r>
                  <w:r>
                    <w:rPr>
                      <w:rFonts w:hint="default"/>
                      <w:color w:val="auto"/>
                      <w:spacing w:val="-7"/>
                      <w:sz w:val="21"/>
                      <w:szCs w:val="21"/>
                    </w:rPr>
                    <w:t>四氟乙烷</w:t>
                  </w:r>
                </w:p>
              </w:tc>
            </w:tr>
            <w:tr w14:paraId="0B37B6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1637" w:type="dxa"/>
                  <w:vAlign w:val="center"/>
                </w:tcPr>
                <w:p w14:paraId="348F82F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化学式</w:t>
                  </w:r>
                </w:p>
              </w:tc>
              <w:tc>
                <w:tcPr>
                  <w:tcW w:w="2454" w:type="dxa"/>
                  <w:vAlign w:val="center"/>
                </w:tcPr>
                <w:p w14:paraId="46F450F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1"/>
                      <w:sz w:val="21"/>
                      <w:szCs w:val="21"/>
                    </w:rPr>
                    <w:t>CF</w:t>
                  </w:r>
                  <w:r>
                    <w:rPr>
                      <w:rFonts w:hint="default" w:ascii="Times New Roman" w:hAnsi="Times New Roman" w:eastAsia="Times New Roman" w:cs="Times New Roman"/>
                      <w:color w:val="auto"/>
                      <w:spacing w:val="-1"/>
                      <w:position w:val="-2"/>
                      <w:sz w:val="21"/>
                      <w:szCs w:val="21"/>
                    </w:rPr>
                    <w:t>3</w:t>
                  </w:r>
                  <w:r>
                    <w:rPr>
                      <w:rFonts w:hint="default" w:ascii="Times New Roman" w:hAnsi="Times New Roman" w:eastAsia="Times New Roman" w:cs="Times New Roman"/>
                      <w:color w:val="auto"/>
                      <w:spacing w:val="-1"/>
                      <w:sz w:val="21"/>
                      <w:szCs w:val="21"/>
                    </w:rPr>
                    <w:t>CH</w:t>
                  </w:r>
                  <w:r>
                    <w:rPr>
                      <w:rFonts w:hint="default" w:ascii="Times New Roman" w:hAnsi="Times New Roman" w:eastAsia="Times New Roman" w:cs="Times New Roman"/>
                      <w:color w:val="auto"/>
                      <w:spacing w:val="-1"/>
                      <w:position w:val="-2"/>
                      <w:sz w:val="21"/>
                      <w:szCs w:val="21"/>
                    </w:rPr>
                    <w:t>2</w:t>
                  </w:r>
                  <w:r>
                    <w:rPr>
                      <w:rFonts w:hint="default" w:ascii="Times New Roman" w:hAnsi="Times New Roman" w:eastAsia="Times New Roman" w:cs="Times New Roman"/>
                      <w:color w:val="auto"/>
                      <w:spacing w:val="-1"/>
                      <w:sz w:val="21"/>
                      <w:szCs w:val="21"/>
                    </w:rPr>
                    <w:t>F</w:t>
                  </w:r>
                </w:p>
              </w:tc>
              <w:tc>
                <w:tcPr>
                  <w:tcW w:w="2028" w:type="dxa"/>
                  <w:vAlign w:val="center"/>
                </w:tcPr>
                <w:p w14:paraId="48F91B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分子量</w:t>
                  </w:r>
                </w:p>
              </w:tc>
              <w:tc>
                <w:tcPr>
                  <w:tcW w:w="2715" w:type="dxa"/>
                  <w:vAlign w:val="center"/>
                </w:tcPr>
                <w:p w14:paraId="798F5E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4"/>
                      <w:sz w:val="21"/>
                      <w:szCs w:val="21"/>
                    </w:rPr>
                    <w:t>102.31</w:t>
                  </w:r>
                </w:p>
              </w:tc>
            </w:tr>
            <w:tr w14:paraId="7E4D09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637" w:type="dxa"/>
                  <w:vAlign w:val="center"/>
                </w:tcPr>
                <w:p w14:paraId="0A861C0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19"/>
                      <w:sz w:val="21"/>
                      <w:szCs w:val="21"/>
                    </w:rPr>
                    <w:t>熔点</w:t>
                  </w:r>
                  <w:r>
                    <w:rPr>
                      <w:rFonts w:hint="eastAsia"/>
                      <w:color w:val="auto"/>
                      <w:spacing w:val="19"/>
                      <w:sz w:val="21"/>
                      <w:szCs w:val="21"/>
                      <w:lang w:eastAsia="zh-CN"/>
                    </w:rPr>
                    <w:t>（</w:t>
                  </w:r>
                  <w:r>
                    <w:rPr>
                      <w:rFonts w:hint="default" w:ascii="Times New Roman" w:hAnsi="Times New Roman" w:eastAsia="Times New Roman" w:cs="Times New Roman"/>
                      <w:color w:val="auto"/>
                      <w:spacing w:val="19"/>
                      <w:sz w:val="21"/>
                      <w:szCs w:val="21"/>
                    </w:rPr>
                    <w:t>℃</w:t>
                  </w:r>
                  <w:r>
                    <w:rPr>
                      <w:rFonts w:hint="eastAsia" w:eastAsia="宋体" w:cs="Times New Roman"/>
                      <w:color w:val="auto"/>
                      <w:spacing w:val="19"/>
                      <w:sz w:val="21"/>
                      <w:szCs w:val="21"/>
                      <w:lang w:eastAsia="zh-CN"/>
                    </w:rPr>
                    <w:t>）</w:t>
                  </w:r>
                </w:p>
              </w:tc>
              <w:tc>
                <w:tcPr>
                  <w:tcW w:w="2454" w:type="dxa"/>
                  <w:vAlign w:val="center"/>
                </w:tcPr>
                <w:p w14:paraId="1D405A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2"/>
                      <w:sz w:val="21"/>
                      <w:szCs w:val="21"/>
                    </w:rPr>
                    <w:t>-101</w:t>
                  </w:r>
                </w:p>
              </w:tc>
              <w:tc>
                <w:tcPr>
                  <w:tcW w:w="2028" w:type="dxa"/>
                  <w:vAlign w:val="center"/>
                </w:tcPr>
                <w:p w14:paraId="7FD729A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19"/>
                      <w:sz w:val="21"/>
                      <w:szCs w:val="21"/>
                    </w:rPr>
                    <w:t>沸点</w:t>
                  </w:r>
                  <w:r>
                    <w:rPr>
                      <w:rFonts w:hint="eastAsia"/>
                      <w:color w:val="auto"/>
                      <w:spacing w:val="19"/>
                      <w:sz w:val="21"/>
                      <w:szCs w:val="21"/>
                      <w:lang w:eastAsia="zh-CN"/>
                    </w:rPr>
                    <w:t>（</w:t>
                  </w:r>
                  <w:r>
                    <w:rPr>
                      <w:rFonts w:hint="default" w:ascii="Times New Roman" w:hAnsi="Times New Roman" w:eastAsia="Times New Roman" w:cs="Times New Roman"/>
                      <w:color w:val="auto"/>
                      <w:spacing w:val="19"/>
                      <w:sz w:val="21"/>
                      <w:szCs w:val="21"/>
                    </w:rPr>
                    <w:t>℃</w:t>
                  </w:r>
                  <w:r>
                    <w:rPr>
                      <w:rFonts w:hint="eastAsia" w:eastAsia="宋体" w:cs="Times New Roman"/>
                      <w:color w:val="auto"/>
                      <w:spacing w:val="19"/>
                      <w:sz w:val="21"/>
                      <w:szCs w:val="21"/>
                      <w:lang w:eastAsia="zh-CN"/>
                    </w:rPr>
                    <w:t>）</w:t>
                  </w:r>
                </w:p>
              </w:tc>
              <w:tc>
                <w:tcPr>
                  <w:tcW w:w="2715" w:type="dxa"/>
                  <w:vAlign w:val="center"/>
                </w:tcPr>
                <w:p w14:paraId="1A32EF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2"/>
                      <w:sz w:val="21"/>
                      <w:szCs w:val="21"/>
                    </w:rPr>
                    <w:t>-26.4</w:t>
                  </w:r>
                </w:p>
              </w:tc>
            </w:tr>
            <w:tr w14:paraId="2B4B5A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637" w:type="dxa"/>
                  <w:vAlign w:val="center"/>
                </w:tcPr>
                <w:p w14:paraId="1DDF58E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2"/>
                      <w:sz w:val="21"/>
                      <w:szCs w:val="21"/>
                    </w:rPr>
                    <w:t>相对密度</w:t>
                  </w:r>
                </w:p>
              </w:tc>
              <w:tc>
                <w:tcPr>
                  <w:tcW w:w="2454" w:type="dxa"/>
                  <w:vAlign w:val="center"/>
                </w:tcPr>
                <w:p w14:paraId="29F00CE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ascii="Times New Roman" w:hAnsi="Times New Roman" w:eastAsia="Times New Roman" w:cs="Times New Roman"/>
                      <w:color w:val="auto"/>
                      <w:spacing w:val="-3"/>
                      <w:sz w:val="21"/>
                      <w:szCs w:val="21"/>
                    </w:rPr>
                    <w:t>1.21</w:t>
                  </w:r>
                  <w:r>
                    <w:rPr>
                      <w:rFonts w:hint="default"/>
                      <w:color w:val="auto"/>
                      <w:spacing w:val="-3"/>
                      <w:sz w:val="21"/>
                      <w:szCs w:val="21"/>
                    </w:rPr>
                    <w:t>（水</w:t>
                  </w:r>
                  <w:r>
                    <w:rPr>
                      <w:rFonts w:hint="default" w:ascii="Times New Roman" w:hAnsi="Times New Roman" w:eastAsia="Times New Roman" w:cs="Times New Roman"/>
                      <w:color w:val="auto"/>
                      <w:spacing w:val="-3"/>
                      <w:sz w:val="21"/>
                      <w:szCs w:val="21"/>
                    </w:rPr>
                    <w:t>=1</w:t>
                  </w:r>
                  <w:r>
                    <w:rPr>
                      <w:rFonts w:hint="default"/>
                      <w:color w:val="auto"/>
                      <w:spacing w:val="-3"/>
                      <w:sz w:val="21"/>
                      <w:szCs w:val="21"/>
                    </w:rPr>
                    <w:t>）</w:t>
                  </w:r>
                </w:p>
              </w:tc>
              <w:tc>
                <w:tcPr>
                  <w:tcW w:w="2028" w:type="dxa"/>
                  <w:vAlign w:val="center"/>
                </w:tcPr>
                <w:p w14:paraId="1017839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2"/>
                      <w:sz w:val="21"/>
                      <w:szCs w:val="21"/>
                    </w:rPr>
                    <w:t>饱和蒸气密度</w:t>
                  </w:r>
                </w:p>
              </w:tc>
              <w:tc>
                <w:tcPr>
                  <w:tcW w:w="2715" w:type="dxa"/>
                  <w:vAlign w:val="center"/>
                </w:tcPr>
                <w:p w14:paraId="5F7372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lang w:val="en-US" w:eastAsia="zh-CN"/>
                    </w:rPr>
                  </w:pPr>
                  <w:r>
                    <w:rPr>
                      <w:rFonts w:hint="default" w:ascii="Times New Roman" w:hAnsi="Times New Roman" w:eastAsia="Times New Roman" w:cs="Times New Roman"/>
                      <w:color w:val="auto"/>
                      <w:spacing w:val="-2"/>
                      <w:sz w:val="21"/>
                      <w:szCs w:val="21"/>
                    </w:rPr>
                    <w:t>5.28kg/m</w:t>
                  </w:r>
                  <w:r>
                    <w:rPr>
                      <w:rFonts w:hint="eastAsia" w:ascii="Times New Roman" w:hAnsi="Times New Roman" w:eastAsia="宋体" w:cs="Times New Roman"/>
                      <w:color w:val="auto"/>
                      <w:spacing w:val="-2"/>
                      <w:sz w:val="21"/>
                      <w:szCs w:val="21"/>
                      <w:vertAlign w:val="superscript"/>
                      <w:lang w:val="en-US" w:eastAsia="zh-CN"/>
                    </w:rPr>
                    <w:t>3</w:t>
                  </w:r>
                </w:p>
              </w:tc>
            </w:tr>
            <w:tr w14:paraId="65689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637" w:type="dxa"/>
                  <w:vAlign w:val="center"/>
                </w:tcPr>
                <w:p w14:paraId="01B60EA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12"/>
                      <w:sz w:val="21"/>
                      <w:szCs w:val="21"/>
                    </w:rPr>
                    <w:t>临界温度</w:t>
                  </w:r>
                  <w:r>
                    <w:rPr>
                      <w:rFonts w:hint="eastAsia"/>
                      <w:color w:val="auto"/>
                      <w:spacing w:val="12"/>
                      <w:sz w:val="21"/>
                      <w:szCs w:val="21"/>
                      <w:lang w:eastAsia="zh-CN"/>
                    </w:rPr>
                    <w:t>（</w:t>
                  </w:r>
                  <w:r>
                    <w:rPr>
                      <w:rFonts w:hint="default" w:ascii="Times New Roman" w:hAnsi="Times New Roman" w:eastAsia="Times New Roman" w:cs="Times New Roman"/>
                      <w:color w:val="auto"/>
                      <w:spacing w:val="12"/>
                      <w:sz w:val="21"/>
                      <w:szCs w:val="21"/>
                    </w:rPr>
                    <w:t>℃</w:t>
                  </w:r>
                  <w:r>
                    <w:rPr>
                      <w:rFonts w:hint="eastAsia" w:eastAsia="宋体" w:cs="Times New Roman"/>
                      <w:color w:val="auto"/>
                      <w:spacing w:val="12"/>
                      <w:sz w:val="21"/>
                      <w:szCs w:val="21"/>
                      <w:lang w:eastAsia="zh-CN"/>
                    </w:rPr>
                    <w:t>）</w:t>
                  </w:r>
                </w:p>
              </w:tc>
              <w:tc>
                <w:tcPr>
                  <w:tcW w:w="2454" w:type="dxa"/>
                  <w:vAlign w:val="center"/>
                </w:tcPr>
                <w:p w14:paraId="313350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5"/>
                      <w:sz w:val="21"/>
                      <w:szCs w:val="21"/>
                    </w:rPr>
                    <w:t>101.1</w:t>
                  </w:r>
                </w:p>
              </w:tc>
              <w:tc>
                <w:tcPr>
                  <w:tcW w:w="2028" w:type="dxa"/>
                  <w:vAlign w:val="center"/>
                </w:tcPr>
                <w:p w14:paraId="69B7D2F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4"/>
                      <w:sz w:val="21"/>
                      <w:szCs w:val="21"/>
                    </w:rPr>
                    <w:t>临界压力</w:t>
                  </w:r>
                </w:p>
              </w:tc>
              <w:tc>
                <w:tcPr>
                  <w:tcW w:w="2715" w:type="dxa"/>
                  <w:vAlign w:val="center"/>
                </w:tcPr>
                <w:p w14:paraId="4B05B2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Times New Roman" w:cs="Times New Roman"/>
                      <w:color w:val="auto"/>
                      <w:sz w:val="21"/>
                      <w:szCs w:val="21"/>
                    </w:rPr>
                  </w:pPr>
                  <w:r>
                    <w:rPr>
                      <w:rFonts w:hint="default" w:ascii="Times New Roman" w:hAnsi="Times New Roman" w:eastAsia="Times New Roman" w:cs="Times New Roman"/>
                      <w:color w:val="auto"/>
                      <w:spacing w:val="-1"/>
                      <w:sz w:val="21"/>
                      <w:szCs w:val="21"/>
                    </w:rPr>
                    <w:t>4066.6kPa</w:t>
                  </w:r>
                </w:p>
              </w:tc>
            </w:tr>
            <w:tr w14:paraId="2125F5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637" w:type="dxa"/>
                  <w:vAlign w:val="center"/>
                </w:tcPr>
                <w:p w14:paraId="29FDB2A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燃烧性</w:t>
                  </w:r>
                </w:p>
              </w:tc>
              <w:tc>
                <w:tcPr>
                  <w:tcW w:w="2454" w:type="dxa"/>
                  <w:vAlign w:val="center"/>
                </w:tcPr>
                <w:p w14:paraId="35C7534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不燃</w:t>
                  </w:r>
                </w:p>
              </w:tc>
              <w:tc>
                <w:tcPr>
                  <w:tcW w:w="2028" w:type="dxa"/>
                  <w:vAlign w:val="center"/>
                </w:tcPr>
                <w:p w14:paraId="012C894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2"/>
                      <w:sz w:val="21"/>
                      <w:szCs w:val="21"/>
                    </w:rPr>
                    <w:t>外观与性状</w:t>
                  </w:r>
                </w:p>
              </w:tc>
              <w:tc>
                <w:tcPr>
                  <w:tcW w:w="2715" w:type="dxa"/>
                  <w:vAlign w:val="center"/>
                </w:tcPr>
                <w:p w14:paraId="0FC70F0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1"/>
                      <w:sz w:val="21"/>
                      <w:szCs w:val="21"/>
                    </w:rPr>
                    <w:t>无色气体，有微芳香味</w:t>
                  </w:r>
                </w:p>
              </w:tc>
            </w:tr>
            <w:tr w14:paraId="3F00FF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9" w:hRule="atLeast"/>
              </w:trPr>
              <w:tc>
                <w:tcPr>
                  <w:tcW w:w="1637" w:type="dxa"/>
                  <w:vAlign w:val="center"/>
                </w:tcPr>
                <w:p w14:paraId="10EF460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稳定性</w:t>
                  </w:r>
                </w:p>
              </w:tc>
              <w:tc>
                <w:tcPr>
                  <w:tcW w:w="2454" w:type="dxa"/>
                  <w:vAlign w:val="center"/>
                </w:tcPr>
                <w:p w14:paraId="335D5D4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稳定</w:t>
                  </w:r>
                </w:p>
              </w:tc>
              <w:tc>
                <w:tcPr>
                  <w:tcW w:w="2028" w:type="dxa"/>
                  <w:vAlign w:val="center"/>
                </w:tcPr>
                <w:p w14:paraId="01A1144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5"/>
                      <w:sz w:val="21"/>
                      <w:szCs w:val="21"/>
                    </w:rPr>
                    <w:t>聚合危害</w:t>
                  </w:r>
                </w:p>
              </w:tc>
              <w:tc>
                <w:tcPr>
                  <w:tcW w:w="2715" w:type="dxa"/>
                  <w:vAlign w:val="center"/>
                </w:tcPr>
                <w:p w14:paraId="458A712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不聚合</w:t>
                  </w:r>
                </w:p>
              </w:tc>
            </w:tr>
            <w:tr w14:paraId="3E246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7" w:hRule="atLeast"/>
              </w:trPr>
              <w:tc>
                <w:tcPr>
                  <w:tcW w:w="1637" w:type="dxa"/>
                  <w:vAlign w:val="center"/>
                </w:tcPr>
                <w:p w14:paraId="71EC7AD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溶解性</w:t>
                  </w:r>
                </w:p>
              </w:tc>
              <w:tc>
                <w:tcPr>
                  <w:tcW w:w="7197" w:type="dxa"/>
                  <w:gridSpan w:val="3"/>
                  <w:vAlign w:val="center"/>
                </w:tcPr>
                <w:p w14:paraId="735AD1C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不溶于水</w:t>
                  </w:r>
                </w:p>
              </w:tc>
            </w:tr>
            <w:tr w14:paraId="3DF6D8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1637" w:type="dxa"/>
                  <w:vAlign w:val="center"/>
                </w:tcPr>
                <w:p w14:paraId="358168C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2"/>
                      <w:sz w:val="21"/>
                      <w:szCs w:val="21"/>
                    </w:rPr>
                    <w:t>侵入途径</w:t>
                  </w:r>
                </w:p>
              </w:tc>
              <w:tc>
                <w:tcPr>
                  <w:tcW w:w="7197" w:type="dxa"/>
                  <w:gridSpan w:val="3"/>
                  <w:vAlign w:val="center"/>
                </w:tcPr>
                <w:p w14:paraId="1B6D620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5"/>
                      <w:sz w:val="21"/>
                      <w:szCs w:val="21"/>
                    </w:rPr>
                    <w:t>吸入</w:t>
                  </w:r>
                </w:p>
              </w:tc>
            </w:tr>
            <w:tr w14:paraId="05D555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1637" w:type="dxa"/>
                  <w:vAlign w:val="center"/>
                </w:tcPr>
                <w:p w14:paraId="01FB134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2"/>
                      <w:sz w:val="21"/>
                      <w:szCs w:val="21"/>
                    </w:rPr>
                    <w:t>健康危害</w:t>
                  </w:r>
                </w:p>
              </w:tc>
              <w:tc>
                <w:tcPr>
                  <w:tcW w:w="7197" w:type="dxa"/>
                  <w:gridSpan w:val="3"/>
                  <w:vAlign w:val="center"/>
                </w:tcPr>
                <w:p w14:paraId="57A47E9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z w:val="21"/>
                      <w:szCs w:val="21"/>
                    </w:rPr>
                    <w:t>本品毒性低，空气中含量过高，使氧气分压下降，</w:t>
                  </w:r>
                  <w:r>
                    <w:rPr>
                      <w:rFonts w:hint="default"/>
                      <w:color w:val="auto"/>
                      <w:spacing w:val="-1"/>
                      <w:sz w:val="21"/>
                      <w:szCs w:val="21"/>
                    </w:rPr>
                    <w:t>引起缺氧窒息。吸入高浓</w:t>
                  </w:r>
                  <w:r>
                    <w:rPr>
                      <w:rFonts w:hint="default"/>
                      <w:color w:val="auto"/>
                      <w:spacing w:val="-2"/>
                      <w:sz w:val="21"/>
                      <w:szCs w:val="21"/>
                    </w:rPr>
                    <w:t>度时，患者可迅速出现昏迷、呼吸心跳停止而至死亡。</w:t>
                  </w:r>
                </w:p>
              </w:tc>
            </w:tr>
            <w:tr w14:paraId="3C4673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9" w:hRule="atLeast"/>
              </w:trPr>
              <w:tc>
                <w:tcPr>
                  <w:tcW w:w="1637" w:type="dxa"/>
                  <w:vAlign w:val="center"/>
                </w:tcPr>
                <w:p w14:paraId="5068A7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泄漏处理</w:t>
                  </w:r>
                </w:p>
              </w:tc>
              <w:tc>
                <w:tcPr>
                  <w:tcW w:w="7197" w:type="dxa"/>
                  <w:gridSpan w:val="3"/>
                  <w:vAlign w:val="center"/>
                </w:tcPr>
                <w:p w14:paraId="2923EB5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z w:val="21"/>
                      <w:szCs w:val="21"/>
                    </w:rPr>
                    <w:t>迅速撤离泄漏污染区人员至上风处，并进行隔离，严</w:t>
                  </w:r>
                  <w:r>
                    <w:rPr>
                      <w:rFonts w:hint="default"/>
                      <w:color w:val="auto"/>
                      <w:spacing w:val="-1"/>
                      <w:sz w:val="21"/>
                      <w:szCs w:val="21"/>
                    </w:rPr>
                    <w:t>格限制出入。建议应急</w:t>
                  </w:r>
                  <w:r>
                    <w:rPr>
                      <w:rFonts w:hint="default"/>
                      <w:color w:val="auto"/>
                      <w:sz w:val="21"/>
                      <w:szCs w:val="21"/>
                    </w:rPr>
                    <w:t>处泄漏处理人员戴自给正压式呼吸器，穿一般作业工作</w:t>
                  </w:r>
                  <w:r>
                    <w:rPr>
                      <w:rFonts w:hint="default"/>
                      <w:color w:val="auto"/>
                      <w:spacing w:val="-1"/>
                      <w:sz w:val="21"/>
                      <w:szCs w:val="21"/>
                    </w:rPr>
                    <w:t>服。尽可能切断泄漏</w:t>
                  </w:r>
                  <w:r>
                    <w:rPr>
                      <w:rFonts w:hint="default"/>
                      <w:color w:val="auto"/>
                      <w:sz w:val="21"/>
                      <w:szCs w:val="21"/>
                    </w:rPr>
                    <w:t>源。合理通风，加速扩散。如有可能，</w:t>
                  </w:r>
                  <w:r>
                    <w:rPr>
                      <w:rFonts w:hint="eastAsia"/>
                      <w:color w:val="auto"/>
                      <w:sz w:val="21"/>
                      <w:szCs w:val="21"/>
                      <w:lang w:eastAsia="zh-CN"/>
                    </w:rPr>
                    <w:t>及时</w:t>
                  </w:r>
                  <w:r>
                    <w:rPr>
                      <w:rFonts w:hint="default"/>
                      <w:color w:val="auto"/>
                      <w:sz w:val="21"/>
                      <w:szCs w:val="21"/>
                    </w:rPr>
                    <w:t>使用。漏气</w:t>
                  </w:r>
                  <w:r>
                    <w:rPr>
                      <w:rFonts w:hint="default"/>
                      <w:color w:val="auto"/>
                      <w:spacing w:val="-1"/>
                      <w:sz w:val="21"/>
                      <w:szCs w:val="21"/>
                    </w:rPr>
                    <w:t>容器要妥善处理，修</w:t>
                  </w:r>
                  <w:r>
                    <w:rPr>
                      <w:rFonts w:hint="default"/>
                      <w:color w:val="auto"/>
                      <w:spacing w:val="-5"/>
                      <w:sz w:val="21"/>
                      <w:szCs w:val="21"/>
                    </w:rPr>
                    <w:t>复、检验后再用。</w:t>
                  </w:r>
                </w:p>
              </w:tc>
            </w:tr>
          </w:tbl>
          <w:p w14:paraId="6A58904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6" w:firstLineChars="200"/>
              <w:textAlignment w:val="auto"/>
              <w:rPr>
                <w:rFonts w:hint="default" w:ascii="Times New Roman" w:hAnsi="Times New Roman" w:eastAsia="宋体" w:cs="Times New Roman"/>
                <w:b/>
                <w:bCs/>
                <w:color w:val="auto"/>
                <w:spacing w:val="1"/>
                <w:sz w:val="24"/>
                <w:szCs w:val="24"/>
                <w:highlight w:val="none"/>
                <w:lang w:val="en-US" w:eastAsia="zh-CN"/>
              </w:rPr>
            </w:pPr>
            <w:r>
              <w:rPr>
                <w:rFonts w:hint="eastAsia" w:cs="Times New Roman"/>
                <w:b/>
                <w:bCs/>
                <w:color w:val="auto"/>
                <w:spacing w:val="1"/>
                <w:sz w:val="24"/>
                <w:szCs w:val="24"/>
                <w:highlight w:val="none"/>
                <w:lang w:val="en-US" w:eastAsia="zh-CN"/>
              </w:rPr>
              <w:t>（3）废钢加工生产线产品方案</w:t>
            </w:r>
          </w:p>
          <w:p w14:paraId="2CAC3A1B">
            <w:pPr>
              <w:keepNext w:val="0"/>
              <w:keepLines w:val="0"/>
              <w:suppressLineNumbers w:val="0"/>
              <w:spacing w:before="59" w:beforeAutospacing="0" w:after="0" w:afterAutospacing="0" w:line="360" w:lineRule="auto"/>
              <w:ind w:left="0" w:right="0"/>
              <w:jc w:val="center"/>
              <w:rPr>
                <w:rFonts w:hint="default" w:eastAsia="宋体"/>
                <w:b/>
                <w:bCs/>
                <w:color w:val="auto"/>
                <w:lang w:val="en-US" w:eastAsia="zh-CN"/>
              </w:rPr>
            </w:pPr>
            <w:r>
              <w:rPr>
                <w:rFonts w:hint="eastAsia"/>
                <w:b/>
                <w:bCs/>
                <w:color w:val="auto"/>
                <w:lang w:val="en-US" w:eastAsia="zh-CN"/>
              </w:rPr>
              <w:t>表2-9  废钢加工生产线产品方案一览表</w:t>
            </w:r>
          </w:p>
          <w:tbl>
            <w:tblPr>
              <w:tblStyle w:val="74"/>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2289"/>
              <w:gridCol w:w="2286"/>
              <w:gridCol w:w="2287"/>
              <w:gridCol w:w="2291"/>
            </w:tblGrid>
            <w:tr w14:paraId="60FA14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250" w:type="pct"/>
                  <w:vAlign w:val="center"/>
                </w:tcPr>
                <w:p w14:paraId="03F8D71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b/>
                      <w:bCs/>
                      <w:color w:val="auto"/>
                      <w:spacing w:val="-7"/>
                      <w:sz w:val="21"/>
                      <w:szCs w:val="21"/>
                    </w:rPr>
                    <w:t>序号</w:t>
                  </w:r>
                </w:p>
              </w:tc>
              <w:tc>
                <w:tcPr>
                  <w:tcW w:w="1248" w:type="pct"/>
                  <w:vAlign w:val="center"/>
                </w:tcPr>
                <w:p w14:paraId="68AA5B3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b/>
                      <w:bCs/>
                      <w:color w:val="auto"/>
                      <w:spacing w:val="-8"/>
                      <w:sz w:val="21"/>
                      <w:szCs w:val="21"/>
                    </w:rPr>
                    <w:t>产品</w:t>
                  </w:r>
                </w:p>
              </w:tc>
              <w:tc>
                <w:tcPr>
                  <w:tcW w:w="1249" w:type="pct"/>
                  <w:vAlign w:val="center"/>
                </w:tcPr>
                <w:p w14:paraId="30FF8B6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b/>
                      <w:bCs/>
                      <w:color w:val="auto"/>
                      <w:spacing w:val="-6"/>
                      <w:sz w:val="21"/>
                      <w:szCs w:val="21"/>
                    </w:rPr>
                    <w:t>年产量</w:t>
                  </w:r>
                </w:p>
              </w:tc>
              <w:tc>
                <w:tcPr>
                  <w:tcW w:w="1251" w:type="pct"/>
                  <w:vAlign w:val="center"/>
                </w:tcPr>
                <w:p w14:paraId="1B7CB19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eastAsia="宋体"/>
                      <w:color w:val="auto"/>
                      <w:sz w:val="21"/>
                      <w:szCs w:val="21"/>
                      <w:lang w:val="en-US" w:eastAsia="zh-CN"/>
                    </w:rPr>
                  </w:pPr>
                  <w:r>
                    <w:rPr>
                      <w:rFonts w:hint="eastAsia"/>
                      <w:color w:val="auto"/>
                      <w:sz w:val="21"/>
                      <w:szCs w:val="21"/>
                      <w:lang w:val="en-US" w:eastAsia="zh-CN"/>
                    </w:rPr>
                    <w:t>产品去向</w:t>
                  </w:r>
                </w:p>
              </w:tc>
            </w:tr>
            <w:tr w14:paraId="0560A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1250" w:type="pct"/>
                  <w:vAlign w:val="center"/>
                </w:tcPr>
                <w:p w14:paraId="4907973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z w:val="21"/>
                      <w:szCs w:val="21"/>
                    </w:rPr>
                    <w:t>1</w:t>
                  </w:r>
                </w:p>
              </w:tc>
              <w:tc>
                <w:tcPr>
                  <w:tcW w:w="1248" w:type="pct"/>
                  <w:vAlign w:val="center"/>
                </w:tcPr>
                <w:p w14:paraId="7F9121F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3"/>
                      <w:sz w:val="21"/>
                      <w:szCs w:val="21"/>
                    </w:rPr>
                    <w:t>废钢成品</w:t>
                  </w:r>
                </w:p>
              </w:tc>
              <w:tc>
                <w:tcPr>
                  <w:tcW w:w="1249" w:type="pct"/>
                  <w:vAlign w:val="center"/>
                </w:tcPr>
                <w:p w14:paraId="2C9AD13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rPr>
                  </w:pPr>
                  <w:r>
                    <w:rPr>
                      <w:rFonts w:hint="default"/>
                      <w:color w:val="auto"/>
                      <w:spacing w:val="-11"/>
                      <w:sz w:val="21"/>
                      <w:szCs w:val="21"/>
                    </w:rPr>
                    <w:t>15</w:t>
                  </w:r>
                  <w:r>
                    <w:rPr>
                      <w:rFonts w:hint="default"/>
                      <w:color w:val="auto"/>
                      <w:spacing w:val="-45"/>
                      <w:sz w:val="21"/>
                      <w:szCs w:val="21"/>
                    </w:rPr>
                    <w:t xml:space="preserve"> </w:t>
                  </w:r>
                  <w:r>
                    <w:rPr>
                      <w:rFonts w:hint="default"/>
                      <w:color w:val="auto"/>
                      <w:spacing w:val="-11"/>
                      <w:sz w:val="21"/>
                      <w:szCs w:val="21"/>
                    </w:rPr>
                    <w:t>万吨</w:t>
                  </w:r>
                </w:p>
              </w:tc>
              <w:tc>
                <w:tcPr>
                  <w:tcW w:w="1251" w:type="pct"/>
                  <w:vAlign w:val="center"/>
                </w:tcPr>
                <w:p w14:paraId="0353E6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Arial" w:eastAsia="宋体"/>
                      <w:color w:val="auto"/>
                      <w:sz w:val="21"/>
                      <w:szCs w:val="21"/>
                      <w:lang w:val="en-US" w:eastAsia="zh-CN"/>
                    </w:rPr>
                  </w:pPr>
                  <w:r>
                    <w:rPr>
                      <w:rFonts w:hint="eastAsia" w:ascii="Arial"/>
                      <w:color w:val="auto"/>
                      <w:sz w:val="21"/>
                      <w:szCs w:val="21"/>
                      <w:lang w:val="en-US" w:eastAsia="zh-CN"/>
                    </w:rPr>
                    <w:t>外售</w:t>
                  </w:r>
                </w:p>
              </w:tc>
            </w:tr>
          </w:tbl>
          <w:p w14:paraId="48DE2E9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6" w:firstLineChars="200"/>
              <w:textAlignment w:val="auto"/>
              <w:rPr>
                <w:rFonts w:hint="default" w:ascii="Times New Roman" w:hAnsi="Times New Roman" w:eastAsia="宋体" w:cs="Times New Roman"/>
                <w:b/>
                <w:bCs/>
                <w:color w:val="auto"/>
                <w:spacing w:val="1"/>
                <w:sz w:val="24"/>
                <w:szCs w:val="24"/>
                <w:highlight w:val="none"/>
                <w:lang w:val="en-US" w:eastAsia="zh-CN"/>
              </w:rPr>
            </w:pPr>
            <w:r>
              <w:rPr>
                <w:rFonts w:hint="eastAsia" w:ascii="Times New Roman" w:hAnsi="Times New Roman" w:eastAsia="宋体" w:cs="Times New Roman"/>
                <w:b/>
                <w:bCs/>
                <w:color w:val="auto"/>
                <w:spacing w:val="1"/>
                <w:sz w:val="24"/>
                <w:szCs w:val="24"/>
                <w:highlight w:val="none"/>
                <w:lang w:val="en-US" w:eastAsia="zh-CN"/>
              </w:rPr>
              <w:t>4</w:t>
            </w:r>
            <w:r>
              <w:rPr>
                <w:rFonts w:hint="default" w:ascii="Times New Roman" w:hAnsi="Times New Roman" w:eastAsia="宋体" w:cs="Times New Roman"/>
                <w:b/>
                <w:bCs/>
                <w:color w:val="auto"/>
                <w:spacing w:val="1"/>
                <w:sz w:val="24"/>
                <w:szCs w:val="24"/>
                <w:highlight w:val="none"/>
                <w:lang w:val="en-US" w:eastAsia="zh-CN"/>
              </w:rPr>
              <w:t>、</w:t>
            </w:r>
            <w:r>
              <w:rPr>
                <w:rFonts w:hint="eastAsia" w:ascii="Times New Roman" w:hAnsi="Times New Roman" w:eastAsia="宋体" w:cs="Times New Roman"/>
                <w:b/>
                <w:bCs/>
                <w:color w:val="auto"/>
                <w:spacing w:val="1"/>
                <w:sz w:val="24"/>
                <w:szCs w:val="24"/>
                <w:highlight w:val="none"/>
                <w:lang w:val="en-US" w:eastAsia="zh-CN"/>
              </w:rPr>
              <w:t>本项目</w:t>
            </w:r>
            <w:r>
              <w:rPr>
                <w:rFonts w:hint="default"/>
                <w:b/>
                <w:bCs/>
                <w:color w:val="auto"/>
                <w:spacing w:val="-5"/>
                <w:highlight w:val="none"/>
              </w:rPr>
              <w:t>主要生产设施及设施参数</w:t>
            </w:r>
          </w:p>
          <w:p w14:paraId="208AA50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4" w:firstLineChars="200"/>
              <w:textAlignment w:val="auto"/>
              <w:rPr>
                <w:rFonts w:hint="eastAsia" w:cs="Times New Roman"/>
                <w:b/>
                <w:bCs/>
                <w:color w:val="auto"/>
                <w:spacing w:val="1"/>
                <w:sz w:val="21"/>
                <w:szCs w:val="21"/>
                <w:highlight w:val="none"/>
                <w:lang w:val="en-US" w:eastAsia="zh-CN"/>
              </w:rPr>
            </w:pPr>
            <w:r>
              <w:rPr>
                <w:rFonts w:hint="default" w:ascii="Times New Roman" w:hAnsi="Times New Roman" w:eastAsia="宋体" w:cs="Times New Roman"/>
                <w:b w:val="0"/>
                <w:bCs w:val="0"/>
                <w:color w:val="auto"/>
                <w:spacing w:val="1"/>
                <w:sz w:val="24"/>
                <w:szCs w:val="24"/>
                <w:highlight w:val="none"/>
                <w:lang w:val="en-US" w:eastAsia="zh-CN"/>
              </w:rPr>
              <w:t>本项目主要设备见</w:t>
            </w:r>
            <w:r>
              <w:rPr>
                <w:rFonts w:hint="eastAsia" w:ascii="Times New Roman" w:hAnsi="Times New Roman" w:eastAsia="宋体" w:cs="Times New Roman"/>
                <w:b w:val="0"/>
                <w:bCs w:val="0"/>
                <w:color w:val="auto"/>
                <w:spacing w:val="1"/>
                <w:sz w:val="24"/>
                <w:szCs w:val="24"/>
                <w:highlight w:val="none"/>
                <w:lang w:val="en-US" w:eastAsia="zh-CN"/>
              </w:rPr>
              <w:t>下表</w:t>
            </w:r>
            <w:r>
              <w:rPr>
                <w:rFonts w:hint="default" w:ascii="Times New Roman" w:hAnsi="Times New Roman" w:eastAsia="宋体" w:cs="Times New Roman"/>
                <w:b w:val="0"/>
                <w:bCs w:val="0"/>
                <w:color w:val="auto"/>
                <w:spacing w:val="1"/>
                <w:sz w:val="24"/>
                <w:szCs w:val="24"/>
                <w:highlight w:val="none"/>
                <w:lang w:val="en-US" w:eastAsia="zh-CN"/>
              </w:rPr>
              <w:t>。</w:t>
            </w:r>
          </w:p>
          <w:p w14:paraId="47B6E19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leftChars="0" w:right="0" w:firstLine="0" w:firstLineChars="0"/>
              <w:jc w:val="center"/>
              <w:textAlignment w:val="auto"/>
              <w:rPr>
                <w:rFonts w:hint="default" w:ascii="Times New Roman" w:hAnsi="Times New Roman" w:eastAsia="宋体" w:cs="Times New Roman"/>
                <w:b/>
                <w:bCs/>
                <w:color w:val="auto"/>
                <w:spacing w:val="1"/>
                <w:sz w:val="21"/>
                <w:szCs w:val="21"/>
                <w:highlight w:val="none"/>
                <w:lang w:val="en-US" w:eastAsia="zh-CN"/>
              </w:rPr>
            </w:pPr>
            <w:r>
              <w:rPr>
                <w:rFonts w:hint="eastAsia" w:cs="Times New Roman"/>
                <w:b/>
                <w:bCs/>
                <w:color w:val="auto"/>
                <w:spacing w:val="1"/>
                <w:sz w:val="21"/>
                <w:szCs w:val="21"/>
                <w:highlight w:val="none"/>
                <w:lang w:val="en-US" w:eastAsia="zh-CN"/>
              </w:rPr>
              <w:t>表2-10  生产设备及设施参数一览表</w:t>
            </w:r>
          </w:p>
          <w:tbl>
            <w:tblPr>
              <w:tblStyle w:val="74"/>
              <w:tblW w:w="4998"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0" w:type="dxa"/>
                <w:bottom w:w="0" w:type="dxa"/>
                <w:right w:w="0" w:type="dxa"/>
              </w:tblCellMar>
            </w:tblPr>
            <w:tblGrid>
              <w:gridCol w:w="790"/>
              <w:gridCol w:w="814"/>
              <w:gridCol w:w="2553"/>
              <w:gridCol w:w="3357"/>
              <w:gridCol w:w="735"/>
              <w:gridCol w:w="889"/>
            </w:tblGrid>
            <w:tr w14:paraId="2E42FB2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3E3D895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cs="Times New Roman"/>
                      <w:color w:val="auto"/>
                      <w:spacing w:val="6"/>
                      <w:sz w:val="21"/>
                      <w:szCs w:val="21"/>
                      <w:highlight w:val="none"/>
                      <w:lang w:val="en-US" w:eastAsia="zh-CN"/>
                    </w:rPr>
                    <w:t>序号</w:t>
                  </w:r>
                </w:p>
              </w:tc>
              <w:tc>
                <w:tcPr>
                  <w:tcW w:w="445" w:type="pct"/>
                  <w:tcBorders>
                    <w:tl2br w:val="nil"/>
                    <w:tr2bl w:val="nil"/>
                  </w:tcBorders>
                  <w:vAlign w:val="center"/>
                </w:tcPr>
                <w:p w14:paraId="33B479B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6"/>
                      <w:sz w:val="21"/>
                      <w:szCs w:val="21"/>
                      <w:highlight w:val="none"/>
                    </w:rPr>
                    <w:t>生产线</w:t>
                  </w:r>
                </w:p>
              </w:tc>
              <w:tc>
                <w:tcPr>
                  <w:tcW w:w="1396" w:type="pct"/>
                  <w:tcBorders>
                    <w:tl2br w:val="nil"/>
                    <w:tr2bl w:val="nil"/>
                  </w:tcBorders>
                  <w:vAlign w:val="center"/>
                </w:tcPr>
                <w:p w14:paraId="05DA4C5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6"/>
                      <w:sz w:val="21"/>
                      <w:szCs w:val="21"/>
                      <w:highlight w:val="none"/>
                    </w:rPr>
                    <w:t>设备名称</w:t>
                  </w:r>
                </w:p>
              </w:tc>
              <w:tc>
                <w:tcPr>
                  <w:tcW w:w="1836" w:type="pct"/>
                  <w:tcBorders>
                    <w:tl2br w:val="nil"/>
                    <w:tr2bl w:val="nil"/>
                  </w:tcBorders>
                  <w:vAlign w:val="center"/>
                </w:tcPr>
                <w:p w14:paraId="75A9A09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6"/>
                      <w:sz w:val="21"/>
                      <w:szCs w:val="21"/>
                      <w:highlight w:val="none"/>
                    </w:rPr>
                    <w:t>设备型号</w:t>
                  </w:r>
                </w:p>
              </w:tc>
              <w:tc>
                <w:tcPr>
                  <w:tcW w:w="402" w:type="pct"/>
                  <w:tcBorders>
                    <w:tl2br w:val="nil"/>
                    <w:tr2bl w:val="nil"/>
                  </w:tcBorders>
                  <w:vAlign w:val="center"/>
                </w:tcPr>
                <w:p w14:paraId="57DA8A5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3"/>
                      <w:sz w:val="21"/>
                      <w:szCs w:val="21"/>
                      <w:highlight w:val="none"/>
                    </w:rPr>
                    <w:t>数量</w:t>
                  </w:r>
                </w:p>
              </w:tc>
              <w:tc>
                <w:tcPr>
                  <w:tcW w:w="486" w:type="pct"/>
                  <w:tcBorders>
                    <w:tl2br w:val="nil"/>
                    <w:tr2bl w:val="nil"/>
                  </w:tcBorders>
                  <w:vAlign w:val="center"/>
                </w:tcPr>
                <w:p w14:paraId="493A9FB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3"/>
                      <w:sz w:val="21"/>
                      <w:szCs w:val="21"/>
                      <w:highlight w:val="none"/>
                    </w:rPr>
                    <w:t>单位</w:t>
                  </w:r>
                </w:p>
              </w:tc>
            </w:tr>
            <w:tr w14:paraId="57D699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85F5FA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cs="Times New Roman"/>
                      <w:color w:val="auto"/>
                      <w:spacing w:val="-6"/>
                      <w:sz w:val="21"/>
                      <w:szCs w:val="21"/>
                      <w:highlight w:val="none"/>
                      <w:lang w:val="en-US" w:eastAsia="zh-CN"/>
                    </w:rPr>
                    <w:t>1</w:t>
                  </w:r>
                </w:p>
              </w:tc>
              <w:tc>
                <w:tcPr>
                  <w:tcW w:w="445" w:type="pct"/>
                  <w:vMerge w:val="restart"/>
                  <w:tcBorders>
                    <w:tl2br w:val="nil"/>
                    <w:tr2bl w:val="nil"/>
                  </w:tcBorders>
                  <w:vAlign w:val="center"/>
                </w:tcPr>
                <w:p w14:paraId="7150AF4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6"/>
                      <w:sz w:val="21"/>
                      <w:szCs w:val="21"/>
                      <w:highlight w:val="none"/>
                    </w:rPr>
                    <w:t>小</w:t>
                  </w:r>
                  <w:r>
                    <w:rPr>
                      <w:rFonts w:hint="eastAsia" w:ascii="Times New Roman" w:hAnsi="Times New Roman" w:cs="Times New Roman"/>
                      <w:color w:val="auto"/>
                      <w:spacing w:val="-6"/>
                      <w:sz w:val="21"/>
                      <w:szCs w:val="21"/>
                      <w:highlight w:val="none"/>
                      <w:lang w:val="en-US" w:eastAsia="zh-CN"/>
                    </w:rPr>
                    <w:t>型</w:t>
                  </w:r>
                  <w:r>
                    <w:rPr>
                      <w:rFonts w:hint="default" w:ascii="Times New Roman" w:hAnsi="Times New Roman" w:cs="Times New Roman"/>
                      <w:color w:val="auto"/>
                      <w:spacing w:val="-6"/>
                      <w:sz w:val="21"/>
                      <w:szCs w:val="21"/>
                      <w:highlight w:val="none"/>
                    </w:rPr>
                    <w:t>车</w:t>
                  </w:r>
                  <w:r>
                    <w:rPr>
                      <w:rFonts w:hint="default"/>
                      <w:color w:val="auto"/>
                      <w:spacing w:val="-6"/>
                      <w:sz w:val="20"/>
                      <w:szCs w:val="20"/>
                    </w:rPr>
                    <w:t>（含</w:t>
                  </w:r>
                  <w:r>
                    <w:rPr>
                      <w:rFonts w:hint="default"/>
                      <w:color w:val="auto"/>
                      <w:spacing w:val="-4"/>
                      <w:sz w:val="20"/>
                      <w:szCs w:val="20"/>
                    </w:rPr>
                    <w:t>农机）拆</w:t>
                  </w:r>
                  <w:r>
                    <w:rPr>
                      <w:rFonts w:hint="default"/>
                      <w:color w:val="auto"/>
                      <w:spacing w:val="34"/>
                      <w:sz w:val="20"/>
                      <w:szCs w:val="20"/>
                    </w:rPr>
                    <w:t>解设备</w:t>
                  </w:r>
                </w:p>
              </w:tc>
              <w:tc>
                <w:tcPr>
                  <w:tcW w:w="1396" w:type="pct"/>
                  <w:tcBorders>
                    <w:tl2br w:val="nil"/>
                    <w:tr2bl w:val="nil"/>
                  </w:tcBorders>
                  <w:vAlign w:val="center"/>
                </w:tcPr>
                <w:p w14:paraId="2401699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8"/>
                      <w:sz w:val="21"/>
                      <w:szCs w:val="21"/>
                      <w:highlight w:val="none"/>
                    </w:rPr>
                    <w:t>预处理举升平台</w:t>
                  </w:r>
                </w:p>
              </w:tc>
              <w:tc>
                <w:tcPr>
                  <w:tcW w:w="1836" w:type="pct"/>
                  <w:tcBorders>
                    <w:tl2br w:val="nil"/>
                    <w:tr2bl w:val="nil"/>
                  </w:tcBorders>
                  <w:vAlign w:val="center"/>
                </w:tcPr>
                <w:p w14:paraId="36F5E97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7"/>
                      <w:sz w:val="21"/>
                      <w:szCs w:val="21"/>
                      <w:highlight w:val="none"/>
                    </w:rPr>
                    <w:t>-</w:t>
                  </w:r>
                  <w:r>
                    <w:rPr>
                      <w:rFonts w:hint="default" w:ascii="Times New Roman" w:hAnsi="Times New Roman" w:eastAsia="Times New Roman" w:cs="Times New Roman"/>
                      <w:color w:val="auto"/>
                      <w:sz w:val="21"/>
                      <w:szCs w:val="21"/>
                      <w:highlight w:val="none"/>
                    </w:rPr>
                    <w:t>CJ</w:t>
                  </w:r>
                  <w:r>
                    <w:rPr>
                      <w:rFonts w:hint="default" w:ascii="Times New Roman" w:hAnsi="Times New Roman" w:eastAsia="Times New Roman" w:cs="Times New Roman"/>
                      <w:color w:val="auto"/>
                      <w:spacing w:val="17"/>
                      <w:sz w:val="21"/>
                      <w:szCs w:val="21"/>
                      <w:highlight w:val="none"/>
                    </w:rPr>
                    <w:t>-</w:t>
                  </w:r>
                  <w:r>
                    <w:rPr>
                      <w:rFonts w:hint="default" w:ascii="Times New Roman" w:hAnsi="Times New Roman" w:eastAsia="Times New Roman" w:cs="Times New Roman"/>
                      <w:color w:val="auto"/>
                      <w:sz w:val="21"/>
                      <w:szCs w:val="21"/>
                      <w:highlight w:val="none"/>
                    </w:rPr>
                    <w:t>PT</w:t>
                  </w:r>
                </w:p>
              </w:tc>
              <w:tc>
                <w:tcPr>
                  <w:tcW w:w="402" w:type="pct"/>
                  <w:tcBorders>
                    <w:tl2br w:val="nil"/>
                    <w:tr2bl w:val="nil"/>
                  </w:tcBorders>
                  <w:vAlign w:val="center"/>
                </w:tcPr>
                <w:p w14:paraId="58B5F3E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vAlign w:val="center"/>
                </w:tcPr>
                <w:p w14:paraId="144EF07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台</w:t>
                  </w:r>
                </w:p>
              </w:tc>
            </w:tr>
            <w:tr w14:paraId="5328B35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79D42E8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445" w:type="pct"/>
                  <w:vMerge w:val="continue"/>
                  <w:tcBorders>
                    <w:tl2br w:val="nil"/>
                    <w:tr2bl w:val="nil"/>
                  </w:tcBorders>
                  <w:vAlign w:val="center"/>
                </w:tcPr>
                <w:p w14:paraId="448A64C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vAlign w:val="center"/>
                </w:tcPr>
                <w:p w14:paraId="0CF787D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多通道废液抽排设备</w:t>
                  </w:r>
                </w:p>
              </w:tc>
              <w:tc>
                <w:tcPr>
                  <w:tcW w:w="1836" w:type="pct"/>
                  <w:tcBorders>
                    <w:tl2br w:val="nil"/>
                    <w:tr2bl w:val="nil"/>
                  </w:tcBorders>
                  <w:vAlign w:val="center"/>
                </w:tcPr>
                <w:p w14:paraId="70A67EA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2"/>
                      <w:sz w:val="21"/>
                      <w:szCs w:val="21"/>
                      <w:highlight w:val="none"/>
                    </w:rPr>
                    <w:t>-</w:t>
                  </w:r>
                  <w:r>
                    <w:rPr>
                      <w:rFonts w:hint="default" w:ascii="Times New Roman" w:hAnsi="Times New Roman" w:eastAsia="Times New Roman" w:cs="Times New Roman"/>
                      <w:color w:val="auto"/>
                      <w:sz w:val="21"/>
                      <w:szCs w:val="21"/>
                      <w:highlight w:val="none"/>
                    </w:rPr>
                    <w:t>CYJ</w:t>
                  </w:r>
                  <w:r>
                    <w:rPr>
                      <w:rFonts w:hint="default" w:ascii="Times New Roman" w:hAnsi="Times New Roman" w:eastAsia="Times New Roman" w:cs="Times New Roman"/>
                      <w:color w:val="auto"/>
                      <w:spacing w:val="12"/>
                      <w:sz w:val="21"/>
                      <w:szCs w:val="21"/>
                      <w:highlight w:val="none"/>
                    </w:rPr>
                    <w:t>-5</w:t>
                  </w:r>
                </w:p>
              </w:tc>
              <w:tc>
                <w:tcPr>
                  <w:tcW w:w="402" w:type="pct"/>
                  <w:tcBorders>
                    <w:tl2br w:val="nil"/>
                    <w:tr2bl w:val="nil"/>
                  </w:tcBorders>
                  <w:vAlign w:val="center"/>
                </w:tcPr>
                <w:p w14:paraId="4CB3F7F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vAlign w:val="center"/>
                </w:tcPr>
                <w:p w14:paraId="28BD2FE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台</w:t>
                  </w:r>
                </w:p>
              </w:tc>
            </w:tr>
            <w:tr w14:paraId="5DBFD5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17FDE94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445" w:type="pct"/>
                  <w:vMerge w:val="continue"/>
                  <w:tcBorders>
                    <w:tl2br w:val="nil"/>
                    <w:tr2bl w:val="nil"/>
                  </w:tcBorders>
                  <w:vAlign w:val="center"/>
                </w:tcPr>
                <w:p w14:paraId="348CAF5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vAlign w:val="center"/>
                </w:tcPr>
                <w:p w14:paraId="7CC13E4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8"/>
                      <w:sz w:val="21"/>
                      <w:szCs w:val="21"/>
                      <w:highlight w:val="none"/>
                    </w:rPr>
                    <w:t>钻孔抽排设备</w:t>
                  </w:r>
                </w:p>
              </w:tc>
              <w:tc>
                <w:tcPr>
                  <w:tcW w:w="1836" w:type="pct"/>
                  <w:tcBorders>
                    <w:tl2br w:val="nil"/>
                    <w:tr2bl w:val="nil"/>
                  </w:tcBorders>
                  <w:vAlign w:val="center"/>
                </w:tcPr>
                <w:p w14:paraId="0BCEAA2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0"/>
                      <w:sz w:val="21"/>
                      <w:szCs w:val="21"/>
                      <w:highlight w:val="none"/>
                    </w:rPr>
                    <w:t>-C-</w:t>
                  </w:r>
                  <w:r>
                    <w:rPr>
                      <w:rFonts w:hint="default" w:ascii="Times New Roman" w:hAnsi="Times New Roman" w:eastAsia="Times New Roman" w:cs="Times New Roman"/>
                      <w:color w:val="auto"/>
                      <w:sz w:val="21"/>
                      <w:szCs w:val="21"/>
                      <w:highlight w:val="none"/>
                    </w:rPr>
                    <w:t>DKC</w:t>
                  </w:r>
                  <w:r>
                    <w:rPr>
                      <w:rFonts w:hint="default" w:ascii="Times New Roman" w:hAnsi="Times New Roman" w:eastAsia="Times New Roman" w:cs="Times New Roman"/>
                      <w:color w:val="auto"/>
                      <w:spacing w:val="10"/>
                      <w:sz w:val="21"/>
                      <w:szCs w:val="21"/>
                      <w:highlight w:val="none"/>
                    </w:rPr>
                    <w:t>-2</w:t>
                  </w:r>
                </w:p>
              </w:tc>
              <w:tc>
                <w:tcPr>
                  <w:tcW w:w="402" w:type="pct"/>
                  <w:tcBorders>
                    <w:tl2br w:val="nil"/>
                    <w:tr2bl w:val="nil"/>
                  </w:tcBorders>
                  <w:vAlign w:val="center"/>
                </w:tcPr>
                <w:p w14:paraId="7FD3F71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vAlign w:val="center"/>
                </w:tcPr>
                <w:p w14:paraId="238F101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台</w:t>
                  </w:r>
                </w:p>
              </w:tc>
            </w:tr>
            <w:tr w14:paraId="76881E3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2849F4C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445" w:type="pct"/>
                  <w:vMerge w:val="continue"/>
                  <w:tcBorders>
                    <w:tl2br w:val="nil"/>
                    <w:tr2bl w:val="nil"/>
                  </w:tcBorders>
                  <w:vAlign w:val="center"/>
                </w:tcPr>
                <w:p w14:paraId="54E9413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vAlign w:val="center"/>
                </w:tcPr>
                <w:p w14:paraId="35D701F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冷媒回收机</w:t>
                  </w:r>
                </w:p>
              </w:tc>
              <w:tc>
                <w:tcPr>
                  <w:tcW w:w="1836" w:type="pct"/>
                  <w:tcBorders>
                    <w:tl2br w:val="nil"/>
                    <w:tr2bl w:val="nil"/>
                  </w:tcBorders>
                  <w:vAlign w:val="center"/>
                </w:tcPr>
                <w:p w14:paraId="749E952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HTC</w:t>
                  </w:r>
                  <w:r>
                    <w:rPr>
                      <w:rFonts w:hint="default" w:ascii="Times New Roman" w:hAnsi="Times New Roman" w:eastAsia="Times New Roman" w:cs="Times New Roman"/>
                      <w:color w:val="auto"/>
                      <w:spacing w:val="7"/>
                      <w:sz w:val="21"/>
                      <w:szCs w:val="21"/>
                      <w:highlight w:val="none"/>
                    </w:rPr>
                    <w:t>-J319B</w:t>
                  </w:r>
                </w:p>
              </w:tc>
              <w:tc>
                <w:tcPr>
                  <w:tcW w:w="402" w:type="pct"/>
                  <w:tcBorders>
                    <w:tl2br w:val="nil"/>
                    <w:tr2bl w:val="nil"/>
                  </w:tcBorders>
                  <w:vAlign w:val="center"/>
                </w:tcPr>
                <w:p w14:paraId="5B0130E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vAlign w:val="center"/>
                </w:tcPr>
                <w:p w14:paraId="05FBAC7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台</w:t>
                  </w:r>
                </w:p>
              </w:tc>
            </w:tr>
            <w:tr w14:paraId="0600EB4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15BE0C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5</w:t>
                  </w:r>
                </w:p>
              </w:tc>
              <w:tc>
                <w:tcPr>
                  <w:tcW w:w="445" w:type="pct"/>
                  <w:vMerge w:val="continue"/>
                  <w:tcBorders>
                    <w:tl2br w:val="nil"/>
                    <w:tr2bl w:val="nil"/>
                  </w:tcBorders>
                  <w:vAlign w:val="center"/>
                </w:tcPr>
                <w:p w14:paraId="6F6F934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vAlign w:val="center"/>
                </w:tcPr>
                <w:p w14:paraId="3BB1A83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玻璃切割刀</w:t>
                  </w:r>
                </w:p>
              </w:tc>
              <w:tc>
                <w:tcPr>
                  <w:tcW w:w="1836" w:type="pct"/>
                  <w:tcBorders>
                    <w:tl2br w:val="nil"/>
                    <w:tr2bl w:val="nil"/>
                  </w:tcBorders>
                  <w:vAlign w:val="center"/>
                </w:tcPr>
                <w:p w14:paraId="34454AA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HCQG</w:t>
                  </w:r>
                  <w:r>
                    <w:rPr>
                      <w:rFonts w:hint="default" w:ascii="Times New Roman" w:hAnsi="Times New Roman" w:eastAsia="Times New Roman" w:cs="Times New Roman"/>
                      <w:color w:val="auto"/>
                      <w:spacing w:val="8"/>
                      <w:sz w:val="21"/>
                      <w:szCs w:val="21"/>
                      <w:highlight w:val="none"/>
                    </w:rPr>
                    <w:t>-X-200</w:t>
                  </w:r>
                </w:p>
              </w:tc>
              <w:tc>
                <w:tcPr>
                  <w:tcW w:w="402" w:type="pct"/>
                  <w:tcBorders>
                    <w:tl2br w:val="nil"/>
                    <w:tr2bl w:val="nil"/>
                  </w:tcBorders>
                  <w:vAlign w:val="center"/>
                </w:tcPr>
                <w:p w14:paraId="5910163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vAlign w:val="center"/>
                </w:tcPr>
                <w:p w14:paraId="59C9A20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台</w:t>
                  </w:r>
                </w:p>
              </w:tc>
            </w:tr>
            <w:tr w14:paraId="0886EFA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1885939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eastAsia="宋体" w:cs="Times New Roman"/>
                      <w:snapToGrid w:val="0"/>
                      <w:color w:val="auto"/>
                      <w:kern w:val="0"/>
                      <w:sz w:val="21"/>
                      <w:szCs w:val="21"/>
                      <w:highlight w:val="none"/>
                      <w:lang w:val="en-US" w:eastAsia="zh-CN" w:bidi="ar-SA"/>
                    </w:rPr>
                    <w:t>6</w:t>
                  </w:r>
                </w:p>
              </w:tc>
              <w:tc>
                <w:tcPr>
                  <w:tcW w:w="445" w:type="pct"/>
                  <w:vMerge w:val="continue"/>
                  <w:tcBorders>
                    <w:tl2br w:val="nil"/>
                    <w:tr2bl w:val="nil"/>
                  </w:tcBorders>
                  <w:shd w:val="clear" w:color="auto" w:fill="auto"/>
                  <w:vAlign w:val="center"/>
                </w:tcPr>
                <w:p w14:paraId="2FAA547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Arial" w:cs="Times New Roman"/>
                      <w:snapToGrid w:val="0"/>
                      <w:color w:val="auto"/>
                      <w:kern w:val="0"/>
                      <w:sz w:val="21"/>
                      <w:szCs w:val="21"/>
                      <w:highlight w:val="none"/>
                      <w:lang w:val="en-US" w:eastAsia="en-US" w:bidi="ar-SA"/>
                    </w:rPr>
                  </w:pPr>
                </w:p>
              </w:tc>
              <w:tc>
                <w:tcPr>
                  <w:tcW w:w="1396" w:type="pct"/>
                  <w:tcBorders>
                    <w:tl2br w:val="nil"/>
                    <w:tr2bl w:val="nil"/>
                  </w:tcBorders>
                  <w:shd w:val="clear" w:color="auto" w:fill="auto"/>
                  <w:vAlign w:val="center"/>
                </w:tcPr>
                <w:p w14:paraId="3BBE563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安全气囊引爆机</w:t>
                  </w:r>
                </w:p>
              </w:tc>
              <w:tc>
                <w:tcPr>
                  <w:tcW w:w="1836" w:type="pct"/>
                  <w:tcBorders>
                    <w:tl2br w:val="nil"/>
                    <w:tr2bl w:val="nil"/>
                  </w:tcBorders>
                  <w:shd w:val="clear" w:color="auto" w:fill="auto"/>
                  <w:vAlign w:val="center"/>
                </w:tcPr>
                <w:p w14:paraId="7447811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5"/>
                      <w:sz w:val="21"/>
                      <w:szCs w:val="21"/>
                      <w:highlight w:val="none"/>
                    </w:rPr>
                    <w:t>HCSV-AQ-XT</w:t>
                  </w:r>
                </w:p>
              </w:tc>
              <w:tc>
                <w:tcPr>
                  <w:tcW w:w="402" w:type="pct"/>
                  <w:tcBorders>
                    <w:tl2br w:val="nil"/>
                    <w:tr2bl w:val="nil"/>
                  </w:tcBorders>
                  <w:shd w:val="clear" w:color="auto" w:fill="auto"/>
                  <w:vAlign w:val="center"/>
                </w:tcPr>
                <w:p w14:paraId="25AC750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232C2F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16694C2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378FCD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7</w:t>
                  </w:r>
                </w:p>
              </w:tc>
              <w:tc>
                <w:tcPr>
                  <w:tcW w:w="445" w:type="pct"/>
                  <w:vMerge w:val="continue"/>
                  <w:tcBorders>
                    <w:tl2br w:val="nil"/>
                    <w:tr2bl w:val="nil"/>
                  </w:tcBorders>
                  <w:vAlign w:val="center"/>
                </w:tcPr>
                <w:p w14:paraId="1CE638B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4C9EA1A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总成精拆平台</w:t>
                  </w:r>
                </w:p>
              </w:tc>
              <w:tc>
                <w:tcPr>
                  <w:tcW w:w="1836" w:type="pct"/>
                  <w:tcBorders>
                    <w:tl2br w:val="nil"/>
                    <w:tr2bl w:val="nil"/>
                  </w:tcBorders>
                  <w:shd w:val="clear" w:color="auto" w:fill="auto"/>
                  <w:vAlign w:val="center"/>
                </w:tcPr>
                <w:p w14:paraId="0A263C3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7"/>
                      <w:sz w:val="21"/>
                      <w:szCs w:val="21"/>
                      <w:highlight w:val="none"/>
                    </w:rPr>
                    <w:t>-</w:t>
                  </w:r>
                  <w:r>
                    <w:rPr>
                      <w:rFonts w:hint="default" w:ascii="Times New Roman" w:hAnsi="Times New Roman" w:eastAsia="Times New Roman" w:cs="Times New Roman"/>
                      <w:color w:val="auto"/>
                      <w:sz w:val="21"/>
                      <w:szCs w:val="21"/>
                      <w:highlight w:val="none"/>
                    </w:rPr>
                    <w:t>CJ</w:t>
                  </w:r>
                  <w:r>
                    <w:rPr>
                      <w:rFonts w:hint="default" w:ascii="Times New Roman" w:hAnsi="Times New Roman" w:eastAsia="Times New Roman" w:cs="Times New Roman"/>
                      <w:color w:val="auto"/>
                      <w:spacing w:val="17"/>
                      <w:sz w:val="21"/>
                      <w:szCs w:val="21"/>
                      <w:highlight w:val="none"/>
                    </w:rPr>
                    <w:t>-</w:t>
                  </w:r>
                  <w:r>
                    <w:rPr>
                      <w:rFonts w:hint="default" w:ascii="Times New Roman" w:hAnsi="Times New Roman" w:eastAsia="Times New Roman" w:cs="Times New Roman"/>
                      <w:color w:val="auto"/>
                      <w:sz w:val="21"/>
                      <w:szCs w:val="21"/>
                      <w:highlight w:val="none"/>
                    </w:rPr>
                    <w:t>JC</w:t>
                  </w:r>
                </w:p>
              </w:tc>
              <w:tc>
                <w:tcPr>
                  <w:tcW w:w="402" w:type="pct"/>
                  <w:tcBorders>
                    <w:tl2br w:val="nil"/>
                    <w:tr2bl w:val="nil"/>
                  </w:tcBorders>
                  <w:shd w:val="clear" w:color="auto" w:fill="auto"/>
                  <w:vAlign w:val="center"/>
                </w:tcPr>
                <w:p w14:paraId="24FC587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D7E9CC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48ACAC1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2A23833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8</w:t>
                  </w:r>
                </w:p>
              </w:tc>
              <w:tc>
                <w:tcPr>
                  <w:tcW w:w="445" w:type="pct"/>
                  <w:vMerge w:val="continue"/>
                  <w:tcBorders>
                    <w:tl2br w:val="nil"/>
                    <w:tr2bl w:val="nil"/>
                  </w:tcBorders>
                  <w:vAlign w:val="center"/>
                </w:tcPr>
                <w:p w14:paraId="4569B13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43C6C22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快拆机</w:t>
                  </w:r>
                </w:p>
              </w:tc>
              <w:tc>
                <w:tcPr>
                  <w:tcW w:w="1836" w:type="pct"/>
                  <w:tcBorders>
                    <w:tl2br w:val="nil"/>
                    <w:tr2bl w:val="nil"/>
                  </w:tcBorders>
                  <w:shd w:val="clear" w:color="auto" w:fill="auto"/>
                  <w:vAlign w:val="center"/>
                </w:tcPr>
                <w:p w14:paraId="6D8BD47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eastAsia="宋体" w:cs="Times New Roman"/>
                      <w:snapToGrid w:val="0"/>
                      <w:color w:val="auto"/>
                      <w:kern w:val="0"/>
                      <w:sz w:val="21"/>
                      <w:szCs w:val="21"/>
                      <w:highlight w:val="none"/>
                      <w:lang w:val="en-US" w:eastAsia="zh-CN" w:bidi="ar-SA"/>
                    </w:rPr>
                  </w:pPr>
                  <w:r>
                    <w:rPr>
                      <w:rFonts w:hint="eastAsia" w:cs="Times New Roman"/>
                      <w:color w:val="auto"/>
                      <w:spacing w:val="-6"/>
                      <w:sz w:val="21"/>
                      <w:szCs w:val="21"/>
                      <w:highlight w:val="none"/>
                      <w:lang w:val="en-US" w:eastAsia="zh-CN"/>
                    </w:rPr>
                    <w:t>/</w:t>
                  </w:r>
                </w:p>
              </w:tc>
              <w:tc>
                <w:tcPr>
                  <w:tcW w:w="402" w:type="pct"/>
                  <w:tcBorders>
                    <w:tl2br w:val="nil"/>
                    <w:tr2bl w:val="nil"/>
                  </w:tcBorders>
                  <w:shd w:val="clear" w:color="auto" w:fill="auto"/>
                  <w:vAlign w:val="center"/>
                </w:tcPr>
                <w:p w14:paraId="0B58289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53D114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3197884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743FFE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9</w:t>
                  </w:r>
                </w:p>
              </w:tc>
              <w:tc>
                <w:tcPr>
                  <w:tcW w:w="445" w:type="pct"/>
                  <w:vMerge w:val="continue"/>
                  <w:tcBorders>
                    <w:tl2br w:val="nil"/>
                    <w:tr2bl w:val="nil"/>
                  </w:tcBorders>
                  <w:vAlign w:val="center"/>
                </w:tcPr>
                <w:p w14:paraId="1520405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1D9881E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扒胎机</w:t>
                  </w:r>
                </w:p>
              </w:tc>
              <w:tc>
                <w:tcPr>
                  <w:tcW w:w="1836" w:type="pct"/>
                  <w:tcBorders>
                    <w:tl2br w:val="nil"/>
                    <w:tr2bl w:val="nil"/>
                  </w:tcBorders>
                  <w:shd w:val="clear" w:color="auto" w:fill="auto"/>
                  <w:vAlign w:val="center"/>
                </w:tcPr>
                <w:p w14:paraId="0A93670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eastAsia="宋体" w:cs="Times New Roman"/>
                      <w:snapToGrid w:val="0"/>
                      <w:color w:val="auto"/>
                      <w:kern w:val="0"/>
                      <w:sz w:val="21"/>
                      <w:szCs w:val="21"/>
                      <w:highlight w:val="none"/>
                      <w:lang w:val="en-US" w:eastAsia="zh-CN" w:bidi="ar-SA"/>
                    </w:rPr>
                  </w:pPr>
                  <w:r>
                    <w:rPr>
                      <w:rFonts w:hint="eastAsia" w:cs="Times New Roman"/>
                      <w:color w:val="auto"/>
                      <w:spacing w:val="-6"/>
                      <w:sz w:val="21"/>
                      <w:szCs w:val="21"/>
                      <w:highlight w:val="none"/>
                      <w:lang w:val="en-US" w:eastAsia="zh-CN"/>
                    </w:rPr>
                    <w:t>/</w:t>
                  </w:r>
                </w:p>
              </w:tc>
              <w:tc>
                <w:tcPr>
                  <w:tcW w:w="402" w:type="pct"/>
                  <w:tcBorders>
                    <w:tl2br w:val="nil"/>
                    <w:tr2bl w:val="nil"/>
                  </w:tcBorders>
                  <w:shd w:val="clear" w:color="auto" w:fill="auto"/>
                  <w:vAlign w:val="center"/>
                </w:tcPr>
                <w:p w14:paraId="1373DCF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8A9CBC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366E8C4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3E3D1CF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10</w:t>
                  </w:r>
                </w:p>
              </w:tc>
              <w:tc>
                <w:tcPr>
                  <w:tcW w:w="445" w:type="pct"/>
                  <w:vMerge w:val="continue"/>
                  <w:tcBorders>
                    <w:tl2br w:val="nil"/>
                    <w:tr2bl w:val="nil"/>
                  </w:tcBorders>
                  <w:vAlign w:val="center"/>
                </w:tcPr>
                <w:p w14:paraId="091F89F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3DB8A08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汽车翻转机</w:t>
                  </w:r>
                </w:p>
              </w:tc>
              <w:tc>
                <w:tcPr>
                  <w:tcW w:w="1836" w:type="pct"/>
                  <w:tcBorders>
                    <w:tl2br w:val="nil"/>
                    <w:tr2bl w:val="nil"/>
                  </w:tcBorders>
                  <w:shd w:val="clear" w:color="auto" w:fill="auto"/>
                  <w:vAlign w:val="center"/>
                </w:tcPr>
                <w:p w14:paraId="324B3C0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HCZM</w:t>
                  </w:r>
                  <w:r>
                    <w:rPr>
                      <w:rFonts w:hint="default" w:ascii="Times New Roman" w:hAnsi="Times New Roman" w:eastAsia="Times New Roman" w:cs="Times New Roman"/>
                      <w:color w:val="auto"/>
                      <w:spacing w:val="9"/>
                      <w:sz w:val="21"/>
                      <w:szCs w:val="21"/>
                      <w:highlight w:val="none"/>
                    </w:rPr>
                    <w:t>-T1020</w:t>
                  </w:r>
                </w:p>
              </w:tc>
              <w:tc>
                <w:tcPr>
                  <w:tcW w:w="402" w:type="pct"/>
                  <w:tcBorders>
                    <w:tl2br w:val="nil"/>
                    <w:tr2bl w:val="nil"/>
                  </w:tcBorders>
                  <w:shd w:val="clear" w:color="auto" w:fill="auto"/>
                  <w:vAlign w:val="center"/>
                </w:tcPr>
                <w:p w14:paraId="4AF9735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2</w:t>
                  </w:r>
                </w:p>
              </w:tc>
              <w:tc>
                <w:tcPr>
                  <w:tcW w:w="486" w:type="pct"/>
                  <w:tcBorders>
                    <w:tl2br w:val="nil"/>
                    <w:tr2bl w:val="nil"/>
                  </w:tcBorders>
                  <w:shd w:val="clear" w:color="auto" w:fill="auto"/>
                  <w:vAlign w:val="center"/>
                </w:tcPr>
                <w:p w14:paraId="672E856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221BF51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3069909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11</w:t>
                  </w:r>
                </w:p>
              </w:tc>
              <w:tc>
                <w:tcPr>
                  <w:tcW w:w="445" w:type="pct"/>
                  <w:vMerge w:val="continue"/>
                  <w:tcBorders>
                    <w:tl2br w:val="nil"/>
                    <w:tr2bl w:val="nil"/>
                  </w:tcBorders>
                  <w:vAlign w:val="center"/>
                </w:tcPr>
                <w:p w14:paraId="4E16FEC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342B944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手持液压剪</w:t>
                  </w:r>
                </w:p>
              </w:tc>
              <w:tc>
                <w:tcPr>
                  <w:tcW w:w="1836" w:type="pct"/>
                  <w:tcBorders>
                    <w:tl2br w:val="nil"/>
                    <w:tr2bl w:val="nil"/>
                  </w:tcBorders>
                  <w:shd w:val="clear" w:color="auto" w:fill="auto"/>
                  <w:vAlign w:val="center"/>
                </w:tcPr>
                <w:p w14:paraId="2976D25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8"/>
                      <w:sz w:val="21"/>
                      <w:szCs w:val="21"/>
                      <w:highlight w:val="none"/>
                    </w:rPr>
                    <w:t>-</w:t>
                  </w:r>
                  <w:r>
                    <w:rPr>
                      <w:rFonts w:hint="default" w:ascii="Times New Roman" w:hAnsi="Times New Roman" w:eastAsia="Times New Roman" w:cs="Times New Roman"/>
                      <w:color w:val="auto"/>
                      <w:sz w:val="21"/>
                      <w:szCs w:val="21"/>
                      <w:highlight w:val="none"/>
                    </w:rPr>
                    <w:t>ZM</w:t>
                  </w:r>
                  <w:r>
                    <w:rPr>
                      <w:rFonts w:hint="default" w:ascii="Times New Roman" w:hAnsi="Times New Roman" w:eastAsia="Times New Roman" w:cs="Times New Roman"/>
                      <w:color w:val="auto"/>
                      <w:spacing w:val="8"/>
                      <w:sz w:val="21"/>
                      <w:szCs w:val="21"/>
                      <w:highlight w:val="none"/>
                    </w:rPr>
                    <w:t>-312B</w:t>
                  </w:r>
                </w:p>
              </w:tc>
              <w:tc>
                <w:tcPr>
                  <w:tcW w:w="402" w:type="pct"/>
                  <w:tcBorders>
                    <w:tl2br w:val="nil"/>
                    <w:tr2bl w:val="nil"/>
                  </w:tcBorders>
                  <w:shd w:val="clear" w:color="auto" w:fill="auto"/>
                  <w:vAlign w:val="center"/>
                </w:tcPr>
                <w:p w14:paraId="19B6805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2816BC7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537942F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4BAFE3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w:t>
                  </w:r>
                </w:p>
              </w:tc>
              <w:tc>
                <w:tcPr>
                  <w:tcW w:w="445" w:type="pct"/>
                  <w:vMerge w:val="continue"/>
                  <w:tcBorders>
                    <w:tl2br w:val="nil"/>
                    <w:tr2bl w:val="nil"/>
                  </w:tcBorders>
                  <w:vAlign w:val="center"/>
                </w:tcPr>
                <w:p w14:paraId="35F70D7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4963CB8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等离子气动焊机</w:t>
                  </w:r>
                </w:p>
              </w:tc>
              <w:tc>
                <w:tcPr>
                  <w:tcW w:w="1836" w:type="pct"/>
                  <w:tcBorders>
                    <w:tl2br w:val="nil"/>
                    <w:tr2bl w:val="nil"/>
                  </w:tcBorders>
                  <w:shd w:val="clear" w:color="auto" w:fill="auto"/>
                  <w:vAlign w:val="center"/>
                </w:tcPr>
                <w:p w14:paraId="0797ED1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3"/>
                      <w:sz w:val="21"/>
                      <w:szCs w:val="21"/>
                      <w:highlight w:val="none"/>
                    </w:rPr>
                    <w:t>-</w:t>
                  </w:r>
                  <w:r>
                    <w:rPr>
                      <w:rFonts w:hint="default" w:ascii="Times New Roman" w:hAnsi="Times New Roman" w:eastAsia="Times New Roman" w:cs="Times New Roman"/>
                      <w:color w:val="auto"/>
                      <w:sz w:val="21"/>
                      <w:szCs w:val="21"/>
                      <w:highlight w:val="none"/>
                    </w:rPr>
                    <w:t>CJ</w:t>
                  </w:r>
                  <w:r>
                    <w:rPr>
                      <w:rFonts w:hint="default" w:ascii="Times New Roman" w:hAnsi="Times New Roman" w:eastAsia="Times New Roman" w:cs="Times New Roman"/>
                      <w:color w:val="auto"/>
                      <w:spacing w:val="3"/>
                      <w:sz w:val="21"/>
                      <w:szCs w:val="21"/>
                      <w:highlight w:val="none"/>
                    </w:rPr>
                    <w:t>-</w:t>
                  </w:r>
                  <w:r>
                    <w:rPr>
                      <w:rFonts w:hint="default" w:ascii="Times New Roman" w:hAnsi="Times New Roman" w:eastAsia="Times New Roman" w:cs="Times New Roman"/>
                      <w:color w:val="auto"/>
                      <w:spacing w:val="-25"/>
                      <w:sz w:val="21"/>
                      <w:szCs w:val="21"/>
                      <w:highlight w:val="none"/>
                    </w:rPr>
                    <w:t xml:space="preserve"> </w:t>
                  </w:r>
                  <w:r>
                    <w:rPr>
                      <w:rFonts w:hint="default" w:ascii="Times New Roman" w:hAnsi="Times New Roman" w:eastAsia="Times New Roman" w:cs="Times New Roman"/>
                      <w:color w:val="auto"/>
                      <w:spacing w:val="3"/>
                      <w:sz w:val="21"/>
                      <w:szCs w:val="21"/>
                      <w:highlight w:val="none"/>
                    </w:rPr>
                    <w:t>100</w:t>
                  </w:r>
                </w:p>
              </w:tc>
              <w:tc>
                <w:tcPr>
                  <w:tcW w:w="402" w:type="pct"/>
                  <w:tcBorders>
                    <w:tl2br w:val="nil"/>
                    <w:tr2bl w:val="nil"/>
                  </w:tcBorders>
                  <w:shd w:val="clear" w:color="auto" w:fill="auto"/>
                  <w:vAlign w:val="center"/>
                </w:tcPr>
                <w:p w14:paraId="49EF323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5839E8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674C4F3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1145148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13</w:t>
                  </w:r>
                </w:p>
              </w:tc>
              <w:tc>
                <w:tcPr>
                  <w:tcW w:w="445" w:type="pct"/>
                  <w:vMerge w:val="continue"/>
                  <w:tcBorders>
                    <w:tl2br w:val="nil"/>
                    <w:tr2bl w:val="nil"/>
                  </w:tcBorders>
                  <w:vAlign w:val="center"/>
                </w:tcPr>
                <w:p w14:paraId="751FF94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19822B6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物料推车</w:t>
                  </w:r>
                  <w:r>
                    <w:rPr>
                      <w:rFonts w:hint="default" w:ascii="Times New Roman" w:hAnsi="Times New Roman" w:eastAsia="Times New Roman" w:cs="Times New Roman"/>
                      <w:color w:val="auto"/>
                      <w:spacing w:val="8"/>
                      <w:sz w:val="21"/>
                      <w:szCs w:val="21"/>
                      <w:highlight w:val="none"/>
                    </w:rPr>
                    <w:t>/</w:t>
                  </w:r>
                  <w:r>
                    <w:rPr>
                      <w:rFonts w:hint="default" w:ascii="Times New Roman" w:hAnsi="Times New Roman" w:cs="Times New Roman"/>
                      <w:color w:val="auto"/>
                      <w:spacing w:val="8"/>
                      <w:sz w:val="21"/>
                      <w:szCs w:val="21"/>
                      <w:highlight w:val="none"/>
                    </w:rPr>
                    <w:t>物料箱</w:t>
                  </w:r>
                </w:p>
              </w:tc>
              <w:tc>
                <w:tcPr>
                  <w:tcW w:w="1836" w:type="pct"/>
                  <w:tcBorders>
                    <w:tl2br w:val="nil"/>
                    <w:tr2bl w:val="nil"/>
                  </w:tcBorders>
                  <w:shd w:val="clear" w:color="auto" w:fill="auto"/>
                  <w:vAlign w:val="center"/>
                </w:tcPr>
                <w:p w14:paraId="53C8D63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8"/>
                      <w:sz w:val="21"/>
                      <w:szCs w:val="21"/>
                      <w:highlight w:val="none"/>
                    </w:rPr>
                    <w:t>-</w:t>
                  </w:r>
                  <w:r>
                    <w:rPr>
                      <w:rFonts w:hint="default" w:ascii="Times New Roman" w:hAnsi="Times New Roman" w:eastAsia="Times New Roman" w:cs="Times New Roman"/>
                      <w:color w:val="auto"/>
                      <w:sz w:val="21"/>
                      <w:szCs w:val="21"/>
                      <w:highlight w:val="none"/>
                    </w:rPr>
                    <w:t>CJ</w:t>
                  </w:r>
                  <w:r>
                    <w:rPr>
                      <w:rFonts w:hint="default" w:ascii="Times New Roman" w:hAnsi="Times New Roman" w:eastAsia="Times New Roman" w:cs="Times New Roman"/>
                      <w:color w:val="auto"/>
                      <w:spacing w:val="18"/>
                      <w:sz w:val="21"/>
                      <w:szCs w:val="21"/>
                      <w:highlight w:val="none"/>
                    </w:rPr>
                    <w:t>-</w:t>
                  </w:r>
                  <w:r>
                    <w:rPr>
                      <w:rFonts w:hint="default" w:ascii="Times New Roman" w:hAnsi="Times New Roman" w:eastAsia="Times New Roman" w:cs="Times New Roman"/>
                      <w:color w:val="auto"/>
                      <w:sz w:val="21"/>
                      <w:szCs w:val="21"/>
                      <w:highlight w:val="none"/>
                    </w:rPr>
                    <w:t>WL</w:t>
                  </w:r>
                </w:p>
              </w:tc>
              <w:tc>
                <w:tcPr>
                  <w:tcW w:w="402" w:type="pct"/>
                  <w:tcBorders>
                    <w:tl2br w:val="nil"/>
                    <w:tr2bl w:val="nil"/>
                  </w:tcBorders>
                  <w:shd w:val="clear" w:color="auto" w:fill="auto"/>
                  <w:vAlign w:val="center"/>
                </w:tcPr>
                <w:p w14:paraId="7DA489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3654511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72D1736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AA033B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14</w:t>
                  </w:r>
                </w:p>
              </w:tc>
              <w:tc>
                <w:tcPr>
                  <w:tcW w:w="445" w:type="pct"/>
                  <w:vMerge w:val="continue"/>
                  <w:tcBorders>
                    <w:tl2br w:val="nil"/>
                    <w:tr2bl w:val="nil"/>
                  </w:tcBorders>
                  <w:vAlign w:val="center"/>
                </w:tcPr>
                <w:p w14:paraId="6903C5C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1043F4E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玻璃吸盘</w:t>
                  </w:r>
                </w:p>
              </w:tc>
              <w:tc>
                <w:tcPr>
                  <w:tcW w:w="1836" w:type="pct"/>
                  <w:tcBorders>
                    <w:tl2br w:val="nil"/>
                    <w:tr2bl w:val="nil"/>
                  </w:tcBorders>
                  <w:shd w:val="clear" w:color="auto" w:fill="auto"/>
                  <w:vAlign w:val="center"/>
                </w:tcPr>
                <w:p w14:paraId="27FECF8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eastAsia="宋体" w:cs="Times New Roman"/>
                      <w:snapToGrid w:val="0"/>
                      <w:color w:val="auto"/>
                      <w:kern w:val="0"/>
                      <w:sz w:val="21"/>
                      <w:szCs w:val="21"/>
                      <w:highlight w:val="none"/>
                      <w:lang w:val="en-US" w:eastAsia="zh-CN" w:bidi="ar-SA"/>
                    </w:rPr>
                  </w:pPr>
                  <w:r>
                    <w:rPr>
                      <w:rFonts w:hint="eastAsia" w:cs="Times New Roman"/>
                      <w:color w:val="auto"/>
                      <w:spacing w:val="-6"/>
                      <w:sz w:val="21"/>
                      <w:szCs w:val="21"/>
                      <w:highlight w:val="none"/>
                      <w:lang w:val="en-US" w:eastAsia="zh-CN"/>
                    </w:rPr>
                    <w:t>/</w:t>
                  </w:r>
                </w:p>
              </w:tc>
              <w:tc>
                <w:tcPr>
                  <w:tcW w:w="402" w:type="pct"/>
                  <w:tcBorders>
                    <w:tl2br w:val="nil"/>
                    <w:tr2bl w:val="nil"/>
                  </w:tcBorders>
                  <w:shd w:val="clear" w:color="auto" w:fill="auto"/>
                  <w:vAlign w:val="center"/>
                </w:tcPr>
                <w:p w14:paraId="5D45BD7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77CDF96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6D7D9F0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77CE788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15</w:t>
                  </w:r>
                </w:p>
              </w:tc>
              <w:tc>
                <w:tcPr>
                  <w:tcW w:w="445" w:type="pct"/>
                  <w:vMerge w:val="continue"/>
                  <w:tcBorders>
                    <w:tl2br w:val="nil"/>
                    <w:tr2bl w:val="nil"/>
                  </w:tcBorders>
                  <w:vAlign w:val="center"/>
                </w:tcPr>
                <w:p w14:paraId="3772613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32F6843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供气系统</w:t>
                  </w:r>
                </w:p>
              </w:tc>
              <w:tc>
                <w:tcPr>
                  <w:tcW w:w="1836" w:type="pct"/>
                  <w:tcBorders>
                    <w:tl2br w:val="nil"/>
                    <w:tr2bl w:val="nil"/>
                  </w:tcBorders>
                  <w:shd w:val="clear" w:color="auto" w:fill="auto"/>
                  <w:vAlign w:val="center"/>
                </w:tcPr>
                <w:p w14:paraId="61AAE17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4"/>
                      <w:sz w:val="21"/>
                      <w:szCs w:val="21"/>
                      <w:highlight w:val="none"/>
                    </w:rPr>
                    <w:t>LY-QL</w:t>
                  </w:r>
                </w:p>
              </w:tc>
              <w:tc>
                <w:tcPr>
                  <w:tcW w:w="402" w:type="pct"/>
                  <w:tcBorders>
                    <w:tl2br w:val="nil"/>
                    <w:tr2bl w:val="nil"/>
                  </w:tcBorders>
                  <w:shd w:val="clear" w:color="auto" w:fill="auto"/>
                  <w:vAlign w:val="center"/>
                </w:tcPr>
                <w:p w14:paraId="5FE9861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627DF2A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22A4353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7B2859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16</w:t>
                  </w:r>
                </w:p>
              </w:tc>
              <w:tc>
                <w:tcPr>
                  <w:tcW w:w="445" w:type="pct"/>
                  <w:vMerge w:val="continue"/>
                  <w:tcBorders>
                    <w:tl2br w:val="nil"/>
                    <w:tr2bl w:val="nil"/>
                  </w:tcBorders>
                  <w:vAlign w:val="center"/>
                </w:tcPr>
                <w:p w14:paraId="35AB1A5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06E5A22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油水分离系统</w:t>
                  </w:r>
                </w:p>
              </w:tc>
              <w:tc>
                <w:tcPr>
                  <w:tcW w:w="1836" w:type="pct"/>
                  <w:tcBorders>
                    <w:tl2br w:val="nil"/>
                    <w:tr2bl w:val="nil"/>
                  </w:tcBorders>
                  <w:shd w:val="clear" w:color="auto" w:fill="auto"/>
                  <w:vAlign w:val="center"/>
                </w:tcPr>
                <w:p w14:paraId="13B5693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7"/>
                      <w:sz w:val="21"/>
                      <w:szCs w:val="21"/>
                      <w:highlight w:val="none"/>
                    </w:rPr>
                    <w:t>-</w:t>
                  </w:r>
                  <w:r>
                    <w:rPr>
                      <w:rFonts w:hint="default" w:ascii="Times New Roman" w:hAnsi="Times New Roman" w:eastAsia="Times New Roman" w:cs="Times New Roman"/>
                      <w:color w:val="auto"/>
                      <w:sz w:val="21"/>
                      <w:szCs w:val="21"/>
                      <w:highlight w:val="none"/>
                    </w:rPr>
                    <w:t>YS</w:t>
                  </w:r>
                  <w:r>
                    <w:rPr>
                      <w:rFonts w:hint="default" w:ascii="Times New Roman" w:hAnsi="Times New Roman" w:eastAsia="Times New Roman" w:cs="Times New Roman"/>
                      <w:color w:val="auto"/>
                      <w:spacing w:val="17"/>
                      <w:sz w:val="21"/>
                      <w:szCs w:val="21"/>
                      <w:highlight w:val="none"/>
                    </w:rPr>
                    <w:t>-</w:t>
                  </w:r>
                  <w:r>
                    <w:rPr>
                      <w:rFonts w:hint="default" w:ascii="Times New Roman" w:hAnsi="Times New Roman" w:eastAsia="Times New Roman" w:cs="Times New Roman"/>
                      <w:color w:val="auto"/>
                      <w:sz w:val="21"/>
                      <w:szCs w:val="21"/>
                      <w:highlight w:val="none"/>
                    </w:rPr>
                    <w:t>FL</w:t>
                  </w:r>
                </w:p>
              </w:tc>
              <w:tc>
                <w:tcPr>
                  <w:tcW w:w="402" w:type="pct"/>
                  <w:tcBorders>
                    <w:tl2br w:val="nil"/>
                    <w:tr2bl w:val="nil"/>
                  </w:tcBorders>
                  <w:shd w:val="clear" w:color="auto" w:fill="auto"/>
                  <w:vAlign w:val="center"/>
                </w:tcPr>
                <w:p w14:paraId="6C815B2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63F1D43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3D2814B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2E57D4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17</w:t>
                  </w:r>
                </w:p>
              </w:tc>
              <w:tc>
                <w:tcPr>
                  <w:tcW w:w="445" w:type="pct"/>
                  <w:vMerge w:val="continue"/>
                  <w:tcBorders>
                    <w:tl2br w:val="nil"/>
                    <w:tr2bl w:val="nil"/>
                  </w:tcBorders>
                  <w:vAlign w:val="center"/>
                </w:tcPr>
                <w:p w14:paraId="51D106F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73CC70B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油气吸附系统</w:t>
                  </w:r>
                </w:p>
              </w:tc>
              <w:tc>
                <w:tcPr>
                  <w:tcW w:w="1836" w:type="pct"/>
                  <w:tcBorders>
                    <w:tl2br w:val="nil"/>
                    <w:tr2bl w:val="nil"/>
                  </w:tcBorders>
                  <w:shd w:val="clear" w:color="auto" w:fill="auto"/>
                  <w:vAlign w:val="center"/>
                </w:tcPr>
                <w:p w14:paraId="548EDCB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8"/>
                      <w:sz w:val="21"/>
                      <w:szCs w:val="21"/>
                      <w:highlight w:val="none"/>
                    </w:rPr>
                    <w:t>-</w:t>
                  </w:r>
                  <w:r>
                    <w:rPr>
                      <w:rFonts w:hint="default" w:ascii="Times New Roman" w:hAnsi="Times New Roman" w:eastAsia="Times New Roman" w:cs="Times New Roman"/>
                      <w:color w:val="auto"/>
                      <w:sz w:val="21"/>
                      <w:szCs w:val="21"/>
                      <w:highlight w:val="none"/>
                    </w:rPr>
                    <w:t>CJ</w:t>
                  </w:r>
                  <w:r>
                    <w:rPr>
                      <w:rFonts w:hint="default" w:ascii="Times New Roman" w:hAnsi="Times New Roman" w:eastAsia="Times New Roman" w:cs="Times New Roman"/>
                      <w:color w:val="auto"/>
                      <w:spacing w:val="18"/>
                      <w:sz w:val="21"/>
                      <w:szCs w:val="21"/>
                      <w:highlight w:val="none"/>
                    </w:rPr>
                    <w:t>-</w:t>
                  </w:r>
                  <w:r>
                    <w:rPr>
                      <w:rFonts w:hint="default" w:ascii="Times New Roman" w:hAnsi="Times New Roman" w:eastAsia="Times New Roman" w:cs="Times New Roman"/>
                      <w:color w:val="auto"/>
                      <w:sz w:val="21"/>
                      <w:szCs w:val="21"/>
                      <w:highlight w:val="none"/>
                    </w:rPr>
                    <w:t>XF</w:t>
                  </w:r>
                </w:p>
              </w:tc>
              <w:tc>
                <w:tcPr>
                  <w:tcW w:w="402" w:type="pct"/>
                  <w:tcBorders>
                    <w:tl2br w:val="nil"/>
                    <w:tr2bl w:val="nil"/>
                  </w:tcBorders>
                  <w:shd w:val="clear" w:color="auto" w:fill="auto"/>
                  <w:vAlign w:val="center"/>
                </w:tcPr>
                <w:p w14:paraId="008B76C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3605F16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41E3DFE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16454E7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cs="Times New Roman"/>
                      <w:color w:val="auto"/>
                      <w:spacing w:val="6"/>
                      <w:sz w:val="21"/>
                      <w:szCs w:val="21"/>
                      <w:highlight w:val="none"/>
                      <w:lang w:val="en-US" w:eastAsia="zh-CN"/>
                    </w:rPr>
                    <w:t>18</w:t>
                  </w:r>
                </w:p>
              </w:tc>
              <w:tc>
                <w:tcPr>
                  <w:tcW w:w="445" w:type="pct"/>
                  <w:vMerge w:val="restart"/>
                  <w:tcBorders>
                    <w:tl2br w:val="nil"/>
                    <w:tr2bl w:val="nil"/>
                  </w:tcBorders>
                  <w:shd w:val="clear" w:color="auto" w:fill="auto"/>
                  <w:vAlign w:val="center"/>
                </w:tcPr>
                <w:p w14:paraId="12EC521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大</w:t>
                  </w:r>
                  <w:r>
                    <w:rPr>
                      <w:rFonts w:hint="eastAsia" w:ascii="Times New Roman" w:hAnsi="Times New Roman" w:cs="Times New Roman"/>
                      <w:color w:val="auto"/>
                      <w:spacing w:val="6"/>
                      <w:sz w:val="21"/>
                      <w:szCs w:val="21"/>
                      <w:highlight w:val="none"/>
                      <w:lang w:val="en-US" w:eastAsia="zh-CN"/>
                    </w:rPr>
                    <w:t>中型</w:t>
                  </w:r>
                  <w:r>
                    <w:rPr>
                      <w:rFonts w:hint="default" w:ascii="Times New Roman" w:hAnsi="Times New Roman" w:cs="Times New Roman"/>
                      <w:color w:val="auto"/>
                      <w:spacing w:val="6"/>
                      <w:sz w:val="21"/>
                      <w:szCs w:val="21"/>
                      <w:highlight w:val="none"/>
                    </w:rPr>
                    <w:t>车预</w:t>
                  </w:r>
                  <w:r>
                    <w:rPr>
                      <w:rFonts w:hint="default" w:ascii="Times New Roman" w:hAnsi="Times New Roman" w:cs="Times New Roman"/>
                      <w:color w:val="auto"/>
                      <w:spacing w:val="5"/>
                      <w:sz w:val="21"/>
                      <w:szCs w:val="21"/>
                      <w:highlight w:val="none"/>
                    </w:rPr>
                    <w:t>处理及</w:t>
                  </w:r>
                  <w:r>
                    <w:rPr>
                      <w:rFonts w:hint="default" w:ascii="Times New Roman" w:hAnsi="Times New Roman" w:cs="Times New Roman"/>
                      <w:color w:val="auto"/>
                      <w:spacing w:val="6"/>
                      <w:sz w:val="21"/>
                      <w:szCs w:val="21"/>
                      <w:highlight w:val="none"/>
                    </w:rPr>
                    <w:t>拆解设</w:t>
                  </w:r>
                  <w:r>
                    <w:rPr>
                      <w:rFonts w:hint="default" w:ascii="Times New Roman" w:hAnsi="Times New Roman" w:cs="Times New Roman"/>
                      <w:color w:val="auto"/>
                      <w:sz w:val="21"/>
                      <w:szCs w:val="21"/>
                      <w:highlight w:val="none"/>
                    </w:rPr>
                    <w:t>备</w:t>
                  </w:r>
                </w:p>
              </w:tc>
              <w:tc>
                <w:tcPr>
                  <w:tcW w:w="1396" w:type="pct"/>
                  <w:tcBorders>
                    <w:tl2br w:val="nil"/>
                    <w:tr2bl w:val="nil"/>
                  </w:tcBorders>
                  <w:shd w:val="clear" w:color="auto" w:fill="auto"/>
                  <w:vAlign w:val="center"/>
                </w:tcPr>
                <w:p w14:paraId="4255795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多通道废液抽排设备</w:t>
                  </w:r>
                </w:p>
              </w:tc>
              <w:tc>
                <w:tcPr>
                  <w:tcW w:w="1836" w:type="pct"/>
                  <w:tcBorders>
                    <w:tl2br w:val="nil"/>
                    <w:tr2bl w:val="nil"/>
                  </w:tcBorders>
                  <w:shd w:val="clear" w:color="auto" w:fill="auto"/>
                  <w:vAlign w:val="center"/>
                </w:tcPr>
                <w:p w14:paraId="7F025F8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12"/>
                      <w:sz w:val="21"/>
                      <w:szCs w:val="21"/>
                      <w:highlight w:val="none"/>
                    </w:rPr>
                    <w:t>-</w:t>
                  </w:r>
                  <w:r>
                    <w:rPr>
                      <w:rFonts w:hint="default" w:ascii="Times New Roman" w:hAnsi="Times New Roman" w:eastAsia="Times New Roman" w:cs="Times New Roman"/>
                      <w:color w:val="auto"/>
                      <w:sz w:val="21"/>
                      <w:szCs w:val="21"/>
                      <w:highlight w:val="none"/>
                    </w:rPr>
                    <w:t>CYJ</w:t>
                  </w:r>
                  <w:r>
                    <w:rPr>
                      <w:rFonts w:hint="default" w:ascii="Times New Roman" w:hAnsi="Times New Roman" w:eastAsia="Times New Roman" w:cs="Times New Roman"/>
                      <w:color w:val="auto"/>
                      <w:spacing w:val="12"/>
                      <w:sz w:val="21"/>
                      <w:szCs w:val="21"/>
                      <w:highlight w:val="none"/>
                    </w:rPr>
                    <w:t>-3</w:t>
                  </w:r>
                </w:p>
              </w:tc>
              <w:tc>
                <w:tcPr>
                  <w:tcW w:w="402" w:type="pct"/>
                  <w:tcBorders>
                    <w:tl2br w:val="nil"/>
                    <w:tr2bl w:val="nil"/>
                  </w:tcBorders>
                  <w:shd w:val="clear" w:color="auto" w:fill="auto"/>
                  <w:vAlign w:val="center"/>
                </w:tcPr>
                <w:p w14:paraId="080E13E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728BE03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1CBD2E9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742EBD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19</w:t>
                  </w:r>
                </w:p>
              </w:tc>
              <w:tc>
                <w:tcPr>
                  <w:tcW w:w="445" w:type="pct"/>
                  <w:vMerge w:val="continue"/>
                  <w:tcBorders>
                    <w:tl2br w:val="nil"/>
                    <w:tr2bl w:val="nil"/>
                  </w:tcBorders>
                  <w:vAlign w:val="center"/>
                </w:tcPr>
                <w:p w14:paraId="54A51DD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3B26676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钻孔抽排设备</w:t>
                  </w:r>
                </w:p>
              </w:tc>
              <w:tc>
                <w:tcPr>
                  <w:tcW w:w="1836" w:type="pct"/>
                  <w:tcBorders>
                    <w:tl2br w:val="nil"/>
                    <w:tr2bl w:val="nil"/>
                  </w:tcBorders>
                  <w:shd w:val="clear" w:color="auto" w:fill="auto"/>
                  <w:vAlign w:val="center"/>
                </w:tcPr>
                <w:p w14:paraId="76DB4DE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LY</w:t>
                  </w:r>
                  <w:r>
                    <w:rPr>
                      <w:rFonts w:hint="default" w:ascii="Times New Roman" w:hAnsi="Times New Roman" w:eastAsia="Times New Roman" w:cs="Times New Roman"/>
                      <w:color w:val="auto"/>
                      <w:spacing w:val="9"/>
                      <w:sz w:val="21"/>
                      <w:szCs w:val="21"/>
                      <w:highlight w:val="none"/>
                    </w:rPr>
                    <w:t>-C-</w:t>
                  </w:r>
                  <w:r>
                    <w:rPr>
                      <w:rFonts w:hint="default" w:ascii="Times New Roman" w:hAnsi="Times New Roman" w:eastAsia="Times New Roman" w:cs="Times New Roman"/>
                      <w:color w:val="auto"/>
                      <w:sz w:val="21"/>
                      <w:szCs w:val="21"/>
                      <w:highlight w:val="none"/>
                    </w:rPr>
                    <w:t>DKC</w:t>
                  </w:r>
                  <w:r>
                    <w:rPr>
                      <w:rFonts w:hint="default" w:ascii="Times New Roman" w:hAnsi="Times New Roman" w:eastAsia="Times New Roman" w:cs="Times New Roman"/>
                      <w:color w:val="auto"/>
                      <w:spacing w:val="9"/>
                      <w:sz w:val="21"/>
                      <w:szCs w:val="21"/>
                      <w:highlight w:val="none"/>
                    </w:rPr>
                    <w:t>-</w:t>
                  </w:r>
                  <w:r>
                    <w:rPr>
                      <w:rFonts w:hint="default" w:ascii="Times New Roman" w:hAnsi="Times New Roman" w:eastAsia="Times New Roman" w:cs="Times New Roman"/>
                      <w:color w:val="auto"/>
                      <w:spacing w:val="-26"/>
                      <w:sz w:val="21"/>
                      <w:szCs w:val="21"/>
                      <w:highlight w:val="none"/>
                    </w:rPr>
                    <w:t xml:space="preserve"> </w:t>
                  </w:r>
                  <w:r>
                    <w:rPr>
                      <w:rFonts w:hint="default" w:ascii="Times New Roman" w:hAnsi="Times New Roman" w:eastAsia="Times New Roman" w:cs="Times New Roman"/>
                      <w:color w:val="auto"/>
                      <w:spacing w:val="9"/>
                      <w:sz w:val="21"/>
                      <w:szCs w:val="21"/>
                      <w:highlight w:val="none"/>
                    </w:rPr>
                    <w:t>1</w:t>
                  </w:r>
                </w:p>
              </w:tc>
              <w:tc>
                <w:tcPr>
                  <w:tcW w:w="402" w:type="pct"/>
                  <w:tcBorders>
                    <w:tl2br w:val="nil"/>
                    <w:tr2bl w:val="nil"/>
                  </w:tcBorders>
                  <w:shd w:val="clear" w:color="auto" w:fill="auto"/>
                  <w:vAlign w:val="center"/>
                </w:tcPr>
                <w:p w14:paraId="2505623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6223577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16C402C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F33226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w:t>
                  </w:r>
                </w:p>
              </w:tc>
              <w:tc>
                <w:tcPr>
                  <w:tcW w:w="445" w:type="pct"/>
                  <w:vMerge w:val="continue"/>
                  <w:tcBorders>
                    <w:tl2br w:val="nil"/>
                    <w:tr2bl w:val="nil"/>
                  </w:tcBorders>
                  <w:vAlign w:val="center"/>
                </w:tcPr>
                <w:p w14:paraId="4A4C69C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516737B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冷媒回收机</w:t>
                  </w:r>
                </w:p>
              </w:tc>
              <w:tc>
                <w:tcPr>
                  <w:tcW w:w="1836" w:type="pct"/>
                  <w:tcBorders>
                    <w:tl2br w:val="nil"/>
                    <w:tr2bl w:val="nil"/>
                  </w:tcBorders>
                  <w:shd w:val="clear" w:color="auto" w:fill="auto"/>
                  <w:vAlign w:val="center"/>
                </w:tcPr>
                <w:p w14:paraId="369EB23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HTC</w:t>
                  </w:r>
                  <w:r>
                    <w:rPr>
                      <w:rFonts w:hint="default" w:ascii="Times New Roman" w:hAnsi="Times New Roman" w:eastAsia="Times New Roman" w:cs="Times New Roman"/>
                      <w:color w:val="auto"/>
                      <w:spacing w:val="7"/>
                      <w:sz w:val="21"/>
                      <w:szCs w:val="21"/>
                      <w:highlight w:val="none"/>
                    </w:rPr>
                    <w:t>-J319A</w:t>
                  </w:r>
                </w:p>
              </w:tc>
              <w:tc>
                <w:tcPr>
                  <w:tcW w:w="402" w:type="pct"/>
                  <w:tcBorders>
                    <w:tl2br w:val="nil"/>
                    <w:tr2bl w:val="nil"/>
                  </w:tcBorders>
                  <w:shd w:val="clear" w:color="auto" w:fill="auto"/>
                  <w:vAlign w:val="center"/>
                </w:tcPr>
                <w:p w14:paraId="2735690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64B492F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0AB4557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6FDFD1D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21</w:t>
                  </w:r>
                </w:p>
              </w:tc>
              <w:tc>
                <w:tcPr>
                  <w:tcW w:w="445" w:type="pct"/>
                  <w:vMerge w:val="continue"/>
                  <w:tcBorders>
                    <w:tl2br w:val="nil"/>
                    <w:tr2bl w:val="nil"/>
                  </w:tcBorders>
                  <w:vAlign w:val="center"/>
                </w:tcPr>
                <w:p w14:paraId="0EE6971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71970E1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玻璃切割刀</w:t>
                  </w:r>
                </w:p>
              </w:tc>
              <w:tc>
                <w:tcPr>
                  <w:tcW w:w="1836" w:type="pct"/>
                  <w:tcBorders>
                    <w:tl2br w:val="nil"/>
                    <w:tr2bl w:val="nil"/>
                  </w:tcBorders>
                  <w:shd w:val="clear" w:color="auto" w:fill="auto"/>
                  <w:vAlign w:val="center"/>
                </w:tcPr>
                <w:p w14:paraId="765BAFD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HCQG</w:t>
                  </w:r>
                  <w:r>
                    <w:rPr>
                      <w:rFonts w:hint="default" w:ascii="Times New Roman" w:hAnsi="Times New Roman" w:eastAsia="Times New Roman" w:cs="Times New Roman"/>
                      <w:color w:val="auto"/>
                      <w:spacing w:val="8"/>
                      <w:sz w:val="21"/>
                      <w:szCs w:val="21"/>
                      <w:highlight w:val="none"/>
                    </w:rPr>
                    <w:t>-X-200</w:t>
                  </w:r>
                </w:p>
              </w:tc>
              <w:tc>
                <w:tcPr>
                  <w:tcW w:w="402" w:type="pct"/>
                  <w:tcBorders>
                    <w:tl2br w:val="nil"/>
                    <w:tr2bl w:val="nil"/>
                  </w:tcBorders>
                  <w:shd w:val="clear" w:color="auto" w:fill="auto"/>
                  <w:vAlign w:val="center"/>
                </w:tcPr>
                <w:p w14:paraId="028C4D2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371772D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1E3AB5C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52E8A0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22</w:t>
                  </w:r>
                </w:p>
              </w:tc>
              <w:tc>
                <w:tcPr>
                  <w:tcW w:w="445" w:type="pct"/>
                  <w:vMerge w:val="continue"/>
                  <w:tcBorders>
                    <w:tl2br w:val="nil"/>
                    <w:tr2bl w:val="nil"/>
                  </w:tcBorders>
                  <w:vAlign w:val="center"/>
                </w:tcPr>
                <w:p w14:paraId="3899610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58642F6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等离子气动焊机</w:t>
                  </w:r>
                </w:p>
              </w:tc>
              <w:tc>
                <w:tcPr>
                  <w:tcW w:w="1836" w:type="pct"/>
                  <w:tcBorders>
                    <w:tl2br w:val="nil"/>
                    <w:tr2bl w:val="nil"/>
                  </w:tcBorders>
                  <w:shd w:val="clear" w:color="auto" w:fill="auto"/>
                  <w:vAlign w:val="center"/>
                </w:tcPr>
                <w:p w14:paraId="6411065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3"/>
                      <w:sz w:val="21"/>
                      <w:szCs w:val="21"/>
                      <w:highlight w:val="none"/>
                    </w:rPr>
                    <w:t>100</w:t>
                  </w:r>
                </w:p>
              </w:tc>
              <w:tc>
                <w:tcPr>
                  <w:tcW w:w="402" w:type="pct"/>
                  <w:tcBorders>
                    <w:tl2br w:val="nil"/>
                    <w:tr2bl w:val="nil"/>
                  </w:tcBorders>
                  <w:shd w:val="clear" w:color="auto" w:fill="auto"/>
                  <w:vAlign w:val="center"/>
                </w:tcPr>
                <w:p w14:paraId="4C49955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04845BA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2D4B892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207788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23</w:t>
                  </w:r>
                </w:p>
              </w:tc>
              <w:tc>
                <w:tcPr>
                  <w:tcW w:w="445" w:type="pct"/>
                  <w:vMerge w:val="continue"/>
                  <w:tcBorders>
                    <w:tl2br w:val="nil"/>
                    <w:tr2bl w:val="nil"/>
                  </w:tcBorders>
                  <w:vAlign w:val="center"/>
                </w:tcPr>
                <w:p w14:paraId="7C7AD94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029DB78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物料推车</w:t>
                  </w:r>
                </w:p>
              </w:tc>
              <w:tc>
                <w:tcPr>
                  <w:tcW w:w="1836" w:type="pct"/>
                  <w:tcBorders>
                    <w:tl2br w:val="nil"/>
                    <w:tr2bl w:val="nil"/>
                  </w:tcBorders>
                  <w:shd w:val="clear" w:color="auto" w:fill="auto"/>
                  <w:vAlign w:val="center"/>
                </w:tcPr>
                <w:p w14:paraId="414FE68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5"/>
                      <w:sz w:val="21"/>
                      <w:szCs w:val="21"/>
                      <w:highlight w:val="none"/>
                    </w:rPr>
                    <w:t>HC-CJ-WL</w:t>
                  </w:r>
                </w:p>
              </w:tc>
              <w:tc>
                <w:tcPr>
                  <w:tcW w:w="402" w:type="pct"/>
                  <w:tcBorders>
                    <w:tl2br w:val="nil"/>
                    <w:tr2bl w:val="nil"/>
                  </w:tcBorders>
                  <w:shd w:val="clear" w:color="auto" w:fill="auto"/>
                  <w:vAlign w:val="center"/>
                </w:tcPr>
                <w:p w14:paraId="2F3DDC1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41BFCBB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3FAF09A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4EB0B26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24</w:t>
                  </w:r>
                </w:p>
              </w:tc>
              <w:tc>
                <w:tcPr>
                  <w:tcW w:w="445" w:type="pct"/>
                  <w:vMerge w:val="continue"/>
                  <w:tcBorders>
                    <w:tl2br w:val="nil"/>
                    <w:tr2bl w:val="nil"/>
                  </w:tcBorders>
                  <w:vAlign w:val="center"/>
                </w:tcPr>
                <w:p w14:paraId="753B253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6526C83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拆解辅助工具</w:t>
                  </w:r>
                </w:p>
              </w:tc>
              <w:tc>
                <w:tcPr>
                  <w:tcW w:w="1836" w:type="pct"/>
                  <w:tcBorders>
                    <w:tl2br w:val="nil"/>
                    <w:tr2bl w:val="nil"/>
                  </w:tcBorders>
                  <w:shd w:val="clear" w:color="auto" w:fill="auto"/>
                  <w:vAlign w:val="center"/>
                </w:tcPr>
                <w:p w14:paraId="5BC45F9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HC</w:t>
                  </w:r>
                  <w:r>
                    <w:rPr>
                      <w:rFonts w:hint="default" w:ascii="Times New Roman" w:hAnsi="Times New Roman" w:eastAsia="Times New Roman" w:cs="Times New Roman"/>
                      <w:color w:val="auto"/>
                      <w:spacing w:val="19"/>
                      <w:sz w:val="21"/>
                      <w:szCs w:val="21"/>
                      <w:highlight w:val="none"/>
                    </w:rPr>
                    <w:t>-</w:t>
                  </w:r>
                  <w:r>
                    <w:rPr>
                      <w:rFonts w:hint="default" w:ascii="Times New Roman" w:hAnsi="Times New Roman" w:eastAsia="Times New Roman" w:cs="Times New Roman"/>
                      <w:color w:val="auto"/>
                      <w:sz w:val="21"/>
                      <w:szCs w:val="21"/>
                      <w:highlight w:val="none"/>
                    </w:rPr>
                    <w:t>CJ</w:t>
                  </w:r>
                  <w:r>
                    <w:rPr>
                      <w:rFonts w:hint="default" w:ascii="Times New Roman" w:hAnsi="Times New Roman" w:eastAsia="Times New Roman" w:cs="Times New Roman"/>
                      <w:color w:val="auto"/>
                      <w:spacing w:val="19"/>
                      <w:sz w:val="21"/>
                      <w:szCs w:val="21"/>
                      <w:highlight w:val="none"/>
                    </w:rPr>
                    <w:t>-</w:t>
                  </w:r>
                  <w:r>
                    <w:rPr>
                      <w:rFonts w:hint="default" w:ascii="Times New Roman" w:hAnsi="Times New Roman" w:eastAsia="Times New Roman" w:cs="Times New Roman"/>
                      <w:color w:val="auto"/>
                      <w:sz w:val="21"/>
                      <w:szCs w:val="21"/>
                      <w:highlight w:val="none"/>
                    </w:rPr>
                    <w:t>GZ</w:t>
                  </w:r>
                </w:p>
              </w:tc>
              <w:tc>
                <w:tcPr>
                  <w:tcW w:w="402" w:type="pct"/>
                  <w:tcBorders>
                    <w:tl2br w:val="nil"/>
                    <w:tr2bl w:val="nil"/>
                  </w:tcBorders>
                  <w:shd w:val="clear" w:color="auto" w:fill="auto"/>
                  <w:vAlign w:val="center"/>
                </w:tcPr>
                <w:p w14:paraId="3EB4AC3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4176111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5C91A71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827233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25</w:t>
                  </w:r>
                </w:p>
              </w:tc>
              <w:tc>
                <w:tcPr>
                  <w:tcW w:w="445" w:type="pct"/>
                  <w:vMerge w:val="continue"/>
                  <w:tcBorders>
                    <w:tl2br w:val="nil"/>
                    <w:tr2bl w:val="nil"/>
                  </w:tcBorders>
                  <w:vAlign w:val="center"/>
                </w:tcPr>
                <w:p w14:paraId="2A4B111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27A98D6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扒胎机</w:t>
                  </w:r>
                </w:p>
              </w:tc>
              <w:tc>
                <w:tcPr>
                  <w:tcW w:w="1836" w:type="pct"/>
                  <w:tcBorders>
                    <w:tl2br w:val="nil"/>
                    <w:tr2bl w:val="nil"/>
                  </w:tcBorders>
                  <w:shd w:val="clear" w:color="auto" w:fill="auto"/>
                  <w:vAlign w:val="center"/>
                </w:tcPr>
                <w:p w14:paraId="7FBC284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eastAsia="宋体" w:cs="Times New Roman"/>
                      <w:snapToGrid w:val="0"/>
                      <w:color w:val="auto"/>
                      <w:kern w:val="0"/>
                      <w:sz w:val="21"/>
                      <w:szCs w:val="21"/>
                      <w:highlight w:val="none"/>
                      <w:lang w:val="en-US" w:eastAsia="zh-CN" w:bidi="ar-SA"/>
                    </w:rPr>
                  </w:pPr>
                  <w:r>
                    <w:rPr>
                      <w:rFonts w:hint="eastAsia" w:cs="Times New Roman"/>
                      <w:color w:val="auto"/>
                      <w:spacing w:val="3"/>
                      <w:sz w:val="21"/>
                      <w:szCs w:val="21"/>
                      <w:highlight w:val="none"/>
                      <w:lang w:val="en-US" w:eastAsia="zh-CN"/>
                    </w:rPr>
                    <w:t>/</w:t>
                  </w:r>
                </w:p>
              </w:tc>
              <w:tc>
                <w:tcPr>
                  <w:tcW w:w="402" w:type="pct"/>
                  <w:tcBorders>
                    <w:tl2br w:val="nil"/>
                    <w:tr2bl w:val="nil"/>
                  </w:tcBorders>
                  <w:shd w:val="clear" w:color="auto" w:fill="auto"/>
                  <w:vAlign w:val="center"/>
                </w:tcPr>
                <w:p w14:paraId="15317BA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69A075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04B9623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6366C13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26</w:t>
                  </w:r>
                </w:p>
              </w:tc>
              <w:tc>
                <w:tcPr>
                  <w:tcW w:w="445" w:type="pct"/>
                  <w:vMerge w:val="continue"/>
                  <w:tcBorders>
                    <w:tl2br w:val="nil"/>
                    <w:tr2bl w:val="nil"/>
                  </w:tcBorders>
                  <w:vAlign w:val="center"/>
                </w:tcPr>
                <w:p w14:paraId="04A2769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5E5C9BC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高压空压机</w:t>
                  </w:r>
                </w:p>
              </w:tc>
              <w:tc>
                <w:tcPr>
                  <w:tcW w:w="1836" w:type="pct"/>
                  <w:tcBorders>
                    <w:tl2br w:val="nil"/>
                    <w:tr2bl w:val="nil"/>
                  </w:tcBorders>
                  <w:shd w:val="clear" w:color="auto" w:fill="auto"/>
                  <w:vAlign w:val="center"/>
                </w:tcPr>
                <w:p w14:paraId="0D15C3D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3"/>
                      <w:sz w:val="21"/>
                      <w:szCs w:val="21"/>
                      <w:highlight w:val="none"/>
                    </w:rPr>
                    <w:t>1.0m</w:t>
                  </w:r>
                  <w:r>
                    <w:rPr>
                      <w:rFonts w:hint="default" w:ascii="Times New Roman" w:hAnsi="Times New Roman" w:eastAsia="Times New Roman" w:cs="Times New Roman"/>
                      <w:color w:val="auto"/>
                      <w:spacing w:val="3"/>
                      <w:position w:val="6"/>
                      <w:sz w:val="21"/>
                      <w:szCs w:val="21"/>
                      <w:highlight w:val="none"/>
                    </w:rPr>
                    <w:t>3</w:t>
                  </w:r>
                  <w:r>
                    <w:rPr>
                      <w:rFonts w:hint="default" w:ascii="Times New Roman" w:hAnsi="Times New Roman" w:eastAsia="Times New Roman" w:cs="Times New Roman"/>
                      <w:color w:val="auto"/>
                      <w:spacing w:val="3"/>
                      <w:sz w:val="21"/>
                      <w:szCs w:val="21"/>
                      <w:highlight w:val="none"/>
                    </w:rPr>
                    <w:t>/1.5</w:t>
                  </w:r>
                  <w:r>
                    <w:rPr>
                      <w:rFonts w:hint="default" w:ascii="Times New Roman" w:hAnsi="Times New Roman" w:eastAsia="Times New Roman" w:cs="Times New Roman"/>
                      <w:color w:val="auto"/>
                      <w:sz w:val="21"/>
                      <w:szCs w:val="21"/>
                      <w:highlight w:val="none"/>
                    </w:rPr>
                    <w:t>MPa</w:t>
                  </w:r>
                </w:p>
              </w:tc>
              <w:tc>
                <w:tcPr>
                  <w:tcW w:w="402" w:type="pct"/>
                  <w:tcBorders>
                    <w:tl2br w:val="nil"/>
                    <w:tr2bl w:val="nil"/>
                  </w:tcBorders>
                  <w:shd w:val="clear" w:color="auto" w:fill="auto"/>
                  <w:vAlign w:val="center"/>
                </w:tcPr>
                <w:p w14:paraId="5845ADF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6C3782C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36C1C00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394F527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default" w:ascii="Times New Roman" w:hAnsi="Times New Roman" w:cs="Times New Roman"/>
                      <w:color w:val="auto"/>
                      <w:spacing w:val="6"/>
                      <w:sz w:val="21"/>
                      <w:szCs w:val="21"/>
                      <w:highlight w:val="none"/>
                      <w:lang w:val="en-US" w:eastAsia="zh-CN"/>
                    </w:rPr>
                    <w:t>27</w:t>
                  </w:r>
                </w:p>
              </w:tc>
              <w:tc>
                <w:tcPr>
                  <w:tcW w:w="445" w:type="pct"/>
                  <w:vMerge w:val="restart"/>
                  <w:tcBorders>
                    <w:tl2br w:val="nil"/>
                    <w:tr2bl w:val="nil"/>
                  </w:tcBorders>
                  <w:shd w:val="clear" w:color="auto" w:fill="auto"/>
                  <w:vAlign w:val="center"/>
                </w:tcPr>
                <w:p w14:paraId="18D37BC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新能源</w:t>
                  </w:r>
                  <w:r>
                    <w:rPr>
                      <w:rFonts w:hint="default" w:ascii="Times New Roman" w:hAnsi="Times New Roman" w:cs="Times New Roman"/>
                      <w:color w:val="auto"/>
                      <w:spacing w:val="7"/>
                      <w:sz w:val="21"/>
                      <w:szCs w:val="21"/>
                      <w:highlight w:val="none"/>
                    </w:rPr>
                    <w:t>汽车拆解设备</w:t>
                  </w:r>
                </w:p>
              </w:tc>
              <w:tc>
                <w:tcPr>
                  <w:tcW w:w="1396" w:type="pct"/>
                  <w:tcBorders>
                    <w:tl2br w:val="nil"/>
                    <w:tr2bl w:val="nil"/>
                  </w:tcBorders>
                  <w:shd w:val="clear" w:color="auto" w:fill="auto"/>
                  <w:vAlign w:val="center"/>
                </w:tcPr>
                <w:p w14:paraId="74C35ED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电池安全评估放电设备</w:t>
                  </w:r>
                </w:p>
              </w:tc>
              <w:tc>
                <w:tcPr>
                  <w:tcW w:w="1836" w:type="pct"/>
                  <w:tcBorders>
                    <w:tl2br w:val="nil"/>
                    <w:tr2bl w:val="nil"/>
                  </w:tcBorders>
                  <w:shd w:val="clear" w:color="auto" w:fill="auto"/>
                  <w:vAlign w:val="center"/>
                </w:tcPr>
                <w:p w14:paraId="6FAD06E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5"/>
                      <w:sz w:val="21"/>
                      <w:szCs w:val="21"/>
                      <w:highlight w:val="none"/>
                    </w:rPr>
                    <w:t>600V/3</w:t>
                  </w:r>
                  <w:r>
                    <w:rPr>
                      <w:rFonts w:hint="eastAsia" w:eastAsia="宋体" w:cs="Times New Roman"/>
                      <w:color w:val="auto"/>
                      <w:spacing w:val="5"/>
                      <w:sz w:val="21"/>
                      <w:szCs w:val="21"/>
                      <w:highlight w:val="none"/>
                      <w:lang w:eastAsia="zh-CN"/>
                    </w:rPr>
                    <w:t>kW</w:t>
                  </w:r>
                </w:p>
              </w:tc>
              <w:tc>
                <w:tcPr>
                  <w:tcW w:w="402" w:type="pct"/>
                  <w:tcBorders>
                    <w:tl2br w:val="nil"/>
                    <w:tr2bl w:val="nil"/>
                  </w:tcBorders>
                  <w:shd w:val="clear" w:color="auto" w:fill="auto"/>
                  <w:vAlign w:val="center"/>
                </w:tcPr>
                <w:p w14:paraId="39E4048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557317D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5A78F33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682DB3A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28</w:t>
                  </w:r>
                </w:p>
              </w:tc>
              <w:tc>
                <w:tcPr>
                  <w:tcW w:w="445" w:type="pct"/>
                  <w:vMerge w:val="continue"/>
                  <w:tcBorders>
                    <w:tl2br w:val="nil"/>
                    <w:tr2bl w:val="nil"/>
                  </w:tcBorders>
                  <w:vAlign w:val="center"/>
                </w:tcPr>
                <w:p w14:paraId="4CD4D75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4297F11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举升机</w:t>
                  </w:r>
                </w:p>
              </w:tc>
              <w:tc>
                <w:tcPr>
                  <w:tcW w:w="1836" w:type="pct"/>
                  <w:tcBorders>
                    <w:tl2br w:val="nil"/>
                    <w:tr2bl w:val="nil"/>
                  </w:tcBorders>
                  <w:shd w:val="clear" w:color="auto" w:fill="auto"/>
                  <w:vAlign w:val="center"/>
                </w:tcPr>
                <w:p w14:paraId="747A741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6"/>
                      <w:sz w:val="21"/>
                      <w:szCs w:val="21"/>
                      <w:highlight w:val="none"/>
                    </w:rPr>
                    <w:t>4000</w:t>
                  </w:r>
                  <w:r>
                    <w:rPr>
                      <w:rFonts w:hint="default" w:ascii="Times New Roman" w:hAnsi="Times New Roman" w:eastAsia="Times New Roman" w:cs="Times New Roman"/>
                      <w:color w:val="auto"/>
                      <w:sz w:val="21"/>
                      <w:szCs w:val="21"/>
                      <w:highlight w:val="none"/>
                    </w:rPr>
                    <w:t>KG</w:t>
                  </w:r>
                </w:p>
              </w:tc>
              <w:tc>
                <w:tcPr>
                  <w:tcW w:w="402" w:type="pct"/>
                  <w:tcBorders>
                    <w:tl2br w:val="nil"/>
                    <w:tr2bl w:val="nil"/>
                  </w:tcBorders>
                  <w:shd w:val="clear" w:color="auto" w:fill="auto"/>
                  <w:vAlign w:val="center"/>
                </w:tcPr>
                <w:p w14:paraId="2CC94B1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7084A29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73BCFBB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2654F8B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29</w:t>
                  </w:r>
                </w:p>
              </w:tc>
              <w:tc>
                <w:tcPr>
                  <w:tcW w:w="445" w:type="pct"/>
                  <w:vMerge w:val="continue"/>
                  <w:tcBorders>
                    <w:tl2br w:val="nil"/>
                    <w:tr2bl w:val="nil"/>
                  </w:tcBorders>
                  <w:vAlign w:val="center"/>
                </w:tcPr>
                <w:p w14:paraId="6CB0A88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3536144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动力电池升降车</w:t>
                  </w:r>
                </w:p>
              </w:tc>
              <w:tc>
                <w:tcPr>
                  <w:tcW w:w="1836" w:type="pct"/>
                  <w:tcBorders>
                    <w:tl2br w:val="nil"/>
                    <w:tr2bl w:val="nil"/>
                  </w:tcBorders>
                  <w:shd w:val="clear" w:color="auto" w:fill="auto"/>
                  <w:vAlign w:val="center"/>
                </w:tcPr>
                <w:p w14:paraId="4D06319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4"/>
                      <w:sz w:val="21"/>
                      <w:szCs w:val="21"/>
                      <w:highlight w:val="none"/>
                    </w:rPr>
                    <w:t>500</w:t>
                  </w:r>
                  <w:r>
                    <w:rPr>
                      <w:rFonts w:hint="default" w:ascii="Times New Roman" w:hAnsi="Times New Roman" w:eastAsia="Times New Roman" w:cs="Times New Roman"/>
                      <w:color w:val="auto"/>
                      <w:sz w:val="21"/>
                      <w:szCs w:val="21"/>
                      <w:highlight w:val="none"/>
                    </w:rPr>
                    <w:t>kg</w:t>
                  </w:r>
                </w:p>
              </w:tc>
              <w:tc>
                <w:tcPr>
                  <w:tcW w:w="402" w:type="pct"/>
                  <w:tcBorders>
                    <w:tl2br w:val="nil"/>
                    <w:tr2bl w:val="nil"/>
                  </w:tcBorders>
                  <w:shd w:val="clear" w:color="auto" w:fill="auto"/>
                  <w:vAlign w:val="center"/>
                </w:tcPr>
                <w:p w14:paraId="5990234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32A2A4A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5AF26A5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52B46C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30</w:t>
                  </w:r>
                </w:p>
              </w:tc>
              <w:tc>
                <w:tcPr>
                  <w:tcW w:w="445" w:type="pct"/>
                  <w:vMerge w:val="continue"/>
                  <w:tcBorders>
                    <w:tl2br w:val="nil"/>
                    <w:tr2bl w:val="nil"/>
                  </w:tcBorders>
                  <w:vAlign w:val="center"/>
                </w:tcPr>
                <w:p w14:paraId="37ECAB2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072AF62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动力电池吊具</w:t>
                  </w:r>
                </w:p>
              </w:tc>
              <w:tc>
                <w:tcPr>
                  <w:tcW w:w="1836" w:type="pct"/>
                  <w:tcBorders>
                    <w:tl2br w:val="nil"/>
                    <w:tr2bl w:val="nil"/>
                  </w:tcBorders>
                  <w:shd w:val="clear" w:color="auto" w:fill="auto"/>
                  <w:vAlign w:val="center"/>
                </w:tcPr>
                <w:p w14:paraId="6CD9E7A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2"/>
                      <w:sz w:val="21"/>
                      <w:szCs w:val="21"/>
                      <w:highlight w:val="none"/>
                    </w:rPr>
                    <w:t>0.5-2t</w:t>
                  </w:r>
                </w:p>
              </w:tc>
              <w:tc>
                <w:tcPr>
                  <w:tcW w:w="402" w:type="pct"/>
                  <w:tcBorders>
                    <w:tl2br w:val="nil"/>
                    <w:tr2bl w:val="nil"/>
                  </w:tcBorders>
                  <w:shd w:val="clear" w:color="auto" w:fill="auto"/>
                  <w:vAlign w:val="center"/>
                </w:tcPr>
                <w:p w14:paraId="1C109ED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740B142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台</w:t>
                  </w:r>
                </w:p>
              </w:tc>
            </w:tr>
            <w:tr w14:paraId="279C899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445EED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31</w:t>
                  </w:r>
                </w:p>
              </w:tc>
              <w:tc>
                <w:tcPr>
                  <w:tcW w:w="445" w:type="pct"/>
                  <w:vMerge w:val="continue"/>
                  <w:tcBorders>
                    <w:tl2br w:val="nil"/>
                    <w:tr2bl w:val="nil"/>
                  </w:tcBorders>
                  <w:vAlign w:val="center"/>
                </w:tcPr>
                <w:p w14:paraId="2200E35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13A7387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3"/>
                      <w:sz w:val="21"/>
                      <w:szCs w:val="21"/>
                      <w:highlight w:val="none"/>
                    </w:rPr>
                    <w:t>电瓶周转箱</w:t>
                  </w:r>
                </w:p>
              </w:tc>
              <w:tc>
                <w:tcPr>
                  <w:tcW w:w="1836" w:type="pct"/>
                  <w:tcBorders>
                    <w:tl2br w:val="nil"/>
                    <w:tr2bl w:val="nil"/>
                  </w:tcBorders>
                  <w:shd w:val="clear" w:color="auto" w:fill="auto"/>
                  <w:vAlign w:val="center"/>
                </w:tcPr>
                <w:p w14:paraId="3BA97AB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eastAsia" w:eastAsia="宋体" w:cs="Times New Roman"/>
                      <w:color w:val="auto"/>
                      <w:spacing w:val="4"/>
                      <w:position w:val="2"/>
                      <w:sz w:val="21"/>
                      <w:szCs w:val="21"/>
                      <w:highlight w:val="none"/>
                      <w:lang w:eastAsia="zh-CN"/>
                    </w:rPr>
                    <w:t>PVC</w:t>
                  </w:r>
                </w:p>
              </w:tc>
              <w:tc>
                <w:tcPr>
                  <w:tcW w:w="402" w:type="pct"/>
                  <w:tcBorders>
                    <w:tl2br w:val="nil"/>
                    <w:tr2bl w:val="nil"/>
                  </w:tcBorders>
                  <w:shd w:val="clear" w:color="auto" w:fill="auto"/>
                  <w:vAlign w:val="center"/>
                </w:tcPr>
                <w:p w14:paraId="2207C87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0A8871D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个</w:t>
                  </w:r>
                </w:p>
              </w:tc>
            </w:tr>
            <w:tr w14:paraId="4FB4F7C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3BAAA6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w:t>
                  </w:r>
                </w:p>
              </w:tc>
              <w:tc>
                <w:tcPr>
                  <w:tcW w:w="445" w:type="pct"/>
                  <w:vMerge w:val="continue"/>
                  <w:tcBorders>
                    <w:tl2br w:val="nil"/>
                    <w:tr2bl w:val="nil"/>
                  </w:tcBorders>
                  <w:vAlign w:val="center"/>
                </w:tcPr>
                <w:p w14:paraId="3CD0871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67A5399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绝缘电缆剪</w:t>
                  </w:r>
                </w:p>
              </w:tc>
              <w:tc>
                <w:tcPr>
                  <w:tcW w:w="1836" w:type="pct"/>
                  <w:tcBorders>
                    <w:tl2br w:val="nil"/>
                    <w:tr2bl w:val="nil"/>
                  </w:tcBorders>
                  <w:shd w:val="clear" w:color="auto" w:fill="auto"/>
                  <w:vAlign w:val="center"/>
                </w:tcPr>
                <w:p w14:paraId="19C87F3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4"/>
                      <w:sz w:val="21"/>
                      <w:szCs w:val="21"/>
                      <w:highlight w:val="none"/>
                    </w:rPr>
                    <w:t>剪线范围</w:t>
                  </w:r>
                  <w:r>
                    <w:rPr>
                      <w:rFonts w:hint="default" w:ascii="Times New Roman" w:hAnsi="Times New Roman" w:cs="Times New Roman"/>
                      <w:color w:val="auto"/>
                      <w:spacing w:val="-39"/>
                      <w:sz w:val="21"/>
                      <w:szCs w:val="21"/>
                      <w:highlight w:val="none"/>
                    </w:rPr>
                    <w:t xml:space="preserve"> </w:t>
                  </w:r>
                  <w:r>
                    <w:rPr>
                      <w:rFonts w:hint="default" w:ascii="Times New Roman" w:hAnsi="Times New Roman" w:eastAsia="Times New Roman" w:cs="Times New Roman"/>
                      <w:color w:val="auto"/>
                      <w:spacing w:val="4"/>
                      <w:sz w:val="21"/>
                      <w:szCs w:val="21"/>
                      <w:highlight w:val="none"/>
                    </w:rPr>
                    <w:t>400</w:t>
                  </w:r>
                  <w:r>
                    <w:rPr>
                      <w:rFonts w:hint="default" w:ascii="Times New Roman" w:hAnsi="Times New Roman" w:eastAsia="Times New Roman" w:cs="Times New Roman"/>
                      <w:color w:val="auto"/>
                      <w:sz w:val="21"/>
                      <w:szCs w:val="21"/>
                      <w:highlight w:val="none"/>
                    </w:rPr>
                    <w:t>mm</w:t>
                  </w:r>
                  <w:r>
                    <w:rPr>
                      <w:rFonts w:hint="default" w:ascii="Times New Roman" w:hAnsi="Times New Roman" w:eastAsia="Times New Roman" w:cs="Times New Roman"/>
                      <w:color w:val="auto"/>
                      <w:spacing w:val="36"/>
                      <w:sz w:val="21"/>
                      <w:szCs w:val="21"/>
                      <w:highlight w:val="none"/>
                    </w:rPr>
                    <w:t xml:space="preserve"> </w:t>
                  </w:r>
                  <w:r>
                    <w:rPr>
                      <w:rFonts w:hint="default" w:ascii="Times New Roman" w:hAnsi="Times New Roman" w:cs="Times New Roman"/>
                      <w:color w:val="auto"/>
                      <w:spacing w:val="4"/>
                      <w:sz w:val="21"/>
                      <w:szCs w:val="21"/>
                      <w:highlight w:val="none"/>
                    </w:rPr>
                    <w:t>以下</w:t>
                  </w:r>
                </w:p>
              </w:tc>
              <w:tc>
                <w:tcPr>
                  <w:tcW w:w="402" w:type="pct"/>
                  <w:tcBorders>
                    <w:tl2br w:val="nil"/>
                    <w:tr2bl w:val="nil"/>
                  </w:tcBorders>
                  <w:shd w:val="clear" w:color="auto" w:fill="auto"/>
                  <w:vAlign w:val="center"/>
                </w:tcPr>
                <w:p w14:paraId="268F89C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1E067D2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个</w:t>
                  </w:r>
                </w:p>
              </w:tc>
            </w:tr>
            <w:tr w14:paraId="1CAD1F7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B6D613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33</w:t>
                  </w:r>
                </w:p>
              </w:tc>
              <w:tc>
                <w:tcPr>
                  <w:tcW w:w="445" w:type="pct"/>
                  <w:vMerge w:val="continue"/>
                  <w:tcBorders>
                    <w:tl2br w:val="nil"/>
                    <w:tr2bl w:val="nil"/>
                  </w:tcBorders>
                  <w:vAlign w:val="center"/>
                </w:tcPr>
                <w:p w14:paraId="25B5380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2D3C926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7"/>
                      <w:sz w:val="21"/>
                      <w:szCs w:val="21"/>
                      <w:highlight w:val="none"/>
                    </w:rPr>
                    <w:t>绝缘手动工具</w:t>
                  </w:r>
                </w:p>
              </w:tc>
              <w:tc>
                <w:tcPr>
                  <w:tcW w:w="1836" w:type="pct"/>
                  <w:tcBorders>
                    <w:tl2br w:val="nil"/>
                    <w:tr2bl w:val="nil"/>
                  </w:tcBorders>
                  <w:shd w:val="clear" w:color="auto" w:fill="auto"/>
                  <w:vAlign w:val="center"/>
                </w:tcPr>
                <w:p w14:paraId="4C85A14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pacing w:val="2"/>
                      <w:sz w:val="21"/>
                      <w:szCs w:val="21"/>
                      <w:highlight w:val="none"/>
                    </w:rPr>
                    <w:t>/</w:t>
                  </w:r>
                </w:p>
              </w:tc>
              <w:tc>
                <w:tcPr>
                  <w:tcW w:w="402" w:type="pct"/>
                  <w:tcBorders>
                    <w:tl2br w:val="nil"/>
                    <w:tr2bl w:val="nil"/>
                  </w:tcBorders>
                  <w:shd w:val="clear" w:color="auto" w:fill="auto"/>
                  <w:vAlign w:val="center"/>
                </w:tcPr>
                <w:p w14:paraId="586F293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786357A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4892E6D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E6DBBE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34</w:t>
                  </w:r>
                </w:p>
              </w:tc>
              <w:tc>
                <w:tcPr>
                  <w:tcW w:w="445" w:type="pct"/>
                  <w:vMerge w:val="continue"/>
                  <w:tcBorders>
                    <w:tl2br w:val="nil"/>
                    <w:tr2bl w:val="nil"/>
                  </w:tcBorders>
                  <w:vAlign w:val="center"/>
                </w:tcPr>
                <w:p w14:paraId="1F68AD6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1D221C2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6"/>
                      <w:sz w:val="21"/>
                      <w:szCs w:val="21"/>
                      <w:highlight w:val="none"/>
                    </w:rPr>
                    <w:t>救援钩</w:t>
                  </w:r>
                </w:p>
              </w:tc>
              <w:tc>
                <w:tcPr>
                  <w:tcW w:w="1836" w:type="pct"/>
                  <w:tcBorders>
                    <w:tl2br w:val="nil"/>
                    <w:tr2bl w:val="nil"/>
                  </w:tcBorders>
                  <w:shd w:val="clear" w:color="auto" w:fill="auto"/>
                  <w:vAlign w:val="center"/>
                </w:tcPr>
                <w:p w14:paraId="14FA8AB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3"/>
                      <w:sz w:val="21"/>
                      <w:szCs w:val="21"/>
                      <w:highlight w:val="none"/>
                    </w:rPr>
                    <w:t>绝缘等级</w:t>
                  </w:r>
                  <w:r>
                    <w:rPr>
                      <w:rFonts w:hint="default" w:ascii="Times New Roman" w:hAnsi="Times New Roman" w:cs="Times New Roman"/>
                      <w:color w:val="auto"/>
                      <w:spacing w:val="-20"/>
                      <w:sz w:val="21"/>
                      <w:szCs w:val="21"/>
                      <w:highlight w:val="none"/>
                    </w:rPr>
                    <w:t xml:space="preserve"> </w:t>
                  </w:r>
                  <w:r>
                    <w:rPr>
                      <w:rFonts w:hint="default" w:ascii="Times New Roman" w:hAnsi="Times New Roman" w:eastAsia="Times New Roman" w:cs="Times New Roman"/>
                      <w:color w:val="auto"/>
                      <w:spacing w:val="3"/>
                      <w:sz w:val="21"/>
                      <w:szCs w:val="21"/>
                      <w:highlight w:val="none"/>
                    </w:rPr>
                    <w:t>10</w:t>
                  </w:r>
                  <w:r>
                    <w:rPr>
                      <w:rFonts w:hint="default" w:ascii="Times New Roman" w:hAnsi="Times New Roman" w:eastAsia="Times New Roman" w:cs="Times New Roman"/>
                      <w:color w:val="auto"/>
                      <w:sz w:val="21"/>
                      <w:szCs w:val="21"/>
                      <w:highlight w:val="none"/>
                    </w:rPr>
                    <w:t>kv</w:t>
                  </w:r>
                </w:p>
              </w:tc>
              <w:tc>
                <w:tcPr>
                  <w:tcW w:w="402" w:type="pct"/>
                  <w:tcBorders>
                    <w:tl2br w:val="nil"/>
                    <w:tr2bl w:val="nil"/>
                  </w:tcBorders>
                  <w:shd w:val="clear" w:color="auto" w:fill="auto"/>
                  <w:vAlign w:val="center"/>
                </w:tcPr>
                <w:p w14:paraId="00F13B7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3EE2BBD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个</w:t>
                  </w:r>
                </w:p>
              </w:tc>
            </w:tr>
            <w:tr w14:paraId="1E681EB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25230D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35</w:t>
                  </w:r>
                </w:p>
              </w:tc>
              <w:tc>
                <w:tcPr>
                  <w:tcW w:w="445" w:type="pct"/>
                  <w:vMerge w:val="continue"/>
                  <w:tcBorders>
                    <w:tl2br w:val="nil"/>
                    <w:tr2bl w:val="nil"/>
                  </w:tcBorders>
                  <w:vAlign w:val="center"/>
                </w:tcPr>
                <w:p w14:paraId="2DA369F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c>
                <w:tcPr>
                  <w:tcW w:w="1396" w:type="pct"/>
                  <w:tcBorders>
                    <w:tl2br w:val="nil"/>
                    <w:tr2bl w:val="nil"/>
                  </w:tcBorders>
                  <w:shd w:val="clear" w:color="auto" w:fill="auto"/>
                  <w:vAlign w:val="center"/>
                </w:tcPr>
                <w:p w14:paraId="49AE1D2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8"/>
                      <w:sz w:val="21"/>
                      <w:szCs w:val="21"/>
                      <w:highlight w:val="none"/>
                    </w:rPr>
                    <w:t>绝缘电弧防护服、防护</w:t>
                  </w:r>
                  <w:r>
                    <w:rPr>
                      <w:rFonts w:hint="default" w:ascii="Times New Roman" w:hAnsi="Times New Roman" w:cs="Times New Roman"/>
                      <w:color w:val="auto"/>
                      <w:spacing w:val="3"/>
                      <w:sz w:val="21"/>
                      <w:szCs w:val="21"/>
                      <w:highlight w:val="none"/>
                    </w:rPr>
                    <w:t>用具</w:t>
                  </w:r>
                </w:p>
              </w:tc>
              <w:tc>
                <w:tcPr>
                  <w:tcW w:w="1836" w:type="pct"/>
                  <w:tcBorders>
                    <w:tl2br w:val="nil"/>
                    <w:tr2bl w:val="nil"/>
                  </w:tcBorders>
                  <w:shd w:val="clear" w:color="auto" w:fill="auto"/>
                  <w:vAlign w:val="center"/>
                </w:tcPr>
                <w:p w14:paraId="2E3BFB6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cs="Times New Roman"/>
                      <w:color w:val="auto"/>
                      <w:spacing w:val="1"/>
                      <w:sz w:val="21"/>
                      <w:szCs w:val="21"/>
                      <w:highlight w:val="none"/>
                    </w:rPr>
                    <w:t>防护等级</w:t>
                  </w:r>
                  <w:r>
                    <w:rPr>
                      <w:rFonts w:hint="default" w:ascii="Times New Roman" w:hAnsi="Times New Roman" w:cs="Times New Roman"/>
                      <w:color w:val="auto"/>
                      <w:spacing w:val="-23"/>
                      <w:sz w:val="21"/>
                      <w:szCs w:val="21"/>
                      <w:highlight w:val="none"/>
                    </w:rPr>
                    <w:t xml:space="preserve"> </w:t>
                  </w:r>
                  <w:r>
                    <w:rPr>
                      <w:rFonts w:hint="default" w:ascii="Times New Roman" w:hAnsi="Times New Roman" w:eastAsia="Times New Roman" w:cs="Times New Roman"/>
                      <w:color w:val="auto"/>
                      <w:spacing w:val="1"/>
                      <w:sz w:val="21"/>
                      <w:szCs w:val="21"/>
                      <w:highlight w:val="none"/>
                    </w:rPr>
                    <w:t>1</w:t>
                  </w:r>
                  <w:r>
                    <w:rPr>
                      <w:rFonts w:hint="default" w:ascii="Times New Roman" w:hAnsi="Times New Roman" w:eastAsia="Times New Roman" w:cs="Times New Roman"/>
                      <w:color w:val="auto"/>
                      <w:sz w:val="21"/>
                      <w:szCs w:val="21"/>
                      <w:highlight w:val="none"/>
                    </w:rPr>
                    <w:t>kv</w:t>
                  </w:r>
                </w:p>
              </w:tc>
              <w:tc>
                <w:tcPr>
                  <w:tcW w:w="402" w:type="pct"/>
                  <w:tcBorders>
                    <w:tl2br w:val="nil"/>
                    <w:tr2bl w:val="nil"/>
                  </w:tcBorders>
                  <w:shd w:val="clear" w:color="auto" w:fill="auto"/>
                  <w:vAlign w:val="center"/>
                </w:tcPr>
                <w:p w14:paraId="32D4272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Times New Roman" w:cs="Times New Roman"/>
                      <w:snapToGrid w:val="0"/>
                      <w:color w:val="auto"/>
                      <w:kern w:val="0"/>
                      <w:sz w:val="21"/>
                      <w:szCs w:val="21"/>
                      <w:highlight w:val="none"/>
                      <w:lang w:val="en-US" w:eastAsia="en-US" w:bidi="ar-SA"/>
                    </w:rPr>
                  </w:pPr>
                  <w:r>
                    <w:rPr>
                      <w:rFonts w:hint="default" w:ascii="Times New Roman" w:hAnsi="Times New Roman" w:eastAsia="Times New Roman" w:cs="Times New Roman"/>
                      <w:color w:val="auto"/>
                      <w:sz w:val="21"/>
                      <w:szCs w:val="21"/>
                      <w:highlight w:val="none"/>
                    </w:rPr>
                    <w:t>1</w:t>
                  </w:r>
                </w:p>
              </w:tc>
              <w:tc>
                <w:tcPr>
                  <w:tcW w:w="486" w:type="pct"/>
                  <w:tcBorders>
                    <w:tl2br w:val="nil"/>
                    <w:tr2bl w:val="nil"/>
                  </w:tcBorders>
                  <w:shd w:val="clear" w:color="auto" w:fill="auto"/>
                  <w:vAlign w:val="center"/>
                </w:tcPr>
                <w:p w14:paraId="135945F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eastAsia="宋体" w:cs="Times New Roman"/>
                      <w:snapToGrid w:val="0"/>
                      <w:color w:val="auto"/>
                      <w:kern w:val="0"/>
                      <w:sz w:val="21"/>
                      <w:szCs w:val="21"/>
                      <w:highlight w:val="none"/>
                      <w:lang w:val="en-US" w:eastAsia="en-US" w:bidi="ar-SA"/>
                    </w:rPr>
                  </w:pPr>
                  <w:r>
                    <w:rPr>
                      <w:rFonts w:hint="default" w:ascii="Times New Roman" w:hAnsi="Times New Roman" w:cs="Times New Roman"/>
                      <w:color w:val="auto"/>
                      <w:sz w:val="21"/>
                      <w:szCs w:val="21"/>
                      <w:highlight w:val="none"/>
                    </w:rPr>
                    <w:t>套</w:t>
                  </w:r>
                </w:p>
              </w:tc>
            </w:tr>
            <w:tr w14:paraId="63D83BF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2CD276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default" w:ascii="Times New Roman" w:hAnsi="Times New Roman" w:cs="Times New Roman"/>
                      <w:color w:val="auto"/>
                      <w:spacing w:val="8"/>
                      <w:sz w:val="21"/>
                      <w:szCs w:val="21"/>
                      <w:highlight w:val="none"/>
                      <w:lang w:val="en-US" w:eastAsia="zh-CN"/>
                    </w:rPr>
                    <w:t>36</w:t>
                  </w:r>
                </w:p>
              </w:tc>
              <w:tc>
                <w:tcPr>
                  <w:tcW w:w="445" w:type="pct"/>
                  <w:vMerge w:val="continue"/>
                  <w:tcBorders>
                    <w:tl2br w:val="nil"/>
                    <w:tr2bl w:val="nil"/>
                  </w:tcBorders>
                  <w:vAlign w:val="center"/>
                </w:tcPr>
                <w:p w14:paraId="29DCFCD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center"/>
                </w:tcPr>
                <w:p w14:paraId="3C3261E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动力电池周转车</w:t>
                  </w:r>
                </w:p>
              </w:tc>
              <w:tc>
                <w:tcPr>
                  <w:tcW w:w="1836" w:type="pct"/>
                  <w:tcBorders>
                    <w:tl2br w:val="nil"/>
                    <w:tr2bl w:val="nil"/>
                  </w:tcBorders>
                  <w:shd w:val="clear" w:color="auto" w:fill="auto"/>
                  <w:vAlign w:val="center"/>
                </w:tcPr>
                <w:p w14:paraId="6707A11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动力电池周转车</w:t>
                  </w:r>
                </w:p>
              </w:tc>
              <w:tc>
                <w:tcPr>
                  <w:tcW w:w="402" w:type="pct"/>
                  <w:tcBorders>
                    <w:tl2br w:val="nil"/>
                    <w:tr2bl w:val="nil"/>
                  </w:tcBorders>
                  <w:shd w:val="clear" w:color="auto" w:fill="auto"/>
                  <w:vAlign w:val="center"/>
                </w:tcPr>
                <w:p w14:paraId="1269957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tcBorders>
                    <w:tl2br w:val="nil"/>
                    <w:tr2bl w:val="nil"/>
                  </w:tcBorders>
                  <w:shd w:val="clear" w:color="auto" w:fill="auto"/>
                  <w:vAlign w:val="center"/>
                </w:tcPr>
                <w:p w14:paraId="4674880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51B92C4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7CA852E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default" w:ascii="Times New Roman" w:hAnsi="Times New Roman" w:cs="Times New Roman"/>
                      <w:color w:val="auto"/>
                      <w:spacing w:val="8"/>
                      <w:sz w:val="21"/>
                      <w:szCs w:val="21"/>
                      <w:highlight w:val="none"/>
                      <w:lang w:val="en-US" w:eastAsia="zh-CN"/>
                    </w:rPr>
                    <w:t>37</w:t>
                  </w:r>
                </w:p>
              </w:tc>
              <w:tc>
                <w:tcPr>
                  <w:tcW w:w="445" w:type="pct"/>
                  <w:vMerge w:val="restart"/>
                  <w:tcBorders>
                    <w:tl2br w:val="nil"/>
                    <w:tr2bl w:val="nil"/>
                  </w:tcBorders>
                  <w:vAlign w:val="center"/>
                </w:tcPr>
                <w:p w14:paraId="405787B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废钢加工设备</w:t>
                  </w:r>
                </w:p>
              </w:tc>
              <w:tc>
                <w:tcPr>
                  <w:tcW w:w="1396" w:type="pct"/>
                  <w:tcBorders>
                    <w:tl2br w:val="nil"/>
                    <w:tr2bl w:val="nil"/>
                  </w:tcBorders>
                  <w:shd w:val="clear" w:color="auto" w:fill="auto"/>
                  <w:vAlign w:val="top"/>
                </w:tcPr>
                <w:p w14:paraId="58FB98D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电子磅</w:t>
                  </w:r>
                </w:p>
              </w:tc>
              <w:tc>
                <w:tcPr>
                  <w:tcW w:w="1836" w:type="pct"/>
                  <w:tcBorders>
                    <w:tl2br w:val="nil"/>
                    <w:tr2bl w:val="nil"/>
                  </w:tcBorders>
                  <w:shd w:val="clear" w:color="auto" w:fill="auto"/>
                  <w:vAlign w:val="top"/>
                </w:tcPr>
                <w:p w14:paraId="4B6640B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150t</w:t>
                  </w:r>
                </w:p>
              </w:tc>
              <w:tc>
                <w:tcPr>
                  <w:tcW w:w="402" w:type="pct"/>
                  <w:tcBorders>
                    <w:tl2br w:val="nil"/>
                    <w:tr2bl w:val="nil"/>
                  </w:tcBorders>
                  <w:shd w:val="clear" w:color="auto" w:fill="auto"/>
                  <w:vAlign w:val="top"/>
                </w:tcPr>
                <w:p w14:paraId="6DE3FFA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26E48BE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5960EB3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2796418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default" w:ascii="Times New Roman" w:hAnsi="Times New Roman" w:cs="Times New Roman"/>
                      <w:color w:val="auto"/>
                      <w:spacing w:val="8"/>
                      <w:sz w:val="21"/>
                      <w:szCs w:val="21"/>
                      <w:highlight w:val="none"/>
                      <w:lang w:val="en-US" w:eastAsia="zh-CN"/>
                    </w:rPr>
                    <w:t>38</w:t>
                  </w:r>
                </w:p>
              </w:tc>
              <w:tc>
                <w:tcPr>
                  <w:tcW w:w="445" w:type="pct"/>
                  <w:vMerge w:val="continue"/>
                  <w:tcBorders>
                    <w:tl2br w:val="nil"/>
                    <w:tr2bl w:val="nil"/>
                  </w:tcBorders>
                  <w:vAlign w:val="center"/>
                </w:tcPr>
                <w:p w14:paraId="237027E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5F9B467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立式液压打包机</w:t>
                  </w:r>
                </w:p>
              </w:tc>
              <w:tc>
                <w:tcPr>
                  <w:tcW w:w="1836" w:type="pct"/>
                  <w:tcBorders>
                    <w:tl2br w:val="nil"/>
                    <w:tr2bl w:val="nil"/>
                  </w:tcBorders>
                  <w:shd w:val="clear" w:color="auto" w:fill="auto"/>
                  <w:vAlign w:val="top"/>
                </w:tcPr>
                <w:p w14:paraId="5816F1C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Y81/T-2500A</w:t>
                  </w:r>
                </w:p>
              </w:tc>
              <w:tc>
                <w:tcPr>
                  <w:tcW w:w="402" w:type="pct"/>
                  <w:tcBorders>
                    <w:tl2br w:val="nil"/>
                    <w:tr2bl w:val="nil"/>
                  </w:tcBorders>
                  <w:shd w:val="clear" w:color="auto" w:fill="auto"/>
                  <w:vAlign w:val="top"/>
                </w:tcPr>
                <w:p w14:paraId="048633D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tcBorders>
                    <w:tl2br w:val="nil"/>
                    <w:tr2bl w:val="nil"/>
                  </w:tcBorders>
                  <w:shd w:val="clear" w:color="auto" w:fill="auto"/>
                  <w:vAlign w:val="center"/>
                </w:tcPr>
                <w:p w14:paraId="0DDF567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 xml:space="preserve"> 台</w:t>
                  </w:r>
                </w:p>
              </w:tc>
            </w:tr>
            <w:tr w14:paraId="5237E2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568061F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39</w:t>
                  </w:r>
                </w:p>
              </w:tc>
              <w:tc>
                <w:tcPr>
                  <w:tcW w:w="445" w:type="pct"/>
                  <w:vMerge w:val="continue"/>
                  <w:tcBorders>
                    <w:tl2br w:val="nil"/>
                    <w:tr2bl w:val="nil"/>
                  </w:tcBorders>
                  <w:vAlign w:val="center"/>
                </w:tcPr>
                <w:p w14:paraId="2DC282B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425D023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龙门剪切机</w:t>
                  </w:r>
                </w:p>
              </w:tc>
              <w:tc>
                <w:tcPr>
                  <w:tcW w:w="1836" w:type="pct"/>
                  <w:tcBorders>
                    <w:tl2br w:val="nil"/>
                    <w:tr2bl w:val="nil"/>
                  </w:tcBorders>
                  <w:shd w:val="clear" w:color="auto" w:fill="auto"/>
                  <w:vAlign w:val="top"/>
                </w:tcPr>
                <w:p w14:paraId="3764892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250mm</w:t>
                  </w:r>
                </w:p>
              </w:tc>
              <w:tc>
                <w:tcPr>
                  <w:tcW w:w="402" w:type="pct"/>
                  <w:tcBorders>
                    <w:tl2br w:val="nil"/>
                    <w:tr2bl w:val="nil"/>
                  </w:tcBorders>
                  <w:shd w:val="clear" w:color="auto" w:fill="auto"/>
                  <w:vAlign w:val="top"/>
                </w:tcPr>
                <w:p w14:paraId="395909D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381A27D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45A5146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3504156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40</w:t>
                  </w:r>
                </w:p>
              </w:tc>
              <w:tc>
                <w:tcPr>
                  <w:tcW w:w="445" w:type="pct"/>
                  <w:vMerge w:val="continue"/>
                  <w:tcBorders>
                    <w:tl2br w:val="nil"/>
                    <w:tr2bl w:val="nil"/>
                  </w:tcBorders>
                  <w:vAlign w:val="center"/>
                </w:tcPr>
                <w:p w14:paraId="2409B8B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04925E1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履带式抓钩装卸机</w:t>
                  </w:r>
                </w:p>
              </w:tc>
              <w:tc>
                <w:tcPr>
                  <w:tcW w:w="1836" w:type="pct"/>
                  <w:tcBorders>
                    <w:tl2br w:val="nil"/>
                    <w:tr2bl w:val="nil"/>
                  </w:tcBorders>
                  <w:shd w:val="clear" w:color="auto" w:fill="auto"/>
                  <w:vAlign w:val="top"/>
                </w:tcPr>
                <w:p w14:paraId="7A3135E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WYS40 型</w:t>
                  </w:r>
                </w:p>
              </w:tc>
              <w:tc>
                <w:tcPr>
                  <w:tcW w:w="402" w:type="pct"/>
                  <w:tcBorders>
                    <w:tl2br w:val="nil"/>
                    <w:tr2bl w:val="nil"/>
                  </w:tcBorders>
                  <w:shd w:val="clear" w:color="auto" w:fill="auto"/>
                  <w:vAlign w:val="top"/>
                </w:tcPr>
                <w:p w14:paraId="025295E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7771529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2122F88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1EC37BF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41</w:t>
                  </w:r>
                </w:p>
              </w:tc>
              <w:tc>
                <w:tcPr>
                  <w:tcW w:w="445" w:type="pct"/>
                  <w:vMerge w:val="continue"/>
                  <w:tcBorders>
                    <w:tl2br w:val="nil"/>
                    <w:tr2bl w:val="nil"/>
                  </w:tcBorders>
                  <w:vAlign w:val="center"/>
                </w:tcPr>
                <w:p w14:paraId="563785E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1929881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磁力航吊</w:t>
                  </w:r>
                </w:p>
              </w:tc>
              <w:tc>
                <w:tcPr>
                  <w:tcW w:w="1836" w:type="pct"/>
                  <w:tcBorders>
                    <w:tl2br w:val="nil"/>
                    <w:tr2bl w:val="nil"/>
                  </w:tcBorders>
                  <w:shd w:val="clear" w:color="auto" w:fill="auto"/>
                  <w:vAlign w:val="top"/>
                </w:tcPr>
                <w:p w14:paraId="43E3632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DF-210</w:t>
                  </w:r>
                </w:p>
              </w:tc>
              <w:tc>
                <w:tcPr>
                  <w:tcW w:w="402" w:type="pct"/>
                  <w:tcBorders>
                    <w:tl2br w:val="nil"/>
                    <w:tr2bl w:val="nil"/>
                  </w:tcBorders>
                  <w:shd w:val="clear" w:color="auto" w:fill="auto"/>
                  <w:vAlign w:val="top"/>
                </w:tcPr>
                <w:p w14:paraId="03A21C0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1F8293A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75793A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7374BBB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42</w:t>
                  </w:r>
                </w:p>
              </w:tc>
              <w:tc>
                <w:tcPr>
                  <w:tcW w:w="445" w:type="pct"/>
                  <w:vMerge w:val="continue"/>
                  <w:tcBorders>
                    <w:tl2br w:val="nil"/>
                    <w:tr2bl w:val="nil"/>
                  </w:tcBorders>
                  <w:vAlign w:val="center"/>
                </w:tcPr>
                <w:p w14:paraId="0774BA7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3600A66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链板式上料输送机料机</w:t>
                  </w:r>
                </w:p>
              </w:tc>
              <w:tc>
                <w:tcPr>
                  <w:tcW w:w="1836" w:type="pct"/>
                  <w:tcBorders>
                    <w:tl2br w:val="nil"/>
                    <w:tr2bl w:val="nil"/>
                  </w:tcBorders>
                  <w:shd w:val="clear" w:color="auto" w:fill="auto"/>
                  <w:vAlign w:val="top"/>
                </w:tcPr>
                <w:p w14:paraId="0CE0487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2000MM</w:t>
                  </w:r>
                </w:p>
              </w:tc>
              <w:tc>
                <w:tcPr>
                  <w:tcW w:w="402" w:type="pct"/>
                  <w:tcBorders>
                    <w:tl2br w:val="nil"/>
                    <w:tr2bl w:val="nil"/>
                  </w:tcBorders>
                  <w:shd w:val="clear" w:color="auto" w:fill="auto"/>
                  <w:vAlign w:val="top"/>
                </w:tcPr>
                <w:p w14:paraId="44D7758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362A969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4340DDB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57AC9CA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43</w:t>
                  </w:r>
                </w:p>
              </w:tc>
              <w:tc>
                <w:tcPr>
                  <w:tcW w:w="445" w:type="pct"/>
                  <w:vMerge w:val="continue"/>
                  <w:tcBorders>
                    <w:tl2br w:val="nil"/>
                    <w:tr2bl w:val="nil"/>
                  </w:tcBorders>
                  <w:vAlign w:val="center"/>
                </w:tcPr>
                <w:p w14:paraId="2D6D796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24389A2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破碎主机</w:t>
                  </w:r>
                </w:p>
              </w:tc>
              <w:tc>
                <w:tcPr>
                  <w:tcW w:w="1836" w:type="pct"/>
                  <w:tcBorders>
                    <w:tl2br w:val="nil"/>
                    <w:tr2bl w:val="nil"/>
                  </w:tcBorders>
                  <w:shd w:val="clear" w:color="auto" w:fill="auto"/>
                  <w:vAlign w:val="top"/>
                </w:tcPr>
                <w:p w14:paraId="2DA0A33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PFY-2026 锤型</w:t>
                  </w:r>
                </w:p>
              </w:tc>
              <w:tc>
                <w:tcPr>
                  <w:tcW w:w="402" w:type="pct"/>
                  <w:tcBorders>
                    <w:tl2br w:val="nil"/>
                    <w:tr2bl w:val="nil"/>
                  </w:tcBorders>
                  <w:shd w:val="clear" w:color="auto" w:fill="auto"/>
                  <w:vAlign w:val="top"/>
                </w:tcPr>
                <w:p w14:paraId="6AEF085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5AD6D82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59366CF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63D3062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44</w:t>
                  </w:r>
                </w:p>
              </w:tc>
              <w:tc>
                <w:tcPr>
                  <w:tcW w:w="445" w:type="pct"/>
                  <w:vMerge w:val="continue"/>
                  <w:tcBorders>
                    <w:tl2br w:val="nil"/>
                    <w:tr2bl w:val="nil"/>
                  </w:tcBorders>
                  <w:vAlign w:val="center"/>
                </w:tcPr>
                <w:p w14:paraId="1E2BAC0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0A06D89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重型振动给料机</w:t>
                  </w:r>
                </w:p>
              </w:tc>
              <w:tc>
                <w:tcPr>
                  <w:tcW w:w="1836" w:type="pct"/>
                  <w:tcBorders>
                    <w:tl2br w:val="nil"/>
                    <w:tr2bl w:val="nil"/>
                  </w:tcBorders>
                  <w:shd w:val="clear" w:color="auto" w:fill="auto"/>
                  <w:vAlign w:val="top"/>
                </w:tcPr>
                <w:p w14:paraId="465A7B8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GS1256</w:t>
                  </w:r>
                </w:p>
              </w:tc>
              <w:tc>
                <w:tcPr>
                  <w:tcW w:w="402" w:type="pct"/>
                  <w:tcBorders>
                    <w:tl2br w:val="nil"/>
                    <w:tr2bl w:val="nil"/>
                  </w:tcBorders>
                  <w:shd w:val="clear" w:color="auto" w:fill="auto"/>
                  <w:vAlign w:val="top"/>
                </w:tcPr>
                <w:p w14:paraId="3EE7284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33B9F11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031AD5B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026F269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45</w:t>
                  </w:r>
                </w:p>
              </w:tc>
              <w:tc>
                <w:tcPr>
                  <w:tcW w:w="445" w:type="pct"/>
                  <w:vMerge w:val="continue"/>
                  <w:tcBorders>
                    <w:tl2br w:val="nil"/>
                    <w:tr2bl w:val="nil"/>
                  </w:tcBorders>
                  <w:vAlign w:val="center"/>
                </w:tcPr>
                <w:p w14:paraId="62124CA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18D7E82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上置式永选滚筒</w:t>
                  </w:r>
                </w:p>
              </w:tc>
              <w:tc>
                <w:tcPr>
                  <w:tcW w:w="1836" w:type="pct"/>
                  <w:tcBorders>
                    <w:tl2br w:val="nil"/>
                    <w:tr2bl w:val="nil"/>
                  </w:tcBorders>
                  <w:shd w:val="clear" w:color="auto" w:fill="auto"/>
                  <w:vAlign w:val="top"/>
                </w:tcPr>
                <w:p w14:paraId="72DA31A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Pcy-sy120</w:t>
                  </w:r>
                </w:p>
              </w:tc>
              <w:tc>
                <w:tcPr>
                  <w:tcW w:w="402" w:type="pct"/>
                  <w:tcBorders>
                    <w:tl2br w:val="nil"/>
                    <w:tr2bl w:val="nil"/>
                  </w:tcBorders>
                  <w:shd w:val="clear" w:color="auto" w:fill="auto"/>
                  <w:vAlign w:val="top"/>
                </w:tcPr>
                <w:p w14:paraId="74D4C09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541AA55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7240822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02A1572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46</w:t>
                  </w:r>
                </w:p>
              </w:tc>
              <w:tc>
                <w:tcPr>
                  <w:tcW w:w="445" w:type="pct"/>
                  <w:vMerge w:val="continue"/>
                  <w:tcBorders>
                    <w:tl2br w:val="nil"/>
                    <w:tr2bl w:val="nil"/>
                  </w:tcBorders>
                  <w:vAlign w:val="center"/>
                </w:tcPr>
                <w:p w14:paraId="5C4F26C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21F7662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非磁选皮带式出料输送机</w:t>
                  </w:r>
                </w:p>
              </w:tc>
              <w:tc>
                <w:tcPr>
                  <w:tcW w:w="1836" w:type="pct"/>
                  <w:tcBorders>
                    <w:tl2br w:val="nil"/>
                    <w:tr2bl w:val="nil"/>
                  </w:tcBorders>
                  <w:shd w:val="clear" w:color="auto" w:fill="auto"/>
                  <w:vAlign w:val="top"/>
                </w:tcPr>
                <w:p w14:paraId="3A077F8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8000mm</w:t>
                  </w:r>
                </w:p>
              </w:tc>
              <w:tc>
                <w:tcPr>
                  <w:tcW w:w="402" w:type="pct"/>
                  <w:tcBorders>
                    <w:tl2br w:val="nil"/>
                    <w:tr2bl w:val="nil"/>
                  </w:tcBorders>
                  <w:shd w:val="clear" w:color="auto" w:fill="auto"/>
                  <w:vAlign w:val="top"/>
                </w:tcPr>
                <w:p w14:paraId="607872E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61AB017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759F05A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1CDFDA3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47</w:t>
                  </w:r>
                </w:p>
              </w:tc>
              <w:tc>
                <w:tcPr>
                  <w:tcW w:w="445" w:type="pct"/>
                  <w:vMerge w:val="continue"/>
                  <w:tcBorders>
                    <w:tl2br w:val="nil"/>
                    <w:tr2bl w:val="nil"/>
                  </w:tcBorders>
                  <w:vAlign w:val="center"/>
                </w:tcPr>
                <w:p w14:paraId="5C9A243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0D43A98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出料皮带式输送机</w:t>
                  </w:r>
                </w:p>
              </w:tc>
              <w:tc>
                <w:tcPr>
                  <w:tcW w:w="1836" w:type="pct"/>
                  <w:tcBorders>
                    <w:tl2br w:val="nil"/>
                    <w:tr2bl w:val="nil"/>
                  </w:tcBorders>
                  <w:shd w:val="clear" w:color="auto" w:fill="auto"/>
                  <w:vAlign w:val="top"/>
                </w:tcPr>
                <w:p w14:paraId="10532BB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12000mm</w:t>
                  </w:r>
                </w:p>
              </w:tc>
              <w:tc>
                <w:tcPr>
                  <w:tcW w:w="402" w:type="pct"/>
                  <w:tcBorders>
                    <w:tl2br w:val="nil"/>
                    <w:tr2bl w:val="nil"/>
                  </w:tcBorders>
                  <w:shd w:val="clear" w:color="auto" w:fill="auto"/>
                  <w:vAlign w:val="top"/>
                </w:tcPr>
                <w:p w14:paraId="339475A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7A2A21E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6930144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328A4FA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48</w:t>
                  </w:r>
                </w:p>
              </w:tc>
              <w:tc>
                <w:tcPr>
                  <w:tcW w:w="445" w:type="pct"/>
                  <w:vMerge w:val="continue"/>
                  <w:tcBorders>
                    <w:tl2br w:val="nil"/>
                    <w:tr2bl w:val="nil"/>
                  </w:tcBorders>
                  <w:vAlign w:val="center"/>
                </w:tcPr>
                <w:p w14:paraId="61A7F47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68F3178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悬挂式除铁器</w:t>
                  </w:r>
                </w:p>
              </w:tc>
              <w:tc>
                <w:tcPr>
                  <w:tcW w:w="1836" w:type="pct"/>
                  <w:tcBorders>
                    <w:tl2br w:val="nil"/>
                    <w:tr2bl w:val="nil"/>
                  </w:tcBorders>
                  <w:shd w:val="clear" w:color="auto" w:fill="auto"/>
                  <w:vAlign w:val="top"/>
                </w:tcPr>
                <w:p w14:paraId="1AC7C1C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p>
              </w:tc>
              <w:tc>
                <w:tcPr>
                  <w:tcW w:w="402" w:type="pct"/>
                  <w:tcBorders>
                    <w:tl2br w:val="nil"/>
                    <w:tr2bl w:val="nil"/>
                  </w:tcBorders>
                  <w:shd w:val="clear" w:color="auto" w:fill="auto"/>
                  <w:vAlign w:val="top"/>
                </w:tcPr>
                <w:p w14:paraId="26E50D9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3FCC9D5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台</w:t>
                  </w:r>
                </w:p>
              </w:tc>
            </w:tr>
            <w:tr w14:paraId="7C03DA7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4552911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49</w:t>
                  </w:r>
                </w:p>
              </w:tc>
              <w:tc>
                <w:tcPr>
                  <w:tcW w:w="445" w:type="pct"/>
                  <w:vMerge w:val="continue"/>
                  <w:tcBorders>
                    <w:tl2br w:val="nil"/>
                    <w:tr2bl w:val="nil"/>
                  </w:tcBorders>
                  <w:vAlign w:val="center"/>
                </w:tcPr>
                <w:p w14:paraId="3644638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top"/>
                </w:tcPr>
                <w:p w14:paraId="63E8F19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电脑监控操纵柜</w:t>
                  </w:r>
                </w:p>
              </w:tc>
              <w:tc>
                <w:tcPr>
                  <w:tcW w:w="1836" w:type="pct"/>
                  <w:tcBorders>
                    <w:tl2br w:val="nil"/>
                    <w:tr2bl w:val="nil"/>
                  </w:tcBorders>
                  <w:shd w:val="clear" w:color="auto" w:fill="auto"/>
                  <w:vAlign w:val="top"/>
                </w:tcPr>
                <w:p w14:paraId="710710E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p>
              </w:tc>
              <w:tc>
                <w:tcPr>
                  <w:tcW w:w="402" w:type="pct"/>
                  <w:tcBorders>
                    <w:tl2br w:val="nil"/>
                    <w:tr2bl w:val="nil"/>
                  </w:tcBorders>
                  <w:shd w:val="clear" w:color="auto" w:fill="auto"/>
                  <w:vAlign w:val="top"/>
                </w:tcPr>
                <w:p w14:paraId="47F4411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 xml:space="preserve">1 </w:t>
                  </w:r>
                </w:p>
              </w:tc>
              <w:tc>
                <w:tcPr>
                  <w:tcW w:w="486" w:type="pct"/>
                  <w:tcBorders>
                    <w:tl2br w:val="nil"/>
                    <w:tr2bl w:val="nil"/>
                  </w:tcBorders>
                  <w:shd w:val="clear" w:color="auto" w:fill="auto"/>
                  <w:vAlign w:val="center"/>
                </w:tcPr>
                <w:p w14:paraId="6637B58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default" w:ascii="Times New Roman" w:hAnsi="Times New Roman" w:cs="Times New Roman"/>
                      <w:color w:val="auto"/>
                      <w:spacing w:val="8"/>
                      <w:sz w:val="21"/>
                      <w:szCs w:val="21"/>
                      <w:highlight w:val="none"/>
                    </w:rPr>
                    <w:t>套</w:t>
                  </w:r>
                </w:p>
              </w:tc>
            </w:tr>
            <w:tr w14:paraId="3BDCC07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shd w:val="clear" w:color="auto" w:fill="auto"/>
                  <w:vAlign w:val="center"/>
                </w:tcPr>
                <w:p w14:paraId="3943E95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50</w:t>
                  </w:r>
                </w:p>
              </w:tc>
              <w:tc>
                <w:tcPr>
                  <w:tcW w:w="445" w:type="pct"/>
                  <w:vMerge w:val="restart"/>
                  <w:tcBorders>
                    <w:tl2br w:val="nil"/>
                    <w:tr2bl w:val="nil"/>
                  </w:tcBorders>
                  <w:shd w:val="clear" w:color="auto" w:fill="auto"/>
                  <w:vAlign w:val="center"/>
                </w:tcPr>
                <w:p w14:paraId="7CB507F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辅助设备</w:t>
                  </w:r>
                </w:p>
              </w:tc>
              <w:tc>
                <w:tcPr>
                  <w:tcW w:w="1396" w:type="pct"/>
                  <w:tcBorders>
                    <w:tl2br w:val="nil"/>
                    <w:tr2bl w:val="nil"/>
                  </w:tcBorders>
                  <w:shd w:val="clear" w:color="auto" w:fill="auto"/>
                  <w:vAlign w:val="center"/>
                </w:tcPr>
                <w:p w14:paraId="2267DF5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燃油叉车</w:t>
                  </w:r>
                </w:p>
              </w:tc>
              <w:tc>
                <w:tcPr>
                  <w:tcW w:w="1836" w:type="pct"/>
                  <w:tcBorders>
                    <w:tl2br w:val="nil"/>
                    <w:tr2bl w:val="nil"/>
                  </w:tcBorders>
                  <w:shd w:val="clear" w:color="auto" w:fill="auto"/>
                  <w:vAlign w:val="center"/>
                </w:tcPr>
                <w:p w14:paraId="6A90008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5T(1.8 米</w:t>
                  </w:r>
                  <w:r>
                    <w:rPr>
                      <w:rFonts w:hint="eastAsia" w:cs="Times New Roman"/>
                      <w:color w:val="auto"/>
                      <w:spacing w:val="8"/>
                      <w:sz w:val="21"/>
                      <w:szCs w:val="21"/>
                      <w:highlight w:val="none"/>
                      <w:lang w:eastAsia="zh-CN"/>
                    </w:rPr>
                    <w:t>）</w:t>
                  </w:r>
                </w:p>
              </w:tc>
              <w:tc>
                <w:tcPr>
                  <w:tcW w:w="402" w:type="pct"/>
                  <w:tcBorders>
                    <w:tl2br w:val="nil"/>
                    <w:tr2bl w:val="nil"/>
                  </w:tcBorders>
                  <w:shd w:val="clear" w:color="auto" w:fill="auto"/>
                  <w:vAlign w:val="center"/>
                </w:tcPr>
                <w:p w14:paraId="0DAF244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tcBorders>
                    <w:tl2br w:val="nil"/>
                    <w:tr2bl w:val="nil"/>
                  </w:tcBorders>
                  <w:shd w:val="clear" w:color="auto" w:fill="auto"/>
                  <w:vAlign w:val="center"/>
                </w:tcPr>
                <w:p w14:paraId="3E32EFF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792DBB9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5EF5734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51</w:t>
                  </w:r>
                </w:p>
              </w:tc>
              <w:tc>
                <w:tcPr>
                  <w:tcW w:w="445" w:type="pct"/>
                  <w:vMerge w:val="continue"/>
                  <w:tcBorders>
                    <w:tl2br w:val="nil"/>
                    <w:tr2bl w:val="nil"/>
                  </w:tcBorders>
                  <w:vAlign w:val="center"/>
                </w:tcPr>
                <w:p w14:paraId="3BAE50B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center"/>
                </w:tcPr>
                <w:p w14:paraId="185D387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燃油叉车</w:t>
                  </w:r>
                </w:p>
              </w:tc>
              <w:tc>
                <w:tcPr>
                  <w:tcW w:w="1836" w:type="pct"/>
                  <w:tcBorders>
                    <w:tl2br w:val="nil"/>
                    <w:tr2bl w:val="nil"/>
                  </w:tcBorders>
                  <w:shd w:val="clear" w:color="auto" w:fill="auto"/>
                  <w:vAlign w:val="center"/>
                </w:tcPr>
                <w:p w14:paraId="08AF66D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3T(1.8 米</w:t>
                  </w:r>
                  <w:r>
                    <w:rPr>
                      <w:rFonts w:hint="eastAsia" w:cs="Times New Roman"/>
                      <w:color w:val="auto"/>
                      <w:spacing w:val="8"/>
                      <w:sz w:val="21"/>
                      <w:szCs w:val="21"/>
                      <w:highlight w:val="none"/>
                      <w:lang w:eastAsia="zh-CN"/>
                    </w:rPr>
                    <w:t>）</w:t>
                  </w:r>
                </w:p>
              </w:tc>
              <w:tc>
                <w:tcPr>
                  <w:tcW w:w="402" w:type="pct"/>
                  <w:tcBorders>
                    <w:tl2br w:val="nil"/>
                    <w:tr2bl w:val="nil"/>
                  </w:tcBorders>
                  <w:shd w:val="clear" w:color="auto" w:fill="auto"/>
                  <w:vAlign w:val="center"/>
                </w:tcPr>
                <w:p w14:paraId="17FDF22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2</w:t>
                  </w:r>
                </w:p>
              </w:tc>
              <w:tc>
                <w:tcPr>
                  <w:tcW w:w="486" w:type="pct"/>
                  <w:tcBorders>
                    <w:tl2br w:val="nil"/>
                    <w:tr2bl w:val="nil"/>
                  </w:tcBorders>
                  <w:shd w:val="clear" w:color="auto" w:fill="auto"/>
                  <w:vAlign w:val="center"/>
                </w:tcPr>
                <w:p w14:paraId="11F6EE8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5711531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tcBorders>
                    <w:tl2br w:val="nil"/>
                    <w:tr2bl w:val="nil"/>
                  </w:tcBorders>
                  <w:vAlign w:val="center"/>
                </w:tcPr>
                <w:p w14:paraId="77C16B1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52</w:t>
                  </w:r>
                </w:p>
              </w:tc>
              <w:tc>
                <w:tcPr>
                  <w:tcW w:w="445" w:type="pct"/>
                  <w:vMerge w:val="continue"/>
                  <w:tcBorders>
                    <w:tl2br w:val="nil"/>
                    <w:tr2bl w:val="nil"/>
                  </w:tcBorders>
                  <w:vAlign w:val="center"/>
                </w:tcPr>
                <w:p w14:paraId="4693840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tcBorders>
                    <w:tl2br w:val="nil"/>
                    <w:tr2bl w:val="nil"/>
                  </w:tcBorders>
                  <w:shd w:val="clear" w:color="auto" w:fill="auto"/>
                  <w:vAlign w:val="center"/>
                </w:tcPr>
                <w:p w14:paraId="44F8781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清障车</w:t>
                  </w:r>
                </w:p>
              </w:tc>
              <w:tc>
                <w:tcPr>
                  <w:tcW w:w="1836" w:type="pct"/>
                  <w:tcBorders>
                    <w:tl2br w:val="nil"/>
                    <w:tr2bl w:val="nil"/>
                  </w:tcBorders>
                  <w:shd w:val="clear" w:color="auto" w:fill="auto"/>
                  <w:vAlign w:val="center"/>
                </w:tcPr>
                <w:p w14:paraId="6F0E71A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w:t>
                  </w:r>
                </w:p>
              </w:tc>
              <w:tc>
                <w:tcPr>
                  <w:tcW w:w="402" w:type="pct"/>
                  <w:tcBorders>
                    <w:tl2br w:val="nil"/>
                    <w:tr2bl w:val="nil"/>
                  </w:tcBorders>
                  <w:shd w:val="clear" w:color="auto" w:fill="auto"/>
                  <w:vAlign w:val="center"/>
                </w:tcPr>
                <w:p w14:paraId="102DB88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2</w:t>
                  </w:r>
                </w:p>
              </w:tc>
              <w:tc>
                <w:tcPr>
                  <w:tcW w:w="486" w:type="pct"/>
                  <w:tcBorders>
                    <w:tl2br w:val="nil"/>
                    <w:tr2bl w:val="nil"/>
                  </w:tcBorders>
                  <w:shd w:val="clear" w:color="auto" w:fill="auto"/>
                  <w:vAlign w:val="center"/>
                </w:tcPr>
                <w:p w14:paraId="4146EBC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534AC3C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1001EBC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53</w:t>
                  </w:r>
                </w:p>
              </w:tc>
              <w:tc>
                <w:tcPr>
                  <w:tcW w:w="445" w:type="pct"/>
                  <w:vMerge w:val="continue"/>
                  <w:vAlign w:val="center"/>
                </w:tcPr>
                <w:p w14:paraId="183B7CC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shd w:val="clear" w:color="auto" w:fill="auto"/>
                  <w:vAlign w:val="center"/>
                </w:tcPr>
                <w:p w14:paraId="7F78E0E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大型拆解车</w:t>
                  </w:r>
                </w:p>
              </w:tc>
              <w:tc>
                <w:tcPr>
                  <w:tcW w:w="1836" w:type="pct"/>
                  <w:shd w:val="clear" w:color="auto" w:fill="auto"/>
                  <w:vAlign w:val="center"/>
                </w:tcPr>
                <w:p w14:paraId="77709E1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w:t>
                  </w:r>
                </w:p>
              </w:tc>
              <w:tc>
                <w:tcPr>
                  <w:tcW w:w="402" w:type="pct"/>
                  <w:shd w:val="clear" w:color="auto" w:fill="auto"/>
                  <w:vAlign w:val="center"/>
                </w:tcPr>
                <w:p w14:paraId="493CF5A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71CA7BB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41C136D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7964CAC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54</w:t>
                  </w:r>
                </w:p>
              </w:tc>
              <w:tc>
                <w:tcPr>
                  <w:tcW w:w="445" w:type="pct"/>
                  <w:vMerge w:val="continue"/>
                  <w:vAlign w:val="center"/>
                </w:tcPr>
                <w:p w14:paraId="44084A7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shd w:val="clear" w:color="auto" w:fill="auto"/>
                  <w:vAlign w:val="center"/>
                </w:tcPr>
                <w:p w14:paraId="5A69152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地磅</w:t>
                  </w:r>
                </w:p>
              </w:tc>
              <w:tc>
                <w:tcPr>
                  <w:tcW w:w="1836" w:type="pct"/>
                  <w:shd w:val="clear" w:color="auto" w:fill="auto"/>
                  <w:vAlign w:val="center"/>
                </w:tcPr>
                <w:p w14:paraId="447A49B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22m*3.52m</w:t>
                  </w:r>
                </w:p>
              </w:tc>
              <w:tc>
                <w:tcPr>
                  <w:tcW w:w="402" w:type="pct"/>
                  <w:shd w:val="clear" w:color="auto" w:fill="auto"/>
                  <w:vAlign w:val="center"/>
                </w:tcPr>
                <w:p w14:paraId="051AB3C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4ABDB78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4F4D0E0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33E8439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55</w:t>
                  </w:r>
                </w:p>
              </w:tc>
              <w:tc>
                <w:tcPr>
                  <w:tcW w:w="445" w:type="pct"/>
                  <w:vMerge w:val="restart"/>
                  <w:vAlign w:val="center"/>
                </w:tcPr>
                <w:p w14:paraId="40A92C4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环保设备</w:t>
                  </w:r>
                </w:p>
              </w:tc>
              <w:tc>
                <w:tcPr>
                  <w:tcW w:w="1396" w:type="pct"/>
                  <w:shd w:val="clear" w:color="auto" w:fill="auto"/>
                  <w:vAlign w:val="center"/>
                </w:tcPr>
                <w:p w14:paraId="23F1331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二级活性炭吸附箱</w:t>
                  </w:r>
                </w:p>
              </w:tc>
              <w:tc>
                <w:tcPr>
                  <w:tcW w:w="1836" w:type="pct"/>
                  <w:shd w:val="clear" w:color="auto" w:fill="auto"/>
                  <w:vAlign w:val="center"/>
                </w:tcPr>
                <w:p w14:paraId="0F7D3BF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碘值≥800mg/kg ，</w:t>
                  </w:r>
                  <w:r>
                    <w:rPr>
                      <w:rFonts w:hint="eastAsia" w:cs="Times New Roman"/>
                      <w:color w:val="auto"/>
                      <w:spacing w:val="8"/>
                      <w:sz w:val="21"/>
                      <w:szCs w:val="21"/>
                      <w:highlight w:val="none"/>
                      <w:lang w:val="en-US" w:eastAsia="zh-CN"/>
                    </w:rPr>
                    <w:t>配套1#</w:t>
                  </w:r>
                  <w:r>
                    <w:rPr>
                      <w:rFonts w:hint="default" w:ascii="Times New Roman" w:hAnsi="Times New Roman" w:cs="Times New Roman"/>
                      <w:color w:val="auto"/>
                      <w:spacing w:val="8"/>
                      <w:sz w:val="21"/>
                      <w:szCs w:val="21"/>
                      <w:highlight w:val="none"/>
                    </w:rPr>
                    <w:t>风机风量：</w:t>
                  </w:r>
                  <w:r>
                    <w:rPr>
                      <w:rFonts w:hint="eastAsia" w:ascii="Times New Roman" w:hAnsi="Times New Roman" w:cs="Times New Roman"/>
                      <w:color w:val="auto"/>
                      <w:spacing w:val="8"/>
                      <w:sz w:val="21"/>
                      <w:szCs w:val="21"/>
                      <w:highlight w:val="none"/>
                      <w:lang w:val="en-US" w:eastAsia="zh-CN"/>
                    </w:rPr>
                    <w:t>5000</w:t>
                  </w:r>
                  <w:r>
                    <w:rPr>
                      <w:rFonts w:hint="default" w:ascii="Times New Roman" w:hAnsi="Times New Roman" w:cs="Times New Roman"/>
                      <w:color w:val="auto"/>
                      <w:spacing w:val="8"/>
                      <w:sz w:val="21"/>
                      <w:szCs w:val="21"/>
                      <w:highlight w:val="none"/>
                    </w:rPr>
                    <w:t>m</w:t>
                  </w:r>
                  <w:r>
                    <w:rPr>
                      <w:rFonts w:hint="eastAsia" w:ascii="Times New Roman" w:hAnsi="Times New Roman" w:cs="Times New Roman"/>
                      <w:color w:val="auto"/>
                      <w:spacing w:val="8"/>
                      <w:sz w:val="21"/>
                      <w:szCs w:val="21"/>
                      <w:highlight w:val="none"/>
                      <w:vertAlign w:val="superscript"/>
                      <w:lang w:val="en-US" w:eastAsia="zh-CN"/>
                    </w:rPr>
                    <w:t>3</w:t>
                  </w:r>
                  <w:r>
                    <w:rPr>
                      <w:rFonts w:hint="default" w:ascii="Times New Roman" w:hAnsi="Times New Roman" w:cs="Times New Roman"/>
                      <w:color w:val="auto"/>
                      <w:spacing w:val="8"/>
                      <w:sz w:val="21"/>
                      <w:szCs w:val="21"/>
                      <w:highlight w:val="none"/>
                    </w:rPr>
                    <w:t>/h</w:t>
                  </w:r>
                </w:p>
              </w:tc>
              <w:tc>
                <w:tcPr>
                  <w:tcW w:w="402" w:type="pct"/>
                  <w:shd w:val="clear" w:color="auto" w:fill="auto"/>
                  <w:vAlign w:val="center"/>
                </w:tcPr>
                <w:p w14:paraId="71030E1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7EB9D93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41F4626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2C9A991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56</w:t>
                  </w:r>
                </w:p>
              </w:tc>
              <w:tc>
                <w:tcPr>
                  <w:tcW w:w="445" w:type="pct"/>
                  <w:vMerge w:val="continue"/>
                  <w:vAlign w:val="center"/>
                </w:tcPr>
                <w:p w14:paraId="086EAD1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shd w:val="clear" w:color="auto" w:fill="auto"/>
                  <w:vAlign w:val="center"/>
                </w:tcPr>
                <w:p w14:paraId="26F2DB7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eastAsia" w:cs="Times New Roman"/>
                      <w:color w:val="auto"/>
                      <w:spacing w:val="8"/>
                      <w:sz w:val="21"/>
                      <w:szCs w:val="21"/>
                      <w:highlight w:val="none"/>
                      <w:lang w:val="en-US" w:eastAsia="zh-CN"/>
                    </w:rPr>
                    <w:t>1#</w:t>
                  </w:r>
                  <w:r>
                    <w:rPr>
                      <w:rFonts w:hint="default" w:ascii="Times New Roman" w:hAnsi="Times New Roman" w:cs="Times New Roman"/>
                      <w:color w:val="auto"/>
                      <w:spacing w:val="8"/>
                      <w:sz w:val="21"/>
                      <w:szCs w:val="21"/>
                      <w:highlight w:val="none"/>
                    </w:rPr>
                    <w:t>布袋除尘器</w:t>
                  </w:r>
                </w:p>
              </w:tc>
              <w:tc>
                <w:tcPr>
                  <w:tcW w:w="1836" w:type="pct"/>
                  <w:shd w:val="clear" w:color="auto" w:fill="auto"/>
                  <w:vAlign w:val="center"/>
                </w:tcPr>
                <w:p w14:paraId="120AF97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eastAsia" w:cs="Times New Roman"/>
                      <w:color w:val="auto"/>
                      <w:spacing w:val="8"/>
                      <w:sz w:val="21"/>
                      <w:szCs w:val="21"/>
                      <w:highlight w:val="none"/>
                      <w:lang w:val="en-US" w:eastAsia="zh-CN"/>
                    </w:rPr>
                    <w:t>配套2#</w:t>
                  </w:r>
                  <w:r>
                    <w:rPr>
                      <w:rFonts w:hint="default" w:ascii="Times New Roman" w:hAnsi="Times New Roman" w:cs="Times New Roman"/>
                      <w:color w:val="auto"/>
                      <w:spacing w:val="8"/>
                      <w:sz w:val="21"/>
                      <w:szCs w:val="21"/>
                      <w:highlight w:val="none"/>
                    </w:rPr>
                    <w:t>风机风量：</w:t>
                  </w:r>
                  <w:r>
                    <w:rPr>
                      <w:rFonts w:hint="eastAsia" w:cs="Times New Roman"/>
                      <w:color w:val="auto"/>
                      <w:spacing w:val="8"/>
                      <w:sz w:val="21"/>
                      <w:szCs w:val="21"/>
                      <w:highlight w:val="none"/>
                      <w:lang w:val="en-US" w:eastAsia="zh-CN"/>
                    </w:rPr>
                    <w:t>10000</w:t>
                  </w:r>
                  <w:r>
                    <w:rPr>
                      <w:rFonts w:hint="default" w:ascii="Times New Roman" w:hAnsi="Times New Roman" w:cs="Times New Roman"/>
                      <w:color w:val="auto"/>
                      <w:spacing w:val="8"/>
                      <w:sz w:val="21"/>
                      <w:szCs w:val="21"/>
                      <w:highlight w:val="none"/>
                    </w:rPr>
                    <w:t>m</w:t>
                  </w:r>
                  <w:r>
                    <w:rPr>
                      <w:rFonts w:hint="eastAsia" w:ascii="Times New Roman" w:hAnsi="Times New Roman" w:cs="Times New Roman"/>
                      <w:color w:val="auto"/>
                      <w:spacing w:val="8"/>
                      <w:sz w:val="21"/>
                      <w:szCs w:val="21"/>
                      <w:highlight w:val="none"/>
                      <w:vertAlign w:val="superscript"/>
                      <w:lang w:val="en-US" w:eastAsia="zh-CN"/>
                    </w:rPr>
                    <w:t>3</w:t>
                  </w:r>
                  <w:r>
                    <w:rPr>
                      <w:rFonts w:hint="default" w:ascii="Times New Roman" w:hAnsi="Times New Roman" w:cs="Times New Roman"/>
                      <w:color w:val="auto"/>
                      <w:spacing w:val="8"/>
                      <w:sz w:val="21"/>
                      <w:szCs w:val="21"/>
                      <w:highlight w:val="none"/>
                    </w:rPr>
                    <w:t>/h</w:t>
                  </w:r>
                </w:p>
              </w:tc>
              <w:tc>
                <w:tcPr>
                  <w:tcW w:w="402" w:type="pct"/>
                  <w:shd w:val="clear" w:color="auto" w:fill="auto"/>
                  <w:vAlign w:val="center"/>
                </w:tcPr>
                <w:p w14:paraId="7EDE082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60A048D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7FD8FBF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38ADB5E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eastAsia"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57</w:t>
                  </w:r>
                </w:p>
              </w:tc>
              <w:tc>
                <w:tcPr>
                  <w:tcW w:w="445" w:type="pct"/>
                  <w:vMerge w:val="continue"/>
                  <w:vAlign w:val="center"/>
                </w:tcPr>
                <w:p w14:paraId="1D2732F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shd w:val="clear" w:color="auto" w:fill="auto"/>
                  <w:vAlign w:val="center"/>
                </w:tcPr>
                <w:p w14:paraId="0C884B5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cs="Times New Roman"/>
                      <w:color w:val="auto"/>
                      <w:spacing w:val="8"/>
                      <w:sz w:val="21"/>
                      <w:szCs w:val="21"/>
                      <w:highlight w:val="none"/>
                      <w:lang w:val="en-US" w:eastAsia="zh-CN"/>
                    </w:rPr>
                  </w:pPr>
                  <w:r>
                    <w:rPr>
                      <w:rFonts w:hint="eastAsia" w:cs="Times New Roman"/>
                      <w:color w:val="auto"/>
                      <w:spacing w:val="8"/>
                      <w:sz w:val="21"/>
                      <w:szCs w:val="21"/>
                      <w:highlight w:val="none"/>
                      <w:lang w:val="en-US" w:eastAsia="zh-CN"/>
                    </w:rPr>
                    <w:t>2#布袋除尘器</w:t>
                  </w:r>
                </w:p>
              </w:tc>
              <w:tc>
                <w:tcPr>
                  <w:tcW w:w="1836" w:type="pct"/>
                  <w:shd w:val="clear" w:color="auto" w:fill="auto"/>
                  <w:vAlign w:val="center"/>
                </w:tcPr>
                <w:p w14:paraId="6B24DB4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r>
                    <w:rPr>
                      <w:rFonts w:hint="eastAsia" w:cs="Times New Roman"/>
                      <w:color w:val="auto"/>
                      <w:spacing w:val="8"/>
                      <w:sz w:val="21"/>
                      <w:szCs w:val="21"/>
                      <w:highlight w:val="none"/>
                      <w:lang w:val="en-US" w:eastAsia="zh-CN"/>
                    </w:rPr>
                    <w:t>配套3#</w:t>
                  </w:r>
                  <w:r>
                    <w:rPr>
                      <w:rFonts w:hint="default" w:ascii="Times New Roman" w:hAnsi="Times New Roman" w:cs="Times New Roman"/>
                      <w:color w:val="auto"/>
                      <w:spacing w:val="8"/>
                      <w:sz w:val="21"/>
                      <w:szCs w:val="21"/>
                      <w:highlight w:val="none"/>
                    </w:rPr>
                    <w:t>风机风量：</w:t>
                  </w:r>
                  <w:r>
                    <w:rPr>
                      <w:rFonts w:hint="eastAsia" w:cs="Times New Roman"/>
                      <w:color w:val="auto"/>
                      <w:spacing w:val="8"/>
                      <w:sz w:val="21"/>
                      <w:szCs w:val="21"/>
                      <w:highlight w:val="none"/>
                      <w:lang w:val="en-US" w:eastAsia="zh-CN"/>
                    </w:rPr>
                    <w:t>15000</w:t>
                  </w:r>
                  <w:r>
                    <w:rPr>
                      <w:rFonts w:hint="default" w:ascii="Times New Roman" w:hAnsi="Times New Roman" w:cs="Times New Roman"/>
                      <w:color w:val="auto"/>
                      <w:spacing w:val="8"/>
                      <w:sz w:val="21"/>
                      <w:szCs w:val="21"/>
                      <w:highlight w:val="none"/>
                    </w:rPr>
                    <w:t>m</w:t>
                  </w:r>
                  <w:r>
                    <w:rPr>
                      <w:rFonts w:hint="eastAsia" w:ascii="Times New Roman" w:hAnsi="Times New Roman" w:cs="Times New Roman"/>
                      <w:color w:val="auto"/>
                      <w:spacing w:val="8"/>
                      <w:sz w:val="21"/>
                      <w:szCs w:val="21"/>
                      <w:highlight w:val="none"/>
                      <w:vertAlign w:val="superscript"/>
                      <w:lang w:val="en-US" w:eastAsia="zh-CN"/>
                    </w:rPr>
                    <w:t>3</w:t>
                  </w:r>
                  <w:r>
                    <w:rPr>
                      <w:rFonts w:hint="default" w:ascii="Times New Roman" w:hAnsi="Times New Roman" w:cs="Times New Roman"/>
                      <w:color w:val="auto"/>
                      <w:spacing w:val="8"/>
                      <w:sz w:val="21"/>
                      <w:szCs w:val="21"/>
                      <w:highlight w:val="none"/>
                    </w:rPr>
                    <w:t>/h</w:t>
                  </w:r>
                </w:p>
              </w:tc>
              <w:tc>
                <w:tcPr>
                  <w:tcW w:w="402" w:type="pct"/>
                  <w:shd w:val="clear" w:color="auto" w:fill="auto"/>
                  <w:vAlign w:val="center"/>
                </w:tcPr>
                <w:p w14:paraId="5C0EE92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spacing w:val="8"/>
                      <w:kern w:val="2"/>
                      <w:sz w:val="21"/>
                      <w:szCs w:val="21"/>
                      <w:highlight w:val="none"/>
                      <w:lang w:val="en-US" w:eastAsia="en-US" w:bidi="ar-SA"/>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3E19351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spacing w:val="8"/>
                      <w:kern w:val="2"/>
                      <w:sz w:val="21"/>
                      <w:szCs w:val="21"/>
                      <w:highlight w:val="none"/>
                      <w:lang w:val="en-US" w:eastAsia="en-US" w:bidi="ar-SA"/>
                    </w:rPr>
                  </w:pPr>
                  <w:r>
                    <w:rPr>
                      <w:rFonts w:hint="default" w:ascii="Times New Roman" w:hAnsi="Times New Roman" w:cs="Times New Roman"/>
                      <w:color w:val="auto"/>
                      <w:spacing w:val="8"/>
                      <w:sz w:val="21"/>
                      <w:szCs w:val="21"/>
                      <w:highlight w:val="none"/>
                    </w:rPr>
                    <w:t>台</w:t>
                  </w:r>
                </w:p>
              </w:tc>
            </w:tr>
            <w:tr w14:paraId="5AC8D36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0BA164C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ascii="Times New Roman" w:hAnsi="Times New Roman" w:cs="Times New Roman"/>
                      <w:color w:val="auto"/>
                      <w:spacing w:val="8"/>
                      <w:sz w:val="21"/>
                      <w:szCs w:val="21"/>
                      <w:highlight w:val="none"/>
                      <w:lang w:val="en-US" w:eastAsia="zh-CN"/>
                    </w:rPr>
                    <w:t>58</w:t>
                  </w:r>
                </w:p>
              </w:tc>
              <w:tc>
                <w:tcPr>
                  <w:tcW w:w="445" w:type="pct"/>
                  <w:vMerge w:val="continue"/>
                  <w:vAlign w:val="center"/>
                </w:tcPr>
                <w:p w14:paraId="1DB3D4C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shd w:val="clear" w:color="auto" w:fill="auto"/>
                  <w:vAlign w:val="center"/>
                </w:tcPr>
                <w:p w14:paraId="2CB1C2A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油烟净化器</w:t>
                  </w:r>
                </w:p>
              </w:tc>
              <w:tc>
                <w:tcPr>
                  <w:tcW w:w="1836" w:type="pct"/>
                  <w:shd w:val="clear" w:color="auto" w:fill="auto"/>
                  <w:vAlign w:val="center"/>
                </w:tcPr>
                <w:p w14:paraId="27AD200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w:t>
                  </w:r>
                </w:p>
              </w:tc>
              <w:tc>
                <w:tcPr>
                  <w:tcW w:w="402" w:type="pct"/>
                  <w:shd w:val="clear" w:color="auto" w:fill="auto"/>
                  <w:vAlign w:val="center"/>
                </w:tcPr>
                <w:p w14:paraId="7AAC944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6D98516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r w14:paraId="72616E9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57" w:hRule="atLeast"/>
              </w:trPr>
              <w:tc>
                <w:tcPr>
                  <w:tcW w:w="432" w:type="pct"/>
                  <w:vAlign w:val="center"/>
                </w:tcPr>
                <w:p w14:paraId="6B537B5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zh-CN"/>
                    </w:rPr>
                  </w:pPr>
                  <w:r>
                    <w:rPr>
                      <w:rFonts w:hint="eastAsia" w:cs="Times New Roman"/>
                      <w:color w:val="auto"/>
                      <w:spacing w:val="8"/>
                      <w:sz w:val="21"/>
                      <w:szCs w:val="21"/>
                      <w:highlight w:val="none"/>
                      <w:lang w:val="en-US" w:eastAsia="zh-CN"/>
                    </w:rPr>
                    <w:t>59</w:t>
                  </w:r>
                </w:p>
              </w:tc>
              <w:tc>
                <w:tcPr>
                  <w:tcW w:w="445" w:type="pct"/>
                  <w:vMerge w:val="continue"/>
                  <w:vAlign w:val="center"/>
                </w:tcPr>
                <w:p w14:paraId="56A3F61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rPr>
                  </w:pPr>
                </w:p>
              </w:tc>
              <w:tc>
                <w:tcPr>
                  <w:tcW w:w="1396" w:type="pct"/>
                  <w:shd w:val="clear" w:color="auto" w:fill="auto"/>
                  <w:vAlign w:val="center"/>
                </w:tcPr>
                <w:p w14:paraId="69CC50C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一体化污水处理设备</w:t>
                  </w:r>
                </w:p>
              </w:tc>
              <w:tc>
                <w:tcPr>
                  <w:tcW w:w="1836" w:type="pct"/>
                  <w:shd w:val="clear" w:color="auto" w:fill="auto"/>
                  <w:vAlign w:val="center"/>
                </w:tcPr>
                <w:p w14:paraId="6CFD87C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eastAsia" w:ascii="Times New Roman" w:hAnsi="Times New Roman" w:cs="Times New Roman"/>
                      <w:color w:val="auto"/>
                      <w:spacing w:val="8"/>
                      <w:sz w:val="21"/>
                      <w:szCs w:val="21"/>
                      <w:highlight w:val="none"/>
                      <w:lang w:val="en-US" w:eastAsia="zh-CN"/>
                    </w:rPr>
                    <w:t>处理能力</w:t>
                  </w:r>
                  <w:r>
                    <w:rPr>
                      <w:rFonts w:hint="eastAsia" w:cs="Times New Roman"/>
                      <w:color w:val="auto"/>
                      <w:spacing w:val="8"/>
                      <w:sz w:val="21"/>
                      <w:szCs w:val="21"/>
                      <w:highlight w:val="none"/>
                      <w:lang w:val="en-US" w:eastAsia="zh-CN"/>
                    </w:rPr>
                    <w:t>3</w:t>
                  </w:r>
                  <w:r>
                    <w:rPr>
                      <w:rFonts w:hint="default" w:ascii="Times New Roman" w:hAnsi="Times New Roman" w:cs="Times New Roman"/>
                      <w:color w:val="auto"/>
                      <w:spacing w:val="8"/>
                      <w:sz w:val="21"/>
                      <w:szCs w:val="21"/>
                      <w:highlight w:val="none"/>
                    </w:rPr>
                    <w:t>m</w:t>
                  </w:r>
                  <w:r>
                    <w:rPr>
                      <w:rFonts w:hint="eastAsia" w:ascii="Times New Roman" w:hAnsi="Times New Roman" w:cs="Times New Roman"/>
                      <w:color w:val="auto"/>
                      <w:spacing w:val="8"/>
                      <w:sz w:val="21"/>
                      <w:szCs w:val="21"/>
                      <w:highlight w:val="none"/>
                      <w:vertAlign w:val="superscript"/>
                      <w:lang w:val="en-US" w:eastAsia="zh-CN"/>
                    </w:rPr>
                    <w:t>3</w:t>
                  </w:r>
                  <w:r>
                    <w:rPr>
                      <w:rFonts w:hint="default" w:ascii="Times New Roman" w:hAnsi="Times New Roman" w:cs="Times New Roman"/>
                      <w:color w:val="auto"/>
                      <w:spacing w:val="8"/>
                      <w:sz w:val="21"/>
                      <w:szCs w:val="21"/>
                      <w:highlight w:val="none"/>
                    </w:rPr>
                    <w:t>/</w:t>
                  </w:r>
                  <w:r>
                    <w:rPr>
                      <w:rFonts w:hint="eastAsia" w:ascii="Times New Roman" w:hAnsi="Times New Roman" w:cs="Times New Roman"/>
                      <w:color w:val="auto"/>
                      <w:spacing w:val="8"/>
                      <w:sz w:val="21"/>
                      <w:szCs w:val="21"/>
                      <w:highlight w:val="none"/>
                      <w:lang w:val="en-US" w:eastAsia="zh-CN"/>
                    </w:rPr>
                    <w:t>h</w:t>
                  </w:r>
                  <w:r>
                    <w:rPr>
                      <w:rFonts w:hint="default" w:ascii="Times New Roman" w:hAnsi="Times New Roman" w:cs="Times New Roman"/>
                      <w:color w:val="auto"/>
                      <w:spacing w:val="8"/>
                      <w:sz w:val="21"/>
                      <w:szCs w:val="21"/>
                      <w:highlight w:val="none"/>
                    </w:rPr>
                    <w:t>，</w:t>
                  </w:r>
                  <w:r>
                    <w:rPr>
                      <w:rFonts w:hint="eastAsia" w:ascii="Times New Roman" w:hAnsi="Times New Roman" w:cs="Times New Roman"/>
                      <w:color w:val="auto"/>
                      <w:spacing w:val="8"/>
                      <w:sz w:val="21"/>
                      <w:szCs w:val="21"/>
                      <w:highlight w:val="none"/>
                      <w:lang w:val="en-US" w:eastAsia="zh-CN"/>
                    </w:rPr>
                    <w:t>处理工艺：</w:t>
                  </w:r>
                  <w:r>
                    <w:rPr>
                      <w:rFonts w:hint="default" w:ascii="Times New Roman" w:hAnsi="Times New Roman" w:cs="Times New Roman"/>
                      <w:color w:val="auto"/>
                      <w:spacing w:val="8"/>
                      <w:sz w:val="21"/>
                      <w:szCs w:val="21"/>
                      <w:highlight w:val="none"/>
                    </w:rPr>
                    <w:t>均质+ 隔油+絮凝+沉淀</w:t>
                  </w:r>
                </w:p>
              </w:tc>
              <w:tc>
                <w:tcPr>
                  <w:tcW w:w="402" w:type="pct"/>
                  <w:shd w:val="clear" w:color="auto" w:fill="auto"/>
                  <w:vAlign w:val="center"/>
                </w:tcPr>
                <w:p w14:paraId="274CB00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1</w:t>
                  </w:r>
                </w:p>
              </w:tc>
              <w:tc>
                <w:tcPr>
                  <w:tcW w:w="486" w:type="pct"/>
                  <w:shd w:val="clear" w:color="auto" w:fill="auto"/>
                  <w:vAlign w:val="center"/>
                </w:tcPr>
                <w:p w14:paraId="2E83A81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firstLine="0" w:firstLineChars="0"/>
                    <w:jc w:val="center"/>
                    <w:textAlignment w:val="baseline"/>
                    <w:rPr>
                      <w:rFonts w:hint="default" w:ascii="Times New Roman" w:hAnsi="Times New Roman" w:cs="Times New Roman"/>
                      <w:color w:val="auto"/>
                      <w:spacing w:val="8"/>
                      <w:sz w:val="21"/>
                      <w:szCs w:val="21"/>
                      <w:highlight w:val="none"/>
                      <w:lang w:val="en-US" w:eastAsia="en-US"/>
                    </w:rPr>
                  </w:pPr>
                  <w:r>
                    <w:rPr>
                      <w:rFonts w:hint="default" w:ascii="Times New Roman" w:hAnsi="Times New Roman" w:cs="Times New Roman"/>
                      <w:color w:val="auto"/>
                      <w:spacing w:val="8"/>
                      <w:sz w:val="21"/>
                      <w:szCs w:val="21"/>
                      <w:highlight w:val="none"/>
                    </w:rPr>
                    <w:t>台</w:t>
                  </w:r>
                </w:p>
              </w:tc>
            </w:tr>
          </w:tbl>
          <w:p w14:paraId="765694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5</w:t>
            </w:r>
            <w:r>
              <w:rPr>
                <w:rFonts w:hint="default" w:ascii="Times New Roman" w:hAnsi="Times New Roman" w:eastAsia="宋体" w:cs="Times New Roman"/>
                <w:b/>
                <w:bCs/>
                <w:color w:val="auto"/>
                <w:sz w:val="24"/>
                <w:szCs w:val="24"/>
                <w:highlight w:val="none"/>
                <w:lang w:val="en-US" w:eastAsia="zh-CN"/>
              </w:rPr>
              <w:t>、原辅材料</w:t>
            </w:r>
            <w:r>
              <w:rPr>
                <w:rFonts w:hint="eastAsia" w:cs="Times New Roman"/>
                <w:b/>
                <w:bCs/>
                <w:color w:val="auto"/>
                <w:sz w:val="24"/>
                <w:szCs w:val="24"/>
                <w:highlight w:val="none"/>
                <w:lang w:val="en-US" w:eastAsia="zh-CN"/>
              </w:rPr>
              <w:t>及能源</w:t>
            </w:r>
            <w:r>
              <w:rPr>
                <w:rFonts w:hint="default" w:ascii="Times New Roman" w:hAnsi="Times New Roman" w:eastAsia="宋体" w:cs="Times New Roman"/>
                <w:b/>
                <w:bCs/>
                <w:color w:val="auto"/>
                <w:sz w:val="24"/>
                <w:szCs w:val="24"/>
                <w:highlight w:val="none"/>
                <w:lang w:val="en-US" w:eastAsia="zh-CN"/>
              </w:rPr>
              <w:t>消耗</w:t>
            </w:r>
          </w:p>
          <w:p w14:paraId="600985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w:t>
            </w:r>
            <w:r>
              <w:rPr>
                <w:rFonts w:hint="default" w:ascii="Times New Roman" w:hAnsi="Times New Roman" w:eastAsia="宋体" w:cs="Times New Roman"/>
                <w:color w:val="auto"/>
                <w:sz w:val="24"/>
                <w:szCs w:val="24"/>
                <w:highlight w:val="none"/>
                <w:lang w:val="en-US" w:eastAsia="zh-CN"/>
              </w:rPr>
              <w:t>拆解车辆主要为报废的小型</w:t>
            </w:r>
            <w:r>
              <w:rPr>
                <w:rFonts w:hint="eastAsia" w:ascii="Times New Roman" w:hAnsi="Times New Roman" w:eastAsia="宋体" w:cs="Times New Roman"/>
                <w:color w:val="auto"/>
                <w:sz w:val="24"/>
                <w:szCs w:val="24"/>
                <w:highlight w:val="none"/>
                <w:lang w:val="en-US" w:eastAsia="zh-CN"/>
              </w:rPr>
              <w:t>燃油</w:t>
            </w:r>
            <w:r>
              <w:rPr>
                <w:rFonts w:hint="default" w:ascii="Times New Roman" w:hAnsi="Times New Roman" w:eastAsia="宋体" w:cs="Times New Roman"/>
                <w:color w:val="auto"/>
                <w:sz w:val="24"/>
                <w:szCs w:val="24"/>
                <w:highlight w:val="none"/>
                <w:lang w:val="en-US" w:eastAsia="zh-CN"/>
              </w:rPr>
              <w:t>车、大型</w:t>
            </w:r>
            <w:r>
              <w:rPr>
                <w:rFonts w:hint="eastAsia" w:ascii="Times New Roman" w:hAnsi="Times New Roman" w:eastAsia="宋体" w:cs="Times New Roman"/>
                <w:color w:val="auto"/>
                <w:sz w:val="24"/>
                <w:szCs w:val="24"/>
                <w:highlight w:val="none"/>
                <w:lang w:val="en-US" w:eastAsia="zh-CN"/>
              </w:rPr>
              <w:t>燃油车</w:t>
            </w:r>
            <w:r>
              <w:rPr>
                <w:rFonts w:hint="default" w:ascii="Times New Roman" w:hAnsi="Times New Roman" w:eastAsia="宋体" w:cs="Times New Roman"/>
                <w:color w:val="auto"/>
                <w:sz w:val="24"/>
                <w:szCs w:val="24"/>
                <w:highlight w:val="none"/>
                <w:lang w:val="en-US" w:eastAsia="zh-CN"/>
              </w:rPr>
              <w:t xml:space="preserve">以及新能源车。各类报废车辆均从阜新市及周边地区回收，主要来自报废汽车拥有单位或者个人。 </w:t>
            </w:r>
          </w:p>
          <w:p w14:paraId="35B1AE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报废汽车拥有单位或者个人应当及时向公安机关办理机动车报废手续。公安机关应当于受理当日，向报废汽车拥有单位或者个人出具《机动车报废证明》，并告知其将报废汽车交售给报废汽车回收企业。报废汽车拥有单位或者个人及时将报废汽车交售给报废汽车回收企业。报废汽车回收企业凭《机动车报废证明》收购报废汽车，并向报废汽车拥有单位或者个人出具《报废汽车回收证明》。报废汽车拥有单位或者个人凭《报废汽车回收证明》，向汽车注册登记地的公安机关办理注销登记。 </w:t>
            </w:r>
          </w:p>
          <w:p w14:paraId="619CF3D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报废汽车回收企业对回收的报废汽车应当逐车登记；发现回收的报废汽车有盗窃、抢劫或者其他犯罪嫌疑的，应当及时向公安机关报告。</w:t>
            </w:r>
          </w:p>
          <w:p w14:paraId="425FC39B">
            <w:pPr>
              <w:keepNext w:val="0"/>
              <w:keepLines w:val="0"/>
              <w:pageBreakBefore w:val="0"/>
              <w:suppressLineNumbers w:val="0"/>
              <w:kinsoku/>
              <w:wordWrap/>
              <w:overflowPunct/>
              <w:topLinePunct w:val="0"/>
              <w:bidi w:val="0"/>
              <w:spacing w:before="0" w:beforeAutospacing="0" w:after="0" w:afterAutospacing="0" w:line="360" w:lineRule="auto"/>
              <w:ind w:left="0" w:right="0" w:firstLine="480" w:firstLineChars="200"/>
              <w:textAlignment w:val="auto"/>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color w:val="auto"/>
                <w:sz w:val="24"/>
                <w:szCs w:val="24"/>
                <w:highlight w:val="none"/>
                <w:lang w:val="en-US" w:eastAsia="zh-CN"/>
              </w:rPr>
              <w:t>本项目原辅材料及能源消耗情况见</w:t>
            </w:r>
            <w:r>
              <w:rPr>
                <w:rFonts w:hint="eastAsia" w:ascii="Times New Roman" w:hAnsi="Times New Roman" w:eastAsia="宋体" w:cs="Times New Roman"/>
                <w:color w:val="auto"/>
                <w:sz w:val="24"/>
                <w:szCs w:val="24"/>
                <w:highlight w:val="none"/>
                <w:lang w:val="en-US" w:eastAsia="zh-CN"/>
              </w:rPr>
              <w:t>下表</w:t>
            </w:r>
            <w:r>
              <w:rPr>
                <w:rFonts w:hint="default" w:ascii="Times New Roman" w:hAnsi="Times New Roman" w:eastAsia="宋体" w:cs="Times New Roman"/>
                <w:color w:val="auto"/>
                <w:sz w:val="24"/>
                <w:szCs w:val="24"/>
                <w:highlight w:val="none"/>
                <w:lang w:val="en-US" w:eastAsia="zh-CN"/>
              </w:rPr>
              <w:t>。</w:t>
            </w:r>
          </w:p>
          <w:p w14:paraId="2D4C8D56">
            <w:pPr>
              <w:keepNext w:val="0"/>
              <w:keepLines w:val="0"/>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表2-</w:t>
            </w:r>
            <w:r>
              <w:rPr>
                <w:rFonts w:hint="eastAsia" w:cs="Times New Roman"/>
                <w:b/>
                <w:bCs/>
                <w:color w:val="auto"/>
                <w:sz w:val="21"/>
                <w:szCs w:val="21"/>
                <w:highlight w:val="none"/>
                <w:lang w:val="en-US" w:eastAsia="zh-CN"/>
              </w:rPr>
              <w:t>11</w:t>
            </w:r>
            <w:r>
              <w:rPr>
                <w:rFonts w:hint="default" w:ascii="Times New Roman" w:hAnsi="Times New Roman" w:eastAsia="宋体" w:cs="Times New Roman"/>
                <w:b/>
                <w:bCs/>
                <w:color w:val="auto"/>
                <w:sz w:val="21"/>
                <w:szCs w:val="21"/>
                <w:highlight w:val="none"/>
                <w:lang w:val="en-US" w:eastAsia="zh-CN"/>
              </w:rPr>
              <w:t xml:space="preserve"> </w:t>
            </w:r>
            <w:r>
              <w:rPr>
                <w:rFonts w:hint="default" w:ascii="Times New Roman" w:hAnsi="Times New Roman" w:eastAsia="宋体" w:cs="Times New Roman"/>
                <w:b/>
                <w:bCs/>
                <w:color w:val="auto"/>
                <w:sz w:val="21"/>
                <w:szCs w:val="21"/>
                <w:highlight w:val="none"/>
              </w:rPr>
              <w:t xml:space="preserve"> 原辅材料及能源消耗一览表</w:t>
            </w:r>
          </w:p>
          <w:tbl>
            <w:tblPr>
              <w:tblStyle w:val="74"/>
              <w:tblW w:w="4998"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0" w:type="dxa"/>
                <w:bottom w:w="0" w:type="dxa"/>
                <w:right w:w="0" w:type="dxa"/>
              </w:tblCellMar>
            </w:tblPr>
            <w:tblGrid>
              <w:gridCol w:w="523"/>
              <w:gridCol w:w="2510"/>
              <w:gridCol w:w="770"/>
              <w:gridCol w:w="742"/>
              <w:gridCol w:w="4593"/>
            </w:tblGrid>
            <w:tr w14:paraId="08C7EAE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2C74B1B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5"/>
                      <w:sz w:val="21"/>
                      <w:szCs w:val="21"/>
                      <w:highlight w:val="none"/>
                    </w:rPr>
                    <w:t>序号</w:t>
                  </w:r>
                </w:p>
              </w:tc>
              <w:tc>
                <w:tcPr>
                  <w:tcW w:w="1373" w:type="pct"/>
                  <w:tcBorders>
                    <w:tl2br w:val="nil"/>
                    <w:tr2bl w:val="nil"/>
                  </w:tcBorders>
                  <w:vAlign w:val="center"/>
                </w:tcPr>
                <w:p w14:paraId="53803BB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3"/>
                      <w:sz w:val="21"/>
                      <w:szCs w:val="21"/>
                      <w:highlight w:val="none"/>
                    </w:rPr>
                    <w:t>名称</w:t>
                  </w:r>
                </w:p>
              </w:tc>
              <w:tc>
                <w:tcPr>
                  <w:tcW w:w="421" w:type="pct"/>
                  <w:tcBorders>
                    <w:tl2br w:val="nil"/>
                    <w:tr2bl w:val="nil"/>
                  </w:tcBorders>
                  <w:vAlign w:val="center"/>
                </w:tcPr>
                <w:p w14:paraId="3A848E0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eastAsia" w:cs="Times New Roman"/>
                      <w:color w:val="auto"/>
                      <w:spacing w:val="3"/>
                      <w:sz w:val="21"/>
                      <w:szCs w:val="21"/>
                      <w:highlight w:val="none"/>
                      <w:lang w:val="en-US" w:eastAsia="zh-CN"/>
                    </w:rPr>
                    <w:t>年用量</w:t>
                  </w:r>
                </w:p>
              </w:tc>
              <w:tc>
                <w:tcPr>
                  <w:tcW w:w="406" w:type="pct"/>
                  <w:tcBorders>
                    <w:tl2br w:val="nil"/>
                    <w:tr2bl w:val="nil"/>
                  </w:tcBorders>
                  <w:vAlign w:val="center"/>
                </w:tcPr>
                <w:p w14:paraId="063D5A6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3"/>
                      <w:sz w:val="21"/>
                      <w:szCs w:val="21"/>
                      <w:highlight w:val="none"/>
                    </w:rPr>
                    <w:t>单位</w:t>
                  </w:r>
                </w:p>
              </w:tc>
              <w:tc>
                <w:tcPr>
                  <w:tcW w:w="2512" w:type="pct"/>
                  <w:tcBorders>
                    <w:tl2br w:val="nil"/>
                    <w:tr2bl w:val="nil"/>
                  </w:tcBorders>
                  <w:vAlign w:val="center"/>
                </w:tcPr>
                <w:p w14:paraId="47DA85C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3"/>
                      <w:sz w:val="21"/>
                      <w:szCs w:val="21"/>
                      <w:highlight w:val="none"/>
                    </w:rPr>
                    <w:t>备注</w:t>
                  </w:r>
                </w:p>
              </w:tc>
            </w:tr>
            <w:tr w14:paraId="31F6FC4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1C3618F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373" w:type="pct"/>
                  <w:tcBorders>
                    <w:tl2br w:val="nil"/>
                    <w:tr2bl w:val="nil"/>
                  </w:tcBorders>
                  <w:vAlign w:val="center"/>
                </w:tcPr>
                <w:p w14:paraId="4FA7DFB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新能源汽车（小型）</w:t>
                  </w:r>
                </w:p>
              </w:tc>
              <w:tc>
                <w:tcPr>
                  <w:tcW w:w="421" w:type="pct"/>
                  <w:tcBorders>
                    <w:tl2br w:val="nil"/>
                    <w:tr2bl w:val="nil"/>
                  </w:tcBorders>
                  <w:vAlign w:val="center"/>
                </w:tcPr>
                <w:p w14:paraId="617E8A4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4"/>
                      <w:sz w:val="21"/>
                      <w:szCs w:val="21"/>
                      <w:highlight w:val="none"/>
                      <w:lang w:val="en-US" w:eastAsia="zh-CN"/>
                    </w:rPr>
                    <w:t>2000</w:t>
                  </w:r>
                </w:p>
              </w:tc>
              <w:tc>
                <w:tcPr>
                  <w:tcW w:w="406" w:type="pct"/>
                  <w:tcBorders>
                    <w:tl2br w:val="nil"/>
                    <w:tr2bl w:val="nil"/>
                  </w:tcBorders>
                  <w:vAlign w:val="center"/>
                </w:tcPr>
                <w:p w14:paraId="0E51EE0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2"/>
                      <w:sz w:val="21"/>
                      <w:szCs w:val="21"/>
                      <w:highlight w:val="none"/>
                    </w:rPr>
                    <w:t>辆</w:t>
                  </w:r>
                  <w:r>
                    <w:rPr>
                      <w:rFonts w:hint="default" w:ascii="Times New Roman" w:hAnsi="Times New Roman" w:eastAsia="Times New Roman" w:cs="Times New Roman"/>
                      <w:color w:val="auto"/>
                      <w:spacing w:val="2"/>
                      <w:sz w:val="21"/>
                      <w:szCs w:val="21"/>
                      <w:highlight w:val="none"/>
                    </w:rPr>
                    <w:t>/a</w:t>
                  </w:r>
                </w:p>
              </w:tc>
              <w:tc>
                <w:tcPr>
                  <w:tcW w:w="2512" w:type="pct"/>
                  <w:vMerge w:val="restart"/>
                  <w:tcBorders>
                    <w:tl2br w:val="nil"/>
                    <w:tr2bl w:val="nil"/>
                  </w:tcBorders>
                  <w:vAlign w:val="center"/>
                </w:tcPr>
                <w:p w14:paraId="224914D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4"/>
                      <w:sz w:val="21"/>
                      <w:szCs w:val="21"/>
                      <w:highlight w:val="none"/>
                    </w:rPr>
                    <w:t>存放于报废新能源汽车暂存区，厂区内</w:t>
                  </w:r>
                  <w:r>
                    <w:rPr>
                      <w:rFonts w:hint="default" w:ascii="Times New Roman" w:hAnsi="Times New Roman" w:cs="Times New Roman"/>
                      <w:color w:val="auto"/>
                      <w:spacing w:val="9"/>
                      <w:sz w:val="21"/>
                      <w:szCs w:val="21"/>
                      <w:highlight w:val="none"/>
                    </w:rPr>
                    <w:t>报废新能源汽车暂存区最大暂存量为</w:t>
                  </w:r>
                  <w:r>
                    <w:rPr>
                      <w:rFonts w:hint="default" w:ascii="Times New Roman" w:hAnsi="Times New Roman" w:eastAsia="宋体" w:cs="Times New Roman"/>
                      <w:color w:val="auto"/>
                      <w:spacing w:val="-1"/>
                      <w:sz w:val="21"/>
                      <w:szCs w:val="21"/>
                      <w:highlight w:val="none"/>
                      <w:lang w:val="en-US" w:eastAsia="zh-CN"/>
                    </w:rPr>
                    <w:t>50</w:t>
                  </w:r>
                  <w:r>
                    <w:rPr>
                      <w:rFonts w:hint="default" w:ascii="Times New Roman" w:hAnsi="Times New Roman" w:cs="Times New Roman"/>
                      <w:color w:val="auto"/>
                      <w:spacing w:val="-1"/>
                      <w:sz w:val="21"/>
                      <w:szCs w:val="21"/>
                      <w:highlight w:val="none"/>
                    </w:rPr>
                    <w:t>辆。</w:t>
                  </w:r>
                </w:p>
              </w:tc>
            </w:tr>
            <w:tr w14:paraId="7B00E5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7983EE6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1373" w:type="pct"/>
                  <w:tcBorders>
                    <w:tl2br w:val="nil"/>
                    <w:tr2bl w:val="nil"/>
                  </w:tcBorders>
                  <w:vAlign w:val="center"/>
                </w:tcPr>
                <w:p w14:paraId="653F39C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新能源汽车（大中型）</w:t>
                  </w:r>
                </w:p>
              </w:tc>
              <w:tc>
                <w:tcPr>
                  <w:tcW w:w="421" w:type="pct"/>
                  <w:tcBorders>
                    <w:tl2br w:val="nil"/>
                    <w:tr2bl w:val="nil"/>
                  </w:tcBorders>
                  <w:vAlign w:val="center"/>
                </w:tcPr>
                <w:p w14:paraId="53BA748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1000</w:t>
                  </w:r>
                </w:p>
              </w:tc>
              <w:tc>
                <w:tcPr>
                  <w:tcW w:w="406" w:type="pct"/>
                  <w:tcBorders>
                    <w:tl2br w:val="nil"/>
                    <w:tr2bl w:val="nil"/>
                  </w:tcBorders>
                  <w:vAlign w:val="center"/>
                </w:tcPr>
                <w:p w14:paraId="49922CA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2"/>
                      <w:sz w:val="21"/>
                      <w:szCs w:val="21"/>
                      <w:highlight w:val="none"/>
                    </w:rPr>
                    <w:t>辆</w:t>
                  </w:r>
                  <w:r>
                    <w:rPr>
                      <w:rFonts w:hint="default" w:ascii="Times New Roman" w:hAnsi="Times New Roman" w:eastAsia="Times New Roman" w:cs="Times New Roman"/>
                      <w:color w:val="auto"/>
                      <w:spacing w:val="2"/>
                      <w:sz w:val="21"/>
                      <w:szCs w:val="21"/>
                      <w:highlight w:val="none"/>
                    </w:rPr>
                    <w:t>/a</w:t>
                  </w:r>
                </w:p>
              </w:tc>
              <w:tc>
                <w:tcPr>
                  <w:tcW w:w="2512" w:type="pct"/>
                  <w:vMerge w:val="continue"/>
                  <w:tcBorders>
                    <w:tl2br w:val="nil"/>
                    <w:tr2bl w:val="nil"/>
                  </w:tcBorders>
                  <w:vAlign w:val="center"/>
                </w:tcPr>
                <w:p w14:paraId="43EB573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r>
            <w:tr w14:paraId="6E8F554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3D55A22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1373" w:type="pct"/>
                  <w:tcBorders>
                    <w:tl2br w:val="nil"/>
                    <w:tr2bl w:val="nil"/>
                  </w:tcBorders>
                  <w:vAlign w:val="center"/>
                </w:tcPr>
                <w:p w14:paraId="6FC0DCE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6"/>
                      <w:sz w:val="21"/>
                      <w:szCs w:val="21"/>
                      <w:highlight w:val="none"/>
                    </w:rPr>
                    <w:t>燃油车（小型）</w:t>
                  </w:r>
                </w:p>
              </w:tc>
              <w:tc>
                <w:tcPr>
                  <w:tcW w:w="421" w:type="pct"/>
                  <w:tcBorders>
                    <w:tl2br w:val="nil"/>
                    <w:tr2bl w:val="nil"/>
                  </w:tcBorders>
                  <w:vAlign w:val="center"/>
                </w:tcPr>
                <w:p w14:paraId="2873C67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3"/>
                      <w:sz w:val="21"/>
                      <w:szCs w:val="21"/>
                      <w:highlight w:val="none"/>
                    </w:rPr>
                    <w:t>3000</w:t>
                  </w:r>
                </w:p>
              </w:tc>
              <w:tc>
                <w:tcPr>
                  <w:tcW w:w="406" w:type="pct"/>
                  <w:tcBorders>
                    <w:tl2br w:val="nil"/>
                    <w:tr2bl w:val="nil"/>
                  </w:tcBorders>
                  <w:vAlign w:val="center"/>
                </w:tcPr>
                <w:p w14:paraId="76923DE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2"/>
                      <w:sz w:val="21"/>
                      <w:szCs w:val="21"/>
                      <w:highlight w:val="none"/>
                    </w:rPr>
                    <w:t>辆</w:t>
                  </w:r>
                  <w:r>
                    <w:rPr>
                      <w:rFonts w:hint="default" w:ascii="Times New Roman" w:hAnsi="Times New Roman" w:eastAsia="Times New Roman" w:cs="Times New Roman"/>
                      <w:color w:val="auto"/>
                      <w:spacing w:val="2"/>
                      <w:sz w:val="21"/>
                      <w:szCs w:val="21"/>
                      <w:highlight w:val="none"/>
                    </w:rPr>
                    <w:t>/a</w:t>
                  </w:r>
                </w:p>
              </w:tc>
              <w:tc>
                <w:tcPr>
                  <w:tcW w:w="2512" w:type="pct"/>
                  <w:vMerge w:val="restart"/>
                  <w:tcBorders>
                    <w:tl2br w:val="nil"/>
                    <w:tr2bl w:val="nil"/>
                  </w:tcBorders>
                  <w:vAlign w:val="center"/>
                </w:tcPr>
                <w:p w14:paraId="6292E71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4"/>
                      <w:sz w:val="21"/>
                      <w:szCs w:val="21"/>
                      <w:highlight w:val="none"/>
                    </w:rPr>
                    <w:t>存放于报废传统燃油车暂存区，厂区内</w:t>
                  </w:r>
                  <w:r>
                    <w:rPr>
                      <w:rFonts w:hint="default" w:ascii="Times New Roman" w:hAnsi="Times New Roman" w:cs="Times New Roman"/>
                      <w:color w:val="auto"/>
                      <w:spacing w:val="5"/>
                      <w:sz w:val="21"/>
                      <w:szCs w:val="21"/>
                      <w:highlight w:val="none"/>
                    </w:rPr>
                    <w:t>报废传统燃油车最大暂存量为</w:t>
                  </w:r>
                  <w:r>
                    <w:rPr>
                      <w:rFonts w:hint="default" w:ascii="Times New Roman" w:hAnsi="Times New Roman" w:eastAsia="宋体" w:cs="Times New Roman"/>
                      <w:color w:val="auto"/>
                      <w:spacing w:val="5"/>
                      <w:sz w:val="21"/>
                      <w:szCs w:val="21"/>
                      <w:highlight w:val="none"/>
                      <w:lang w:val="en-US" w:eastAsia="zh-CN"/>
                    </w:rPr>
                    <w:t>50</w:t>
                  </w:r>
                  <w:r>
                    <w:rPr>
                      <w:rFonts w:hint="default" w:ascii="Times New Roman" w:hAnsi="Times New Roman" w:cs="Times New Roman"/>
                      <w:color w:val="auto"/>
                      <w:spacing w:val="5"/>
                      <w:sz w:val="21"/>
                      <w:szCs w:val="21"/>
                      <w:highlight w:val="none"/>
                    </w:rPr>
                    <w:t>辆。</w:t>
                  </w:r>
                </w:p>
              </w:tc>
            </w:tr>
            <w:tr w14:paraId="7ADDDF9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1699D3C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1373" w:type="pct"/>
                  <w:tcBorders>
                    <w:tl2br w:val="nil"/>
                    <w:tr2bl w:val="nil"/>
                  </w:tcBorders>
                  <w:vAlign w:val="center"/>
                </w:tcPr>
                <w:p w14:paraId="0CE6FD9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燃油车（大中型）</w:t>
                  </w:r>
                </w:p>
              </w:tc>
              <w:tc>
                <w:tcPr>
                  <w:tcW w:w="421" w:type="pct"/>
                  <w:tcBorders>
                    <w:tl2br w:val="nil"/>
                    <w:tr2bl w:val="nil"/>
                  </w:tcBorders>
                  <w:vAlign w:val="center"/>
                </w:tcPr>
                <w:p w14:paraId="5F3FCA6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4"/>
                      <w:sz w:val="21"/>
                      <w:szCs w:val="21"/>
                      <w:highlight w:val="none"/>
                    </w:rPr>
                    <w:t>2000</w:t>
                  </w:r>
                </w:p>
              </w:tc>
              <w:tc>
                <w:tcPr>
                  <w:tcW w:w="406" w:type="pct"/>
                  <w:tcBorders>
                    <w:tl2br w:val="nil"/>
                    <w:tr2bl w:val="nil"/>
                  </w:tcBorders>
                  <w:vAlign w:val="center"/>
                </w:tcPr>
                <w:p w14:paraId="03D8859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cs="Times New Roman"/>
                      <w:color w:val="auto"/>
                      <w:spacing w:val="2"/>
                      <w:sz w:val="21"/>
                      <w:szCs w:val="21"/>
                      <w:highlight w:val="none"/>
                    </w:rPr>
                    <w:t>辆</w:t>
                  </w:r>
                  <w:r>
                    <w:rPr>
                      <w:rFonts w:hint="default" w:ascii="Times New Roman" w:hAnsi="Times New Roman" w:eastAsia="Times New Roman" w:cs="Times New Roman"/>
                      <w:color w:val="auto"/>
                      <w:spacing w:val="2"/>
                      <w:sz w:val="21"/>
                      <w:szCs w:val="21"/>
                      <w:highlight w:val="none"/>
                    </w:rPr>
                    <w:t>/a</w:t>
                  </w:r>
                </w:p>
              </w:tc>
              <w:tc>
                <w:tcPr>
                  <w:tcW w:w="2512" w:type="pct"/>
                  <w:vMerge w:val="continue"/>
                  <w:tcBorders>
                    <w:tl2br w:val="nil"/>
                    <w:tr2bl w:val="nil"/>
                  </w:tcBorders>
                  <w:vAlign w:val="center"/>
                </w:tcPr>
                <w:p w14:paraId="053DE55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p>
              </w:tc>
            </w:tr>
            <w:tr w14:paraId="15ED672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33242CF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373" w:type="pct"/>
                  <w:tcBorders>
                    <w:tl2br w:val="nil"/>
                    <w:tr2bl w:val="nil"/>
                  </w:tcBorders>
                  <w:vAlign w:val="center"/>
                </w:tcPr>
                <w:p w14:paraId="264876A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pacing w:val="7"/>
                      <w:sz w:val="21"/>
                      <w:szCs w:val="21"/>
                      <w:highlight w:val="none"/>
                      <w:lang w:val="en-US" w:eastAsia="zh-CN"/>
                    </w:rPr>
                  </w:pPr>
                  <w:r>
                    <w:rPr>
                      <w:rFonts w:hint="eastAsia" w:cs="Times New Roman"/>
                      <w:color w:val="auto"/>
                      <w:spacing w:val="7"/>
                      <w:sz w:val="21"/>
                      <w:szCs w:val="21"/>
                      <w:highlight w:val="none"/>
                      <w:lang w:val="en-US" w:eastAsia="zh-CN"/>
                    </w:rPr>
                    <w:t>农机</w:t>
                  </w:r>
                </w:p>
              </w:tc>
              <w:tc>
                <w:tcPr>
                  <w:tcW w:w="421" w:type="pct"/>
                  <w:tcBorders>
                    <w:tl2br w:val="nil"/>
                    <w:tr2bl w:val="nil"/>
                  </w:tcBorders>
                  <w:vAlign w:val="center"/>
                </w:tcPr>
                <w:p w14:paraId="3FDD33C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4"/>
                      <w:sz w:val="21"/>
                      <w:szCs w:val="21"/>
                      <w:highlight w:val="none"/>
                      <w:lang w:val="en-US" w:eastAsia="zh-CN"/>
                    </w:rPr>
                  </w:pPr>
                  <w:r>
                    <w:rPr>
                      <w:rFonts w:hint="eastAsia" w:eastAsia="宋体" w:cs="Times New Roman"/>
                      <w:color w:val="auto"/>
                      <w:spacing w:val="4"/>
                      <w:sz w:val="21"/>
                      <w:szCs w:val="21"/>
                      <w:highlight w:val="none"/>
                      <w:lang w:val="en-US" w:eastAsia="zh-CN"/>
                    </w:rPr>
                    <w:t>2000</w:t>
                  </w:r>
                </w:p>
              </w:tc>
              <w:tc>
                <w:tcPr>
                  <w:tcW w:w="406" w:type="pct"/>
                  <w:tcBorders>
                    <w:tl2br w:val="nil"/>
                    <w:tr2bl w:val="nil"/>
                  </w:tcBorders>
                  <w:vAlign w:val="center"/>
                </w:tcPr>
                <w:p w14:paraId="3E80DE4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2"/>
                      <w:sz w:val="21"/>
                      <w:szCs w:val="21"/>
                      <w:highlight w:val="none"/>
                    </w:rPr>
                  </w:pPr>
                  <w:r>
                    <w:rPr>
                      <w:rFonts w:hint="default" w:ascii="Times New Roman" w:hAnsi="Times New Roman" w:cs="Times New Roman"/>
                      <w:color w:val="auto"/>
                      <w:spacing w:val="2"/>
                      <w:sz w:val="21"/>
                      <w:szCs w:val="21"/>
                      <w:highlight w:val="none"/>
                    </w:rPr>
                    <w:t>辆</w:t>
                  </w:r>
                  <w:r>
                    <w:rPr>
                      <w:rFonts w:hint="default" w:ascii="Times New Roman" w:hAnsi="Times New Roman" w:eastAsia="Times New Roman" w:cs="Times New Roman"/>
                      <w:color w:val="auto"/>
                      <w:spacing w:val="2"/>
                      <w:sz w:val="21"/>
                      <w:szCs w:val="21"/>
                      <w:highlight w:val="none"/>
                    </w:rPr>
                    <w:t>/a</w:t>
                  </w:r>
                </w:p>
              </w:tc>
              <w:tc>
                <w:tcPr>
                  <w:tcW w:w="2512" w:type="pct"/>
                  <w:tcBorders>
                    <w:tl2br w:val="nil"/>
                    <w:tr2bl w:val="nil"/>
                  </w:tcBorders>
                  <w:vAlign w:val="center"/>
                </w:tcPr>
                <w:p w14:paraId="19B6B529">
                  <w:pPr>
                    <w:pStyle w:val="73"/>
                    <w:keepNext w:val="0"/>
                    <w:keepLines w:val="0"/>
                    <w:suppressLineNumbers w:val="0"/>
                    <w:spacing w:before="6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rPr>
                  </w:pPr>
                  <w:r>
                    <w:rPr>
                      <w:rFonts w:hint="default"/>
                      <w:color w:val="auto"/>
                      <w:spacing w:val="4"/>
                      <w:sz w:val="21"/>
                      <w:szCs w:val="21"/>
                    </w:rPr>
                    <w:t>存放于报废农机暂存区，厂区内农机最</w:t>
                  </w:r>
                  <w:r>
                    <w:rPr>
                      <w:rFonts w:hint="default"/>
                      <w:color w:val="auto"/>
                      <w:spacing w:val="3"/>
                      <w:sz w:val="21"/>
                      <w:szCs w:val="21"/>
                    </w:rPr>
                    <w:t>大暂存量为</w:t>
                  </w:r>
                  <w:r>
                    <w:rPr>
                      <w:rFonts w:hint="eastAsia"/>
                      <w:color w:val="auto"/>
                      <w:spacing w:val="-17"/>
                      <w:sz w:val="21"/>
                      <w:szCs w:val="21"/>
                      <w:lang w:val="en-US" w:eastAsia="zh-CN"/>
                    </w:rPr>
                    <w:t>50</w:t>
                  </w:r>
                  <w:r>
                    <w:rPr>
                      <w:rFonts w:hint="default"/>
                      <w:color w:val="auto"/>
                      <w:spacing w:val="3"/>
                      <w:sz w:val="21"/>
                      <w:szCs w:val="21"/>
                    </w:rPr>
                    <w:t>辆。</w:t>
                  </w:r>
                </w:p>
              </w:tc>
            </w:tr>
            <w:tr w14:paraId="5F51114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2BD398C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1373" w:type="pct"/>
                  <w:tcBorders>
                    <w:tl2br w:val="nil"/>
                    <w:tr2bl w:val="nil"/>
                  </w:tcBorders>
                  <w:vAlign w:val="center"/>
                </w:tcPr>
                <w:p w14:paraId="44E2C5A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s="Times New Roman"/>
                      <w:color w:val="auto"/>
                      <w:spacing w:val="7"/>
                      <w:sz w:val="21"/>
                      <w:szCs w:val="21"/>
                      <w:highlight w:val="none"/>
                      <w:lang w:val="en-US" w:eastAsia="zh-CN"/>
                    </w:rPr>
                  </w:pPr>
                  <w:r>
                    <w:rPr>
                      <w:rFonts w:hint="eastAsia" w:cs="Times New Roman"/>
                      <w:color w:val="auto"/>
                      <w:spacing w:val="7"/>
                      <w:sz w:val="21"/>
                      <w:szCs w:val="21"/>
                      <w:highlight w:val="none"/>
                      <w:lang w:val="en-US" w:eastAsia="zh-CN"/>
                    </w:rPr>
                    <w:t>废钢铁</w:t>
                  </w:r>
                </w:p>
              </w:tc>
              <w:tc>
                <w:tcPr>
                  <w:tcW w:w="421" w:type="pct"/>
                  <w:tcBorders>
                    <w:tl2br w:val="nil"/>
                    <w:tr2bl w:val="nil"/>
                  </w:tcBorders>
                  <w:vAlign w:val="center"/>
                </w:tcPr>
                <w:p w14:paraId="0300D35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eastAsia="宋体" w:cs="Times New Roman"/>
                      <w:color w:val="auto"/>
                      <w:spacing w:val="4"/>
                      <w:sz w:val="21"/>
                      <w:szCs w:val="21"/>
                      <w:highlight w:val="none"/>
                      <w:lang w:val="en-US" w:eastAsia="zh-CN"/>
                    </w:rPr>
                  </w:pPr>
                  <w:r>
                    <w:rPr>
                      <w:rFonts w:hint="eastAsia" w:cs="Times New Roman"/>
                      <w:color w:val="auto"/>
                      <w:spacing w:val="4"/>
                      <w:sz w:val="21"/>
                      <w:szCs w:val="21"/>
                      <w:highlight w:val="none"/>
                      <w:lang w:val="en-US" w:eastAsia="zh-CN"/>
                    </w:rPr>
                    <w:t>15</w:t>
                  </w:r>
                </w:p>
              </w:tc>
              <w:tc>
                <w:tcPr>
                  <w:tcW w:w="406" w:type="pct"/>
                  <w:tcBorders>
                    <w:tl2br w:val="nil"/>
                    <w:tr2bl w:val="nil"/>
                  </w:tcBorders>
                  <w:vAlign w:val="center"/>
                </w:tcPr>
                <w:p w14:paraId="0EA9C5D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cs="Times New Roman"/>
                      <w:color w:val="auto"/>
                      <w:spacing w:val="2"/>
                      <w:sz w:val="21"/>
                      <w:szCs w:val="21"/>
                      <w:highlight w:val="none"/>
                      <w:lang w:val="en-US" w:eastAsia="zh-CN"/>
                    </w:rPr>
                    <w:t>万t/a</w:t>
                  </w:r>
                </w:p>
              </w:tc>
              <w:tc>
                <w:tcPr>
                  <w:tcW w:w="2512" w:type="pct"/>
                  <w:tcBorders>
                    <w:tl2br w:val="nil"/>
                    <w:tr2bl w:val="nil"/>
                  </w:tcBorders>
                  <w:vAlign w:val="center"/>
                </w:tcPr>
                <w:p w14:paraId="651DD0F9">
                  <w:pPr>
                    <w:pStyle w:val="73"/>
                    <w:keepNext w:val="0"/>
                    <w:keepLines w:val="0"/>
                    <w:suppressLineNumbers w:val="0"/>
                    <w:spacing w:before="60" w:beforeAutospacing="0" w:after="0" w:afterAutospacing="0" w:line="240" w:lineRule="auto"/>
                    <w:ind w:left="0" w:leftChars="0" w:right="0" w:firstLine="0" w:firstLineChars="0"/>
                    <w:jc w:val="center"/>
                    <w:rPr>
                      <w:rFonts w:hint="default" w:eastAsia="宋体"/>
                      <w:color w:val="auto"/>
                      <w:spacing w:val="4"/>
                      <w:sz w:val="21"/>
                      <w:szCs w:val="21"/>
                      <w:lang w:val="en-US" w:eastAsia="zh-CN"/>
                    </w:rPr>
                  </w:pPr>
                  <w:r>
                    <w:rPr>
                      <w:rFonts w:hint="eastAsia"/>
                      <w:color w:val="auto"/>
                      <w:spacing w:val="4"/>
                      <w:sz w:val="21"/>
                      <w:szCs w:val="21"/>
                      <w:lang w:val="en-US" w:eastAsia="zh-CN"/>
                    </w:rPr>
                    <w:t>主要为汽车壳、废钢铁等，来源于本项目汽车拆解以及外购其他企业产生的废钢铁</w:t>
                  </w:r>
                </w:p>
              </w:tc>
            </w:tr>
            <w:tr w14:paraId="355A5EB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shd w:val="clear" w:color="auto" w:fill="auto"/>
                  <w:vAlign w:val="center"/>
                </w:tcPr>
                <w:p w14:paraId="179A498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7</w:t>
                  </w:r>
                </w:p>
              </w:tc>
              <w:tc>
                <w:tcPr>
                  <w:tcW w:w="1373" w:type="pct"/>
                  <w:tcBorders>
                    <w:tl2br w:val="nil"/>
                    <w:tr2bl w:val="nil"/>
                  </w:tcBorders>
                  <w:vAlign w:val="center"/>
                </w:tcPr>
                <w:p w14:paraId="18E38E0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5"/>
                      <w:sz w:val="21"/>
                      <w:szCs w:val="21"/>
                      <w:highlight w:val="none"/>
                    </w:rPr>
                    <w:t>活性炭</w:t>
                  </w:r>
                </w:p>
              </w:tc>
              <w:tc>
                <w:tcPr>
                  <w:tcW w:w="421" w:type="pct"/>
                  <w:tcBorders>
                    <w:tl2br w:val="nil"/>
                    <w:tr2bl w:val="nil"/>
                  </w:tcBorders>
                  <w:vAlign w:val="center"/>
                </w:tcPr>
                <w:p w14:paraId="11D294F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2"/>
                      <w:sz w:val="21"/>
                      <w:szCs w:val="21"/>
                      <w:highlight w:val="none"/>
                      <w:lang w:val="en-US" w:eastAsia="zh-CN"/>
                    </w:rPr>
                    <w:t>1.2</w:t>
                  </w:r>
                </w:p>
              </w:tc>
              <w:tc>
                <w:tcPr>
                  <w:tcW w:w="406" w:type="pct"/>
                  <w:tcBorders>
                    <w:tl2br w:val="nil"/>
                    <w:tr2bl w:val="nil"/>
                  </w:tcBorders>
                  <w:vAlign w:val="center"/>
                </w:tcPr>
                <w:p w14:paraId="7E8CD6F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t/a</w:t>
                  </w:r>
                </w:p>
              </w:tc>
              <w:tc>
                <w:tcPr>
                  <w:tcW w:w="2512" w:type="pct"/>
                  <w:tcBorders>
                    <w:tl2br w:val="nil"/>
                    <w:tr2bl w:val="nil"/>
                  </w:tcBorders>
                  <w:vAlign w:val="center"/>
                </w:tcPr>
                <w:p w14:paraId="033A57A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8"/>
                      <w:sz w:val="21"/>
                      <w:szCs w:val="21"/>
                      <w:highlight w:val="none"/>
                    </w:rPr>
                    <w:t>随用随购，不在厂区内暂存</w:t>
                  </w:r>
                </w:p>
              </w:tc>
            </w:tr>
            <w:tr w14:paraId="6D0497C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shd w:val="clear" w:color="auto" w:fill="auto"/>
                  <w:vAlign w:val="center"/>
                </w:tcPr>
                <w:p w14:paraId="289D83A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w:t>
                  </w:r>
                </w:p>
              </w:tc>
              <w:tc>
                <w:tcPr>
                  <w:tcW w:w="1373" w:type="pct"/>
                  <w:tcBorders>
                    <w:tl2br w:val="nil"/>
                    <w:tr2bl w:val="nil"/>
                  </w:tcBorders>
                  <w:vAlign w:val="center"/>
                </w:tcPr>
                <w:p w14:paraId="40A0149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5"/>
                      <w:sz w:val="21"/>
                      <w:szCs w:val="21"/>
                      <w:highlight w:val="none"/>
                    </w:rPr>
                    <w:t>机油</w:t>
                  </w:r>
                </w:p>
              </w:tc>
              <w:tc>
                <w:tcPr>
                  <w:tcW w:w="421" w:type="pct"/>
                  <w:tcBorders>
                    <w:tl2br w:val="nil"/>
                    <w:tr2bl w:val="nil"/>
                  </w:tcBorders>
                  <w:vAlign w:val="center"/>
                </w:tcPr>
                <w:p w14:paraId="5A1718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Times New Roman" w:cs="Times New Roman"/>
                      <w:color w:val="auto"/>
                      <w:spacing w:val="2"/>
                      <w:sz w:val="21"/>
                      <w:szCs w:val="21"/>
                      <w:highlight w:val="none"/>
                    </w:rPr>
                    <w:t>0.</w:t>
                  </w:r>
                  <w:r>
                    <w:rPr>
                      <w:rFonts w:hint="eastAsia" w:eastAsia="宋体" w:cs="Times New Roman"/>
                      <w:color w:val="auto"/>
                      <w:spacing w:val="2"/>
                      <w:sz w:val="21"/>
                      <w:szCs w:val="21"/>
                      <w:highlight w:val="none"/>
                      <w:lang w:val="en-US" w:eastAsia="zh-CN"/>
                    </w:rPr>
                    <w:t>4</w:t>
                  </w:r>
                </w:p>
              </w:tc>
              <w:tc>
                <w:tcPr>
                  <w:tcW w:w="406" w:type="pct"/>
                  <w:tcBorders>
                    <w:tl2br w:val="nil"/>
                    <w:tr2bl w:val="nil"/>
                  </w:tcBorders>
                  <w:vAlign w:val="center"/>
                </w:tcPr>
                <w:p w14:paraId="39F0585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t/a</w:t>
                  </w:r>
                </w:p>
              </w:tc>
              <w:tc>
                <w:tcPr>
                  <w:tcW w:w="2512" w:type="pct"/>
                  <w:tcBorders>
                    <w:tl2br w:val="nil"/>
                    <w:tr2bl w:val="nil"/>
                  </w:tcBorders>
                  <w:vAlign w:val="center"/>
                </w:tcPr>
                <w:p w14:paraId="3C2EC01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pacing w:val="7"/>
                      <w:sz w:val="21"/>
                      <w:szCs w:val="21"/>
                      <w:highlight w:val="none"/>
                    </w:rPr>
                    <w:t>外购，桶装</w:t>
                  </w:r>
                  <w:r>
                    <w:rPr>
                      <w:rFonts w:hint="eastAsia" w:cs="Times New Roman"/>
                      <w:color w:val="auto"/>
                      <w:spacing w:val="7"/>
                      <w:sz w:val="21"/>
                      <w:szCs w:val="21"/>
                      <w:highlight w:val="none"/>
                      <w:lang w:eastAsia="zh-CN"/>
                    </w:rPr>
                    <w:t>，</w:t>
                  </w:r>
                  <w:r>
                    <w:rPr>
                      <w:rFonts w:hint="eastAsia" w:cs="Times New Roman"/>
                      <w:color w:val="auto"/>
                      <w:spacing w:val="7"/>
                      <w:sz w:val="21"/>
                      <w:szCs w:val="21"/>
                      <w:highlight w:val="none"/>
                      <w:lang w:val="en-US" w:eastAsia="zh-CN"/>
                    </w:rPr>
                    <w:t>用于设备维修保养</w:t>
                  </w:r>
                </w:p>
              </w:tc>
            </w:tr>
            <w:tr w14:paraId="5BB465F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shd w:val="clear" w:color="auto" w:fill="auto"/>
                  <w:vAlign w:val="center"/>
                </w:tcPr>
                <w:p w14:paraId="7FCD7FA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9</w:t>
                  </w:r>
                </w:p>
              </w:tc>
              <w:tc>
                <w:tcPr>
                  <w:tcW w:w="1373" w:type="pct"/>
                  <w:tcBorders>
                    <w:tl2br w:val="nil"/>
                    <w:tr2bl w:val="nil"/>
                  </w:tcBorders>
                  <w:vAlign w:val="center"/>
                </w:tcPr>
                <w:p w14:paraId="7546153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pacing w:val="4"/>
                      <w:sz w:val="21"/>
                      <w:szCs w:val="21"/>
                      <w:highlight w:val="none"/>
                    </w:rPr>
                    <w:t>絮凝剂</w:t>
                  </w:r>
                  <w:r>
                    <w:rPr>
                      <w:rFonts w:hint="eastAsia" w:ascii="Times New Roman" w:hAnsi="Times New Roman" w:cs="Times New Roman"/>
                      <w:color w:val="auto"/>
                      <w:spacing w:val="4"/>
                      <w:sz w:val="21"/>
                      <w:szCs w:val="21"/>
                      <w:highlight w:val="none"/>
                      <w:lang w:val="en-US" w:eastAsia="zh-CN"/>
                    </w:rPr>
                    <w:t>*</w:t>
                  </w:r>
                </w:p>
              </w:tc>
              <w:tc>
                <w:tcPr>
                  <w:tcW w:w="421" w:type="pct"/>
                  <w:tcBorders>
                    <w:tl2br w:val="nil"/>
                    <w:tr2bl w:val="nil"/>
                  </w:tcBorders>
                  <w:vAlign w:val="center"/>
                </w:tcPr>
                <w:p w14:paraId="6A65573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0.26</w:t>
                  </w:r>
                </w:p>
              </w:tc>
              <w:tc>
                <w:tcPr>
                  <w:tcW w:w="406" w:type="pct"/>
                  <w:tcBorders>
                    <w:tl2br w:val="nil"/>
                    <w:tr2bl w:val="nil"/>
                  </w:tcBorders>
                  <w:vAlign w:val="center"/>
                </w:tcPr>
                <w:p w14:paraId="3063C72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1"/>
                      <w:sz w:val="21"/>
                      <w:szCs w:val="21"/>
                      <w:highlight w:val="none"/>
                    </w:rPr>
                    <w:t>t/a</w:t>
                  </w:r>
                </w:p>
              </w:tc>
              <w:tc>
                <w:tcPr>
                  <w:tcW w:w="2512" w:type="pct"/>
                  <w:tcBorders>
                    <w:tl2br w:val="nil"/>
                    <w:tr2bl w:val="nil"/>
                  </w:tcBorders>
                  <w:vAlign w:val="center"/>
                </w:tcPr>
                <w:p w14:paraId="6AF263E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pacing w:val="7"/>
                      <w:sz w:val="21"/>
                      <w:szCs w:val="21"/>
                      <w:highlight w:val="none"/>
                    </w:rPr>
                    <w:t>污水处理使用</w:t>
                  </w:r>
                </w:p>
              </w:tc>
            </w:tr>
            <w:tr w14:paraId="0AF7277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shd w:val="clear" w:color="auto" w:fill="auto"/>
                  <w:vAlign w:val="center"/>
                </w:tcPr>
                <w:p w14:paraId="5E914736">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10</w:t>
                  </w:r>
                </w:p>
              </w:tc>
              <w:tc>
                <w:tcPr>
                  <w:tcW w:w="1373" w:type="pct"/>
                  <w:tcBorders>
                    <w:tl2br w:val="nil"/>
                    <w:tr2bl w:val="nil"/>
                  </w:tcBorders>
                  <w:shd w:val="clear" w:color="auto" w:fill="auto"/>
                  <w:vAlign w:val="center"/>
                </w:tcPr>
                <w:p w14:paraId="47E8B6D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en-US" w:bidi="ar-SA"/>
                    </w:rPr>
                  </w:pPr>
                  <w:r>
                    <w:rPr>
                      <w:rFonts w:hint="default" w:ascii="Times New Roman" w:hAnsi="Times New Roman" w:cs="Times New Roman"/>
                      <w:color w:val="auto"/>
                      <w:sz w:val="21"/>
                      <w:szCs w:val="21"/>
                      <w:highlight w:val="none"/>
                    </w:rPr>
                    <w:t>盐</w:t>
                  </w:r>
                </w:p>
              </w:tc>
              <w:tc>
                <w:tcPr>
                  <w:tcW w:w="421" w:type="pct"/>
                  <w:tcBorders>
                    <w:tl2br w:val="nil"/>
                    <w:tr2bl w:val="nil"/>
                  </w:tcBorders>
                  <w:shd w:val="clear" w:color="auto" w:fill="auto"/>
                  <w:vAlign w:val="center"/>
                </w:tcPr>
                <w:p w14:paraId="16D2ECC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Times New Roman" w:cs="Times New Roman"/>
                      <w:color w:val="auto"/>
                      <w:kern w:val="2"/>
                      <w:sz w:val="21"/>
                      <w:szCs w:val="21"/>
                      <w:highlight w:val="none"/>
                      <w:lang w:val="en-US" w:eastAsia="zh-CN" w:bidi="ar-SA"/>
                    </w:rPr>
                  </w:pPr>
                  <w:r>
                    <w:rPr>
                      <w:rFonts w:hint="default" w:ascii="Times New Roman" w:hAnsi="Times New Roman" w:eastAsia="Times New Roman" w:cs="Times New Roman"/>
                      <w:color w:val="auto"/>
                      <w:spacing w:val="2"/>
                      <w:sz w:val="21"/>
                      <w:szCs w:val="21"/>
                      <w:highlight w:val="none"/>
                    </w:rPr>
                    <w:t>0.02</w:t>
                  </w:r>
                </w:p>
              </w:tc>
              <w:tc>
                <w:tcPr>
                  <w:tcW w:w="406" w:type="pct"/>
                  <w:tcBorders>
                    <w:tl2br w:val="nil"/>
                    <w:tr2bl w:val="nil"/>
                  </w:tcBorders>
                  <w:shd w:val="clear" w:color="auto" w:fill="auto"/>
                  <w:vAlign w:val="center"/>
                </w:tcPr>
                <w:p w14:paraId="3781BDB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Times New Roman" w:cs="Times New Roman"/>
                      <w:color w:val="auto"/>
                      <w:kern w:val="2"/>
                      <w:sz w:val="21"/>
                      <w:szCs w:val="21"/>
                      <w:highlight w:val="none"/>
                      <w:lang w:val="en-US" w:eastAsia="zh-CN" w:bidi="ar-SA"/>
                    </w:rPr>
                  </w:pPr>
                  <w:r>
                    <w:rPr>
                      <w:rFonts w:hint="default" w:ascii="Times New Roman" w:hAnsi="Times New Roman" w:eastAsia="Times New Roman" w:cs="Times New Roman"/>
                      <w:color w:val="auto"/>
                      <w:spacing w:val="1"/>
                      <w:sz w:val="21"/>
                      <w:szCs w:val="21"/>
                      <w:highlight w:val="none"/>
                    </w:rPr>
                    <w:t>t/a</w:t>
                  </w:r>
                </w:p>
              </w:tc>
              <w:tc>
                <w:tcPr>
                  <w:tcW w:w="2512" w:type="pct"/>
                  <w:tcBorders>
                    <w:tl2br w:val="nil"/>
                    <w:tr2bl w:val="nil"/>
                  </w:tcBorders>
                  <w:shd w:val="clear" w:color="auto" w:fill="auto"/>
                  <w:vAlign w:val="center"/>
                </w:tcPr>
                <w:p w14:paraId="610E743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en-US" w:bidi="ar-SA"/>
                    </w:rPr>
                  </w:pPr>
                  <w:r>
                    <w:rPr>
                      <w:rFonts w:hint="default" w:ascii="Times New Roman" w:hAnsi="Times New Roman" w:cs="Times New Roman"/>
                      <w:color w:val="auto"/>
                      <w:spacing w:val="4"/>
                      <w:sz w:val="21"/>
                      <w:szCs w:val="21"/>
                      <w:highlight w:val="none"/>
                    </w:rPr>
                    <w:t>盐用海盐或工业盐，用于盐水池，盐水池用来处理破损动力电池，破损动力电池不能用放电机处理，只能放在盐水池</w:t>
                  </w:r>
                  <w:r>
                    <w:rPr>
                      <w:rFonts w:hint="default" w:ascii="Times New Roman" w:hAnsi="Times New Roman" w:cs="Times New Roman"/>
                      <w:color w:val="auto"/>
                      <w:spacing w:val="3"/>
                      <w:sz w:val="21"/>
                      <w:szCs w:val="21"/>
                      <w:highlight w:val="none"/>
                    </w:rPr>
                    <w:t>内自然放电</w:t>
                  </w:r>
                </w:p>
              </w:tc>
            </w:tr>
            <w:tr w14:paraId="7B58BB6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shd w:val="clear" w:color="auto" w:fill="auto"/>
                  <w:vAlign w:val="center"/>
                </w:tcPr>
                <w:p w14:paraId="3FDAF1D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11</w:t>
                  </w:r>
                </w:p>
              </w:tc>
              <w:tc>
                <w:tcPr>
                  <w:tcW w:w="1373" w:type="pct"/>
                  <w:tcBorders>
                    <w:tl2br w:val="nil"/>
                    <w:tr2bl w:val="nil"/>
                  </w:tcBorders>
                  <w:shd w:val="clear" w:color="auto" w:fill="auto"/>
                  <w:vAlign w:val="center"/>
                </w:tcPr>
                <w:p w14:paraId="4A2174C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en-US" w:bidi="ar-SA"/>
                    </w:rPr>
                  </w:pPr>
                  <w:r>
                    <w:rPr>
                      <w:rFonts w:hint="default" w:ascii="Times New Roman" w:hAnsi="Times New Roman" w:cs="Times New Roman"/>
                      <w:color w:val="auto"/>
                      <w:sz w:val="21"/>
                      <w:szCs w:val="21"/>
                      <w:highlight w:val="none"/>
                    </w:rPr>
                    <w:t>电</w:t>
                  </w:r>
                </w:p>
              </w:tc>
              <w:tc>
                <w:tcPr>
                  <w:tcW w:w="421" w:type="pct"/>
                  <w:tcBorders>
                    <w:tl2br w:val="nil"/>
                    <w:tr2bl w:val="nil"/>
                  </w:tcBorders>
                  <w:shd w:val="clear" w:color="auto" w:fill="auto"/>
                  <w:vAlign w:val="center"/>
                </w:tcPr>
                <w:p w14:paraId="5424989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Times New Roman" w:cs="Times New Roman"/>
                      <w:color w:val="auto"/>
                      <w:kern w:val="2"/>
                      <w:sz w:val="21"/>
                      <w:szCs w:val="21"/>
                      <w:highlight w:val="none"/>
                      <w:lang w:val="en-US" w:eastAsia="zh-CN" w:bidi="ar-SA"/>
                    </w:rPr>
                  </w:pPr>
                  <w:r>
                    <w:rPr>
                      <w:rFonts w:hint="default" w:ascii="Times New Roman" w:hAnsi="Times New Roman" w:eastAsia="Times New Roman" w:cs="Times New Roman"/>
                      <w:color w:val="auto"/>
                      <w:spacing w:val="-3"/>
                      <w:sz w:val="21"/>
                      <w:szCs w:val="21"/>
                      <w:highlight w:val="none"/>
                    </w:rPr>
                    <w:t>100</w:t>
                  </w:r>
                </w:p>
              </w:tc>
              <w:tc>
                <w:tcPr>
                  <w:tcW w:w="406" w:type="pct"/>
                  <w:tcBorders>
                    <w:tl2br w:val="nil"/>
                    <w:tr2bl w:val="nil"/>
                  </w:tcBorders>
                  <w:shd w:val="clear" w:color="auto" w:fill="auto"/>
                  <w:vAlign w:val="center"/>
                </w:tcPr>
                <w:p w14:paraId="37D6196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Times New Roman" w:cs="Times New Roman"/>
                      <w:color w:val="auto"/>
                      <w:kern w:val="2"/>
                      <w:sz w:val="21"/>
                      <w:szCs w:val="21"/>
                      <w:highlight w:val="none"/>
                      <w:lang w:val="en-US" w:eastAsia="en-US" w:bidi="ar-SA"/>
                    </w:rPr>
                  </w:pPr>
                  <w:r>
                    <w:rPr>
                      <w:rFonts w:hint="default" w:ascii="Times New Roman" w:hAnsi="Times New Roman" w:cs="Times New Roman"/>
                      <w:color w:val="auto"/>
                      <w:spacing w:val="6"/>
                      <w:sz w:val="21"/>
                      <w:szCs w:val="21"/>
                      <w:highlight w:val="none"/>
                    </w:rPr>
                    <w:t>万</w:t>
                  </w:r>
                  <w:r>
                    <w:rPr>
                      <w:rFonts w:hint="default" w:ascii="Times New Roman" w:hAnsi="Times New Roman" w:cs="Times New Roman"/>
                      <w:color w:val="auto"/>
                      <w:spacing w:val="-46"/>
                      <w:sz w:val="21"/>
                      <w:szCs w:val="21"/>
                      <w:highlight w:val="none"/>
                    </w:rPr>
                    <w:t xml:space="preserve"> </w:t>
                  </w:r>
                  <w:r>
                    <w:rPr>
                      <w:rFonts w:hint="default" w:ascii="Times New Roman" w:hAnsi="Times New Roman" w:eastAsia="Times New Roman" w:cs="Times New Roman"/>
                      <w:color w:val="auto"/>
                      <w:sz w:val="21"/>
                      <w:szCs w:val="21"/>
                      <w:highlight w:val="none"/>
                    </w:rPr>
                    <w:t>kWh</w:t>
                  </w:r>
                  <w:r>
                    <w:rPr>
                      <w:rFonts w:hint="default" w:ascii="Times New Roman" w:hAnsi="Times New Roman" w:eastAsia="Times New Roman" w:cs="Times New Roman"/>
                      <w:color w:val="auto"/>
                      <w:spacing w:val="6"/>
                      <w:sz w:val="21"/>
                      <w:szCs w:val="21"/>
                      <w:highlight w:val="none"/>
                    </w:rPr>
                    <w:t>/a</w:t>
                  </w:r>
                </w:p>
              </w:tc>
              <w:tc>
                <w:tcPr>
                  <w:tcW w:w="2512" w:type="pct"/>
                  <w:tcBorders>
                    <w:tl2br w:val="nil"/>
                    <w:tr2bl w:val="nil"/>
                  </w:tcBorders>
                  <w:shd w:val="clear" w:color="auto" w:fill="auto"/>
                  <w:vAlign w:val="center"/>
                </w:tcPr>
                <w:p w14:paraId="2EC717D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en-US" w:bidi="ar-SA"/>
                    </w:rPr>
                  </w:pPr>
                  <w:r>
                    <w:rPr>
                      <w:rFonts w:hint="default" w:ascii="Times New Roman" w:hAnsi="Times New Roman" w:cs="Times New Roman"/>
                      <w:color w:val="auto"/>
                      <w:spacing w:val="6"/>
                      <w:sz w:val="21"/>
                      <w:szCs w:val="21"/>
                      <w:highlight w:val="none"/>
                    </w:rPr>
                    <w:t>市政提供</w:t>
                  </w:r>
                </w:p>
              </w:tc>
            </w:tr>
            <w:tr w14:paraId="56BB2E0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113" w:hRule="atLeast"/>
              </w:trPr>
              <w:tc>
                <w:tcPr>
                  <w:tcW w:w="286" w:type="pct"/>
                  <w:tcBorders>
                    <w:tl2br w:val="nil"/>
                    <w:tr2bl w:val="nil"/>
                  </w:tcBorders>
                  <w:vAlign w:val="center"/>
                </w:tcPr>
                <w:p w14:paraId="5DCDA70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1373" w:type="pct"/>
                  <w:tcBorders>
                    <w:tl2br w:val="nil"/>
                    <w:tr2bl w:val="nil"/>
                  </w:tcBorders>
                  <w:shd w:val="clear" w:color="auto" w:fill="auto"/>
                  <w:vAlign w:val="center"/>
                </w:tcPr>
                <w:p w14:paraId="36EA227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en-US" w:bidi="ar-SA"/>
                    </w:rPr>
                  </w:pPr>
                  <w:r>
                    <w:rPr>
                      <w:rFonts w:hint="default" w:ascii="Times New Roman" w:hAnsi="Times New Roman" w:cs="Times New Roman"/>
                      <w:color w:val="auto"/>
                      <w:sz w:val="21"/>
                      <w:szCs w:val="21"/>
                      <w:highlight w:val="none"/>
                    </w:rPr>
                    <w:t>水</w:t>
                  </w:r>
                </w:p>
              </w:tc>
              <w:tc>
                <w:tcPr>
                  <w:tcW w:w="421" w:type="pct"/>
                  <w:tcBorders>
                    <w:tl2br w:val="nil"/>
                    <w:tr2bl w:val="nil"/>
                  </w:tcBorders>
                  <w:shd w:val="clear" w:color="auto" w:fill="auto"/>
                  <w:vAlign w:val="center"/>
                </w:tcPr>
                <w:p w14:paraId="4B6CC82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437.5</w:t>
                  </w:r>
                </w:p>
              </w:tc>
              <w:tc>
                <w:tcPr>
                  <w:tcW w:w="406" w:type="pct"/>
                  <w:tcBorders>
                    <w:tl2br w:val="nil"/>
                    <w:tr2bl w:val="nil"/>
                  </w:tcBorders>
                  <w:shd w:val="clear" w:color="auto" w:fill="auto"/>
                  <w:vAlign w:val="center"/>
                </w:tcPr>
                <w:p w14:paraId="6BDB187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Times New Roman" w:cs="Times New Roman"/>
                      <w:color w:val="auto"/>
                      <w:kern w:val="2"/>
                      <w:sz w:val="21"/>
                      <w:szCs w:val="21"/>
                      <w:highlight w:val="none"/>
                      <w:lang w:val="en-US" w:eastAsia="zh-CN" w:bidi="ar-SA"/>
                    </w:rPr>
                  </w:pPr>
                  <w:r>
                    <w:rPr>
                      <w:rFonts w:hint="eastAsia" w:cs="Times New Roman"/>
                      <w:color w:val="auto"/>
                      <w:spacing w:val="3"/>
                      <w:position w:val="-1"/>
                      <w:sz w:val="21"/>
                      <w:szCs w:val="21"/>
                      <w:highlight w:val="none"/>
                      <w:vertAlign w:val="baseline"/>
                      <w:lang w:val="en-US" w:eastAsia="zh-CN"/>
                    </w:rPr>
                    <w:t>m</w:t>
                  </w:r>
                  <w:r>
                    <w:rPr>
                      <w:rFonts w:hint="eastAsia" w:ascii="Times New Roman" w:hAnsi="Times New Roman" w:eastAsia="宋体" w:cs="Times New Roman"/>
                      <w:color w:val="auto"/>
                      <w:spacing w:val="3"/>
                      <w:position w:val="-1"/>
                      <w:sz w:val="21"/>
                      <w:szCs w:val="21"/>
                      <w:highlight w:val="none"/>
                      <w:vertAlign w:val="superscript"/>
                      <w:lang w:val="en-US" w:eastAsia="zh-CN"/>
                    </w:rPr>
                    <w:t>3</w:t>
                  </w:r>
                  <w:r>
                    <w:rPr>
                      <w:rFonts w:hint="default" w:ascii="Times New Roman" w:hAnsi="Times New Roman" w:eastAsia="Times New Roman" w:cs="Times New Roman"/>
                      <w:color w:val="auto"/>
                      <w:spacing w:val="3"/>
                      <w:position w:val="-1"/>
                      <w:sz w:val="21"/>
                      <w:szCs w:val="21"/>
                      <w:highlight w:val="none"/>
                    </w:rPr>
                    <w:t>/a</w:t>
                  </w:r>
                </w:p>
              </w:tc>
              <w:tc>
                <w:tcPr>
                  <w:tcW w:w="2512" w:type="pct"/>
                  <w:tcBorders>
                    <w:tl2br w:val="nil"/>
                    <w:tr2bl w:val="nil"/>
                  </w:tcBorders>
                  <w:shd w:val="clear" w:color="auto" w:fill="auto"/>
                  <w:vAlign w:val="center"/>
                </w:tcPr>
                <w:p w14:paraId="70887C2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leftChars="0" w:right="0" w:rightChars="0" w:firstLine="0" w:firstLineChars="0"/>
                    <w:jc w:val="center"/>
                    <w:textAlignment w:val="baseline"/>
                    <w:rPr>
                      <w:rFonts w:hint="default" w:ascii="Times New Roman" w:hAnsi="Times New Roman" w:eastAsia="宋体" w:cs="Times New Roman"/>
                      <w:color w:val="auto"/>
                      <w:kern w:val="2"/>
                      <w:sz w:val="21"/>
                      <w:szCs w:val="21"/>
                      <w:highlight w:val="none"/>
                      <w:lang w:val="en-US" w:eastAsia="en-US" w:bidi="ar-SA"/>
                    </w:rPr>
                  </w:pPr>
                  <w:r>
                    <w:rPr>
                      <w:rFonts w:hint="default" w:ascii="Times New Roman" w:hAnsi="Times New Roman" w:cs="Times New Roman"/>
                      <w:color w:val="auto"/>
                      <w:spacing w:val="5"/>
                      <w:sz w:val="21"/>
                      <w:szCs w:val="21"/>
                      <w:highlight w:val="none"/>
                    </w:rPr>
                    <w:t>市政供水</w:t>
                  </w:r>
                </w:p>
              </w:tc>
            </w:tr>
          </w:tbl>
          <w:p w14:paraId="6522D41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3"/>
              <w:jc w:val="left"/>
              <w:textAlignment w:val="auto"/>
              <w:rPr>
                <w:rFonts w:hint="default"/>
                <w:b/>
                <w:bCs/>
                <w:color w:val="auto"/>
                <w:sz w:val="18"/>
                <w:szCs w:val="18"/>
                <w:highlight w:val="none"/>
              </w:rPr>
            </w:pPr>
            <w:r>
              <w:rPr>
                <w:rFonts w:hint="eastAsia"/>
                <w:b/>
                <w:bCs/>
                <w:color w:val="auto"/>
                <w:spacing w:val="1"/>
                <w:sz w:val="18"/>
                <w:szCs w:val="18"/>
                <w:highlight w:val="none"/>
                <w:lang w:val="en-US" w:eastAsia="zh-CN"/>
              </w:rPr>
              <w:t>注*：</w:t>
            </w:r>
            <w:r>
              <w:rPr>
                <w:rFonts w:hint="default"/>
                <w:b/>
                <w:bCs/>
                <w:color w:val="auto"/>
                <w:spacing w:val="1"/>
                <w:sz w:val="18"/>
                <w:szCs w:val="18"/>
                <w:highlight w:val="none"/>
              </w:rPr>
              <w:t>本项目</w:t>
            </w:r>
            <w:r>
              <w:rPr>
                <w:rFonts w:hint="eastAsia"/>
                <w:b/>
                <w:bCs/>
                <w:color w:val="auto"/>
                <w:spacing w:val="1"/>
                <w:sz w:val="18"/>
                <w:szCs w:val="18"/>
                <w:highlight w:val="none"/>
                <w:lang w:val="en-US" w:eastAsia="zh-CN"/>
              </w:rPr>
              <w:t>采用</w:t>
            </w:r>
            <w:r>
              <w:rPr>
                <w:rFonts w:hint="default"/>
                <w:b/>
                <w:bCs/>
                <w:color w:val="auto"/>
                <w:spacing w:val="1"/>
                <w:sz w:val="18"/>
                <w:szCs w:val="18"/>
                <w:highlight w:val="none"/>
              </w:rPr>
              <w:t>聚丙烯酰胺（</w:t>
            </w:r>
            <w:r>
              <w:rPr>
                <w:rFonts w:hint="default" w:ascii="Times New Roman" w:hAnsi="Times New Roman" w:eastAsia="Times New Roman" w:cs="Times New Roman"/>
                <w:b/>
                <w:bCs/>
                <w:color w:val="auto"/>
                <w:sz w:val="18"/>
                <w:szCs w:val="18"/>
                <w:highlight w:val="none"/>
              </w:rPr>
              <w:t>PAM</w:t>
            </w:r>
            <w:r>
              <w:rPr>
                <w:rFonts w:hint="default"/>
                <w:b/>
                <w:bCs/>
                <w:color w:val="auto"/>
                <w:spacing w:val="10"/>
                <w:sz w:val="18"/>
                <w:szCs w:val="18"/>
                <w:highlight w:val="none"/>
              </w:rPr>
              <w:t>）</w:t>
            </w:r>
            <w:r>
              <w:rPr>
                <w:rFonts w:hint="eastAsia"/>
                <w:b/>
                <w:bCs/>
                <w:color w:val="auto"/>
                <w:spacing w:val="10"/>
                <w:sz w:val="18"/>
                <w:szCs w:val="18"/>
                <w:highlight w:val="none"/>
                <w:lang w:val="en-US" w:eastAsia="zh-CN"/>
              </w:rPr>
              <w:t>作为污水处理工艺的絮凝剂</w:t>
            </w:r>
            <w:r>
              <w:rPr>
                <w:rFonts w:hint="default"/>
                <w:b/>
                <w:bCs/>
                <w:color w:val="auto"/>
                <w:spacing w:val="10"/>
                <w:sz w:val="18"/>
                <w:szCs w:val="18"/>
                <w:highlight w:val="none"/>
              </w:rPr>
              <w:t>，</w:t>
            </w:r>
            <w:r>
              <w:rPr>
                <w:rFonts w:hint="eastAsia"/>
                <w:b/>
                <w:bCs/>
                <w:color w:val="auto"/>
                <w:spacing w:val="10"/>
                <w:sz w:val="18"/>
                <w:szCs w:val="18"/>
                <w:highlight w:val="none"/>
                <w:lang w:val="en-US" w:eastAsia="zh-CN"/>
              </w:rPr>
              <w:t>PAM</w:t>
            </w:r>
            <w:r>
              <w:rPr>
                <w:rFonts w:hint="default"/>
                <w:b/>
                <w:bCs/>
                <w:color w:val="auto"/>
                <w:spacing w:val="1"/>
                <w:sz w:val="18"/>
                <w:szCs w:val="18"/>
                <w:highlight w:val="none"/>
              </w:rPr>
              <w:t>一种线状</w:t>
            </w:r>
            <w:r>
              <w:rPr>
                <w:rFonts w:hint="default"/>
                <w:b/>
                <w:bCs/>
                <w:color w:val="auto"/>
                <w:sz w:val="18"/>
                <w:szCs w:val="18"/>
                <w:highlight w:val="none"/>
              </w:rPr>
              <w:t>的有机高</w:t>
            </w:r>
            <w:r>
              <w:rPr>
                <w:rFonts w:hint="default"/>
                <w:b/>
                <w:bCs/>
                <w:color w:val="auto"/>
                <w:spacing w:val="3"/>
                <w:sz w:val="18"/>
                <w:szCs w:val="18"/>
                <w:highlight w:val="none"/>
              </w:rPr>
              <w:t>分子聚合物，同时也是一种高分子水处理絮凝剂产品，</w:t>
            </w:r>
            <w:r>
              <w:rPr>
                <w:rFonts w:hint="default"/>
                <w:b/>
                <w:bCs/>
                <w:color w:val="auto"/>
                <w:spacing w:val="2"/>
                <w:sz w:val="18"/>
                <w:szCs w:val="18"/>
                <w:highlight w:val="none"/>
              </w:rPr>
              <w:t>可以吸附水中的悬浮颗</w:t>
            </w:r>
            <w:r>
              <w:rPr>
                <w:rFonts w:hint="default"/>
                <w:b/>
                <w:bCs/>
                <w:color w:val="auto"/>
                <w:spacing w:val="3"/>
                <w:sz w:val="18"/>
                <w:szCs w:val="18"/>
                <w:highlight w:val="none"/>
              </w:rPr>
              <w:t>粒，在颗粒之间起链接架桥作用，使细颗粒形成比较大</w:t>
            </w:r>
            <w:r>
              <w:rPr>
                <w:rFonts w:hint="default"/>
                <w:b/>
                <w:bCs/>
                <w:color w:val="auto"/>
                <w:spacing w:val="2"/>
                <w:sz w:val="18"/>
                <w:szCs w:val="18"/>
                <w:highlight w:val="none"/>
              </w:rPr>
              <w:t>的絮团，并且加快了沉</w:t>
            </w:r>
            <w:r>
              <w:rPr>
                <w:rFonts w:hint="default"/>
                <w:b/>
                <w:bCs/>
                <w:color w:val="auto"/>
                <w:spacing w:val="-2"/>
                <w:sz w:val="18"/>
                <w:szCs w:val="18"/>
                <w:highlight w:val="none"/>
              </w:rPr>
              <w:t>淀的速度。这一过程称之为絮凝，因</w:t>
            </w:r>
            <w:r>
              <w:rPr>
                <w:rFonts w:hint="eastAsia"/>
                <w:b/>
                <w:bCs/>
                <w:color w:val="auto"/>
                <w:spacing w:val="-2"/>
                <w:sz w:val="18"/>
                <w:szCs w:val="18"/>
                <w:highlight w:val="none"/>
                <w:lang w:eastAsia="zh-CN"/>
              </w:rPr>
              <w:t>其</w:t>
            </w:r>
            <w:r>
              <w:rPr>
                <w:rFonts w:hint="default"/>
                <w:b/>
                <w:bCs/>
                <w:color w:val="auto"/>
                <w:spacing w:val="-2"/>
                <w:sz w:val="18"/>
                <w:szCs w:val="18"/>
                <w:highlight w:val="none"/>
              </w:rPr>
              <w:t>良好的絮凝效果</w:t>
            </w:r>
            <w:r>
              <w:rPr>
                <w:rFonts w:hint="default"/>
                <w:b/>
                <w:bCs/>
                <w:color w:val="auto"/>
                <w:spacing w:val="-56"/>
                <w:sz w:val="18"/>
                <w:szCs w:val="18"/>
                <w:highlight w:val="none"/>
              </w:rPr>
              <w:t xml:space="preserve"> </w:t>
            </w:r>
            <w:r>
              <w:rPr>
                <w:rFonts w:hint="default" w:ascii="Times New Roman" w:hAnsi="Times New Roman" w:eastAsia="Times New Roman" w:cs="Times New Roman"/>
                <w:b/>
                <w:bCs/>
                <w:color w:val="auto"/>
                <w:spacing w:val="-2"/>
                <w:sz w:val="18"/>
                <w:szCs w:val="18"/>
                <w:highlight w:val="none"/>
              </w:rPr>
              <w:t xml:space="preserve">PAM </w:t>
            </w:r>
            <w:r>
              <w:rPr>
                <w:rFonts w:hint="default"/>
                <w:b/>
                <w:bCs/>
                <w:color w:val="auto"/>
                <w:spacing w:val="-2"/>
                <w:sz w:val="18"/>
                <w:szCs w:val="18"/>
                <w:highlight w:val="none"/>
              </w:rPr>
              <w:t>作为水处</w:t>
            </w:r>
            <w:r>
              <w:rPr>
                <w:rFonts w:hint="default"/>
                <w:b/>
                <w:bCs/>
                <w:color w:val="auto"/>
                <w:spacing w:val="-3"/>
                <w:sz w:val="18"/>
                <w:szCs w:val="18"/>
                <w:highlight w:val="none"/>
              </w:rPr>
              <w:t>理的絮</w:t>
            </w:r>
            <w:r>
              <w:rPr>
                <w:rFonts w:hint="default"/>
                <w:b/>
                <w:bCs/>
                <w:color w:val="auto"/>
                <w:spacing w:val="-1"/>
                <w:sz w:val="18"/>
                <w:szCs w:val="18"/>
                <w:highlight w:val="none"/>
              </w:rPr>
              <w:t>凝剂并且被广泛用于污水处理。</w:t>
            </w:r>
          </w:p>
          <w:p w14:paraId="291337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6、公用工程</w:t>
            </w:r>
          </w:p>
          <w:p w14:paraId="76B7416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6" w:firstLineChars="200"/>
              <w:textAlignment w:val="auto"/>
              <w:rPr>
                <w:rFonts w:hint="eastAsia" w:ascii="Times New Roman" w:hAnsi="Times New Roman" w:eastAsia="宋体" w:cs="Times New Roman"/>
                <w:b/>
                <w:bCs/>
                <w:color w:val="auto"/>
                <w:spacing w:val="1"/>
                <w:sz w:val="24"/>
                <w:szCs w:val="24"/>
                <w:highlight w:val="none"/>
                <w:lang w:val="en-US" w:eastAsia="zh-CN"/>
              </w:rPr>
            </w:pPr>
            <w:r>
              <w:rPr>
                <w:rFonts w:hint="eastAsia" w:eastAsia="宋体" w:cs="Times New Roman"/>
                <w:b/>
                <w:bCs/>
                <w:color w:val="auto"/>
                <w:spacing w:val="1"/>
                <w:sz w:val="24"/>
                <w:szCs w:val="24"/>
                <w:highlight w:val="none"/>
                <w:lang w:val="en-US" w:eastAsia="zh-CN"/>
              </w:rPr>
              <w:t>6</w:t>
            </w:r>
            <w:r>
              <w:rPr>
                <w:rFonts w:hint="eastAsia" w:ascii="Times New Roman" w:hAnsi="Times New Roman" w:eastAsia="宋体" w:cs="Times New Roman"/>
                <w:b/>
                <w:bCs/>
                <w:color w:val="auto"/>
                <w:spacing w:val="1"/>
                <w:sz w:val="24"/>
                <w:szCs w:val="24"/>
                <w:highlight w:val="none"/>
                <w:lang w:val="en-US" w:eastAsia="zh-CN"/>
              </w:rPr>
              <w:t>.1 给水</w:t>
            </w:r>
          </w:p>
          <w:p w14:paraId="0FA11E6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92" w:firstLineChars="200"/>
              <w:jc w:val="both"/>
              <w:textAlignment w:val="auto"/>
              <w:rPr>
                <w:rFonts w:hint="default"/>
                <w:color w:val="auto"/>
                <w:sz w:val="24"/>
                <w:szCs w:val="24"/>
                <w:highlight w:val="none"/>
              </w:rPr>
            </w:pPr>
            <w:r>
              <w:rPr>
                <w:rFonts w:hint="default"/>
                <w:color w:val="auto"/>
                <w:spacing w:val="3"/>
                <w:sz w:val="24"/>
                <w:szCs w:val="24"/>
                <w:highlight w:val="none"/>
              </w:rPr>
              <w:t>本项目无拆解前汽车清洗，不清洗设备和车辆。运营期用水主要为生活</w:t>
            </w:r>
            <w:r>
              <w:rPr>
                <w:rFonts w:hint="default"/>
                <w:color w:val="auto"/>
                <w:spacing w:val="2"/>
                <w:sz w:val="24"/>
                <w:szCs w:val="24"/>
                <w:highlight w:val="none"/>
              </w:rPr>
              <w:t>用水（含餐饮用水）</w:t>
            </w:r>
            <w:r>
              <w:rPr>
                <w:rFonts w:hint="eastAsia"/>
                <w:color w:val="auto"/>
                <w:spacing w:val="2"/>
                <w:sz w:val="24"/>
                <w:szCs w:val="24"/>
                <w:highlight w:val="none"/>
                <w:lang w:val="en-US" w:eastAsia="zh-CN"/>
              </w:rPr>
              <w:t>以及地面清洗用水</w:t>
            </w:r>
            <w:r>
              <w:rPr>
                <w:rFonts w:hint="default"/>
                <w:color w:val="auto"/>
                <w:spacing w:val="2"/>
                <w:sz w:val="24"/>
                <w:szCs w:val="24"/>
                <w:highlight w:val="none"/>
              </w:rPr>
              <w:t>。</w:t>
            </w:r>
          </w:p>
          <w:p w14:paraId="395A839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eastAsia" w:ascii="Times New Roman" w:hAnsi="Times New Roman" w:eastAsia="宋体" w:cs="Times New Roman"/>
                <w:color w:val="auto"/>
                <w:spacing w:val="1"/>
                <w:sz w:val="24"/>
                <w:szCs w:val="24"/>
                <w:highlight w:val="none"/>
                <w:lang w:val="en-US" w:eastAsia="zh-CN"/>
              </w:rPr>
            </w:pPr>
            <w:r>
              <w:rPr>
                <w:rFonts w:hint="eastAsia"/>
                <w:color w:val="auto"/>
                <w:spacing w:val="2"/>
                <w:sz w:val="24"/>
                <w:szCs w:val="24"/>
                <w:highlight w:val="none"/>
                <w:lang w:val="en-US" w:eastAsia="zh-CN"/>
              </w:rPr>
              <w:t>①</w:t>
            </w:r>
            <w:r>
              <w:rPr>
                <w:rFonts w:hint="default"/>
                <w:color w:val="auto"/>
                <w:spacing w:val="2"/>
                <w:sz w:val="24"/>
                <w:szCs w:val="24"/>
                <w:highlight w:val="none"/>
              </w:rPr>
              <w:t>生活用水：本项目劳动定员</w:t>
            </w:r>
            <w:r>
              <w:rPr>
                <w:rFonts w:hint="eastAsia" w:ascii="Times New Roman" w:hAnsi="Times New Roman" w:eastAsia="宋体" w:cs="Times New Roman"/>
                <w:color w:val="auto"/>
                <w:spacing w:val="2"/>
                <w:sz w:val="24"/>
                <w:szCs w:val="24"/>
                <w:highlight w:val="none"/>
                <w:lang w:val="en-US" w:eastAsia="zh-CN"/>
              </w:rPr>
              <w:t>20</w:t>
            </w:r>
            <w:r>
              <w:rPr>
                <w:rFonts w:hint="default"/>
                <w:color w:val="auto"/>
                <w:spacing w:val="2"/>
                <w:sz w:val="24"/>
                <w:szCs w:val="24"/>
                <w:highlight w:val="none"/>
              </w:rPr>
              <w:t>人，年工作</w:t>
            </w:r>
            <w:r>
              <w:rPr>
                <w:rFonts w:hint="eastAsia" w:ascii="Times New Roman" w:hAnsi="Times New Roman" w:eastAsia="宋体" w:cs="Times New Roman"/>
                <w:color w:val="auto"/>
                <w:spacing w:val="2"/>
                <w:sz w:val="24"/>
                <w:szCs w:val="24"/>
                <w:highlight w:val="none"/>
                <w:lang w:val="en-US" w:eastAsia="zh-CN"/>
              </w:rPr>
              <w:t>250</w:t>
            </w:r>
            <w:r>
              <w:rPr>
                <w:rFonts w:hint="default"/>
                <w:color w:val="auto"/>
                <w:spacing w:val="2"/>
                <w:sz w:val="24"/>
                <w:szCs w:val="24"/>
                <w:highlight w:val="none"/>
              </w:rPr>
              <w:t>天，</w:t>
            </w:r>
            <w:r>
              <w:rPr>
                <w:rFonts w:hint="eastAsia" w:ascii="Times New Roman" w:hAnsi="Times New Roman" w:eastAsia="宋体" w:cs="Times New Roman"/>
                <w:color w:val="auto"/>
                <w:spacing w:val="1"/>
                <w:sz w:val="24"/>
                <w:szCs w:val="24"/>
                <w:highlight w:val="none"/>
                <w:lang w:val="en-US" w:eastAsia="zh-CN"/>
              </w:rPr>
              <w:t>根据辽宁省地方标准《行业用水定额》（DB21/T1237-2020），用水定额参考城镇居民生活用水定额</w:t>
            </w:r>
            <w:r>
              <w:rPr>
                <w:rFonts w:hint="eastAsia" w:cs="Times New Roman"/>
                <w:color w:val="auto"/>
                <w:spacing w:val="1"/>
                <w:sz w:val="24"/>
                <w:szCs w:val="24"/>
                <w:highlight w:val="none"/>
                <w:lang w:val="en-US" w:eastAsia="zh-CN"/>
              </w:rPr>
              <w:t>45</w:t>
            </w:r>
            <w:r>
              <w:rPr>
                <w:rFonts w:hint="eastAsia" w:ascii="Times New Roman" w:hAnsi="Times New Roman" w:eastAsia="宋体" w:cs="Times New Roman"/>
                <w:color w:val="auto"/>
                <w:spacing w:val="1"/>
                <w:sz w:val="24"/>
                <w:szCs w:val="24"/>
                <w:highlight w:val="none"/>
                <w:lang w:val="en-US" w:eastAsia="zh-CN"/>
              </w:rPr>
              <w:t>L/（</w:t>
            </w:r>
            <w:r>
              <w:rPr>
                <w:rFonts w:hint="default" w:ascii="Times New Roman" w:hAnsi="Times New Roman" w:eastAsia="宋体" w:cs="Times New Roman"/>
                <w:color w:val="auto"/>
                <w:spacing w:val="1"/>
                <w:sz w:val="24"/>
                <w:szCs w:val="24"/>
                <w:highlight w:val="none"/>
                <w:lang w:val="en-US" w:eastAsia="zh-CN"/>
              </w:rPr>
              <w:t>人∙d</w:t>
            </w:r>
            <w:r>
              <w:rPr>
                <w:rFonts w:hint="eastAsia" w:ascii="Times New Roman" w:hAnsi="Times New Roman" w:eastAsia="宋体" w:cs="Times New Roman"/>
                <w:color w:val="auto"/>
                <w:spacing w:val="1"/>
                <w:sz w:val="24"/>
                <w:szCs w:val="24"/>
                <w:highlight w:val="none"/>
                <w:lang w:val="en-US" w:eastAsia="zh-CN"/>
              </w:rPr>
              <w:t>）</w:t>
            </w:r>
            <w:r>
              <w:rPr>
                <w:rFonts w:hint="eastAsia" w:eastAsia="宋体" w:cs="Times New Roman"/>
                <w:color w:val="auto"/>
                <w:spacing w:val="1"/>
                <w:sz w:val="24"/>
                <w:szCs w:val="24"/>
                <w:highlight w:val="none"/>
                <w:lang w:val="en-US" w:eastAsia="zh-CN"/>
              </w:rPr>
              <w:t>，</w:t>
            </w:r>
            <w:r>
              <w:rPr>
                <w:rFonts w:hint="eastAsia" w:ascii="Times New Roman" w:hAnsi="Times New Roman" w:eastAsia="宋体" w:cs="Times New Roman"/>
                <w:color w:val="auto"/>
                <w:spacing w:val="1"/>
                <w:sz w:val="24"/>
                <w:szCs w:val="24"/>
                <w:highlight w:val="none"/>
                <w:lang w:val="en-US" w:eastAsia="zh-CN"/>
              </w:rPr>
              <w:t>则生活用水日用水量为</w:t>
            </w:r>
            <w:r>
              <w:rPr>
                <w:rFonts w:hint="eastAsia" w:cs="Times New Roman"/>
                <w:color w:val="auto"/>
                <w:spacing w:val="1"/>
                <w:sz w:val="24"/>
                <w:szCs w:val="24"/>
                <w:highlight w:val="none"/>
                <w:lang w:val="en-US" w:eastAsia="zh-CN"/>
              </w:rPr>
              <w:t>0.9</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/d，年用水量为</w:t>
            </w:r>
            <w:r>
              <w:rPr>
                <w:rFonts w:hint="eastAsia" w:cs="Times New Roman"/>
                <w:color w:val="auto"/>
                <w:spacing w:val="1"/>
                <w:sz w:val="24"/>
                <w:szCs w:val="24"/>
                <w:highlight w:val="none"/>
                <w:lang w:val="en-US" w:eastAsia="zh-CN"/>
              </w:rPr>
              <w:t>225</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/a。</w:t>
            </w:r>
          </w:p>
          <w:p w14:paraId="78DFBA0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4" w:firstLineChars="200"/>
              <w:jc w:val="both"/>
              <w:textAlignment w:val="auto"/>
              <w:rPr>
                <w:rFonts w:hint="eastAsia" w:ascii="Times New Roman" w:hAnsi="Times New Roman" w:eastAsia="宋体" w:cs="Times New Roman"/>
                <w:color w:val="auto"/>
                <w:spacing w:val="1"/>
                <w:sz w:val="24"/>
                <w:szCs w:val="24"/>
                <w:highlight w:val="none"/>
                <w:lang w:val="en-US" w:eastAsia="zh-CN"/>
              </w:rPr>
            </w:pPr>
            <w:r>
              <w:rPr>
                <w:rFonts w:hint="eastAsia" w:eastAsia="宋体" w:cs="Times New Roman"/>
                <w:color w:val="auto"/>
                <w:spacing w:val="1"/>
                <w:sz w:val="24"/>
                <w:szCs w:val="24"/>
                <w:highlight w:val="none"/>
                <w:lang w:val="en-US" w:eastAsia="zh-CN"/>
              </w:rPr>
              <w:t>②食堂用水：</w:t>
            </w:r>
            <w:r>
              <w:rPr>
                <w:rFonts w:hint="eastAsia" w:ascii="Times New Roman" w:hAnsi="Times New Roman" w:eastAsia="宋体" w:cs="Times New Roman"/>
                <w:color w:val="auto"/>
                <w:spacing w:val="1"/>
                <w:sz w:val="24"/>
                <w:szCs w:val="24"/>
                <w:highlight w:val="none"/>
                <w:lang w:eastAsia="zh-CN"/>
              </w:rPr>
              <w:t>食堂用水以</w:t>
            </w:r>
            <w:r>
              <w:rPr>
                <w:rFonts w:hint="eastAsia" w:ascii="Times New Roman" w:hAnsi="Times New Roman" w:eastAsia="宋体" w:cs="Times New Roman"/>
                <w:color w:val="auto"/>
                <w:spacing w:val="1"/>
                <w:sz w:val="24"/>
                <w:szCs w:val="24"/>
                <w:highlight w:val="none"/>
                <w:lang w:val="en-US" w:eastAsia="zh-CN"/>
              </w:rPr>
              <w:t>10L/（</w:t>
            </w:r>
            <w:r>
              <w:rPr>
                <w:rFonts w:hint="default" w:ascii="Times New Roman" w:hAnsi="Times New Roman" w:eastAsia="宋体" w:cs="Times New Roman"/>
                <w:color w:val="auto"/>
                <w:spacing w:val="1"/>
                <w:sz w:val="24"/>
                <w:szCs w:val="24"/>
                <w:highlight w:val="none"/>
                <w:lang w:val="en-US" w:eastAsia="zh-CN"/>
              </w:rPr>
              <w:t>人∙</w:t>
            </w:r>
            <w:r>
              <w:rPr>
                <w:rFonts w:hint="eastAsia" w:ascii="Times New Roman" w:hAnsi="Times New Roman" w:eastAsia="宋体" w:cs="Times New Roman"/>
                <w:color w:val="auto"/>
                <w:spacing w:val="1"/>
                <w:sz w:val="24"/>
                <w:szCs w:val="24"/>
                <w:highlight w:val="none"/>
                <w:lang w:val="en-US" w:eastAsia="zh-CN"/>
              </w:rPr>
              <w:t>次）计，以一日</w:t>
            </w:r>
            <w:r>
              <w:rPr>
                <w:rFonts w:hint="eastAsia" w:eastAsia="宋体" w:cs="Times New Roman"/>
                <w:color w:val="auto"/>
                <w:spacing w:val="1"/>
                <w:sz w:val="24"/>
                <w:szCs w:val="24"/>
                <w:highlight w:val="none"/>
                <w:lang w:val="en-US" w:eastAsia="zh-CN"/>
              </w:rPr>
              <w:t>两</w:t>
            </w:r>
            <w:r>
              <w:rPr>
                <w:rFonts w:hint="eastAsia" w:ascii="Times New Roman" w:hAnsi="Times New Roman" w:eastAsia="宋体" w:cs="Times New Roman"/>
                <w:color w:val="auto"/>
                <w:spacing w:val="1"/>
                <w:sz w:val="24"/>
                <w:szCs w:val="24"/>
                <w:highlight w:val="none"/>
                <w:lang w:val="en-US" w:eastAsia="zh-CN"/>
              </w:rPr>
              <w:t>餐计，就餐人数为</w:t>
            </w:r>
            <w:r>
              <w:rPr>
                <w:rFonts w:hint="eastAsia" w:eastAsia="宋体" w:cs="Times New Roman"/>
                <w:color w:val="auto"/>
                <w:spacing w:val="1"/>
                <w:sz w:val="24"/>
                <w:szCs w:val="24"/>
                <w:highlight w:val="none"/>
                <w:lang w:val="en-US" w:eastAsia="zh-CN"/>
              </w:rPr>
              <w:t>20</w:t>
            </w:r>
            <w:r>
              <w:rPr>
                <w:rFonts w:hint="eastAsia" w:ascii="Times New Roman" w:hAnsi="Times New Roman" w:eastAsia="宋体" w:cs="Times New Roman"/>
                <w:color w:val="auto"/>
                <w:spacing w:val="1"/>
                <w:sz w:val="24"/>
                <w:szCs w:val="24"/>
                <w:highlight w:val="none"/>
                <w:lang w:val="en-US" w:eastAsia="zh-CN"/>
              </w:rPr>
              <w:t>人，则每天就餐</w:t>
            </w:r>
            <w:r>
              <w:rPr>
                <w:rFonts w:hint="eastAsia" w:eastAsia="宋体" w:cs="Times New Roman"/>
                <w:color w:val="auto"/>
                <w:spacing w:val="1"/>
                <w:sz w:val="24"/>
                <w:szCs w:val="24"/>
                <w:highlight w:val="none"/>
                <w:lang w:val="en-US" w:eastAsia="zh-CN"/>
              </w:rPr>
              <w:t>40</w:t>
            </w:r>
            <w:r>
              <w:rPr>
                <w:rFonts w:hint="eastAsia" w:ascii="Times New Roman" w:hAnsi="Times New Roman" w:eastAsia="宋体" w:cs="Times New Roman"/>
                <w:color w:val="auto"/>
                <w:spacing w:val="1"/>
                <w:sz w:val="24"/>
                <w:szCs w:val="24"/>
                <w:highlight w:val="none"/>
                <w:lang w:val="en-US" w:eastAsia="zh-CN"/>
              </w:rPr>
              <w:t>人次，则日用水量为</w:t>
            </w:r>
            <w:r>
              <w:rPr>
                <w:rFonts w:hint="eastAsia" w:eastAsia="宋体" w:cs="Times New Roman"/>
                <w:color w:val="auto"/>
                <w:spacing w:val="1"/>
                <w:sz w:val="24"/>
                <w:szCs w:val="24"/>
                <w:highlight w:val="none"/>
                <w:lang w:val="en-US" w:eastAsia="zh-CN"/>
              </w:rPr>
              <w:t>0.4</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/d，年用水量为</w:t>
            </w:r>
            <w:r>
              <w:rPr>
                <w:rFonts w:hint="eastAsia" w:eastAsia="宋体" w:cs="Times New Roman"/>
                <w:color w:val="auto"/>
                <w:spacing w:val="1"/>
                <w:sz w:val="24"/>
                <w:szCs w:val="24"/>
                <w:highlight w:val="none"/>
                <w:lang w:val="en-US" w:eastAsia="zh-CN"/>
              </w:rPr>
              <w:t>100</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/a。</w:t>
            </w:r>
          </w:p>
          <w:p w14:paraId="59682122">
            <w:pPr>
              <w:pStyle w:val="15"/>
              <w:keepNext w:val="0"/>
              <w:keepLines w:val="0"/>
              <w:suppressLineNumbers w:val="0"/>
              <w:spacing w:before="0" w:beforeAutospacing="0" w:after="0" w:afterAutospacing="0" w:line="360" w:lineRule="auto"/>
              <w:ind w:left="0" w:leftChars="0" w:right="0" w:firstLine="460" w:firstLineChars="200"/>
              <w:jc w:val="both"/>
              <w:rPr>
                <w:rFonts w:hint="default" w:eastAsia="宋体"/>
                <w:color w:val="auto"/>
                <w:spacing w:val="-5"/>
                <w:sz w:val="24"/>
                <w:szCs w:val="24"/>
                <w:highlight w:val="none"/>
                <w:lang w:val="en-US" w:eastAsia="zh-CN"/>
              </w:rPr>
            </w:pPr>
            <w:r>
              <w:rPr>
                <w:rFonts w:hint="eastAsia"/>
                <w:color w:val="auto"/>
                <w:spacing w:val="-5"/>
                <w:sz w:val="24"/>
                <w:szCs w:val="24"/>
                <w:highlight w:val="none"/>
                <w:lang w:val="en-US" w:eastAsia="zh-CN"/>
              </w:rPr>
              <w:t>③地面清洗用水：</w:t>
            </w:r>
            <w:r>
              <w:rPr>
                <w:rFonts w:hint="default" w:ascii="Times New Roman" w:hAnsi="Times New Roman" w:eastAsia="宋体" w:cs="Times New Roman"/>
                <w:color w:val="auto"/>
                <w:sz w:val="24"/>
                <w:highlight w:val="none"/>
                <w:lang w:val="en-US" w:eastAsia="zh-CN"/>
              </w:rPr>
              <w:t>本项目报废机动车进厂后不对机动车整体进行清洗，需要清洗的地面为</w:t>
            </w:r>
            <w:r>
              <w:rPr>
                <w:rFonts w:hint="eastAsia" w:ascii="Times New Roman" w:hAnsi="Times New Roman" w:eastAsia="宋体" w:cs="Times New Roman"/>
                <w:color w:val="auto"/>
                <w:sz w:val="24"/>
                <w:highlight w:val="none"/>
                <w:lang w:val="en-US" w:eastAsia="zh-CN"/>
              </w:rPr>
              <w:t>车辆</w:t>
            </w:r>
            <w:r>
              <w:rPr>
                <w:rFonts w:hint="default" w:ascii="Times New Roman" w:hAnsi="Times New Roman" w:eastAsia="宋体" w:cs="Times New Roman"/>
                <w:color w:val="auto"/>
                <w:sz w:val="24"/>
                <w:highlight w:val="none"/>
                <w:lang w:val="en-US" w:eastAsia="zh-CN"/>
              </w:rPr>
              <w:t>拆解区</w:t>
            </w:r>
            <w:r>
              <w:rPr>
                <w:rFonts w:hint="eastAsia" w:cs="Times New Roman"/>
                <w:color w:val="auto"/>
                <w:sz w:val="24"/>
                <w:highlight w:val="none"/>
                <w:lang w:val="en-US" w:eastAsia="zh-CN"/>
              </w:rPr>
              <w:t>，拆解区地面清洗面积</w:t>
            </w:r>
            <w:r>
              <w:rPr>
                <w:rFonts w:hint="default" w:ascii="Times New Roman" w:hAnsi="Times New Roman" w:eastAsia="宋体" w:cs="Times New Roman"/>
                <w:color w:val="auto"/>
                <w:sz w:val="24"/>
                <w:highlight w:val="none"/>
                <w:lang w:val="en-US" w:eastAsia="zh-CN"/>
              </w:rPr>
              <w:t>约</w:t>
            </w:r>
            <w:r>
              <w:rPr>
                <w:rFonts w:hint="eastAsia" w:cs="Times New Roman"/>
                <w:color w:val="auto"/>
                <w:sz w:val="24"/>
                <w:highlight w:val="none"/>
                <w:lang w:val="en-US" w:eastAsia="zh-CN"/>
              </w:rPr>
              <w:t>150</w:t>
            </w:r>
            <w:r>
              <w:rPr>
                <w:rFonts w:hint="default" w:ascii="Times New Roman" w:hAnsi="Times New Roman" w:eastAsia="宋体" w:cs="Times New Roman"/>
                <w:color w:val="auto"/>
                <w:sz w:val="24"/>
                <w:highlight w:val="none"/>
                <w:lang w:val="en-US" w:eastAsia="zh-CN"/>
              </w:rPr>
              <w:t>m</w:t>
            </w:r>
            <w:r>
              <w:rPr>
                <w:rFonts w:hint="default" w:ascii="Times New Roman" w:hAnsi="Times New Roman" w:eastAsia="宋体" w:cs="Times New Roman"/>
                <w:color w:val="auto"/>
                <w:sz w:val="24"/>
                <w:highlight w:val="none"/>
                <w:vertAlign w:val="superscript"/>
                <w:lang w:val="en-US" w:eastAsia="zh-CN"/>
              </w:rPr>
              <w:t>2</w:t>
            </w:r>
            <w:r>
              <w:rPr>
                <w:rFonts w:hint="default" w:ascii="Times New Roman" w:hAnsi="Times New Roman" w:eastAsia="宋体" w:cs="Times New Roman"/>
                <w:color w:val="auto"/>
                <w:sz w:val="24"/>
                <w:highlight w:val="none"/>
                <w:lang w:val="en-US" w:eastAsia="zh-CN"/>
              </w:rPr>
              <w:t>。每天作业任务完成后，采用清洗方式每天清洗1次。参照《建筑给水排水设计规范》（GB50015-2019）中停车场地面清洁用水定额一般按2</w:t>
            </w:r>
            <w:r>
              <w:rPr>
                <w:rFonts w:hint="eastAsia" w:cs="Times New Roman"/>
                <w:color w:val="auto"/>
                <w:sz w:val="24"/>
                <w:highlight w:val="none"/>
                <w:lang w:val="en-US" w:eastAsia="zh-CN"/>
              </w:rPr>
              <w:t>～</w:t>
            </w:r>
            <w:r>
              <w:rPr>
                <w:rFonts w:hint="default" w:ascii="Times New Roman" w:hAnsi="Times New Roman" w:eastAsia="宋体" w:cs="Times New Roman"/>
                <w:color w:val="auto"/>
                <w:sz w:val="24"/>
                <w:highlight w:val="none"/>
                <w:lang w:val="en-US" w:eastAsia="zh-CN"/>
              </w:rPr>
              <w:t>3L/m</w:t>
            </w:r>
            <w:r>
              <w:rPr>
                <w:rFonts w:hint="default" w:ascii="Times New Roman" w:hAnsi="Times New Roman" w:eastAsia="宋体" w:cs="Times New Roman"/>
                <w:color w:val="auto"/>
                <w:sz w:val="24"/>
                <w:highlight w:val="none"/>
                <w:vertAlign w:val="superscript"/>
                <w:lang w:val="en-US" w:eastAsia="zh-CN"/>
              </w:rPr>
              <w:t>2</w:t>
            </w:r>
            <w:r>
              <w:rPr>
                <w:rFonts w:hint="default" w:ascii="Times New Roman" w:hAnsi="Times New Roman" w:eastAsia="宋体" w:cs="Times New Roman"/>
                <w:color w:val="auto"/>
                <w:sz w:val="24"/>
                <w:highlight w:val="none"/>
                <w:lang w:val="en-US" w:eastAsia="zh-CN"/>
              </w:rPr>
              <w:t>·次计，本项目拆解</w:t>
            </w:r>
            <w:r>
              <w:rPr>
                <w:rFonts w:hint="eastAsia" w:ascii="Times New Roman" w:hAnsi="Times New Roman" w:eastAsia="宋体" w:cs="Times New Roman"/>
                <w:color w:val="auto"/>
                <w:sz w:val="24"/>
                <w:highlight w:val="none"/>
                <w:lang w:val="en-US" w:eastAsia="zh-CN"/>
              </w:rPr>
              <w:t>区域</w:t>
            </w:r>
            <w:r>
              <w:rPr>
                <w:rFonts w:hint="default" w:ascii="Times New Roman" w:hAnsi="Times New Roman" w:eastAsia="宋体" w:cs="Times New Roman"/>
                <w:color w:val="auto"/>
                <w:sz w:val="24"/>
                <w:highlight w:val="none"/>
                <w:lang w:val="en-US" w:eastAsia="zh-CN"/>
              </w:rPr>
              <w:t>的清洁水用量按3L/（m</w:t>
            </w:r>
            <w:r>
              <w:rPr>
                <w:rFonts w:hint="default" w:ascii="Times New Roman" w:hAnsi="Times New Roman" w:eastAsia="宋体" w:cs="Times New Roman"/>
                <w:color w:val="auto"/>
                <w:sz w:val="24"/>
                <w:highlight w:val="none"/>
                <w:vertAlign w:val="superscript"/>
                <w:lang w:val="en-US" w:eastAsia="zh-CN"/>
              </w:rPr>
              <w:t>2</w:t>
            </w:r>
            <w:r>
              <w:rPr>
                <w:rFonts w:hint="default" w:ascii="Times New Roman" w:hAnsi="Times New Roman" w:eastAsia="宋体" w:cs="Times New Roman"/>
                <w:color w:val="auto"/>
                <w:sz w:val="24"/>
                <w:highlight w:val="none"/>
                <w:lang w:val="en-US" w:eastAsia="zh-CN"/>
              </w:rPr>
              <w:t>•次）计，则用水量</w:t>
            </w:r>
            <w:r>
              <w:rPr>
                <w:rFonts w:hint="eastAsia" w:cs="Times New Roman"/>
                <w:color w:val="auto"/>
                <w:sz w:val="24"/>
                <w:highlight w:val="none"/>
                <w:lang w:val="en-US" w:eastAsia="zh-CN"/>
              </w:rPr>
              <w:t>0.45</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cs="Times New Roman"/>
                <w:color w:val="auto"/>
                <w:sz w:val="24"/>
                <w:highlight w:val="none"/>
                <w:lang w:val="en-US" w:eastAsia="zh-CN"/>
              </w:rPr>
              <w:t>112.5</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p>
          <w:p w14:paraId="15C771C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6" w:firstLineChars="200"/>
              <w:textAlignment w:val="auto"/>
              <w:rPr>
                <w:rFonts w:hint="eastAsia" w:ascii="Times New Roman" w:hAnsi="Times New Roman" w:eastAsia="宋体" w:cs="Times New Roman"/>
                <w:b/>
                <w:bCs/>
                <w:color w:val="auto"/>
                <w:spacing w:val="1"/>
                <w:sz w:val="24"/>
                <w:szCs w:val="24"/>
                <w:highlight w:val="none"/>
                <w:lang w:val="en-US" w:eastAsia="zh-CN"/>
              </w:rPr>
            </w:pPr>
            <w:r>
              <w:rPr>
                <w:rFonts w:hint="eastAsia" w:ascii="Times New Roman" w:hAnsi="Times New Roman" w:eastAsia="宋体" w:cs="Times New Roman"/>
                <w:b/>
                <w:bCs/>
                <w:color w:val="auto"/>
                <w:spacing w:val="1"/>
                <w:sz w:val="24"/>
                <w:szCs w:val="24"/>
                <w:highlight w:val="none"/>
                <w:lang w:val="en-US" w:eastAsia="zh-CN"/>
              </w:rPr>
              <w:t>6.2 排水</w:t>
            </w:r>
          </w:p>
          <w:p w14:paraId="62DC547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color w:val="auto"/>
                <w:spacing w:val="-1"/>
                <w:sz w:val="24"/>
                <w:szCs w:val="24"/>
                <w:highlight w:val="none"/>
              </w:rPr>
            </w:pPr>
            <w:r>
              <w:rPr>
                <w:rFonts w:hint="default" w:ascii="Times New Roman" w:hAnsi="Times New Roman" w:eastAsia="宋体" w:cs="Times New Roman"/>
                <w:color w:val="auto"/>
                <w:sz w:val="24"/>
                <w:highlight w:val="none"/>
                <w:lang w:eastAsia="zh-CN"/>
              </w:rPr>
              <w:t>本项目</w:t>
            </w:r>
            <w:r>
              <w:rPr>
                <w:rFonts w:hint="default" w:ascii="Times New Roman" w:hAnsi="Times New Roman" w:eastAsia="宋体" w:cs="Times New Roman"/>
                <w:color w:val="auto"/>
                <w:sz w:val="24"/>
                <w:highlight w:val="none"/>
                <w:lang w:val="en-US" w:eastAsia="zh-CN"/>
              </w:rPr>
              <w:t>废水主要为地面清洗废水、初期雨水和生活污水。</w:t>
            </w:r>
          </w:p>
          <w:p w14:paraId="68D9021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6" w:firstLineChars="200"/>
              <w:jc w:val="both"/>
              <w:textAlignment w:val="auto"/>
              <w:rPr>
                <w:rFonts w:hint="default"/>
                <w:color w:val="auto"/>
                <w:sz w:val="24"/>
                <w:szCs w:val="24"/>
                <w:highlight w:val="none"/>
              </w:rPr>
            </w:pPr>
            <w:r>
              <w:rPr>
                <w:rFonts w:hint="default"/>
                <w:color w:val="auto"/>
                <w:spacing w:val="-1"/>
                <w:sz w:val="24"/>
                <w:szCs w:val="24"/>
                <w:highlight w:val="none"/>
              </w:rPr>
              <w:t>厂区排水采用雨污分流，新建初期雨水池（</w:t>
            </w:r>
            <w:r>
              <w:rPr>
                <w:rFonts w:hint="eastAsia" w:ascii="Times New Roman" w:hAnsi="Times New Roman" w:eastAsia="宋体" w:cs="Times New Roman"/>
                <w:color w:val="auto"/>
                <w:spacing w:val="-1"/>
                <w:sz w:val="24"/>
                <w:szCs w:val="24"/>
                <w:highlight w:val="none"/>
                <w:lang w:val="en-US" w:eastAsia="zh-CN"/>
              </w:rPr>
              <w:t>50</w:t>
            </w:r>
            <w:r>
              <w:rPr>
                <w:rFonts w:hint="default" w:ascii="Times New Roman" w:hAnsi="Times New Roman" w:eastAsia="Times New Roman" w:cs="Times New Roman"/>
                <w:color w:val="auto"/>
                <w:spacing w:val="-1"/>
                <w:sz w:val="24"/>
                <w:szCs w:val="24"/>
                <w:highlight w:val="none"/>
              </w:rPr>
              <w:t>m</w:t>
            </w:r>
            <w:r>
              <w:rPr>
                <w:rFonts w:hint="default" w:ascii="Times New Roman" w:hAnsi="Times New Roman" w:eastAsia="Times New Roman" w:cs="Times New Roman"/>
                <w:color w:val="auto"/>
                <w:spacing w:val="-1"/>
                <w:position w:val="1"/>
                <w:sz w:val="24"/>
                <w:szCs w:val="24"/>
                <w:highlight w:val="none"/>
                <w:vertAlign w:val="superscript"/>
              </w:rPr>
              <w:t>3</w:t>
            </w:r>
            <w:r>
              <w:rPr>
                <w:rFonts w:hint="default"/>
                <w:color w:val="auto"/>
                <w:spacing w:val="-6"/>
                <w:position w:val="1"/>
                <w:sz w:val="24"/>
                <w:szCs w:val="24"/>
                <w:highlight w:val="none"/>
              </w:rPr>
              <w:t>）</w:t>
            </w:r>
            <w:r>
              <w:rPr>
                <w:rFonts w:hint="default"/>
                <w:color w:val="auto"/>
                <w:spacing w:val="-6"/>
                <w:sz w:val="24"/>
                <w:szCs w:val="24"/>
                <w:highlight w:val="none"/>
              </w:rPr>
              <w:t>，</w:t>
            </w:r>
            <w:r>
              <w:rPr>
                <w:rFonts w:hint="default"/>
                <w:color w:val="auto"/>
                <w:spacing w:val="-1"/>
                <w:sz w:val="24"/>
                <w:szCs w:val="24"/>
                <w:highlight w:val="none"/>
              </w:rPr>
              <w:t>在</w:t>
            </w:r>
            <w:r>
              <w:rPr>
                <w:rFonts w:hint="default"/>
                <w:color w:val="auto"/>
                <w:spacing w:val="-2"/>
                <w:sz w:val="24"/>
                <w:szCs w:val="24"/>
                <w:highlight w:val="none"/>
              </w:rPr>
              <w:t>平时及事故状态下雨水排口阀门关闭，降雨条件下开启初期雨水排放口阀门，收集前</w:t>
            </w:r>
            <w:r>
              <w:rPr>
                <w:rFonts w:hint="default" w:ascii="Times New Roman" w:hAnsi="Times New Roman" w:eastAsia="Times New Roman" w:cs="Times New Roman"/>
                <w:color w:val="auto"/>
                <w:spacing w:val="-2"/>
                <w:sz w:val="24"/>
                <w:szCs w:val="24"/>
                <w:highlight w:val="none"/>
              </w:rPr>
              <w:t>15</w:t>
            </w:r>
            <w:r>
              <w:rPr>
                <w:rFonts w:hint="default"/>
                <w:color w:val="auto"/>
                <w:spacing w:val="-2"/>
                <w:sz w:val="24"/>
                <w:szCs w:val="24"/>
                <w:highlight w:val="none"/>
              </w:rPr>
              <w:t>分钟初期雨水，初期雨水经初期雨水池收集后，</w:t>
            </w:r>
            <w:r>
              <w:rPr>
                <w:rFonts w:hint="default"/>
                <w:color w:val="auto"/>
                <w:spacing w:val="-3"/>
                <w:sz w:val="24"/>
                <w:szCs w:val="24"/>
                <w:highlight w:val="none"/>
              </w:rPr>
              <w:t>经厂区内污水处理设施处理达标，</w:t>
            </w:r>
            <w:r>
              <w:rPr>
                <w:rFonts w:hint="default"/>
                <w:color w:val="auto"/>
                <w:spacing w:val="3"/>
                <w:sz w:val="24"/>
                <w:szCs w:val="24"/>
                <w:highlight w:val="none"/>
              </w:rPr>
              <w:t>由市政污水管网排入阜新市北控水务有限公司污水处理厂</w:t>
            </w:r>
            <w:r>
              <w:rPr>
                <w:rFonts w:hint="default"/>
                <w:color w:val="auto"/>
                <w:spacing w:val="2"/>
                <w:sz w:val="24"/>
                <w:szCs w:val="24"/>
                <w:highlight w:val="none"/>
              </w:rPr>
              <w:t>集中处理后排放。降</w:t>
            </w:r>
            <w:r>
              <w:rPr>
                <w:rFonts w:hint="default"/>
                <w:color w:val="auto"/>
                <w:spacing w:val="-2"/>
                <w:sz w:val="24"/>
                <w:szCs w:val="24"/>
                <w:highlight w:val="none"/>
              </w:rPr>
              <w:t>雨</w:t>
            </w:r>
            <w:r>
              <w:rPr>
                <w:rFonts w:hint="default"/>
                <w:color w:val="auto"/>
                <w:spacing w:val="-15"/>
                <w:sz w:val="24"/>
                <w:szCs w:val="24"/>
                <w:highlight w:val="none"/>
              </w:rPr>
              <w:t xml:space="preserve"> </w:t>
            </w:r>
            <w:r>
              <w:rPr>
                <w:rFonts w:hint="default" w:ascii="Times New Roman" w:hAnsi="Times New Roman" w:eastAsia="Times New Roman" w:cs="Times New Roman"/>
                <w:color w:val="auto"/>
                <w:spacing w:val="-2"/>
                <w:sz w:val="24"/>
                <w:szCs w:val="24"/>
                <w:highlight w:val="none"/>
              </w:rPr>
              <w:t xml:space="preserve">15 </w:t>
            </w:r>
            <w:r>
              <w:rPr>
                <w:rFonts w:hint="default"/>
                <w:color w:val="auto"/>
                <w:spacing w:val="-2"/>
                <w:sz w:val="24"/>
                <w:szCs w:val="24"/>
                <w:highlight w:val="none"/>
              </w:rPr>
              <w:t>分钟后关闭初期雨水排放口阀门，开启雨水排口阀门，将洁净的雨水排入</w:t>
            </w:r>
            <w:r>
              <w:rPr>
                <w:rFonts w:hint="default"/>
                <w:color w:val="auto"/>
                <w:spacing w:val="3"/>
                <w:sz w:val="24"/>
                <w:szCs w:val="24"/>
                <w:highlight w:val="none"/>
              </w:rPr>
              <w:t>市政雨水管网。餐饮废水经隔油池处理后，与生活污水经</w:t>
            </w:r>
            <w:r>
              <w:rPr>
                <w:rFonts w:hint="default"/>
                <w:color w:val="auto"/>
                <w:spacing w:val="2"/>
                <w:sz w:val="24"/>
                <w:szCs w:val="24"/>
                <w:highlight w:val="none"/>
              </w:rPr>
              <w:t>化粪池处理后，由市</w:t>
            </w:r>
            <w:r>
              <w:rPr>
                <w:rFonts w:hint="default"/>
                <w:color w:val="auto"/>
                <w:spacing w:val="3"/>
                <w:sz w:val="24"/>
                <w:szCs w:val="24"/>
                <w:highlight w:val="none"/>
              </w:rPr>
              <w:t>政污水管网排入阜新市北控水务有限公司污水处理厂集中</w:t>
            </w:r>
            <w:r>
              <w:rPr>
                <w:rFonts w:hint="default"/>
                <w:color w:val="auto"/>
                <w:spacing w:val="2"/>
                <w:sz w:val="24"/>
                <w:szCs w:val="24"/>
                <w:highlight w:val="none"/>
              </w:rPr>
              <w:t>处理。</w:t>
            </w:r>
          </w:p>
          <w:p w14:paraId="0F6CCD7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①初期雨水</w:t>
            </w:r>
          </w:p>
          <w:p w14:paraId="2F91D8A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highlight w:val="none"/>
                <w:lang w:eastAsia="zh-CN"/>
              </w:rPr>
            </w:pPr>
            <w:r>
              <w:rPr>
                <w:rFonts w:hint="eastAsia" w:cs="Times New Roman"/>
                <w:color w:val="auto"/>
                <w:sz w:val="24"/>
                <w:highlight w:val="none"/>
                <w:lang w:val="en-US" w:eastAsia="zh-CN"/>
              </w:rPr>
              <w:t>平均降雨量：</w:t>
            </w:r>
            <w:r>
              <w:rPr>
                <w:rFonts w:hint="default" w:ascii="Times New Roman" w:hAnsi="Times New Roman" w:eastAsia="宋体" w:cs="Times New Roman"/>
                <w:color w:val="auto"/>
                <w:sz w:val="24"/>
                <w:highlight w:val="none"/>
                <w:lang w:eastAsia="zh-CN"/>
              </w:rPr>
              <w:t>经查阅资料阜新地区年降水量约495mm，本项目</w:t>
            </w:r>
            <w:r>
              <w:rPr>
                <w:rFonts w:hint="eastAsia" w:cs="Times New Roman"/>
                <w:color w:val="auto"/>
                <w:sz w:val="24"/>
                <w:highlight w:val="none"/>
                <w:lang w:eastAsia="zh-CN"/>
              </w:rPr>
              <w:t>生产车间外露天</w:t>
            </w:r>
            <w:r>
              <w:rPr>
                <w:rFonts w:hint="default" w:ascii="Times New Roman" w:hAnsi="Times New Roman" w:eastAsia="宋体" w:cs="Times New Roman"/>
                <w:color w:val="auto"/>
                <w:sz w:val="24"/>
                <w:highlight w:val="none"/>
                <w:lang w:eastAsia="zh-CN"/>
              </w:rPr>
              <w:t>汇水面积</w:t>
            </w:r>
            <w:r>
              <w:rPr>
                <w:rFonts w:hint="eastAsia" w:cs="Times New Roman"/>
                <w:color w:val="auto"/>
                <w:sz w:val="24"/>
                <w:highlight w:val="none"/>
                <w:lang w:val="en-US" w:eastAsia="zh-CN"/>
              </w:rPr>
              <w:t>按</w:t>
            </w:r>
            <w:r>
              <w:rPr>
                <w:rFonts w:hint="eastAsia" w:ascii="Times New Roman" w:hAnsi="Times New Roman" w:eastAsia="宋体" w:cs="Times New Roman"/>
                <w:color w:val="auto"/>
                <w:sz w:val="24"/>
                <w:highlight w:val="none"/>
                <w:lang w:val="en-US" w:eastAsia="zh-CN"/>
              </w:rPr>
              <w:t>1750</w:t>
            </w:r>
            <w:r>
              <w:rPr>
                <w:rFonts w:hint="default" w:ascii="Times New Roman" w:hAnsi="Times New Roman" w:eastAsia="宋体" w:cs="Times New Roman"/>
                <w:color w:val="auto"/>
                <w:sz w:val="24"/>
                <w:highlight w:val="none"/>
                <w:lang w:eastAsia="zh-CN"/>
              </w:rPr>
              <w:t>m</w:t>
            </w:r>
            <w:r>
              <w:rPr>
                <w:rFonts w:hint="default" w:ascii="Times New Roman" w:hAnsi="Times New Roman" w:eastAsia="宋体" w:cs="Times New Roman"/>
                <w:color w:val="auto"/>
                <w:sz w:val="24"/>
                <w:highlight w:val="none"/>
                <w:vertAlign w:val="superscript"/>
                <w:lang w:eastAsia="zh-CN"/>
              </w:rPr>
              <w:t>2</w:t>
            </w:r>
            <w:r>
              <w:rPr>
                <w:rFonts w:hint="eastAsia" w:cs="Times New Roman"/>
                <w:color w:val="auto"/>
                <w:sz w:val="24"/>
                <w:highlight w:val="none"/>
                <w:vertAlign w:val="baseline"/>
                <w:lang w:val="en-US" w:eastAsia="zh-CN"/>
              </w:rPr>
              <w:t>计</w:t>
            </w:r>
            <w:r>
              <w:rPr>
                <w:rFonts w:hint="default" w:ascii="Times New Roman" w:hAnsi="Times New Roman" w:eastAsia="宋体" w:cs="Times New Roman"/>
                <w:color w:val="auto"/>
                <w:sz w:val="24"/>
                <w:highlight w:val="none"/>
                <w:lang w:eastAsia="zh-CN"/>
              </w:rPr>
              <w:t>，前</w:t>
            </w:r>
            <w:r>
              <w:rPr>
                <w:rFonts w:hint="eastAsia" w:cs="Times New Roman"/>
                <w:color w:val="auto"/>
                <w:sz w:val="24"/>
                <w:highlight w:val="none"/>
                <w:lang w:val="en-US" w:eastAsia="zh-CN"/>
              </w:rPr>
              <w:t>22m</w:t>
            </w:r>
            <w:r>
              <w:rPr>
                <w:rFonts w:hint="default" w:ascii="Times New Roman" w:hAnsi="Times New Roman" w:eastAsia="宋体" w:cs="Times New Roman"/>
                <w:color w:val="auto"/>
                <w:sz w:val="24"/>
                <w:highlight w:val="none"/>
                <w:lang w:eastAsia="zh-CN"/>
              </w:rPr>
              <w:t>in初期雨水量按总降雨量的20%计算，则本项目初期雨水量为</w:t>
            </w:r>
            <w:r>
              <w:rPr>
                <w:rFonts w:hint="eastAsia" w:ascii="Times New Roman" w:hAnsi="Times New Roman" w:eastAsia="宋体" w:cs="Times New Roman"/>
                <w:color w:val="auto"/>
                <w:sz w:val="24"/>
                <w:highlight w:val="none"/>
                <w:lang w:val="en-US" w:eastAsia="zh-CN"/>
              </w:rPr>
              <w:t>173.25</w:t>
            </w:r>
            <w:r>
              <w:rPr>
                <w:rFonts w:hint="default" w:ascii="Times New Roman" w:hAnsi="Times New Roman" w:eastAsia="宋体" w:cs="Times New Roman"/>
                <w:color w:val="auto"/>
                <w:sz w:val="24"/>
                <w:highlight w:val="none"/>
                <w:lang w:eastAsia="zh-CN"/>
              </w:rPr>
              <w:t>m</w:t>
            </w:r>
            <w:r>
              <w:rPr>
                <w:rFonts w:hint="eastAsia"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w:t>
            </w:r>
            <w:r>
              <w:rPr>
                <w:rFonts w:hint="default" w:ascii="Times New Roman" w:hAnsi="Times New Roman" w:eastAsia="宋体" w:cs="Times New Roman"/>
                <w:color w:val="auto"/>
                <w:sz w:val="24"/>
                <w:highlight w:val="none"/>
                <w:lang w:eastAsia="zh-CN"/>
              </w:rPr>
              <w:t>a。阜新地区降雨期为3个月，则平均</w:t>
            </w:r>
            <w:r>
              <w:rPr>
                <w:rFonts w:hint="eastAsia" w:ascii="Times New Roman" w:hAnsi="Times New Roman" w:eastAsia="宋体" w:cs="Times New Roman"/>
                <w:color w:val="auto"/>
                <w:sz w:val="24"/>
                <w:highlight w:val="none"/>
                <w:lang w:val="en-US" w:eastAsia="zh-CN"/>
              </w:rPr>
              <w:t>初期雨水</w:t>
            </w:r>
            <w:r>
              <w:rPr>
                <w:rFonts w:hint="default" w:ascii="Times New Roman" w:hAnsi="Times New Roman" w:eastAsia="宋体" w:cs="Times New Roman"/>
                <w:color w:val="auto"/>
                <w:sz w:val="24"/>
                <w:highlight w:val="none"/>
                <w:lang w:eastAsia="zh-CN"/>
              </w:rPr>
              <w:t>量为</w:t>
            </w:r>
            <w:r>
              <w:rPr>
                <w:rFonts w:hint="eastAsia" w:ascii="Times New Roman" w:hAnsi="Times New Roman" w:eastAsia="宋体" w:cs="Times New Roman"/>
                <w:color w:val="auto"/>
                <w:sz w:val="24"/>
                <w:highlight w:val="none"/>
                <w:lang w:val="en-US" w:eastAsia="zh-CN"/>
              </w:rPr>
              <w:t>1.925</w:t>
            </w:r>
            <w:r>
              <w:rPr>
                <w:rFonts w:hint="default" w:ascii="Times New Roman" w:hAnsi="Times New Roman" w:eastAsia="宋体" w:cs="Times New Roman"/>
                <w:color w:val="auto"/>
                <w:sz w:val="24"/>
                <w:highlight w:val="none"/>
                <w:lang w:eastAsia="zh-CN"/>
              </w:rPr>
              <w:t>m</w:t>
            </w:r>
            <w:r>
              <w:rPr>
                <w:rFonts w:hint="eastAsia"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eastAsia="zh-CN"/>
              </w:rPr>
              <w:t>/d。</w:t>
            </w:r>
          </w:p>
          <w:p w14:paraId="1C46EA8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eastAsia"/>
                <w:color w:val="auto"/>
                <w:spacing w:val="-1"/>
                <w:lang w:val="en-US" w:eastAsia="zh-CN"/>
              </w:rPr>
            </w:pPr>
            <w:r>
              <w:rPr>
                <w:rFonts w:hint="eastAsia"/>
                <w:color w:val="auto"/>
                <w:spacing w:val="-1"/>
                <w:lang w:val="en-US" w:eastAsia="zh-CN"/>
              </w:rPr>
              <w:t>单次最大降雨量：</w:t>
            </w:r>
          </w:p>
          <w:p w14:paraId="0F2DA52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lang w:eastAsia="zh-CN"/>
              </w:rPr>
            </w:pPr>
            <w:r>
              <w:rPr>
                <w:rFonts w:hint="default"/>
                <w:color w:val="auto"/>
                <w:spacing w:val="-1"/>
                <w:lang w:eastAsia="zh-CN"/>
              </w:rPr>
              <w:t>本次评价初期雨水量按照雨水流量通用公式计算，具体公式如下：</w:t>
            </w:r>
          </w:p>
          <w:p w14:paraId="72BE59C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center"/>
              <w:textAlignment w:val="auto"/>
              <w:rPr>
                <w:rFonts w:hint="default"/>
                <w:color w:val="auto"/>
                <w:spacing w:val="-1"/>
              </w:rPr>
            </w:pPr>
            <w:r>
              <w:rPr>
                <w:rFonts w:hint="default"/>
                <w:color w:val="auto"/>
                <w:spacing w:val="-1"/>
              </w:rPr>
              <w:t>Q=ψqS</w:t>
            </w:r>
          </w:p>
          <w:p w14:paraId="674B977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其中：Q—雨水流量，L/s；</w:t>
            </w:r>
          </w:p>
          <w:p w14:paraId="7B1C853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q—设计暴雨强度，L/s•hm</w:t>
            </w:r>
            <w:r>
              <w:rPr>
                <w:rFonts w:hint="default"/>
                <w:color w:val="auto"/>
                <w:spacing w:val="-1"/>
                <w:vertAlign w:val="superscript"/>
              </w:rPr>
              <w:t>2</w:t>
            </w:r>
            <w:r>
              <w:rPr>
                <w:rFonts w:hint="default"/>
                <w:color w:val="auto"/>
                <w:spacing w:val="-1"/>
              </w:rPr>
              <w:t>；</w:t>
            </w:r>
          </w:p>
          <w:p w14:paraId="5AD169E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ψ—地面径流系数，取0.9；</w:t>
            </w:r>
          </w:p>
          <w:p w14:paraId="3EE9205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S—汇水面积，hm</w:t>
            </w:r>
            <w:r>
              <w:rPr>
                <w:rFonts w:hint="default"/>
                <w:color w:val="auto"/>
                <w:spacing w:val="-1"/>
                <w:vertAlign w:val="superscript"/>
              </w:rPr>
              <w:t>2</w:t>
            </w:r>
            <w:r>
              <w:rPr>
                <w:rFonts w:hint="default"/>
                <w:color w:val="auto"/>
                <w:spacing w:val="-1"/>
              </w:rPr>
              <w:t xml:space="preserve"> ，本次评价汇水面积以厂区无建筑物区域计算，即</w:t>
            </w:r>
            <w:r>
              <w:rPr>
                <w:rFonts w:hint="eastAsia"/>
                <w:color w:val="auto"/>
                <w:spacing w:val="-1"/>
                <w:lang w:val="en-US" w:eastAsia="zh-CN"/>
              </w:rPr>
              <w:t>取0.175</w:t>
            </w:r>
            <w:r>
              <w:rPr>
                <w:rFonts w:hint="default"/>
                <w:color w:val="auto"/>
                <w:spacing w:val="-1"/>
              </w:rPr>
              <w:t>hm</w:t>
            </w:r>
            <w:r>
              <w:rPr>
                <w:rFonts w:hint="default"/>
                <w:color w:val="auto"/>
                <w:spacing w:val="-1"/>
                <w:vertAlign w:val="superscript"/>
              </w:rPr>
              <w:t>2</w:t>
            </w:r>
            <w:r>
              <w:rPr>
                <w:rFonts w:hint="default"/>
                <w:color w:val="auto"/>
                <w:spacing w:val="-1"/>
              </w:rPr>
              <w:t>；</w:t>
            </w:r>
          </w:p>
          <w:p w14:paraId="7A6BEB5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本次评价采用阜新市暴雨强度计算公式：</w:t>
            </w:r>
          </w:p>
          <w:p w14:paraId="1EDE5BD6">
            <w:pPr>
              <w:keepNext w:val="0"/>
              <w:keepLines w:val="0"/>
              <w:suppressLineNumbers w:val="0"/>
              <w:spacing w:before="128" w:beforeAutospacing="0" w:after="0" w:afterAutospacing="0" w:line="633" w:lineRule="exact"/>
              <w:ind w:left="3371" w:right="0"/>
              <w:rPr>
                <w:rFonts w:hint="default"/>
                <w:color w:val="auto"/>
              </w:rPr>
            </w:pPr>
            <w:r>
              <w:rPr>
                <w:rFonts w:hint="default"/>
                <w:color w:val="auto"/>
                <w:position w:val="-13"/>
              </w:rPr>
              <w:pict>
                <v:shape id="_x0000_i1027" o:spt="75" type="#_x0000_t75" style="height:31.65pt;width:109.2pt;" filled="f" o:preferrelative="t" stroked="f" coordsize="21600,21600">
                  <v:path/>
                  <v:fill on="f" focussize="0,0"/>
                  <v:stroke on="f"/>
                  <v:imagedata r:id="rId10" o:title=""/>
                  <o:lock v:ext="edit" aspectratio="f"/>
                  <w10:wrap type="none"/>
                  <w10:anchorlock/>
                </v:shape>
              </w:pict>
            </w:r>
          </w:p>
          <w:p w14:paraId="0FD48F6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其中：q—暴雨强度，L/s hm</w:t>
            </w:r>
            <w:r>
              <w:rPr>
                <w:rFonts w:hint="default"/>
                <w:color w:val="auto"/>
                <w:spacing w:val="-1"/>
                <w:vertAlign w:val="superscript"/>
              </w:rPr>
              <w:t>2</w:t>
            </w:r>
            <w:r>
              <w:rPr>
                <w:rFonts w:hint="default"/>
                <w:color w:val="auto"/>
                <w:spacing w:val="-1"/>
              </w:rPr>
              <w:t>；</w:t>
            </w:r>
          </w:p>
          <w:p w14:paraId="5D4600D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P—重现期，年，P=1年；</w:t>
            </w:r>
          </w:p>
          <w:p w14:paraId="4DCD570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rPr>
            </w:pPr>
            <w:r>
              <w:rPr>
                <w:rFonts w:hint="default"/>
                <w:color w:val="auto"/>
                <w:spacing w:val="-1"/>
              </w:rPr>
              <w:t>t—集水时间，分钟，取15 分钟。</w:t>
            </w:r>
          </w:p>
          <w:p w14:paraId="0986703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76" w:firstLineChars="200"/>
              <w:jc w:val="both"/>
              <w:textAlignment w:val="auto"/>
              <w:rPr>
                <w:rFonts w:hint="default"/>
                <w:color w:val="auto"/>
                <w:spacing w:val="-1"/>
                <w:vertAlign w:val="baseline"/>
                <w:lang w:val="en-US" w:eastAsia="zh-CN"/>
              </w:rPr>
            </w:pPr>
            <w:r>
              <w:rPr>
                <w:rFonts w:hint="default"/>
                <w:color w:val="auto"/>
                <w:spacing w:val="-1"/>
              </w:rPr>
              <w:t>经计算，暴雨强度为171.7L/s</w:t>
            </w:r>
            <w:r>
              <w:rPr>
                <w:rFonts w:hint="eastAsia"/>
                <w:color w:val="auto"/>
                <w:spacing w:val="-1"/>
                <w:lang w:val="en-US" w:eastAsia="zh-CN"/>
              </w:rPr>
              <w:t xml:space="preserve"> </w:t>
            </w:r>
            <w:r>
              <w:rPr>
                <w:rFonts w:hint="default"/>
                <w:color w:val="auto"/>
                <w:spacing w:val="-1"/>
              </w:rPr>
              <w:t>hm</w:t>
            </w:r>
            <w:r>
              <w:rPr>
                <w:rFonts w:hint="default"/>
                <w:color w:val="auto"/>
                <w:spacing w:val="-1"/>
                <w:vertAlign w:val="superscript"/>
              </w:rPr>
              <w:t>2</w:t>
            </w:r>
            <w:r>
              <w:rPr>
                <w:rFonts w:hint="default"/>
                <w:color w:val="auto"/>
                <w:spacing w:val="-1"/>
              </w:rPr>
              <w:t>，一次降雨最大初期雨水量</w:t>
            </w:r>
            <w:r>
              <w:rPr>
                <w:rFonts w:hint="eastAsia"/>
                <w:color w:val="auto"/>
                <w:spacing w:val="-1"/>
                <w:lang w:val="en-US" w:eastAsia="zh-CN"/>
              </w:rPr>
              <w:t>约</w:t>
            </w:r>
            <w:r>
              <w:rPr>
                <w:rFonts w:hint="default"/>
                <w:color w:val="auto"/>
                <w:spacing w:val="-1"/>
              </w:rPr>
              <w:t>为</w:t>
            </w:r>
            <w:r>
              <w:rPr>
                <w:rFonts w:hint="eastAsia"/>
                <w:color w:val="auto"/>
                <w:spacing w:val="-1"/>
                <w:lang w:val="en-US" w:eastAsia="zh-CN"/>
              </w:rPr>
              <w:t>27</w:t>
            </w:r>
            <w:r>
              <w:rPr>
                <w:rFonts w:hint="default"/>
                <w:color w:val="auto"/>
                <w:spacing w:val="-1"/>
              </w:rPr>
              <w:t>m</w:t>
            </w:r>
            <w:r>
              <w:rPr>
                <w:rFonts w:hint="default"/>
                <w:color w:val="auto"/>
                <w:spacing w:val="-1"/>
                <w:vertAlign w:val="superscript"/>
              </w:rPr>
              <w:t>3</w:t>
            </w:r>
            <w:r>
              <w:rPr>
                <w:rFonts w:hint="default"/>
                <w:color w:val="auto"/>
                <w:spacing w:val="-1"/>
              </w:rPr>
              <w:t>/次。</w:t>
            </w:r>
            <w:r>
              <w:rPr>
                <w:rFonts w:hint="eastAsia"/>
                <w:color w:val="auto"/>
                <w:spacing w:val="-1"/>
                <w:lang w:val="en-US" w:eastAsia="zh-CN"/>
              </w:rPr>
              <w:t>本项目设置50m</w:t>
            </w:r>
            <w:r>
              <w:rPr>
                <w:rFonts w:hint="eastAsia"/>
                <w:color w:val="auto"/>
                <w:spacing w:val="-1"/>
                <w:vertAlign w:val="superscript"/>
                <w:lang w:val="en-US" w:eastAsia="zh-CN"/>
              </w:rPr>
              <w:t>3</w:t>
            </w:r>
            <w:r>
              <w:rPr>
                <w:rFonts w:hint="eastAsia"/>
                <w:color w:val="auto"/>
                <w:spacing w:val="-1"/>
                <w:vertAlign w:val="baseline"/>
                <w:lang w:val="en-US" w:eastAsia="zh-CN"/>
              </w:rPr>
              <w:t>的初期雨水池可满足单次最大初期雨水量的收集贮存，因此初期雨水池容积满足要求。</w:t>
            </w:r>
          </w:p>
          <w:p w14:paraId="4C030BE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②清洗废水</w:t>
            </w:r>
          </w:p>
          <w:p w14:paraId="1ACF001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lang w:val="en-US" w:eastAsia="zh-CN"/>
              </w:rPr>
              <w:t>本项目地面</w:t>
            </w:r>
            <w:r>
              <w:rPr>
                <w:rFonts w:hint="eastAsia" w:ascii="Times New Roman" w:hAnsi="Times New Roman" w:eastAsia="宋体" w:cs="Times New Roman"/>
                <w:color w:val="auto"/>
                <w:sz w:val="24"/>
                <w:highlight w:val="none"/>
                <w:lang w:val="en-US" w:eastAsia="zh-CN"/>
              </w:rPr>
              <w:t>清洗</w:t>
            </w:r>
            <w:r>
              <w:rPr>
                <w:rFonts w:hint="default" w:ascii="Times New Roman" w:hAnsi="Times New Roman" w:eastAsia="宋体" w:cs="Times New Roman"/>
                <w:color w:val="auto"/>
                <w:sz w:val="24"/>
                <w:highlight w:val="none"/>
                <w:lang w:val="en-US" w:eastAsia="zh-CN"/>
              </w:rPr>
              <w:t>用水量</w:t>
            </w:r>
            <w:r>
              <w:rPr>
                <w:rFonts w:hint="eastAsia" w:cs="Times New Roman"/>
                <w:color w:val="auto"/>
                <w:sz w:val="24"/>
                <w:highlight w:val="none"/>
                <w:lang w:val="en-US" w:eastAsia="zh-CN"/>
              </w:rPr>
              <w:t>0.45</w:t>
            </w:r>
            <w:r>
              <w:rPr>
                <w:rFonts w:hint="default" w:ascii="Times New Roman" w:hAnsi="Times New Roman" w:eastAsia="宋体" w:cs="Times New Roman"/>
                <w:color w:val="auto"/>
                <w:sz w:val="24"/>
                <w:highlight w:val="none"/>
                <w:lang w:eastAsia="zh-CN"/>
              </w:rPr>
              <w:t>m</w:t>
            </w:r>
            <w:r>
              <w:rPr>
                <w:rFonts w:hint="eastAsia"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cs="Times New Roman"/>
                <w:color w:val="auto"/>
                <w:sz w:val="24"/>
                <w:highlight w:val="none"/>
                <w:lang w:val="en-US" w:eastAsia="zh-CN"/>
              </w:rPr>
              <w:t>112.5</w:t>
            </w:r>
            <w:r>
              <w:rPr>
                <w:rFonts w:hint="default" w:ascii="Times New Roman" w:hAnsi="Times New Roman" w:eastAsia="宋体" w:cs="Times New Roman"/>
                <w:color w:val="auto"/>
                <w:sz w:val="24"/>
                <w:highlight w:val="none"/>
                <w:lang w:eastAsia="zh-CN"/>
              </w:rPr>
              <w:t>m</w:t>
            </w:r>
            <w:r>
              <w:rPr>
                <w:rFonts w:hint="eastAsia"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/a），地面清洁废水产生系数取0.8，则清洁废水排放量为</w:t>
            </w:r>
            <w:r>
              <w:rPr>
                <w:rFonts w:hint="eastAsia" w:cs="Times New Roman"/>
                <w:color w:val="auto"/>
                <w:sz w:val="24"/>
                <w:highlight w:val="none"/>
                <w:lang w:val="en-US" w:eastAsia="zh-CN"/>
              </w:rPr>
              <w:t>0.36</w:t>
            </w:r>
            <w:r>
              <w:rPr>
                <w:rFonts w:hint="default" w:ascii="Times New Roman" w:hAnsi="Times New Roman" w:eastAsia="宋体" w:cs="Times New Roman"/>
                <w:color w:val="auto"/>
                <w:sz w:val="24"/>
                <w:highlight w:val="none"/>
                <w:lang w:eastAsia="zh-CN"/>
              </w:rPr>
              <w:t>m</w:t>
            </w:r>
            <w:r>
              <w:rPr>
                <w:rFonts w:hint="eastAsia"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/d（</w:t>
            </w:r>
            <w:r>
              <w:rPr>
                <w:rFonts w:hint="eastAsia" w:ascii="Times New Roman" w:hAnsi="Times New Roman" w:eastAsia="宋体" w:cs="Times New Roman"/>
                <w:color w:val="auto"/>
                <w:sz w:val="24"/>
                <w:highlight w:val="none"/>
                <w:lang w:val="en-US" w:eastAsia="zh-CN"/>
              </w:rPr>
              <w:t>90</w:t>
            </w:r>
            <w:r>
              <w:rPr>
                <w:rFonts w:hint="default" w:ascii="Times New Roman" w:hAnsi="Times New Roman" w:eastAsia="宋体" w:cs="Times New Roman"/>
                <w:color w:val="auto"/>
                <w:sz w:val="24"/>
                <w:highlight w:val="none"/>
                <w:lang w:eastAsia="zh-CN"/>
              </w:rPr>
              <w:t>m</w:t>
            </w:r>
            <w:r>
              <w:rPr>
                <w:rFonts w:hint="eastAsia" w:ascii="Times New Roman" w:hAnsi="Times New Roman" w:eastAsia="宋体" w:cs="Times New Roman"/>
                <w:color w:val="auto"/>
                <w:sz w:val="24"/>
                <w:highlight w:val="none"/>
                <w:vertAlign w:val="superscript"/>
                <w:lang w:val="en-US" w:eastAsia="zh-CN"/>
              </w:rPr>
              <w:t>3</w:t>
            </w:r>
            <w:r>
              <w:rPr>
                <w:rFonts w:hint="default" w:ascii="Times New Roman" w:hAnsi="Times New Roman" w:eastAsia="宋体" w:cs="Times New Roman"/>
                <w:color w:val="auto"/>
                <w:sz w:val="24"/>
                <w:highlight w:val="none"/>
                <w:lang w:val="en-US" w:eastAsia="zh-CN"/>
              </w:rPr>
              <w:t>/a）。</w:t>
            </w:r>
            <w:r>
              <w:rPr>
                <w:rFonts w:hint="eastAsia" w:ascii="Times New Roman" w:hAnsi="Times New Roman" w:eastAsia="宋体" w:cs="Times New Roman"/>
                <w:color w:val="auto"/>
                <w:sz w:val="24"/>
                <w:highlight w:val="none"/>
                <w:lang w:val="en-US" w:eastAsia="zh-CN"/>
              </w:rPr>
              <w:t>地面清洗</w:t>
            </w:r>
            <w:r>
              <w:rPr>
                <w:rFonts w:hint="default" w:ascii="Times New Roman" w:hAnsi="Times New Roman" w:eastAsia="宋体" w:cs="Times New Roman"/>
                <w:color w:val="auto"/>
                <w:sz w:val="24"/>
                <w:highlight w:val="none"/>
                <w:lang w:val="en-US" w:eastAsia="zh-CN"/>
              </w:rPr>
              <w:t>废水排入污水处理设施处理达标后，</w:t>
            </w:r>
            <w:r>
              <w:rPr>
                <w:rFonts w:hint="default" w:ascii="Times New Roman" w:hAnsi="Times New Roman" w:eastAsia="宋体" w:cs="Times New Roman"/>
                <w:color w:val="auto"/>
                <w:kern w:val="2"/>
                <w:sz w:val="24"/>
                <w:szCs w:val="24"/>
                <w:highlight w:val="none"/>
                <w:lang w:val="en-US" w:eastAsia="zh-CN" w:bidi="ar-SA"/>
              </w:rPr>
              <w:t>经园区管网排入阜新市北控水务有限公司</w:t>
            </w:r>
            <w:r>
              <w:rPr>
                <w:rFonts w:hint="default" w:ascii="Times New Roman" w:hAnsi="Times New Roman" w:eastAsia="宋体" w:cs="Times New Roman"/>
                <w:color w:val="auto"/>
                <w:sz w:val="24"/>
                <w:highlight w:val="none"/>
                <w:lang w:val="en-US" w:eastAsia="zh-CN"/>
              </w:rPr>
              <w:t>。</w:t>
            </w:r>
          </w:p>
          <w:p w14:paraId="0CC9876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③生活污水及食堂废水：</w:t>
            </w:r>
          </w:p>
          <w:p w14:paraId="4FD53BF0">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4"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pacing w:val="1"/>
                <w:sz w:val="24"/>
                <w:szCs w:val="24"/>
                <w:highlight w:val="none"/>
                <w:lang w:val="en-US" w:eastAsia="zh-CN"/>
              </w:rPr>
              <w:t>生活污水排污系数以0.8计，则生活污水日排水量为</w:t>
            </w:r>
            <w:r>
              <w:rPr>
                <w:rFonts w:hint="eastAsia" w:cs="Times New Roman"/>
                <w:color w:val="auto"/>
                <w:spacing w:val="1"/>
                <w:sz w:val="24"/>
                <w:szCs w:val="24"/>
                <w:highlight w:val="none"/>
                <w:lang w:val="en-US" w:eastAsia="zh-CN"/>
              </w:rPr>
              <w:t>0.72</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/d，年排水量为</w:t>
            </w:r>
            <w:r>
              <w:rPr>
                <w:rFonts w:hint="eastAsia" w:cs="Times New Roman"/>
                <w:color w:val="auto"/>
                <w:spacing w:val="1"/>
                <w:sz w:val="24"/>
                <w:szCs w:val="24"/>
                <w:highlight w:val="none"/>
                <w:lang w:val="en-US" w:eastAsia="zh-CN"/>
              </w:rPr>
              <w:t>180</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/a。食堂废水排污系数以0.8计，则食堂废水日排水量为</w:t>
            </w:r>
            <w:r>
              <w:rPr>
                <w:rFonts w:hint="eastAsia" w:eastAsia="宋体" w:cs="Times New Roman"/>
                <w:color w:val="auto"/>
                <w:spacing w:val="1"/>
                <w:sz w:val="24"/>
                <w:szCs w:val="24"/>
                <w:highlight w:val="none"/>
                <w:lang w:val="en-US" w:eastAsia="zh-CN"/>
              </w:rPr>
              <w:t>0.32</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/d，年排水量为</w:t>
            </w:r>
            <w:r>
              <w:rPr>
                <w:rFonts w:hint="eastAsia" w:eastAsia="宋体" w:cs="Times New Roman"/>
                <w:color w:val="auto"/>
                <w:spacing w:val="1"/>
                <w:sz w:val="24"/>
                <w:szCs w:val="24"/>
                <w:highlight w:val="none"/>
                <w:lang w:val="en-US" w:eastAsia="zh-CN"/>
              </w:rPr>
              <w:t>80</w:t>
            </w:r>
            <w:r>
              <w:rPr>
                <w:rFonts w:hint="eastAsia" w:ascii="Times New Roman" w:hAnsi="Times New Roman" w:eastAsia="宋体" w:cs="Times New Roman"/>
                <w:color w:val="auto"/>
                <w:spacing w:val="1"/>
                <w:sz w:val="24"/>
                <w:szCs w:val="24"/>
                <w:highlight w:val="none"/>
                <w:lang w:val="en-US" w:eastAsia="zh-CN"/>
              </w:rPr>
              <w:t>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/a。</w:t>
            </w:r>
          </w:p>
          <w:p w14:paraId="7778364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b/>
                <w:bCs/>
                <w:color w:val="auto"/>
                <w:spacing w:val="1"/>
                <w:sz w:val="21"/>
                <w:szCs w:val="21"/>
                <w:highlight w:val="none"/>
                <w:lang w:val="en-US" w:eastAsia="zh-CN"/>
              </w:rPr>
            </w:pPr>
            <w:r>
              <w:rPr>
                <w:rFonts w:hint="eastAsia" w:ascii="Times New Roman" w:hAnsi="Times New Roman" w:eastAsia="宋体" w:cs="Times New Roman"/>
                <w:color w:val="auto"/>
                <w:sz w:val="24"/>
                <w:szCs w:val="24"/>
                <w:highlight w:val="none"/>
                <w:lang w:val="en-US" w:eastAsia="zh-CN"/>
              </w:rPr>
              <w:t>本项目废水产排情况</w:t>
            </w:r>
            <w:r>
              <w:rPr>
                <w:rFonts w:hint="eastAsia" w:cs="Times New Roman"/>
                <w:color w:val="auto"/>
                <w:sz w:val="24"/>
                <w:szCs w:val="24"/>
                <w:highlight w:val="none"/>
                <w:lang w:val="en-US" w:eastAsia="zh-CN"/>
              </w:rPr>
              <w:t>见</w:t>
            </w:r>
            <w:r>
              <w:rPr>
                <w:rFonts w:hint="eastAsia" w:ascii="Times New Roman" w:hAnsi="Times New Roman" w:eastAsia="宋体" w:cs="Times New Roman"/>
                <w:color w:val="auto"/>
                <w:sz w:val="24"/>
                <w:szCs w:val="24"/>
                <w:highlight w:val="none"/>
                <w:lang w:val="en-US" w:eastAsia="zh-CN"/>
              </w:rPr>
              <w:t>下表。</w:t>
            </w:r>
          </w:p>
          <w:p w14:paraId="18514990">
            <w:pPr>
              <w:pStyle w:val="73"/>
              <w:keepNext w:val="0"/>
              <w:keepLines w:val="0"/>
              <w:pageBreakBefore w:val="0"/>
              <w:widowControl w:val="0"/>
              <w:numPr>
                <w:ilvl w:val="0"/>
                <w:numId w:val="0"/>
              </w:numPr>
              <w:suppressLineNumbers w:val="0"/>
              <w:tabs>
                <w:tab w:val="left" w:pos="336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pacing w:val="1"/>
                <w:sz w:val="21"/>
                <w:szCs w:val="21"/>
                <w:highlight w:val="none"/>
                <w:lang w:val="en-US" w:eastAsia="zh-CN"/>
              </w:rPr>
              <w:t>表2-</w:t>
            </w:r>
            <w:r>
              <w:rPr>
                <w:rFonts w:hint="eastAsia" w:cs="Times New Roman"/>
                <w:b/>
                <w:bCs/>
                <w:color w:val="auto"/>
                <w:spacing w:val="1"/>
                <w:sz w:val="21"/>
                <w:szCs w:val="21"/>
                <w:highlight w:val="none"/>
                <w:lang w:val="en-US" w:eastAsia="zh-CN"/>
              </w:rPr>
              <w:t>12</w:t>
            </w:r>
            <w:r>
              <w:rPr>
                <w:rFonts w:hint="eastAsia" w:ascii="Times New Roman" w:hAnsi="Times New Roman" w:eastAsia="宋体" w:cs="Times New Roman"/>
                <w:b/>
                <w:bCs/>
                <w:color w:val="auto"/>
                <w:spacing w:val="1"/>
                <w:sz w:val="21"/>
                <w:szCs w:val="21"/>
                <w:highlight w:val="none"/>
                <w:lang w:val="en-US" w:eastAsia="zh-CN"/>
              </w:rPr>
              <w:t xml:space="preserve">  给、排水情况一览表</w:t>
            </w:r>
          </w:p>
          <w:tbl>
            <w:tblPr>
              <w:tblStyle w:val="27"/>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64"/>
              <w:gridCol w:w="1074"/>
              <w:gridCol w:w="901"/>
              <w:gridCol w:w="1062"/>
              <w:gridCol w:w="749"/>
              <w:gridCol w:w="1071"/>
              <w:gridCol w:w="1056"/>
              <w:gridCol w:w="2755"/>
            </w:tblGrid>
            <w:tr w14:paraId="5C425F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54" w:type="pct"/>
                  <w:tcBorders>
                    <w:tl2br w:val="nil"/>
                    <w:tr2bl w:val="nil"/>
                  </w:tcBorders>
                  <w:noWrap w:val="0"/>
                  <w:vAlign w:val="center"/>
                </w:tcPr>
                <w:p w14:paraId="28B7C656">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序号</w:t>
                  </w:r>
                </w:p>
              </w:tc>
              <w:tc>
                <w:tcPr>
                  <w:tcW w:w="588" w:type="pct"/>
                  <w:tcBorders>
                    <w:tl2br w:val="nil"/>
                    <w:tr2bl w:val="nil"/>
                  </w:tcBorders>
                  <w:noWrap w:val="0"/>
                  <w:vAlign w:val="center"/>
                </w:tcPr>
                <w:p w14:paraId="04FF53D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项目</w:t>
                  </w:r>
                </w:p>
              </w:tc>
              <w:tc>
                <w:tcPr>
                  <w:tcW w:w="493" w:type="pct"/>
                  <w:tcBorders>
                    <w:tl2br w:val="nil"/>
                    <w:tr2bl w:val="nil"/>
                  </w:tcBorders>
                  <w:noWrap w:val="0"/>
                  <w:vAlign w:val="center"/>
                </w:tcPr>
                <w:p w14:paraId="3BB3D4F7">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日用水量</w:t>
                  </w:r>
                  <w:r>
                    <w:rPr>
                      <w:rFonts w:hint="default"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cs="Times New Roman"/>
                      <w:color w:val="auto"/>
                      <w:sz w:val="21"/>
                      <w:szCs w:val="21"/>
                      <w:highlight w:val="none"/>
                      <w:lang w:val="en-US" w:eastAsia="zh-CN"/>
                    </w:rPr>
                    <w:t>/d</w:t>
                  </w:r>
                </w:p>
              </w:tc>
              <w:tc>
                <w:tcPr>
                  <w:tcW w:w="581" w:type="pct"/>
                  <w:tcBorders>
                    <w:tl2br w:val="nil"/>
                    <w:tr2bl w:val="nil"/>
                  </w:tcBorders>
                  <w:noWrap w:val="0"/>
                  <w:vAlign w:val="center"/>
                </w:tcPr>
                <w:p w14:paraId="459737B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年用水量</w:t>
                  </w:r>
                  <w:r>
                    <w:rPr>
                      <w:rFonts w:hint="default"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a</w:t>
                  </w:r>
                </w:p>
              </w:tc>
              <w:tc>
                <w:tcPr>
                  <w:tcW w:w="410" w:type="pct"/>
                  <w:tcBorders>
                    <w:tl2br w:val="nil"/>
                    <w:tr2bl w:val="nil"/>
                  </w:tcBorders>
                  <w:noWrap w:val="0"/>
                  <w:vAlign w:val="center"/>
                </w:tcPr>
                <w:p w14:paraId="0A71163B">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排</w:t>
                  </w:r>
                  <w:r>
                    <w:rPr>
                      <w:rFonts w:hint="eastAsia" w:ascii="Times New Roman" w:hAnsi="Times New Roman" w:cs="Times New Roman"/>
                      <w:color w:val="auto"/>
                      <w:sz w:val="21"/>
                      <w:szCs w:val="21"/>
                      <w:highlight w:val="none"/>
                      <w:lang w:val="en-US" w:eastAsia="zh-CN"/>
                    </w:rPr>
                    <w:t>污</w:t>
                  </w:r>
                  <w:r>
                    <w:rPr>
                      <w:rFonts w:hint="default" w:ascii="Times New Roman" w:hAnsi="Times New Roman" w:cs="Times New Roman"/>
                      <w:color w:val="auto"/>
                      <w:sz w:val="21"/>
                      <w:szCs w:val="21"/>
                      <w:highlight w:val="none"/>
                      <w:lang w:val="en-US" w:eastAsia="zh-CN"/>
                    </w:rPr>
                    <w:t>系数</w:t>
                  </w:r>
                </w:p>
              </w:tc>
              <w:tc>
                <w:tcPr>
                  <w:tcW w:w="586" w:type="pct"/>
                  <w:tcBorders>
                    <w:tl2br w:val="nil"/>
                    <w:tr2bl w:val="nil"/>
                  </w:tcBorders>
                  <w:noWrap w:val="0"/>
                  <w:vAlign w:val="center"/>
                </w:tcPr>
                <w:p w14:paraId="4852BF93">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日排水量</w:t>
                  </w:r>
                  <w:r>
                    <w:rPr>
                      <w:rFonts w:hint="default"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cs="Times New Roman"/>
                      <w:color w:val="auto"/>
                      <w:sz w:val="21"/>
                      <w:szCs w:val="21"/>
                      <w:highlight w:val="none"/>
                      <w:lang w:val="en-US" w:eastAsia="zh-CN"/>
                    </w:rPr>
                    <w:t>/d</w:t>
                  </w:r>
                </w:p>
              </w:tc>
              <w:tc>
                <w:tcPr>
                  <w:tcW w:w="578" w:type="pct"/>
                  <w:tcBorders>
                    <w:tl2br w:val="nil"/>
                    <w:tr2bl w:val="nil"/>
                  </w:tcBorders>
                  <w:noWrap w:val="0"/>
                  <w:vAlign w:val="center"/>
                </w:tcPr>
                <w:p w14:paraId="0B11785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年排水量</w:t>
                  </w:r>
                  <w:r>
                    <w:rPr>
                      <w:rFonts w:hint="default"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default" w:ascii="Times New Roman" w:hAnsi="Times New Roman" w:cs="Times New Roman"/>
                      <w:color w:val="auto"/>
                      <w:sz w:val="21"/>
                      <w:szCs w:val="21"/>
                      <w:highlight w:val="none"/>
                      <w:lang w:val="en-US" w:eastAsia="zh-CN"/>
                    </w:rPr>
                    <w:t>/</w:t>
                  </w:r>
                  <w:r>
                    <w:rPr>
                      <w:rFonts w:hint="eastAsia" w:ascii="Times New Roman" w:hAnsi="Times New Roman" w:cs="Times New Roman"/>
                      <w:color w:val="auto"/>
                      <w:sz w:val="21"/>
                      <w:szCs w:val="21"/>
                      <w:highlight w:val="none"/>
                      <w:lang w:val="en-US" w:eastAsia="zh-CN"/>
                    </w:rPr>
                    <w:t>a</w:t>
                  </w:r>
                </w:p>
              </w:tc>
              <w:tc>
                <w:tcPr>
                  <w:tcW w:w="1508" w:type="pct"/>
                  <w:tcBorders>
                    <w:tl2br w:val="nil"/>
                    <w:tr2bl w:val="nil"/>
                  </w:tcBorders>
                  <w:noWrap w:val="0"/>
                  <w:vAlign w:val="center"/>
                </w:tcPr>
                <w:p w14:paraId="40F8030C">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eastAsia="宋体" w:cs="Times New Roman"/>
                      <w:b/>
                      <w:color w:val="auto"/>
                      <w:sz w:val="21"/>
                      <w:szCs w:val="21"/>
                      <w:highlight w:val="none"/>
                      <w:lang w:val="en-US" w:eastAsia="zh-CN"/>
                    </w:rPr>
                    <w:t>排水</w:t>
                  </w:r>
                  <w:r>
                    <w:rPr>
                      <w:rFonts w:hint="default" w:ascii="Times New Roman" w:hAnsi="Times New Roman" w:eastAsia="宋体" w:cs="Times New Roman"/>
                      <w:b/>
                      <w:color w:val="auto"/>
                      <w:sz w:val="21"/>
                      <w:szCs w:val="21"/>
                      <w:highlight w:val="none"/>
                      <w:lang w:eastAsia="zh-CN"/>
                    </w:rPr>
                    <w:t>去向</w:t>
                  </w:r>
                </w:p>
              </w:tc>
            </w:tr>
            <w:tr w14:paraId="2C6D6A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54" w:type="pct"/>
                  <w:tcBorders>
                    <w:tl2br w:val="nil"/>
                    <w:tr2bl w:val="nil"/>
                  </w:tcBorders>
                  <w:noWrap w:val="0"/>
                  <w:vAlign w:val="center"/>
                </w:tcPr>
                <w:p w14:paraId="2D3F7B51">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1</w:t>
                  </w:r>
                </w:p>
              </w:tc>
              <w:tc>
                <w:tcPr>
                  <w:tcW w:w="588" w:type="pct"/>
                  <w:tcBorders>
                    <w:tl2br w:val="nil"/>
                    <w:tr2bl w:val="nil"/>
                  </w:tcBorders>
                  <w:noWrap w:val="0"/>
                  <w:vAlign w:val="center"/>
                </w:tcPr>
                <w:p w14:paraId="06FF317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生活用水</w:t>
                  </w:r>
                </w:p>
              </w:tc>
              <w:tc>
                <w:tcPr>
                  <w:tcW w:w="493" w:type="pct"/>
                  <w:tcBorders>
                    <w:tl2br w:val="nil"/>
                    <w:tr2bl w:val="nil"/>
                  </w:tcBorders>
                  <w:noWrap w:val="0"/>
                  <w:vAlign w:val="center"/>
                </w:tcPr>
                <w:p w14:paraId="26DE58D6">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0.9</w:t>
                  </w:r>
                </w:p>
              </w:tc>
              <w:tc>
                <w:tcPr>
                  <w:tcW w:w="581" w:type="pct"/>
                  <w:tcBorders>
                    <w:tl2br w:val="nil"/>
                    <w:tr2bl w:val="nil"/>
                  </w:tcBorders>
                  <w:noWrap w:val="0"/>
                  <w:vAlign w:val="center"/>
                </w:tcPr>
                <w:p w14:paraId="0BABA9CC">
                  <w:pPr>
                    <w:keepNext w:val="0"/>
                    <w:keepLines w:val="0"/>
                    <w:pageBreakBefore w:val="0"/>
                    <w:suppressLineNumbers w:val="0"/>
                    <w:tabs>
                      <w:tab w:val="left" w:pos="593"/>
                    </w:tabs>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225</w:t>
                  </w:r>
                </w:p>
              </w:tc>
              <w:tc>
                <w:tcPr>
                  <w:tcW w:w="410" w:type="pct"/>
                  <w:tcBorders>
                    <w:tl2br w:val="nil"/>
                    <w:tr2bl w:val="nil"/>
                  </w:tcBorders>
                  <w:noWrap w:val="0"/>
                  <w:vAlign w:val="center"/>
                </w:tcPr>
                <w:p w14:paraId="1F734A2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0.8</w:t>
                  </w:r>
                </w:p>
              </w:tc>
              <w:tc>
                <w:tcPr>
                  <w:tcW w:w="586" w:type="pct"/>
                  <w:tcBorders>
                    <w:tl2br w:val="nil"/>
                    <w:tr2bl w:val="nil"/>
                  </w:tcBorders>
                  <w:noWrap w:val="0"/>
                  <w:vAlign w:val="center"/>
                </w:tcPr>
                <w:p w14:paraId="2069119B">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0.72</w:t>
                  </w:r>
                </w:p>
              </w:tc>
              <w:tc>
                <w:tcPr>
                  <w:tcW w:w="578" w:type="pct"/>
                  <w:tcBorders>
                    <w:tl2br w:val="nil"/>
                    <w:tr2bl w:val="nil"/>
                  </w:tcBorders>
                  <w:noWrap w:val="0"/>
                  <w:vAlign w:val="center"/>
                </w:tcPr>
                <w:p w14:paraId="41AAF7C7">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180</w:t>
                  </w:r>
                </w:p>
              </w:tc>
              <w:tc>
                <w:tcPr>
                  <w:tcW w:w="1508" w:type="pct"/>
                  <w:vMerge w:val="restart"/>
                  <w:tcBorders>
                    <w:tl2br w:val="nil"/>
                    <w:tr2bl w:val="nil"/>
                  </w:tcBorders>
                  <w:noWrap w:val="0"/>
                  <w:vAlign w:val="center"/>
                </w:tcPr>
                <w:p w14:paraId="14B7823E">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eastAsia" w:cs="Times New Roman"/>
                      <w:color w:val="auto"/>
                      <w:sz w:val="21"/>
                      <w:szCs w:val="21"/>
                      <w:highlight w:val="none"/>
                      <w:lang w:val="en-US" w:eastAsia="zh-CN"/>
                    </w:rPr>
                  </w:pPr>
                  <w:r>
                    <w:rPr>
                      <w:rFonts w:hint="eastAsia" w:ascii="Times New Roman" w:hAnsi="Times New Roman" w:eastAsia="宋体" w:cs="Times New Roman"/>
                      <w:b w:val="0"/>
                      <w:bCs/>
                      <w:color w:val="auto"/>
                      <w:sz w:val="21"/>
                      <w:szCs w:val="21"/>
                      <w:highlight w:val="none"/>
                      <w:lang w:val="en-US" w:eastAsia="zh-CN"/>
                    </w:rPr>
                    <w:t>食堂废水经隔油池处理后，与生活污水一同</w:t>
                  </w:r>
                  <w:r>
                    <w:rPr>
                      <w:rFonts w:hint="default" w:ascii="Times New Roman" w:hAnsi="Times New Roman" w:eastAsia="宋体" w:cs="Times New Roman"/>
                      <w:b w:val="0"/>
                      <w:bCs/>
                      <w:color w:val="auto"/>
                      <w:sz w:val="21"/>
                      <w:szCs w:val="21"/>
                      <w:highlight w:val="none"/>
                      <w:lang w:val="en-US" w:eastAsia="zh-CN"/>
                    </w:rPr>
                    <w:t>经化粪池处理后，经园区管网排入阜新市北控水务有限公司</w:t>
                  </w:r>
                </w:p>
              </w:tc>
            </w:tr>
            <w:tr w14:paraId="45B6665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54" w:type="pct"/>
                  <w:tcBorders>
                    <w:tl2br w:val="nil"/>
                    <w:tr2bl w:val="nil"/>
                  </w:tcBorders>
                  <w:noWrap w:val="0"/>
                  <w:vAlign w:val="center"/>
                </w:tcPr>
                <w:p w14:paraId="7606F773">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588" w:type="pct"/>
                  <w:tcBorders>
                    <w:tl2br w:val="nil"/>
                    <w:tr2bl w:val="nil"/>
                  </w:tcBorders>
                  <w:noWrap w:val="0"/>
                  <w:vAlign w:val="center"/>
                </w:tcPr>
                <w:p w14:paraId="2B8115C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食堂用水</w:t>
                  </w:r>
                </w:p>
              </w:tc>
              <w:tc>
                <w:tcPr>
                  <w:tcW w:w="493" w:type="pct"/>
                  <w:tcBorders>
                    <w:tl2br w:val="nil"/>
                    <w:tr2bl w:val="nil"/>
                  </w:tcBorders>
                  <w:noWrap w:val="0"/>
                  <w:vAlign w:val="center"/>
                </w:tcPr>
                <w:p w14:paraId="27074B6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0.4</w:t>
                  </w:r>
                </w:p>
              </w:tc>
              <w:tc>
                <w:tcPr>
                  <w:tcW w:w="581" w:type="pct"/>
                  <w:tcBorders>
                    <w:tl2br w:val="nil"/>
                    <w:tr2bl w:val="nil"/>
                  </w:tcBorders>
                  <w:noWrap w:val="0"/>
                  <w:vAlign w:val="center"/>
                </w:tcPr>
                <w:p w14:paraId="1A27D36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100</w:t>
                  </w:r>
                </w:p>
              </w:tc>
              <w:tc>
                <w:tcPr>
                  <w:tcW w:w="410" w:type="pct"/>
                  <w:tcBorders>
                    <w:tl2br w:val="nil"/>
                    <w:tr2bl w:val="nil"/>
                  </w:tcBorders>
                  <w:noWrap w:val="0"/>
                  <w:vAlign w:val="center"/>
                </w:tcPr>
                <w:p w14:paraId="17B80CB0">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0.8</w:t>
                  </w:r>
                </w:p>
              </w:tc>
              <w:tc>
                <w:tcPr>
                  <w:tcW w:w="586" w:type="pct"/>
                  <w:tcBorders>
                    <w:tl2br w:val="nil"/>
                    <w:tr2bl w:val="nil"/>
                  </w:tcBorders>
                  <w:noWrap w:val="0"/>
                  <w:vAlign w:val="center"/>
                </w:tcPr>
                <w:p w14:paraId="2B66A265">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0.32</w:t>
                  </w:r>
                </w:p>
              </w:tc>
              <w:tc>
                <w:tcPr>
                  <w:tcW w:w="578" w:type="pct"/>
                  <w:tcBorders>
                    <w:tl2br w:val="nil"/>
                    <w:tr2bl w:val="nil"/>
                  </w:tcBorders>
                  <w:noWrap w:val="0"/>
                  <w:vAlign w:val="center"/>
                </w:tcPr>
                <w:p w14:paraId="3737BEE9">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80</w:t>
                  </w:r>
                </w:p>
              </w:tc>
              <w:tc>
                <w:tcPr>
                  <w:tcW w:w="1508" w:type="pct"/>
                  <w:vMerge w:val="continue"/>
                  <w:tcBorders>
                    <w:tl2br w:val="nil"/>
                    <w:tr2bl w:val="nil"/>
                  </w:tcBorders>
                  <w:noWrap w:val="0"/>
                  <w:vAlign w:val="center"/>
                </w:tcPr>
                <w:p w14:paraId="66713C1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eastAsia" w:cs="Times New Roman"/>
                      <w:color w:val="auto"/>
                      <w:sz w:val="21"/>
                      <w:szCs w:val="21"/>
                      <w:highlight w:val="none"/>
                      <w:lang w:val="en-US" w:eastAsia="zh-CN"/>
                    </w:rPr>
                  </w:pPr>
                </w:p>
              </w:tc>
            </w:tr>
            <w:tr w14:paraId="78086F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54" w:type="pct"/>
                  <w:tcBorders>
                    <w:tl2br w:val="nil"/>
                    <w:tr2bl w:val="nil"/>
                  </w:tcBorders>
                  <w:noWrap w:val="0"/>
                  <w:vAlign w:val="center"/>
                </w:tcPr>
                <w:p w14:paraId="7630FE61">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588" w:type="pct"/>
                  <w:tcBorders>
                    <w:tl2br w:val="nil"/>
                    <w:tr2bl w:val="nil"/>
                  </w:tcBorders>
                  <w:noWrap w:val="0"/>
                  <w:vAlign w:val="center"/>
                </w:tcPr>
                <w:p w14:paraId="64DA37AC">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地面清洗用水</w:t>
                  </w:r>
                </w:p>
              </w:tc>
              <w:tc>
                <w:tcPr>
                  <w:tcW w:w="493" w:type="pct"/>
                  <w:tcBorders>
                    <w:tl2br w:val="nil"/>
                    <w:tr2bl w:val="nil"/>
                  </w:tcBorders>
                  <w:noWrap w:val="0"/>
                  <w:vAlign w:val="center"/>
                </w:tcPr>
                <w:p w14:paraId="2FFEF78E">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0.45</w:t>
                  </w:r>
                </w:p>
              </w:tc>
              <w:tc>
                <w:tcPr>
                  <w:tcW w:w="581" w:type="pct"/>
                  <w:tcBorders>
                    <w:tl2br w:val="nil"/>
                    <w:tr2bl w:val="nil"/>
                  </w:tcBorders>
                  <w:noWrap w:val="0"/>
                  <w:vAlign w:val="center"/>
                </w:tcPr>
                <w:p w14:paraId="15C63FF3">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112.5</w:t>
                  </w:r>
                </w:p>
              </w:tc>
              <w:tc>
                <w:tcPr>
                  <w:tcW w:w="410" w:type="pct"/>
                  <w:tcBorders>
                    <w:tl2br w:val="nil"/>
                    <w:tr2bl w:val="nil"/>
                  </w:tcBorders>
                  <w:noWrap w:val="0"/>
                  <w:vAlign w:val="center"/>
                </w:tcPr>
                <w:p w14:paraId="0D6DE11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0.8</w:t>
                  </w:r>
                </w:p>
              </w:tc>
              <w:tc>
                <w:tcPr>
                  <w:tcW w:w="586" w:type="pct"/>
                  <w:tcBorders>
                    <w:tl2br w:val="nil"/>
                    <w:tr2bl w:val="nil"/>
                  </w:tcBorders>
                  <w:noWrap w:val="0"/>
                  <w:vAlign w:val="center"/>
                </w:tcPr>
                <w:p w14:paraId="5C22434C">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0.36</w:t>
                  </w:r>
                </w:p>
              </w:tc>
              <w:tc>
                <w:tcPr>
                  <w:tcW w:w="578" w:type="pct"/>
                  <w:tcBorders>
                    <w:tl2br w:val="nil"/>
                    <w:tr2bl w:val="nil"/>
                  </w:tcBorders>
                  <w:noWrap w:val="0"/>
                  <w:vAlign w:val="center"/>
                </w:tcPr>
                <w:p w14:paraId="24BF350D">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90</w:t>
                  </w:r>
                </w:p>
              </w:tc>
              <w:tc>
                <w:tcPr>
                  <w:tcW w:w="1508" w:type="pct"/>
                  <w:vMerge w:val="restart"/>
                  <w:tcBorders>
                    <w:tl2br w:val="nil"/>
                    <w:tr2bl w:val="nil"/>
                  </w:tcBorders>
                  <w:noWrap w:val="0"/>
                  <w:vAlign w:val="center"/>
                </w:tcPr>
                <w:p w14:paraId="34C8824F">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eastAsia" w:cs="Times New Roman"/>
                      <w:color w:val="auto"/>
                      <w:sz w:val="21"/>
                      <w:szCs w:val="21"/>
                      <w:highlight w:val="none"/>
                      <w:lang w:val="en-US" w:eastAsia="zh-CN"/>
                    </w:rPr>
                  </w:pPr>
                  <w:r>
                    <w:rPr>
                      <w:rFonts w:hint="default" w:ascii="Times New Roman" w:hAnsi="Times New Roman" w:eastAsia="宋体" w:cs="Times New Roman"/>
                      <w:b w:val="0"/>
                      <w:bCs/>
                      <w:color w:val="auto"/>
                      <w:sz w:val="21"/>
                      <w:szCs w:val="21"/>
                      <w:highlight w:val="none"/>
                      <w:lang w:val="en-US" w:eastAsia="zh-CN"/>
                    </w:rPr>
                    <w:t>经排入污水处理设施处理达标后，经园区管网排入阜新市北控水务有限公司</w:t>
                  </w:r>
                </w:p>
              </w:tc>
            </w:tr>
            <w:tr w14:paraId="3C36DB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254" w:type="pct"/>
                  <w:tcBorders>
                    <w:tl2br w:val="nil"/>
                    <w:tr2bl w:val="nil"/>
                  </w:tcBorders>
                  <w:noWrap w:val="0"/>
                  <w:vAlign w:val="center"/>
                </w:tcPr>
                <w:p w14:paraId="4A6EC01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588" w:type="pct"/>
                  <w:tcBorders>
                    <w:tl2br w:val="nil"/>
                    <w:tr2bl w:val="nil"/>
                  </w:tcBorders>
                  <w:noWrap w:val="0"/>
                  <w:vAlign w:val="center"/>
                </w:tcPr>
                <w:p w14:paraId="43EB419D">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初期雨水</w:t>
                  </w:r>
                </w:p>
              </w:tc>
              <w:tc>
                <w:tcPr>
                  <w:tcW w:w="493" w:type="pct"/>
                  <w:tcBorders>
                    <w:tl2br w:val="nil"/>
                    <w:tr2bl w:val="nil"/>
                  </w:tcBorders>
                  <w:noWrap w:val="0"/>
                  <w:vAlign w:val="center"/>
                </w:tcPr>
                <w:p w14:paraId="43A27BC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581" w:type="pct"/>
                  <w:tcBorders>
                    <w:tl2br w:val="nil"/>
                    <w:tr2bl w:val="nil"/>
                  </w:tcBorders>
                  <w:noWrap w:val="0"/>
                  <w:vAlign w:val="center"/>
                </w:tcPr>
                <w:p w14:paraId="6D66F90C">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410" w:type="pct"/>
                  <w:tcBorders>
                    <w:tl2br w:val="nil"/>
                    <w:tr2bl w:val="nil"/>
                  </w:tcBorders>
                  <w:noWrap w:val="0"/>
                  <w:vAlign w:val="center"/>
                </w:tcPr>
                <w:p w14:paraId="74F6574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586" w:type="pct"/>
                  <w:tcBorders>
                    <w:tl2br w:val="nil"/>
                    <w:tr2bl w:val="nil"/>
                  </w:tcBorders>
                  <w:noWrap w:val="0"/>
                  <w:vAlign w:val="center"/>
                </w:tcPr>
                <w:p w14:paraId="2B542D63">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1.925</w:t>
                  </w:r>
                </w:p>
              </w:tc>
              <w:tc>
                <w:tcPr>
                  <w:tcW w:w="578" w:type="pct"/>
                  <w:tcBorders>
                    <w:tl2br w:val="nil"/>
                    <w:tr2bl w:val="nil"/>
                  </w:tcBorders>
                  <w:noWrap w:val="0"/>
                  <w:vAlign w:val="center"/>
                </w:tcPr>
                <w:p w14:paraId="2DDCB55B">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173.25</w:t>
                  </w:r>
                </w:p>
              </w:tc>
              <w:tc>
                <w:tcPr>
                  <w:tcW w:w="1508" w:type="pct"/>
                  <w:vMerge w:val="continue"/>
                  <w:tcBorders>
                    <w:tl2br w:val="nil"/>
                    <w:tr2bl w:val="nil"/>
                  </w:tcBorders>
                  <w:noWrap w:val="0"/>
                  <w:vAlign w:val="center"/>
                </w:tcPr>
                <w:p w14:paraId="45467707">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eastAsia" w:cs="Times New Roman"/>
                      <w:color w:val="auto"/>
                      <w:sz w:val="21"/>
                      <w:szCs w:val="21"/>
                      <w:highlight w:val="none"/>
                      <w:lang w:val="en-US" w:eastAsia="zh-CN"/>
                    </w:rPr>
                  </w:pPr>
                </w:p>
              </w:tc>
            </w:tr>
            <w:tr w14:paraId="5603064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7" w:hRule="atLeast"/>
                <w:jc w:val="center"/>
              </w:trPr>
              <w:tc>
                <w:tcPr>
                  <w:tcW w:w="842" w:type="pct"/>
                  <w:gridSpan w:val="2"/>
                  <w:tcBorders>
                    <w:tl2br w:val="nil"/>
                    <w:tr2bl w:val="nil"/>
                  </w:tcBorders>
                  <w:noWrap w:val="0"/>
                  <w:vAlign w:val="center"/>
                </w:tcPr>
                <w:p w14:paraId="286A17A4">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合计</w:t>
                  </w:r>
                </w:p>
              </w:tc>
              <w:tc>
                <w:tcPr>
                  <w:tcW w:w="493" w:type="pct"/>
                  <w:tcBorders>
                    <w:tl2br w:val="nil"/>
                    <w:tr2bl w:val="nil"/>
                  </w:tcBorders>
                  <w:noWrap w:val="0"/>
                  <w:vAlign w:val="center"/>
                </w:tcPr>
                <w:p w14:paraId="759F6498">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1.75</w:t>
                  </w:r>
                </w:p>
              </w:tc>
              <w:tc>
                <w:tcPr>
                  <w:tcW w:w="581" w:type="pct"/>
                  <w:tcBorders>
                    <w:tl2br w:val="nil"/>
                    <w:tr2bl w:val="nil"/>
                  </w:tcBorders>
                  <w:noWrap w:val="0"/>
                  <w:vAlign w:val="center"/>
                </w:tcPr>
                <w:p w14:paraId="607A7C44">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437.5</w:t>
                  </w:r>
                </w:p>
              </w:tc>
              <w:tc>
                <w:tcPr>
                  <w:tcW w:w="410" w:type="pct"/>
                  <w:tcBorders>
                    <w:tl2br w:val="nil"/>
                    <w:tr2bl w:val="nil"/>
                  </w:tcBorders>
                  <w:noWrap w:val="0"/>
                  <w:vAlign w:val="center"/>
                </w:tcPr>
                <w:p w14:paraId="2FF4E9BA">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586" w:type="pct"/>
                  <w:tcBorders>
                    <w:tl2br w:val="nil"/>
                    <w:tr2bl w:val="nil"/>
                  </w:tcBorders>
                  <w:noWrap w:val="0"/>
                  <w:vAlign w:val="center"/>
                </w:tcPr>
                <w:p w14:paraId="47C9BA22">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3.325</w:t>
                  </w:r>
                </w:p>
              </w:tc>
              <w:tc>
                <w:tcPr>
                  <w:tcW w:w="578" w:type="pct"/>
                  <w:tcBorders>
                    <w:tl2br w:val="nil"/>
                    <w:tr2bl w:val="nil"/>
                  </w:tcBorders>
                  <w:noWrap w:val="0"/>
                  <w:vAlign w:val="center"/>
                </w:tcPr>
                <w:p w14:paraId="5F2D00EC">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523.25</w:t>
                  </w:r>
                </w:p>
              </w:tc>
              <w:tc>
                <w:tcPr>
                  <w:tcW w:w="1508" w:type="pct"/>
                  <w:tcBorders>
                    <w:tl2br w:val="nil"/>
                    <w:tr2bl w:val="nil"/>
                  </w:tcBorders>
                  <w:noWrap w:val="0"/>
                  <w:vAlign w:val="center"/>
                </w:tcPr>
                <w:p w14:paraId="55224F53">
                  <w:pPr>
                    <w:keepNext w:val="0"/>
                    <w:keepLines w:val="0"/>
                    <w:pageBreakBefore w:val="0"/>
                    <w:suppressLineNumbers w:val="0"/>
                    <w:kinsoku/>
                    <w:wordWrap/>
                    <w:topLinePunct w:val="0"/>
                    <w:bidi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w:t>
                  </w:r>
                </w:p>
              </w:tc>
            </w:tr>
          </w:tbl>
          <w:p w14:paraId="5D6E065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left"/>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highlight w:val="none"/>
              </w:rPr>
              <w:pict>
                <v:group id="画布 1" o:spid="_x0000_s1049" o:spt="203" style="height:201.9pt;width:456.65pt;" coordsize="5799454,2564130" editas="canvas">
                  <o:lock v:ext="edit"/>
                  <v:rect id="画布 1" o:spid="_x0000_s2052" o:spt="1" style="position:absolute;left:0;top:0;height:2564130;width:5799454;" filled="f" stroked="f" coordsize="21600,21600">
                    <v:path/>
                    <v:fill on="f" focussize="0,0"/>
                    <v:stroke on="f"/>
                    <v:imagedata o:title=""/>
                    <o:lock v:ext="edit" aspectratio="f"/>
                  </v:rect>
                  <v:shape id="_x0000_s1050" o:spid="_x0000_s1050" o:spt="202" type="#_x0000_t202" style="position:absolute;left:55245;top:1323975;height:285750;width:658495;"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BK&#10;qV+d0wAAAAUBAAAPAAAAAAAAAAEAIAAAACIAAABkcnMvZG93bnJldi54bWxQSwECFAAUAAAACACH&#10;TuJAwE9XnmICAADBBAAADgAAAAAAAAABACAAAAAiAQAAZHJzL2Uyb0RvYy54bWxQSwUGAAAAAAYA&#10;BgBZAQAA9gUAAAAA&#10;">
                    <v:path/>
                    <v:fill on="t" color2="#FFFFFF" focussize="0,0"/>
                    <v:stroke weight="0.5pt" color="#000000" joinstyle="round"/>
                    <v:imagedata o:title=""/>
                    <o:lock v:ext="edit" aspectratio="f"/>
                    <v:textbox>
                      <w:txbxContent>
                        <w:p w14:paraId="111B3C69">
                          <w:pPr>
                            <w:jc w:val="center"/>
                            <w:rPr>
                              <w:rFonts w:hint="eastAsia" w:eastAsia="宋体"/>
                              <w:lang w:eastAsia="zh-CN"/>
                            </w:rPr>
                          </w:pPr>
                          <w:r>
                            <w:rPr>
                              <w:rFonts w:hint="eastAsia"/>
                              <w:lang w:eastAsia="zh-CN"/>
                            </w:rPr>
                            <w:t>新鲜水</w:t>
                          </w:r>
                        </w:p>
                      </w:txbxContent>
                    </v:textbox>
                  </v:shape>
                  <v:shape id="直接箭头连接符 3" o:spid="_x0000_s1051" o:spt="32" type="#_x0000_t32" style="position:absolute;left:713740;top:1485900;flip:y;height:3175;width:533400;" filled="f" stroked="t" coordsize="21600,21600" o:gfxdata="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Bkyd251AAAAAUBAAAP&#10;AAAAAAAAAAEAIAAAACIAAABkcnMvZG93bnJldi54bWxQSwECFAAUAAAACACHTuJAggVhPBwCAAD3&#10;AwAADgAAAAAAAAABACAAAAAjAQAAZHJzL2Uyb0RvYy54bWxQSwUGAAAAAAYABgBZAQAAsQUAAAAA&#10;">
                    <v:path arrowok="t"/>
                    <v:fill on="f" focussize="0,0"/>
                    <v:stroke weight="1pt" color="#4874CB" joinstyle="miter" endarrow="open"/>
                    <v:imagedata o:title=""/>
                    <o:lock v:ext="edit" aspectratio="f"/>
                  </v:shape>
                  <v:shape id="直接箭头连接符 6" o:spid="_x0000_s1052" o:spt="32" type="#_x0000_t32" style="position:absolute;left:1236980;top:1113155;height:0;width:351790;" filled="f" stroked="t" coordsize="21600,21600" o:gfxdata="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tHIWDUAAAABQEAAA8AAAAAAAAA&#10;AQAgAAAAIgAAAGRycy9kb3ducmV2LnhtbFBLAQIUABQAAAAIAIdO4kC/TwTIFQIAAOwDAAAOAAAA&#10;AAAAAAEAIAAAACMBAABkcnMvZTJvRG9jLnhtbFBLBQYAAAAABgAGAFkBAACqBQAAAAA=&#10;">
                    <v:path arrowok="t"/>
                    <v:fill on="f" focussize="0,0"/>
                    <v:stroke weight="1pt" color="#4874CB" joinstyle="miter" endarrow="open"/>
                    <v:imagedata o:title=""/>
                    <o:lock v:ext="edit" aspectratio="f"/>
                  </v:shape>
                  <v:shape id="直接箭头连接符 9" o:spid="_x0000_s1053" o:spt="32" type="#_x0000_t32" style="position:absolute;left:1246505;top:1856105;height:0;width:351790;" filled="f" stroked="t" coordsize="21600,21600" o:gfxdata="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tHIWDUAAAABQEAAA8AAAAAAAAA&#10;AQAgAAAAIgAAAGRycy9kb3ducmV2LnhtbFBLAQIUABQAAAAIAIdO4kA48yv4FQIAAOwDAAAOAAAA&#10;AAAAAAEAIAAAACMBAABkcnMvZTJvRG9jLnhtbFBLBQYAAAAABgAGAFkBAACqBQAAAAA=&#10;">
                    <v:path arrowok="t"/>
                    <v:fill on="f" focussize="0,0"/>
                    <v:stroke weight="1pt" color="#4874CB" joinstyle="miter" endarrow="open"/>
                    <v:imagedata o:title=""/>
                    <o:lock v:ext="edit" aspectratio="f"/>
                  </v:shape>
                  <v:shape id="文本框 10" o:spid="_x0000_s1054" o:spt="202" type="#_x0000_t202" style="position:absolute;left:1589405;top:1713230;height:467995;width:1143635;"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KqV+d0wAAAAUBAAAPAAAAAAAAAAEAIAAAACIAAABkcnMvZG93bnJldi54bWxQSwECFAAUAAAA&#10;CACHTuJALyuig2UCAADGBAAADgAAAAAAAAABACAAAAAiAQAAZHJzL2Uyb0RvYy54bWxQSwUGAAAA&#10;AAYABgBZAQAA+QUAAAAA&#10;">
                    <v:path/>
                    <v:fill on="t" color2="#FFFFFF" focussize="0,0"/>
                    <v:stroke weight="0.5pt" color="#000000" joinstyle="round"/>
                    <v:imagedata o:title=""/>
                    <o:lock v:ext="edit" aspectratio="f"/>
                    <v:textbox>
                      <w:txbxContent>
                        <w:p w14:paraId="2FD07928">
                          <w:pPr>
                            <w:jc w:val="center"/>
                            <w:rPr>
                              <w:rFonts w:hint="default" w:eastAsia="宋体"/>
                              <w:lang w:val="en-US" w:eastAsia="zh-CN"/>
                            </w:rPr>
                          </w:pPr>
                          <w:r>
                            <w:rPr>
                              <w:rFonts w:hint="eastAsia"/>
                              <w:lang w:eastAsia="zh-CN"/>
                            </w:rPr>
                            <w:t>生活用水</w:t>
                          </w:r>
                          <w:r>
                            <w:rPr>
                              <w:rFonts w:hint="eastAsia"/>
                              <w:lang w:val="en-US" w:eastAsia="zh-CN"/>
                            </w:rPr>
                            <w:t>及食堂用水</w:t>
                          </w:r>
                        </w:p>
                      </w:txbxContent>
                    </v:textbox>
                  </v:shape>
                  <v:shape id="文本框 11" o:spid="_x0000_s1055" o:spt="202" type="#_x0000_t202" style="position:absolute;left:1589405;top:998854;height:285750;width:1115060;"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KqV+d0wAAAAUBAAAPAAAAAAAAAAEAIAAAACIAAABkcnMvZG93bnJldi54bWxQSwECFAAUAAAA&#10;CACHTuJAZcKo+mUCAADFBAAADgAAAAAAAAABACAAAAAiAQAAZHJzL2Uyb0RvYy54bWxQSwUGAAAA&#10;AAYABgBZAQAA+QUAAAAA&#10;">
                    <v:path/>
                    <v:fill on="t" color2="#FFFFFF" focussize="0,0"/>
                    <v:stroke weight="0.5pt" color="#000000" joinstyle="round"/>
                    <v:imagedata o:title=""/>
                    <o:lock v:ext="edit" aspectratio="f"/>
                    <v:textbox>
                      <w:txbxContent>
                        <w:p w14:paraId="331E3258">
                          <w:pPr>
                            <w:jc w:val="center"/>
                            <w:rPr>
                              <w:rFonts w:hint="eastAsia" w:eastAsia="宋体"/>
                              <w:lang w:eastAsia="zh-CN"/>
                            </w:rPr>
                          </w:pPr>
                          <w:r>
                            <w:rPr>
                              <w:rFonts w:hint="eastAsia"/>
                              <w:lang w:eastAsia="zh-CN"/>
                            </w:rPr>
                            <w:t>地面清洗用水</w:t>
                          </w:r>
                        </w:p>
                      </w:txbxContent>
                    </v:textbox>
                  </v:shape>
                  <v:shape id="直接箭头连接符 14" o:spid="_x0000_s1056" o:spt="32" type="#_x0000_t32" style="position:absolute;left:4246880;top:1852295;flip:y;height:3810;width:421640;" filled="f" stroked="t" coordsize="21600,21600" o:gfxdata="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Bkyd251AAAAAUB&#10;AAAPAAAAAAAAAAEAIAAAACIAAABkcnMvZG93bnJldi54bWxQSwECFAAUAAAACACHTuJAWsH9uh8C&#10;AAD6AwAADgAAAAAAAAABACAAAAAjAQAAZHJzL2Uyb0RvYy54bWxQSwUGAAAAAAYABgBZAQAAtAUA&#10;AAAA&#10;">
                    <v:path arrowok="t"/>
                    <v:fill on="f" focussize="0,0"/>
                    <v:stroke weight="1pt" color="#4874CB" joinstyle="miter" endarrow="open"/>
                    <v:imagedata o:title=""/>
                    <o:lock v:ext="edit" aspectratio="f"/>
                  </v:shape>
                  <v:shape id="直接箭头连接符 15" o:spid="_x0000_s1057" o:spt="32" type="#_x0000_t32" style="position:absolute;left:2741929;top:1856105;height:0;width:351790;" filled="f" stroked="t" coordsize="21600,21600" o:gfxdata="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tHIWDUAAAABQEAAA8AAAAA&#10;AAAAAQAgAAAAIgAAAGRycy9kb3ducmV2LnhtbFBLAQIUABQAAAAIAIdO4kDFtURrGAIAAO0DAAAO&#10;AAAAAAAAAAEAIAAAACMBAABkcnMvZTJvRG9jLnhtbFBLBQYAAAAABgAGAFkBAACtBQAAAAA=&#10;">
                    <v:path arrowok="t"/>
                    <v:fill on="f" focussize="0,0"/>
                    <v:stroke weight="1pt" color="#4874CB" joinstyle="miter" endarrow="open"/>
                    <v:imagedata o:title=""/>
                    <o:lock v:ext="edit" aspectratio="f"/>
                  </v:shape>
                  <v:shape id="直接箭头连接符 16" o:spid="_x0000_s1058" o:spt="32" type="#_x0000_t32" style="position:absolute;left:2704465;top:1141730;height:0;width:408305;" filled="f" stroked="t" coordsize="21600,21600" o:gfxdata="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W0chYNQAAAAFAQAADwAAAAAAAAABACAAAAAiAAAAZHJzL2Rvd25yZXYueG1sUEsBAhQAFAAAAAgA&#10;h07iQGochdIpAgAAFAQAAA4AAAAAAAAAAQAgAAAAIwEAAGRycy9lMm9Eb2MueG1sUEsFBgAAAAAG&#10;AAYAWQEAAL4FAAAAAA==&#10;">
                    <v:path arrowok="t"/>
                    <v:fill on="f" focussize="0,0"/>
                    <v:stroke weight="1pt" color="#4874CB" joinstyle="miter" endarrow="open"/>
                    <v:imagedata o:title=""/>
                    <o:lock v:ext="edit" aspectratio="f"/>
                  </v:shape>
                  <v:shape id="文本框 18" o:spid="_x0000_s1059" o:spt="202" type="#_x0000_t202" style="position:absolute;left:1617980;top:322580;height:285750;width:1162685;"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KqV+d0wAAAAUBAAAPAAAAAAAAAAEAIAAAACIAAABkcnMvZG93bnJldi54bWxQSwECFAAUAAAA&#10;CACHTuJAyFw2KGUCAADFBAAADgAAAAAAAAABACAAAAAiAQAAZHJzL2Uyb0RvYy54bWxQSwUGAAAA&#10;AAYABgBZAQAA+QUAAAAA&#10;">
                    <v:path/>
                    <v:fill on="t" color2="#FFFFFF" focussize="0,0"/>
                    <v:stroke weight="0.5pt" color="#000000" joinstyle="round"/>
                    <v:imagedata o:title=""/>
                    <o:lock v:ext="edit" aspectratio="f"/>
                    <v:textbox>
                      <w:txbxContent>
                        <w:p w14:paraId="53E4F105">
                          <w:pPr>
                            <w:jc w:val="center"/>
                            <w:rPr>
                              <w:rFonts w:hint="eastAsia" w:eastAsia="宋体"/>
                              <w:lang w:eastAsia="zh-CN"/>
                            </w:rPr>
                          </w:pPr>
                          <w:r>
                            <w:rPr>
                              <w:rFonts w:hint="eastAsia"/>
                              <w:lang w:eastAsia="zh-CN"/>
                            </w:rPr>
                            <w:t>初期雨水</w:t>
                          </w:r>
                        </w:p>
                      </w:txbxContent>
                    </v:textbox>
                  </v:shape>
                  <v:shape id="直接箭头连接符 19" o:spid="_x0000_s1060" o:spt="32" type="#_x0000_t32" style="position:absolute;left:2780030;top:465454;height:0;width:351790;" filled="f" stroked="t" coordsize="21600,21600" o:gfxdata="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FtHIWDUAAAABQEAAA8AAAAA&#10;AAAAAQAgAAAAIgAAAGRycy9kb3ducmV2LnhtbFBLAQIUABQAAAAIAIdO4kBE5dTMGAIAAOwDAAAO&#10;AAAAAAAAAAEAIAAAACMBAABkcnMvZTJvRG9jLnhtbFBLBQYAAAAABgAGAFkBAACtBQAAAAA=&#10;">
                    <v:path arrowok="t"/>
                    <v:fill on="f" focussize="0,0"/>
                    <v:stroke weight="1pt" color="#4874CB" joinstyle="miter" endarrow="open"/>
                    <v:imagedata o:title=""/>
                    <o:lock v:ext="edit" aspectratio="f"/>
                  </v:shape>
                  <v:shape id="文本框 20" o:spid="_x0000_s1061" o:spt="202" type="#_x0000_t202" style="position:absolute;left:3113405;top:979805;height:285750;width:1304925;"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BKqV+d0wAAAAUBAAAPAAAAAAAAAAEAIAAAACIAAABkcnMvZG93bnJldi54bWxQSwECFAAUAAAA&#10;CACHTuJAtXjKiWUCAADFBAAADgAAAAAAAAABACAAAAAiAQAAZHJzL2Uyb0RvYy54bWxQSwUGAAAA&#10;AAYABgBZAQAA+QUAAAAA&#10;">
                    <v:path/>
                    <v:fill on="t" color2="#FFFFFF" focussize="0,0"/>
                    <v:stroke weight="0.5pt" color="#000000" joinstyle="round"/>
                    <v:imagedata o:title=""/>
                    <o:lock v:ext="edit" aspectratio="f"/>
                    <v:textbox>
                      <w:txbxContent>
                        <w:p w14:paraId="57BE7B99">
                          <w:pPr>
                            <w:jc w:val="center"/>
                            <w:rPr>
                              <w:rFonts w:hint="eastAsia" w:eastAsia="宋体"/>
                              <w:lang w:eastAsia="zh-CN"/>
                            </w:rPr>
                          </w:pPr>
                          <w:r>
                            <w:rPr>
                              <w:rFonts w:hint="eastAsia"/>
                              <w:lang w:eastAsia="zh-CN"/>
                            </w:rPr>
                            <w:t>厂区污水处理设施</w:t>
                          </w:r>
                        </w:p>
                      </w:txbxContent>
                    </v:textbox>
                  </v:shape>
                  <v:shape id="文本框 22" o:spid="_x0000_s1062" o:spt="202" type="#_x0000_t202" style="position:absolute;left:3084829;top:1713230;height:285750;width:1162685;"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SqlfndMAAAAFAQAADwAAAAAAAAABACAAAAAiAAAAZHJzL2Rvd25yZXYueG1sUEsBAhQAFAAA&#10;AAgAh07iQC3cTahmAgAAxgQAAA4AAAAAAAAAAQAgAAAAIgEAAGRycy9lMm9Eb2MueG1sUEsFBgAA&#10;AAAGAAYAWQEAAPoFAAAAAA==&#10;">
                    <v:path/>
                    <v:fill on="t" color2="#FFFFFF" focussize="0,0"/>
                    <v:stroke weight="0.5pt" color="#000000" joinstyle="round"/>
                    <v:imagedata o:title=""/>
                    <o:lock v:ext="edit" aspectratio="f"/>
                    <v:textbox>
                      <w:txbxContent>
                        <w:p w14:paraId="063BD0A6">
                          <w:pPr>
                            <w:jc w:val="center"/>
                            <w:rPr>
                              <w:rFonts w:hint="eastAsia" w:eastAsia="宋体"/>
                              <w:lang w:eastAsia="zh-CN"/>
                            </w:rPr>
                          </w:pPr>
                          <w:r>
                            <w:rPr>
                              <w:rFonts w:hint="eastAsia"/>
                              <w:lang w:eastAsia="zh-CN"/>
                            </w:rPr>
                            <w:t>化粪池</w:t>
                          </w:r>
                        </w:p>
                      </w:txbxContent>
                    </v:textbox>
                  </v:shape>
                  <v:shape id="文本框 23" o:spid="_x0000_s1063" o:spt="202" type="#_x0000_t202" style="position:absolute;left:3122930;top:294005;height:285750;width:1162685;"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">
                    <v:path/>
                    <v:fill on="t" color2="#FFFFFF" focussize="0,0"/>
                    <v:stroke weight="0.5pt" color="#000000" joinstyle="round"/>
                    <v:imagedata o:title=""/>
                    <o:lock v:ext="edit" aspectratio="f"/>
                    <v:textbox>
                      <w:txbxContent>
                        <w:p w14:paraId="676A55FD">
                          <w:pPr>
                            <w:jc w:val="center"/>
                            <w:rPr>
                              <w:rFonts w:hint="eastAsia" w:eastAsia="宋体"/>
                              <w:lang w:eastAsia="zh-CN"/>
                            </w:rPr>
                          </w:pPr>
                          <w:r>
                            <w:rPr>
                              <w:rFonts w:hint="eastAsia"/>
                              <w:lang w:eastAsia="zh-CN"/>
                            </w:rPr>
                            <w:t>初期雨水收集池</w:t>
                          </w:r>
                        </w:p>
                      </w:txbxContent>
                    </v:textbox>
                  </v:shape>
                  <v:shape id="肘形连接符 25" o:spid="_x0000_s1064" o:spt="34" type="#_x0000_t34" style="position:absolute;left:3987800;top:1553210;flip:y;height:241300;width:1102360;rotation:-5898240f;" filled="f" stroked="t" coordsize="21600,21600" o:gfxdata="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GjE/6DTAAAABQEAAA8AAAAAAAAAAQAg&#10;AAAAIgAAAGRycy9kb3ducmV2LnhtbFBLAQIUABQAAAAIAIdO4kAjzdemTAIAAFQEAAAOAAAAAAAA&#10;AAEAIAAAACIBAABkcnMvZTJvRG9jLnhtbFBLBQYAAAAABgAGAFkBAADgBQAAAAA=&#10;" adj="-211">
                    <v:path arrowok="t"/>
                    <v:fill on="f" focussize="0,0"/>
                    <v:stroke weight="1pt" color="#4874CB" joinstyle="miter" endarrow="open"/>
                    <v:imagedata o:title=""/>
                    <o:lock v:ext="edit" aspectratio="f"/>
                  </v:shape>
                  <v:shape id="文本框 26" o:spid="_x0000_s1065" o:spt="202" type="#_x0000_t202" style="position:absolute;left:4029075;top:2289175;height:285750;width:1038860;" fillcolor="#FFFFFF" filled="t" stroked="t" coordsize="21600,21600" o:gfxdata="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SqlfndMAAAAFAQAADwAAAAAAAAABACAAAAAiAAAAZHJzL2Rvd25yZXYueG1sUEsBAhQAFAAA&#10;AAgAh07iQKUlY7NmAgAAxgQAAA4AAAAAAAAAAQAgAAAAIgEAAGRycy9lMm9Eb2MueG1sUEsFBgAA&#10;AAAGAAYAWQEAAPoFAAAAAA==&#10;">
                    <v:path/>
                    <v:fill on="t" color2="#FFFFFF" focussize="0,0"/>
                    <v:stroke weight="0.5pt" color="#000000" joinstyle="round"/>
                    <v:imagedata o:title=""/>
                    <o:lock v:ext="edit" aspectratio="f"/>
                    <v:textbox>
                      <w:txbxContent>
                        <w:p w14:paraId="6702872C">
                          <w:pPr>
                            <w:jc w:val="center"/>
                            <w:rPr>
                              <w:rFonts w:hint="eastAsia" w:eastAsia="宋体"/>
                              <w:lang w:eastAsia="zh-CN"/>
                            </w:rPr>
                          </w:pPr>
                          <w:r>
                            <w:rPr>
                              <w:rFonts w:hint="eastAsia"/>
                              <w:lang w:eastAsia="zh-CN"/>
                            </w:rPr>
                            <w:t>园区污水管网</w:t>
                          </w:r>
                        </w:p>
                      </w:txbxContent>
                    </v:textbox>
                  </v:shape>
                  <v:shape id="曲线连接符 33" o:spid="_x0000_s1066" o:spt="38" type="#_x0000_t38" style="position:absolute;left:1913255;top:836295;flip:y;height:161925;width:333375;" filled="f" stroked="t" coordsize="21600,21600" o:gfxdata="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DChgxb1QAAAAUBAAAPAAAAAAAAAAEAIAAAACIAAABkcnMvZG93bnJldi54bWxQSwEC&#10;FAAUAAAACACHTuJAwp5jljACAAAgBAAADgAAAAAAAAABACAAAAAkAQAAZHJzL2Uyb0RvYy54bWxQ&#10;SwUGAAAAAAYABgBZAQAAxgUAAAAA&#10;" adj="10821">
                    <v:path arrowok="t"/>
                    <v:fill on="f" focussize="0,0"/>
                    <v:stroke weight="1pt" color="#4874CB" joinstyle="miter" endarrow="open"/>
                    <v:imagedata o:title=""/>
                    <o:lock v:ext="edit" aspectratio="f"/>
                  </v:shape>
                  <v:shape id="文本框 35" o:spid="_x0000_s1067" o:spt="202" type="#_x0000_t202" style="position:absolute;left:2091055;top:1365885;height:285750;width:1047750;"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m/tovXAAAABQEAAA8AAAAAAAAAAQAg&#10;AAAAIgAAAGRycy9kb3ducmV2LnhtbFBLAQIUABQAAAAIAIdO4kCscyM4SAIAAHUEAAAOAAAAAAAA&#10;AAEAIAAAACYBAABkcnMvZTJvRG9jLnhtbFBLBQYAAAAABgAGAFkBAADgBQAAAAA=&#10;">
                    <v:path/>
                    <v:fill on="f" focussize="0,0"/>
                    <v:stroke on="f" weight="0.5pt"/>
                    <v:imagedata o:title=""/>
                    <o:lock v:ext="edit" aspectratio="f"/>
                    <v:textbox>
                      <w:txbxContent>
                        <w:p w14:paraId="639B06C2">
                          <w:pPr>
                            <w:rPr>
                              <w:rFonts w:hint="default" w:eastAsia="宋体"/>
                              <w:lang w:val="en-US" w:eastAsia="zh-CN"/>
                            </w:rPr>
                          </w:pPr>
                          <w:r>
                            <w:rPr>
                              <w:rFonts w:hint="eastAsia"/>
                              <w:lang w:val="en-US" w:eastAsia="zh-CN"/>
                            </w:rPr>
                            <w:t>损耗0.26</w:t>
                          </w:r>
                        </w:p>
                      </w:txbxContent>
                    </v:textbox>
                  </v:shape>
                  <v:shape id="文本框 36" o:spid="_x0000_s1068" o:spt="202" type="#_x0000_t202" style="position:absolute;left:2159635;top:676910;height:297815;width:910590;"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m/tovXAAAABQEAAA8AAAAAAAAAAQAg&#10;AAAAIgAAAGRycy9kb3ducmV2LnhtbFBLAQIUABQAAAAIAIdO4kARkgVaSAIAAHMEAAAOAAAAAAAA&#10;AAEAIAAAACYBAABkcnMvZTJvRG9jLnhtbFBLBQYAAAAABgAGAFkBAADgBQAAAAA=&#10;">
                    <v:path/>
                    <v:fill on="f" focussize="0,0"/>
                    <v:stroke on="f" weight="0.5pt"/>
                    <v:imagedata o:title=""/>
                    <o:lock v:ext="edit" aspectratio="f"/>
                    <v:textbox>
                      <w:txbxContent>
                        <w:p w14:paraId="460914D4">
                          <w:pPr>
                            <w:rPr>
                              <w:rFonts w:hint="default" w:eastAsia="宋体"/>
                              <w:lang w:val="en-US" w:eastAsia="zh-CN"/>
                            </w:rPr>
                          </w:pPr>
                          <w:r>
                            <w:rPr>
                              <w:rFonts w:hint="eastAsia"/>
                              <w:lang w:val="en-US" w:eastAsia="zh-CN"/>
                            </w:rPr>
                            <w:t>损耗0.09</w:t>
                          </w:r>
                        </w:p>
                      </w:txbxContent>
                    </v:textbox>
                  </v:shape>
                  <v:shape id="文本框 37" o:spid="_x0000_s1069" o:spt="202" type="#_x0000_t202" style="position:absolute;left:2646680;top:1628140;height:306705;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Zv7aL1wAAAAUBAAAPAAAAAAAAAAEA&#10;IAAAACIAAABkcnMvZG93bnJldi54bWxQSwECFAAUAAAACACHTuJA5X249UkCAAB0BAAADgAAAAAA&#10;AAABACAAAAAmAQAAZHJzL2Uyb0RvYy54bWxQSwUGAAAAAAYABgBZAQAA4QUAAAAA&#10;">
                    <v:path/>
                    <v:fill on="f" focussize="0,0"/>
                    <v:stroke on="f" weight="0.5pt"/>
                    <v:imagedata o:title=""/>
                    <o:lock v:ext="edit" aspectratio="f"/>
                    <v:textbox>
                      <w:txbxContent>
                        <w:p w14:paraId="2AD9339B">
                          <w:pPr>
                            <w:rPr>
                              <w:rFonts w:hint="default" w:eastAsia="宋体"/>
                              <w:lang w:val="en-US" w:eastAsia="zh-CN"/>
                            </w:rPr>
                          </w:pPr>
                          <w:r>
                            <w:rPr>
                              <w:rFonts w:hint="eastAsia"/>
                              <w:lang w:val="en-US" w:eastAsia="zh-CN"/>
                            </w:rPr>
                            <w:t>1.04</w:t>
                          </w:r>
                        </w:p>
                      </w:txbxContent>
                    </v:textbox>
                  </v:shape>
                  <v:shape id="文本框 38" o:spid="_x0000_s1070" o:spt="202" type="#_x0000_t202" style="position:absolute;left:1165225;top:888364;height:280670;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BZv7aL1wAAAAUBAAAPAAAAAAAAAAEA&#10;IAAAACIAAABkcnMvZG93bnJldi54bWxQSwECFAAUAAAACACHTuJAKXVe+kkCAABzBAAADgAAAAAA&#10;AAABACAAAAAmAQAAZHJzL2Uyb0RvYy54bWxQSwUGAAAAAAYABgBZAQAA4QUAAAAA&#10;">
                    <v:path/>
                    <v:fill on="f" focussize="0,0"/>
                    <v:stroke on="f" weight="0.5pt"/>
                    <v:imagedata o:title=""/>
                    <o:lock v:ext="edit" aspectratio="f"/>
                    <v:textbox>
                      <w:txbxContent>
                        <w:p w14:paraId="62F790D3">
                          <w:pPr>
                            <w:rPr>
                              <w:rFonts w:hint="default" w:eastAsia="宋体"/>
                              <w:lang w:val="en-US" w:eastAsia="zh-CN"/>
                            </w:rPr>
                          </w:pPr>
                          <w:r>
                            <w:rPr>
                              <w:rFonts w:hint="eastAsia" w:eastAsia="宋体"/>
                              <w:lang w:val="en-US" w:eastAsia="zh-CN"/>
                            </w:rPr>
                            <w:t>0.45</w:t>
                          </w:r>
                        </w:p>
                      </w:txbxContent>
                    </v:textbox>
                  </v:shape>
                  <v:shape id="曲线连接符 42" o:spid="_x0000_s1071" o:spt="38" type="#_x0000_t38" style="position:absolute;left:1808480;top:1532255;flip:y;height:161925;width:333375;" filled="f" stroked="t" coordsize="21600,21600" o:gfxdata="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Chgxb1QAAAAUBAAAPAAAAAAAAAAEAIAAAACIAAABkcnMvZG93bnJldi54bWxQ&#10;SwECFAAUAAAACACHTuJAHb74xDMCAAAhBAAADgAAAAAAAAABACAAAAAkAQAAZHJzL2Uyb0RvYy54&#10;bWxQSwUGAAAAAAYABgBZAQAAyQUAAAAA&#10;" adj="10821">
                    <v:path arrowok="t"/>
                    <v:fill on="f" focussize="0,0"/>
                    <v:stroke weight="1pt" color="#4874CB" joinstyle="miter" endarrow="open"/>
                    <v:imagedata o:title=""/>
                    <o:lock v:ext="edit" aspectratio="f"/>
                  </v:shape>
                  <v:shape id="文本框 43" o:spid="_x0000_s1072" o:spt="202" type="#_x0000_t202" style="position:absolute;left:4361815;top:892175;height:280670;width:70294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Wb+2i9cAAAAFAQAADwAAAAAAAAAB&#10;ACAAAAAiAAAAZHJzL2Rvd25yZXYueG1sUEsBAhQAFAAAAAgAh07iQApKh9JKAgAAcwQAAA4AAAAA&#10;AAAAAQAgAAAAJgEAAGRycy9lMm9Eb2MueG1sUEsFBgAAAAAGAAYAWQEAAOIFAAAAAA==&#10;">
                    <v:path/>
                    <v:fill on="f" focussize="0,0"/>
                    <v:stroke on="f" weight="0.5pt"/>
                    <v:imagedata o:title=""/>
                    <o:lock v:ext="edit" aspectratio="f"/>
                    <v:textbox>
                      <w:txbxContent>
                        <w:p w14:paraId="62D5F4B5">
                          <w:pPr>
                            <w:rPr>
                              <w:rFonts w:hint="default" w:eastAsia="宋体"/>
                              <w:lang w:val="en-US" w:eastAsia="zh-CN"/>
                            </w:rPr>
                          </w:pPr>
                          <w:r>
                            <w:rPr>
                              <w:rFonts w:hint="eastAsia"/>
                              <w:lang w:val="en-US" w:eastAsia="zh-CN"/>
                            </w:rPr>
                            <w:t>2</w:t>
                          </w:r>
                          <w:r>
                            <w:rPr>
                              <w:rFonts w:hint="eastAsia" w:eastAsia="宋体"/>
                              <w:lang w:val="en-US" w:eastAsia="zh-CN"/>
                            </w:rPr>
                            <w:t>.285</w:t>
                          </w:r>
                        </w:p>
                      </w:txbxContent>
                    </v:textbox>
                  </v:shape>
                  <v:shape id="文本框 45" o:spid="_x0000_s1073" o:spt="202" type="#_x0000_t202" style="position:absolute;left:4175760;top:1637030;height:271780;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m/tovXAAAABQEAAA8AAAAAAAAAAQAg&#10;AAAAIgAAAGRycy9kb3ducmV2LnhtbFBLAQIUABQAAAAIAIdO4kBkPHiLSAIAAHQEAAAOAAAAAAAA&#10;AAEAIAAAACYBAABkcnMvZTJvRG9jLnhtbFBLBQYAAAAABgAGAFkBAADgBQAAAAA=&#10;">
                    <v:path/>
                    <v:fill on="f" focussize="0,0"/>
                    <v:stroke on="f" weight="0.5pt"/>
                    <v:imagedata o:title=""/>
                    <o:lock v:ext="edit" aspectratio="f"/>
                    <v:textbox>
                      <w:txbxContent>
                        <w:p w14:paraId="0F1BE613">
                          <w:pPr>
                            <w:rPr>
                              <w:rFonts w:hint="default" w:eastAsia="宋体"/>
                              <w:lang w:val="en-US" w:eastAsia="zh-CN"/>
                            </w:rPr>
                          </w:pPr>
                          <w:r>
                            <w:rPr>
                              <w:rFonts w:hint="eastAsia"/>
                              <w:lang w:val="en-US" w:eastAsia="zh-CN"/>
                            </w:rPr>
                            <w:t>1.04</w:t>
                          </w:r>
                        </w:p>
                      </w:txbxContent>
                    </v:textbox>
                  </v:shape>
                  <v:shape id="文本框 46" o:spid="_x0000_s1074" o:spt="202" type="#_x0000_t202" style="position:absolute;left:4064635;top:2041524;height:275590;width:735330;"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Wb+2i9cAAAAFAQAADwAAAAAAAAAB&#10;ACAAAAAiAAAAZHJzL2Rvd25yZXYueG1sUEsBAhQAFAAAAAgAh07iQNwWSrpKAgAAdAQAAA4AAAAA&#10;AAAAAQAgAAAAJgEAAGRycy9lMm9Eb2MueG1sUEsFBgAAAAAGAAYAWQEAAOIFAAAAAA==&#10;">
                    <v:path/>
                    <v:fill on="f" focussize="0,0"/>
                    <v:stroke on="f" weight="0.5pt"/>
                    <v:imagedata o:title=""/>
                    <o:lock v:ext="edit" aspectratio="f"/>
                    <v:textbox>
                      <w:txbxContent>
                        <w:p w14:paraId="752379D7">
                          <w:pPr>
                            <w:rPr>
                              <w:rFonts w:hint="default" w:eastAsia="宋体"/>
                              <w:lang w:val="en-US" w:eastAsia="zh-CN"/>
                            </w:rPr>
                          </w:pPr>
                          <w:r>
                            <w:rPr>
                              <w:rFonts w:hint="eastAsia"/>
                              <w:lang w:val="en-US" w:eastAsia="zh-CN"/>
                            </w:rPr>
                            <w:t>3.325</w:t>
                          </w:r>
                        </w:p>
                      </w:txbxContent>
                    </v:textbox>
                  </v:shape>
                  <v:line id="直接连接符 4" o:spid="_x0000_s1075" o:spt="20" style="position:absolute;left:1235710;top:1115060;height:742950;width:10160;" filled="f" stroked="t" coordsize="21600,21600" o:gfxdata="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CZxqxA0wAAAAUBAAAPAAAAAAAAAAEAIAAAACIAAABkcnMvZG93bnJldi54bWxQSwECFAAU&#10;AAAACACHTuJA6O9uAvYBAADBAwAADgAAAAAAAAABACAAAAAiAQAAZHJzL2Uyb0RvYy54bWxQSwUG&#10;AAAAAAYABgBZAQAAigUAAAAA&#10;">
                    <v:path arrowok="t"/>
                    <v:fill on="f" focussize="0,0"/>
                    <v:stroke weight="1pt" color="#4874CB" joinstyle="miter"/>
                    <v:imagedata o:title=""/>
                    <o:lock v:ext="edit" aspectratio="f"/>
                  </v:line>
                  <v:shape id="文本框 30" o:spid="_x0000_s1076" o:spt="202" type="#_x0000_t202" style="position:absolute;left:708025;top:1245235;height:280670;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b+2i9cAAAAFAQAADwAAAAAAAAABACAA&#10;AAAiAAAAZHJzL2Rvd25yZXYueG1sUEsBAhQAFAAAAAgAh07iQF5VsolHAgAAcgQAAA4AAAAAAAAA&#10;AQAgAAAAJgEAAGRycy9lMm9Eb2MueG1sUEsFBgAAAAAGAAYAWQEAAN8FAAAAAA==&#10;">
                    <v:path/>
                    <v:fill on="f" focussize="0,0"/>
                    <v:stroke on="f" weight="0.5pt"/>
                    <v:imagedata o:title=""/>
                    <o:lock v:ext="edit" aspectratio="f"/>
                    <v:textbox>
                      <w:txbxContent>
                        <w:p w14:paraId="689A0174">
                          <w:pPr>
                            <w:rPr>
                              <w:rFonts w:hint="default" w:eastAsia="宋体"/>
                              <w:lang w:val="en-US" w:eastAsia="zh-CN"/>
                            </w:rPr>
                          </w:pPr>
                          <w:r>
                            <w:rPr>
                              <w:rFonts w:hint="eastAsia"/>
                              <w:lang w:val="en-US" w:eastAsia="zh-CN"/>
                            </w:rPr>
                            <w:t>1.75</w:t>
                          </w:r>
                        </w:p>
                      </w:txbxContent>
                    </v:textbox>
                  </v:shape>
                  <v:shape id="文本框 31" o:spid="_x0000_s1077" o:spt="202" type="#_x0000_t202" style="position:absolute;left:1114425;top:1833880;height:281940;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Fm/tovXAAAABQEAAA8AAAAAAAAAAQAgAAAA&#10;IgAAAGRycy9kb3ducmV2LnhtbFBLAQIUABQAAAAIAIdO4kBBiGQ4RQIAAHMEAAAOAAAAAAAAAAEA&#10;IAAAACYBAABkcnMvZTJvRG9jLnhtbFBLBQYAAAAABgAGAFkBAADdBQAAAAA=&#10;">
                    <v:path/>
                    <v:fill on="f" focussize="0,0"/>
                    <v:stroke on="f" weight="0.5pt"/>
                    <v:imagedata o:title=""/>
                    <o:lock v:ext="edit" aspectratio="f"/>
                    <v:textbox>
                      <w:txbxContent>
                        <w:p w14:paraId="1A74AE17">
                          <w:pPr>
                            <w:rPr>
                              <w:rFonts w:hint="default" w:eastAsia="宋体"/>
                              <w:lang w:val="en-US" w:eastAsia="zh-CN"/>
                            </w:rPr>
                          </w:pPr>
                          <w:r>
                            <w:rPr>
                              <w:rFonts w:hint="eastAsia" w:eastAsia="宋体"/>
                              <w:lang w:val="en-US" w:eastAsia="zh-CN"/>
                            </w:rPr>
                            <w:t>1.</w:t>
                          </w:r>
                          <w:r>
                            <w:rPr>
                              <w:rFonts w:hint="eastAsia"/>
                              <w:lang w:val="en-US" w:eastAsia="zh-CN"/>
                            </w:rPr>
                            <w:t>3</w:t>
                          </w:r>
                        </w:p>
                      </w:txbxContent>
                    </v:textbox>
                  </v:shape>
                  <v:shape id="文本框 51" o:spid="_x0000_s1078" o:spt="202" type="#_x0000_t202" style="position:absolute;left:2628900;top:924560;height:306705;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Wb+2i9cAAAAFAQAADwAAAAAAAAABACAA&#10;AAAiAAAAZHJzL2Rvd25yZXYueG1sUEsBAhQAFAAAAAgAh07iQHS6nltHAgAAcgQAAA4AAAAAAAAA&#10;AQAgAAAAJgEAAGRycy9lMm9Eb2MueG1sUEsFBgAAAAAGAAYAWQEAAN8FAAAAAA==&#10;">
                    <v:path/>
                    <v:fill on="f" focussize="0,0"/>
                    <v:stroke on="f" weight="0.5pt"/>
                    <v:imagedata o:title=""/>
                    <o:lock v:ext="edit" aspectratio="f"/>
                    <v:textbox>
                      <w:txbxContent>
                        <w:p w14:paraId="2B0D8F7F">
                          <w:pPr>
                            <w:rPr>
                              <w:rFonts w:hint="default" w:eastAsia="宋体"/>
                              <w:lang w:val="en-US" w:eastAsia="zh-CN"/>
                            </w:rPr>
                          </w:pPr>
                          <w:r>
                            <w:rPr>
                              <w:rFonts w:hint="eastAsia" w:eastAsia="宋体"/>
                              <w:lang w:val="en-US" w:eastAsia="zh-CN"/>
                            </w:rPr>
                            <w:t>0.36</w:t>
                          </w:r>
                        </w:p>
                      </w:txbxContent>
                    </v:textbox>
                  </v:shape>
                  <v:shape id="文本框 29" o:spid="_x0000_s1079" o:spt="202" type="#_x0000_t202" style="position:absolute;left:0;top:2205990;height:285750;width:9239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Wb+2i9cAAAAFAQAADwAAAAAAAAABACAAAAAiAAAA&#10;ZHJzL2Rvd25yZXYueG1sUEsBAhQAFAAAAAgAh07iQMC6K1dBAgAAbQQAAA4AAAAAAAAAAQAgAAAA&#10;JgEAAGRycy9lMm9Eb2MueG1sUEsFBgAAAAAGAAYAWQEAANkFAAAAAA==&#10;">
                    <v:path/>
                    <v:fill on="f" focussize="0,0"/>
                    <v:stroke on="f" weight="0.5pt"/>
                    <v:imagedata o:title=""/>
                    <o:lock v:ext="edit" aspectratio="f"/>
                    <v:textbox>
                      <w:txbxContent>
                        <w:p w14:paraId="4C0B089D">
                          <w:pPr>
                            <w:rPr>
                              <w:rFonts w:hint="default" w:eastAsia="宋体"/>
                              <w:lang w:val="en-US" w:eastAsia="zh-CN"/>
                            </w:rPr>
                          </w:pPr>
                          <w:r>
                            <w:rPr>
                              <w:rFonts w:hint="eastAsia"/>
                              <w:lang w:val="en-US" w:eastAsia="zh-CN"/>
                            </w:rPr>
                            <w:t>单位：m</w:t>
                          </w:r>
                          <w:r>
                            <w:rPr>
                              <w:rFonts w:hint="eastAsia"/>
                              <w:vertAlign w:val="superscript"/>
                              <w:lang w:val="en-US" w:eastAsia="zh-CN"/>
                            </w:rPr>
                            <w:t>3</w:t>
                          </w:r>
                          <w:r>
                            <w:rPr>
                              <w:rFonts w:hint="eastAsia"/>
                              <w:lang w:val="en-US" w:eastAsia="zh-CN"/>
                            </w:rPr>
                            <w:t>/d</w:t>
                          </w:r>
                        </w:p>
                      </w:txbxContent>
                    </v:textbox>
                  </v:shape>
                  <v:shape id="文本框 28" o:spid="_x0000_s1080" o:spt="202" type="#_x0000_t202" style="position:absolute;left:3721735;top:621665;height:264160;width:619125;" filled="f" stroked="f" coordsize="21600,21600" o:gfxdata="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Fm/tovXAAAABQEAAA8AAAAAAAAAAQAg&#10;AAAAIgAAAGRycy9kb3ducmV2LnhtbFBLAQIUABQAAAAIAIdO4kAfLHRfSAIAAHIEAAAOAAAAAAAA&#10;AAEAIAAAACYBAABkcnMvZTJvRG9jLnhtbFBLBQYAAAAABgAGAFkBAADgBQAAAAA=&#10;">
                    <v:path/>
                    <v:fill on="f" focussize="0,0"/>
                    <v:stroke on="f" weight="0.5pt"/>
                    <v:imagedata o:title=""/>
                    <o:lock v:ext="edit" aspectratio="f"/>
                    <v:textbox>
                      <w:txbxContent>
                        <w:p w14:paraId="64152D80">
                          <w:pPr>
                            <w:rPr>
                              <w:rFonts w:hint="default" w:eastAsia="宋体"/>
                              <w:lang w:val="en-US" w:eastAsia="zh-CN"/>
                            </w:rPr>
                          </w:pPr>
                          <w:r>
                            <w:rPr>
                              <w:rFonts w:hint="eastAsia" w:eastAsia="宋体"/>
                              <w:lang w:val="en-US" w:eastAsia="zh-CN"/>
                            </w:rPr>
                            <w:t>1.925</w:t>
                          </w:r>
                        </w:p>
                      </w:txbxContent>
                    </v:textbox>
                  </v:shape>
                  <v:shape id="直接箭头连接符 24" o:spid="_x0000_s1081" o:spt="32" type="#_x0000_t32" style="position:absolute;left:3747769;top:586740;height:390525;width:0;" filled="f" stroked="t" coordsize="21600,21600" o:gfxdata="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tHIWDUAAAABQEAAA8AAAAAAAAA&#10;AQAgAAAAIgAAAGRycy9kb3ducmV2LnhtbFBLAQIUABQAAAAIAIdO4kB4Z5sNFQIAAOsDAAAOAAAA&#10;AAAAAAEAIAAAACMBAABkcnMvZTJvRG9jLnhtbFBLBQYAAAAABgAGAFkBAACqBQAAAAA=&#10;">
                    <v:path arrowok="t"/>
                    <v:fill on="f" focussize="0,0"/>
                    <v:stroke weight="1pt" color="#4874CB" joinstyle="miter" endarrow="open"/>
                    <v:imagedata o:title=""/>
                    <o:lock v:ext="edit" aspectratio="f"/>
                  </v:shape>
                  <w10:wrap type="none"/>
                  <w10:anchorlock/>
                </v:group>
              </w:pict>
            </w:r>
          </w:p>
          <w:p w14:paraId="1F49BD7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bCs/>
                <w:color w:val="auto"/>
                <w:spacing w:val="1"/>
                <w:sz w:val="21"/>
                <w:szCs w:val="21"/>
                <w:highlight w:val="none"/>
                <w:lang w:val="en-US" w:eastAsia="zh-CN"/>
              </w:rPr>
              <w:t>图</w:t>
            </w:r>
            <w:r>
              <w:rPr>
                <w:rFonts w:hint="eastAsia" w:eastAsia="宋体" w:cs="Times New Roman"/>
                <w:b/>
                <w:bCs/>
                <w:color w:val="auto"/>
                <w:spacing w:val="1"/>
                <w:sz w:val="21"/>
                <w:szCs w:val="21"/>
                <w:highlight w:val="none"/>
                <w:lang w:val="en-US" w:eastAsia="zh-CN"/>
              </w:rPr>
              <w:t>1</w:t>
            </w:r>
            <w:r>
              <w:rPr>
                <w:rFonts w:hint="eastAsia" w:ascii="Times New Roman" w:hAnsi="Times New Roman" w:eastAsia="宋体" w:cs="Times New Roman"/>
                <w:b/>
                <w:bCs/>
                <w:color w:val="auto"/>
                <w:spacing w:val="1"/>
                <w:sz w:val="21"/>
                <w:szCs w:val="21"/>
                <w:highlight w:val="none"/>
                <w:lang w:val="en-US" w:eastAsia="zh-CN"/>
              </w:rPr>
              <w:t xml:space="preserve">  项目水平衡图（m</w:t>
            </w:r>
            <w:r>
              <w:rPr>
                <w:rFonts w:hint="eastAsia" w:ascii="Times New Roman" w:hAnsi="Times New Roman" w:eastAsia="宋体" w:cs="Times New Roman"/>
                <w:b/>
                <w:bCs/>
                <w:color w:val="auto"/>
                <w:spacing w:val="1"/>
                <w:sz w:val="21"/>
                <w:szCs w:val="21"/>
                <w:highlight w:val="none"/>
                <w:vertAlign w:val="superscript"/>
                <w:lang w:val="en-US" w:eastAsia="zh-CN"/>
              </w:rPr>
              <w:t>3</w:t>
            </w:r>
            <w:r>
              <w:rPr>
                <w:rFonts w:hint="eastAsia" w:ascii="Times New Roman" w:hAnsi="Times New Roman" w:eastAsia="宋体" w:cs="Times New Roman"/>
                <w:b/>
                <w:bCs/>
                <w:color w:val="auto"/>
                <w:spacing w:val="1"/>
                <w:sz w:val="21"/>
                <w:szCs w:val="21"/>
                <w:highlight w:val="none"/>
                <w:lang w:val="en-US" w:eastAsia="zh-CN"/>
              </w:rPr>
              <w:t>/d）</w:t>
            </w:r>
          </w:p>
          <w:p w14:paraId="17A0F9B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6" w:firstLineChars="200"/>
              <w:textAlignment w:val="auto"/>
              <w:rPr>
                <w:rFonts w:hint="default" w:ascii="Times New Roman" w:hAnsi="Times New Roman" w:eastAsia="宋体" w:cs="Times New Roman"/>
                <w:b/>
                <w:bCs/>
                <w:color w:val="auto"/>
                <w:spacing w:val="1"/>
                <w:sz w:val="24"/>
                <w:szCs w:val="24"/>
                <w:highlight w:val="none"/>
                <w:lang w:eastAsia="zh-CN"/>
              </w:rPr>
            </w:pPr>
            <w:r>
              <w:rPr>
                <w:rFonts w:hint="eastAsia" w:cs="Times New Roman"/>
                <w:b/>
                <w:bCs/>
                <w:color w:val="auto"/>
                <w:spacing w:val="1"/>
                <w:sz w:val="24"/>
                <w:szCs w:val="24"/>
                <w:highlight w:val="none"/>
                <w:lang w:val="en-US" w:eastAsia="zh-CN"/>
              </w:rPr>
              <w:t>6</w:t>
            </w:r>
            <w:r>
              <w:rPr>
                <w:rFonts w:hint="eastAsia" w:ascii="Times New Roman" w:hAnsi="Times New Roman" w:eastAsia="宋体" w:cs="Times New Roman"/>
                <w:b/>
                <w:bCs/>
                <w:color w:val="auto"/>
                <w:spacing w:val="1"/>
                <w:sz w:val="24"/>
                <w:szCs w:val="24"/>
                <w:highlight w:val="none"/>
                <w:lang w:val="en-US" w:eastAsia="zh-CN"/>
              </w:rPr>
              <w:t>.3</w:t>
            </w:r>
            <w:r>
              <w:rPr>
                <w:rFonts w:hint="default" w:ascii="Times New Roman" w:hAnsi="Times New Roman" w:eastAsia="宋体" w:cs="Times New Roman"/>
                <w:b/>
                <w:bCs/>
                <w:color w:val="auto"/>
                <w:spacing w:val="1"/>
                <w:sz w:val="24"/>
                <w:szCs w:val="24"/>
                <w:highlight w:val="none"/>
                <w:lang w:eastAsia="zh-CN"/>
              </w:rPr>
              <w:t>供电</w:t>
            </w:r>
          </w:p>
          <w:p w14:paraId="0359F1B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4" w:firstLineChars="200"/>
              <w:textAlignment w:val="auto"/>
              <w:rPr>
                <w:rFonts w:hint="default" w:ascii="Times New Roman" w:hAnsi="Times New Roman" w:eastAsia="宋体" w:cs="Times New Roman"/>
                <w:color w:val="auto"/>
                <w:spacing w:val="1"/>
                <w:sz w:val="24"/>
                <w:szCs w:val="24"/>
                <w:highlight w:val="none"/>
                <w:lang w:val="en-US" w:eastAsia="zh-CN"/>
              </w:rPr>
            </w:pPr>
            <w:r>
              <w:rPr>
                <w:rFonts w:hint="default" w:ascii="Times New Roman" w:hAnsi="Times New Roman" w:eastAsia="宋体" w:cs="Times New Roman"/>
                <w:color w:val="auto"/>
                <w:spacing w:val="1"/>
                <w:sz w:val="24"/>
                <w:szCs w:val="24"/>
                <w:highlight w:val="none"/>
                <w:lang w:eastAsia="zh-CN"/>
              </w:rPr>
              <w:t>本项目建成后用电量</w:t>
            </w:r>
            <w:r>
              <w:rPr>
                <w:rFonts w:hint="eastAsia" w:ascii="Times New Roman" w:hAnsi="Times New Roman" w:eastAsia="宋体" w:cs="Times New Roman"/>
                <w:color w:val="auto"/>
                <w:spacing w:val="1"/>
                <w:sz w:val="24"/>
                <w:szCs w:val="24"/>
                <w:highlight w:val="none"/>
                <w:lang w:val="en-US" w:eastAsia="zh-CN"/>
              </w:rPr>
              <w:t>约</w:t>
            </w:r>
            <w:r>
              <w:rPr>
                <w:rFonts w:hint="eastAsia" w:ascii="Times New Roman" w:hAnsi="Times New Roman" w:eastAsia="宋体" w:cs="Times New Roman"/>
                <w:color w:val="auto"/>
                <w:spacing w:val="1"/>
                <w:sz w:val="24"/>
                <w:szCs w:val="24"/>
                <w:highlight w:val="none"/>
                <w:lang w:eastAsia="zh-CN"/>
              </w:rPr>
              <w:t>为</w:t>
            </w:r>
            <w:r>
              <w:rPr>
                <w:rFonts w:hint="eastAsia" w:cs="Times New Roman"/>
                <w:color w:val="auto"/>
                <w:spacing w:val="1"/>
                <w:sz w:val="24"/>
                <w:szCs w:val="24"/>
                <w:highlight w:val="none"/>
                <w:lang w:val="en-US" w:eastAsia="zh-CN"/>
              </w:rPr>
              <w:t>100</w:t>
            </w:r>
            <w:r>
              <w:rPr>
                <w:rFonts w:hint="default" w:ascii="Times New Roman" w:hAnsi="Times New Roman" w:eastAsia="宋体" w:cs="Times New Roman"/>
                <w:color w:val="auto"/>
                <w:spacing w:val="1"/>
                <w:sz w:val="24"/>
                <w:szCs w:val="24"/>
                <w:highlight w:val="none"/>
                <w:lang w:eastAsia="zh-CN"/>
              </w:rPr>
              <w:t>万kW·h/a，</w:t>
            </w:r>
            <w:r>
              <w:rPr>
                <w:rFonts w:hint="eastAsia" w:ascii="Times New Roman" w:hAnsi="Times New Roman" w:eastAsia="宋体" w:cs="Times New Roman"/>
                <w:color w:val="auto"/>
                <w:spacing w:val="1"/>
                <w:sz w:val="24"/>
                <w:szCs w:val="24"/>
                <w:highlight w:val="none"/>
                <w:lang w:val="en-US" w:eastAsia="zh-CN"/>
              </w:rPr>
              <w:t>由市政电网供给</w:t>
            </w:r>
            <w:r>
              <w:rPr>
                <w:rFonts w:hint="default" w:ascii="Times New Roman" w:hAnsi="Times New Roman" w:eastAsia="宋体" w:cs="Times New Roman"/>
                <w:color w:val="auto"/>
                <w:spacing w:val="1"/>
                <w:sz w:val="24"/>
                <w:szCs w:val="24"/>
                <w:highlight w:val="none"/>
                <w:lang w:eastAsia="zh-CN"/>
              </w:rPr>
              <w:t>。</w:t>
            </w:r>
          </w:p>
          <w:p w14:paraId="6F60F16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6" w:firstLineChars="200"/>
              <w:textAlignment w:val="auto"/>
              <w:rPr>
                <w:rFonts w:hint="eastAsia" w:ascii="Times New Roman" w:hAnsi="Times New Roman" w:eastAsia="宋体" w:cs="Times New Roman"/>
                <w:b/>
                <w:bCs/>
                <w:color w:val="auto"/>
                <w:spacing w:val="1"/>
                <w:sz w:val="24"/>
                <w:szCs w:val="24"/>
                <w:highlight w:val="none"/>
                <w:lang w:val="en-US" w:eastAsia="zh-CN"/>
              </w:rPr>
            </w:pPr>
            <w:r>
              <w:rPr>
                <w:rFonts w:hint="eastAsia" w:cs="Times New Roman"/>
                <w:b/>
                <w:bCs/>
                <w:color w:val="auto"/>
                <w:spacing w:val="1"/>
                <w:sz w:val="24"/>
                <w:szCs w:val="24"/>
                <w:highlight w:val="none"/>
                <w:lang w:val="en-US" w:eastAsia="zh-CN"/>
              </w:rPr>
              <w:t>6.4</w:t>
            </w:r>
            <w:r>
              <w:rPr>
                <w:rFonts w:hint="eastAsia" w:ascii="Times New Roman" w:hAnsi="Times New Roman" w:eastAsia="宋体" w:cs="Times New Roman"/>
                <w:b/>
                <w:bCs/>
                <w:color w:val="auto"/>
                <w:spacing w:val="1"/>
                <w:sz w:val="24"/>
                <w:szCs w:val="24"/>
                <w:highlight w:val="none"/>
                <w:lang w:val="en-US" w:eastAsia="zh-CN"/>
              </w:rPr>
              <w:t>供暖</w:t>
            </w:r>
          </w:p>
          <w:p w14:paraId="231EDDC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4" w:firstLineChars="200"/>
              <w:textAlignment w:val="auto"/>
              <w:rPr>
                <w:rFonts w:hint="default" w:ascii="Times New Roman" w:hAnsi="Times New Roman" w:eastAsia="宋体" w:cs="Times New Roman"/>
                <w:color w:val="auto"/>
                <w:spacing w:val="1"/>
                <w:sz w:val="24"/>
                <w:szCs w:val="24"/>
                <w:highlight w:val="none"/>
                <w:lang w:val="en-US" w:eastAsia="zh-CN"/>
              </w:rPr>
            </w:pPr>
            <w:r>
              <w:rPr>
                <w:rFonts w:hint="eastAsia" w:ascii="Times New Roman" w:hAnsi="Times New Roman" w:eastAsia="宋体" w:cs="Times New Roman"/>
                <w:color w:val="auto"/>
                <w:spacing w:val="1"/>
                <w:sz w:val="24"/>
                <w:szCs w:val="24"/>
                <w:highlight w:val="none"/>
                <w:lang w:val="en-US" w:eastAsia="zh-CN"/>
              </w:rPr>
              <w:t>生产车间无需供热、供暖系统；办公楼采取电</w:t>
            </w:r>
            <w:r>
              <w:rPr>
                <w:rFonts w:hint="eastAsia" w:cs="Times New Roman"/>
                <w:color w:val="auto"/>
                <w:spacing w:val="1"/>
                <w:sz w:val="24"/>
                <w:szCs w:val="24"/>
                <w:highlight w:val="none"/>
                <w:lang w:val="en-US" w:eastAsia="zh-CN"/>
              </w:rPr>
              <w:t>取</w:t>
            </w:r>
            <w:r>
              <w:rPr>
                <w:rFonts w:hint="eastAsia" w:ascii="Times New Roman" w:hAnsi="Times New Roman" w:eastAsia="宋体" w:cs="Times New Roman"/>
                <w:color w:val="auto"/>
                <w:spacing w:val="1"/>
                <w:sz w:val="24"/>
                <w:szCs w:val="24"/>
                <w:highlight w:val="none"/>
                <w:lang w:val="en-US" w:eastAsia="zh-CN"/>
              </w:rPr>
              <w:t>暖。</w:t>
            </w:r>
          </w:p>
          <w:p w14:paraId="1CCD9074">
            <w:pPr>
              <w:pStyle w:val="73"/>
              <w:keepNext w:val="0"/>
              <w:keepLines w:val="0"/>
              <w:suppressLineNumbers w:val="0"/>
              <w:spacing w:before="0" w:beforeAutospacing="0" w:after="0" w:afterAutospacing="0" w:line="360" w:lineRule="auto"/>
              <w:ind w:left="0" w:right="0" w:firstLine="450" w:firstLineChars="200"/>
              <w:rPr>
                <w:rFonts w:hint="default"/>
                <w:color w:val="auto"/>
                <w:sz w:val="24"/>
                <w:szCs w:val="24"/>
                <w:highlight w:val="none"/>
                <w:lang w:val="en-US" w:eastAsia="zh-CN"/>
              </w:rPr>
            </w:pPr>
            <w:r>
              <w:rPr>
                <w:rFonts w:hint="eastAsia"/>
                <w:b/>
                <w:bCs/>
                <w:color w:val="auto"/>
                <w:spacing w:val="-8"/>
                <w:sz w:val="24"/>
                <w:szCs w:val="24"/>
                <w:highlight w:val="none"/>
                <w:lang w:val="en-US" w:eastAsia="zh-CN"/>
              </w:rPr>
              <w:t>7</w:t>
            </w:r>
            <w:r>
              <w:rPr>
                <w:rFonts w:hint="default"/>
                <w:b/>
                <w:bCs/>
                <w:color w:val="auto"/>
                <w:spacing w:val="-8"/>
                <w:sz w:val="24"/>
                <w:szCs w:val="24"/>
                <w:highlight w:val="none"/>
                <w:lang w:eastAsia="zh-CN"/>
              </w:rPr>
              <w:t>、</w:t>
            </w:r>
            <w:r>
              <w:rPr>
                <w:rFonts w:hint="eastAsia"/>
                <w:b/>
                <w:bCs/>
                <w:color w:val="auto"/>
                <w:spacing w:val="-8"/>
                <w:sz w:val="24"/>
                <w:szCs w:val="24"/>
                <w:highlight w:val="none"/>
                <w:lang w:val="en-US" w:eastAsia="zh-CN"/>
              </w:rPr>
              <w:t>工作制度及劳动定员</w:t>
            </w:r>
          </w:p>
          <w:p w14:paraId="5766E262">
            <w:pPr>
              <w:keepNext w:val="0"/>
              <w:keepLines w:val="0"/>
              <w:suppressLineNumbers w:val="0"/>
              <w:spacing w:before="0" w:beforeAutospacing="0" w:after="0" w:afterAutospacing="0" w:line="360" w:lineRule="auto"/>
              <w:ind w:left="0" w:right="0" w:firstLine="488" w:firstLineChars="200"/>
              <w:rPr>
                <w:rFonts w:hint="default" w:ascii="Times New Roman" w:hAnsi="Times New Roman" w:cs="Times New Roman"/>
                <w:color w:val="auto"/>
                <w:spacing w:val="1"/>
                <w:sz w:val="24"/>
                <w:szCs w:val="24"/>
                <w:highlight w:val="none"/>
                <w:lang w:eastAsia="zh-CN"/>
              </w:rPr>
            </w:pPr>
            <w:r>
              <w:rPr>
                <w:rFonts w:hint="eastAsia" w:ascii="Times New Roman" w:hAnsi="Times New Roman" w:cs="Times New Roman"/>
                <w:color w:val="auto"/>
                <w:spacing w:val="2"/>
                <w:sz w:val="24"/>
                <w:szCs w:val="24"/>
                <w:highlight w:val="none"/>
                <w:lang w:val="en-US" w:eastAsia="zh-CN"/>
              </w:rPr>
              <w:t>劳动定员</w:t>
            </w:r>
            <w:r>
              <w:rPr>
                <w:rFonts w:hint="eastAsia" w:cs="Times New Roman"/>
                <w:color w:val="auto"/>
                <w:spacing w:val="2"/>
                <w:sz w:val="24"/>
                <w:szCs w:val="24"/>
                <w:highlight w:val="none"/>
                <w:lang w:val="en-US" w:eastAsia="zh-CN"/>
              </w:rPr>
              <w:t>20</w:t>
            </w:r>
            <w:r>
              <w:rPr>
                <w:rFonts w:hint="eastAsia" w:ascii="Times New Roman" w:hAnsi="Times New Roman" w:cs="Times New Roman"/>
                <w:color w:val="auto"/>
                <w:spacing w:val="2"/>
                <w:sz w:val="24"/>
                <w:szCs w:val="24"/>
                <w:highlight w:val="none"/>
                <w:lang w:val="en-US" w:eastAsia="zh-CN"/>
              </w:rPr>
              <w:t>人，年</w:t>
            </w:r>
            <w:r>
              <w:rPr>
                <w:rFonts w:hint="default" w:ascii="Times New Roman" w:hAnsi="Times New Roman" w:cs="Times New Roman"/>
                <w:color w:val="auto"/>
                <w:spacing w:val="2"/>
                <w:sz w:val="24"/>
                <w:szCs w:val="24"/>
                <w:highlight w:val="none"/>
                <w:lang w:eastAsia="zh-CN"/>
              </w:rPr>
              <w:t>生产时间为</w:t>
            </w:r>
            <w:r>
              <w:rPr>
                <w:rFonts w:hint="eastAsia" w:eastAsia="Times New Roman" w:cs="Times New Roman"/>
                <w:color w:val="auto"/>
                <w:spacing w:val="2"/>
                <w:sz w:val="24"/>
                <w:szCs w:val="24"/>
                <w:highlight w:val="none"/>
                <w:lang w:val="en-US" w:eastAsia="zh-CN"/>
              </w:rPr>
              <w:t>250</w:t>
            </w:r>
            <w:r>
              <w:rPr>
                <w:rFonts w:hint="default" w:ascii="Times New Roman" w:hAnsi="Times New Roman" w:cs="Times New Roman"/>
                <w:color w:val="auto"/>
                <w:spacing w:val="2"/>
                <w:sz w:val="24"/>
                <w:szCs w:val="24"/>
                <w:highlight w:val="none"/>
                <w:lang w:eastAsia="zh-CN"/>
              </w:rPr>
              <w:t>天，每天</w:t>
            </w:r>
            <w:r>
              <w:rPr>
                <w:rFonts w:hint="eastAsia" w:eastAsia="Times New Roman" w:cs="Times New Roman"/>
                <w:color w:val="auto"/>
                <w:spacing w:val="2"/>
                <w:sz w:val="24"/>
                <w:szCs w:val="24"/>
                <w:highlight w:val="none"/>
                <w:lang w:val="en-US" w:eastAsia="zh-CN"/>
              </w:rPr>
              <w:t>1</w:t>
            </w:r>
            <w:r>
              <w:rPr>
                <w:rFonts w:hint="default" w:ascii="Times New Roman" w:hAnsi="Times New Roman" w:cs="Times New Roman"/>
                <w:color w:val="auto"/>
                <w:spacing w:val="2"/>
                <w:sz w:val="24"/>
                <w:szCs w:val="24"/>
                <w:highlight w:val="none"/>
                <w:lang w:eastAsia="zh-CN"/>
              </w:rPr>
              <w:t>班，每班</w:t>
            </w:r>
            <w:r>
              <w:rPr>
                <w:rFonts w:hint="default" w:ascii="Times New Roman" w:hAnsi="Times New Roman" w:eastAsia="Times New Roman" w:cs="Times New Roman"/>
                <w:color w:val="auto"/>
                <w:spacing w:val="2"/>
                <w:sz w:val="24"/>
                <w:szCs w:val="24"/>
                <w:highlight w:val="none"/>
                <w:lang w:eastAsia="zh-CN"/>
              </w:rPr>
              <w:t>8</w:t>
            </w:r>
            <w:r>
              <w:rPr>
                <w:rFonts w:hint="default" w:ascii="Times New Roman" w:hAnsi="Times New Roman" w:cs="Times New Roman"/>
                <w:color w:val="auto"/>
                <w:spacing w:val="2"/>
                <w:sz w:val="24"/>
                <w:szCs w:val="24"/>
                <w:highlight w:val="none"/>
                <w:lang w:eastAsia="zh-CN"/>
              </w:rPr>
              <w:t>小时</w:t>
            </w:r>
            <w:r>
              <w:rPr>
                <w:rFonts w:hint="default" w:ascii="Times New Roman" w:hAnsi="Times New Roman" w:cs="Times New Roman"/>
                <w:color w:val="auto"/>
                <w:spacing w:val="1"/>
                <w:sz w:val="24"/>
                <w:szCs w:val="24"/>
                <w:highlight w:val="none"/>
                <w:lang w:eastAsia="zh-CN"/>
              </w:rPr>
              <w:t>。</w:t>
            </w:r>
          </w:p>
          <w:p w14:paraId="0B56DAB5">
            <w:pPr>
              <w:pStyle w:val="73"/>
              <w:keepNext w:val="0"/>
              <w:keepLines w:val="0"/>
              <w:suppressLineNumbers w:val="0"/>
              <w:spacing w:before="0" w:beforeAutospacing="0" w:after="0" w:afterAutospacing="0" w:line="360" w:lineRule="auto"/>
              <w:ind w:left="0" w:right="0" w:firstLine="450" w:firstLineChars="200"/>
              <w:rPr>
                <w:rFonts w:hint="default" w:ascii="Times New Roman" w:hAnsi="Times New Roman" w:eastAsia="宋体" w:cs="宋体"/>
                <w:b/>
                <w:bCs/>
                <w:color w:val="auto"/>
                <w:spacing w:val="-8"/>
                <w:sz w:val="24"/>
                <w:szCs w:val="24"/>
                <w:highlight w:val="none"/>
                <w:lang w:val="en-US" w:eastAsia="zh-CN"/>
              </w:rPr>
            </w:pPr>
            <w:r>
              <w:rPr>
                <w:rFonts w:hint="eastAsia" w:ascii="Times New Roman" w:hAnsi="Times New Roman" w:eastAsia="宋体" w:cs="宋体"/>
                <w:b/>
                <w:bCs/>
                <w:color w:val="auto"/>
                <w:spacing w:val="-8"/>
                <w:sz w:val="24"/>
                <w:szCs w:val="24"/>
                <w:highlight w:val="none"/>
                <w:lang w:val="en-US" w:eastAsia="zh-CN"/>
              </w:rPr>
              <w:t>8、</w:t>
            </w:r>
            <w:r>
              <w:rPr>
                <w:rFonts w:hint="default" w:ascii="Times New Roman" w:hAnsi="Times New Roman" w:eastAsia="宋体" w:cs="宋体"/>
                <w:b/>
                <w:bCs/>
                <w:color w:val="auto"/>
                <w:spacing w:val="-8"/>
                <w:sz w:val="24"/>
                <w:szCs w:val="24"/>
                <w:highlight w:val="none"/>
                <w:lang w:val="en-US" w:eastAsia="zh-CN"/>
              </w:rPr>
              <w:t>总平面布置合理性分析</w:t>
            </w:r>
          </w:p>
          <w:p w14:paraId="12DE839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Cs/>
                <w:color w:val="auto"/>
                <w:sz w:val="24"/>
                <w:highlight w:val="none"/>
              </w:rPr>
            </w:pPr>
            <w:r>
              <w:rPr>
                <w:rFonts w:hint="default" w:ascii="Times New Roman" w:hAnsi="Times New Roman" w:eastAsia="宋体" w:cs="Times New Roman"/>
                <w:color w:val="auto"/>
                <w:sz w:val="24"/>
                <w:highlight w:val="none"/>
              </w:rPr>
              <w:t>本项目位于</w:t>
            </w:r>
            <w:r>
              <w:rPr>
                <w:rFonts w:hint="default" w:ascii="Times New Roman" w:hAnsi="Times New Roman" w:eastAsia="宋体" w:cs="Times New Roman"/>
                <w:color w:val="auto"/>
                <w:sz w:val="24"/>
                <w:szCs w:val="24"/>
                <w:highlight w:val="none"/>
                <w:lang w:val="en-US" w:eastAsia="zh-CN"/>
              </w:rPr>
              <w:t>辽宁省阜新市高新技术产业开发区</w:t>
            </w:r>
            <w:r>
              <w:rPr>
                <w:rFonts w:hint="eastAsia" w:ascii="Times New Roman" w:hAnsi="Times New Roman" w:cs="Times New Roman"/>
                <w:color w:val="auto"/>
                <w:sz w:val="24"/>
                <w:highlight w:val="none"/>
                <w:lang w:val="en-US" w:eastAsia="zh-CN"/>
              </w:rPr>
              <w:t>华通路16号</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rPr>
              <w:t>回收的车辆从</w:t>
            </w:r>
            <w:r>
              <w:rPr>
                <w:rFonts w:hint="eastAsia" w:ascii="Times New Roman" w:hAnsi="Times New Roman" w:eastAsia="宋体" w:cs="Times New Roman"/>
                <w:color w:val="auto"/>
                <w:sz w:val="24"/>
                <w:highlight w:val="none"/>
                <w:lang w:val="en-US" w:eastAsia="zh-CN"/>
              </w:rPr>
              <w:t>北</w:t>
            </w:r>
            <w:r>
              <w:rPr>
                <w:rFonts w:hint="default" w:ascii="Times New Roman" w:hAnsi="Times New Roman" w:eastAsia="宋体" w:cs="Times New Roman"/>
                <w:color w:val="auto"/>
                <w:sz w:val="24"/>
                <w:highlight w:val="none"/>
              </w:rPr>
              <w:t>门进</w:t>
            </w:r>
            <w:r>
              <w:rPr>
                <w:rFonts w:hint="eastAsia" w:ascii="Times New Roman" w:hAnsi="Times New Roman" w:eastAsia="宋体" w:cs="Times New Roman"/>
                <w:color w:val="auto"/>
                <w:sz w:val="24"/>
                <w:highlight w:val="none"/>
                <w:lang w:val="en-US" w:eastAsia="zh-CN"/>
              </w:rPr>
              <w:t>厂</w:t>
            </w:r>
            <w:r>
              <w:rPr>
                <w:rFonts w:hint="default" w:ascii="Times New Roman" w:hAnsi="Times New Roman" w:eastAsia="宋体" w:cs="Times New Roman"/>
                <w:color w:val="auto"/>
                <w:sz w:val="24"/>
                <w:highlight w:val="none"/>
              </w:rPr>
              <w:t>，运输方便。厂区消防</w:t>
            </w:r>
            <w:r>
              <w:rPr>
                <w:rFonts w:hint="default" w:ascii="Times New Roman" w:hAnsi="Times New Roman" w:eastAsia="宋体" w:cs="Times New Roman"/>
                <w:color w:val="auto"/>
                <w:sz w:val="24"/>
                <w:highlight w:val="none"/>
                <w:lang w:eastAsia="zh-CN"/>
              </w:rPr>
              <w:t>线路</w:t>
            </w:r>
            <w:r>
              <w:rPr>
                <w:rFonts w:hint="default" w:ascii="Times New Roman" w:hAnsi="Times New Roman" w:eastAsia="宋体" w:cs="Times New Roman"/>
                <w:color w:val="auto"/>
                <w:sz w:val="24"/>
                <w:highlight w:val="none"/>
              </w:rPr>
              <w:t>与主要建筑物直线通行。</w:t>
            </w:r>
            <w:r>
              <w:rPr>
                <w:rStyle w:val="96"/>
                <w:rFonts w:hint="default" w:ascii="Times New Roman" w:hAnsi="Times New Roman" w:eastAsia="宋体" w:cs="Times New Roman"/>
                <w:color w:val="auto"/>
                <w:highlight w:val="none"/>
              </w:rPr>
              <w:t>整个厂区</w:t>
            </w:r>
            <w:r>
              <w:rPr>
                <w:rStyle w:val="96"/>
                <w:rFonts w:hint="eastAsia" w:cs="Times New Roman"/>
                <w:color w:val="auto"/>
                <w:highlight w:val="none"/>
              </w:rPr>
              <w:t>总体</w:t>
            </w:r>
            <w:r>
              <w:rPr>
                <w:rStyle w:val="96"/>
                <w:rFonts w:hint="default" w:ascii="Times New Roman" w:hAnsi="Times New Roman" w:eastAsia="宋体" w:cs="Times New Roman"/>
                <w:color w:val="auto"/>
                <w:highlight w:val="none"/>
              </w:rPr>
              <w:t>布置格局合理，厂区道路、建筑、公用设施较为完善，能够满足生产工艺、交通运输、环境保护以及安全、卫生的要求，可以满足本项目生产、仓储和物流交通需要。</w:t>
            </w:r>
            <w:r>
              <w:rPr>
                <w:rFonts w:hint="default" w:ascii="Times New Roman" w:hAnsi="Times New Roman" w:eastAsia="宋体" w:cs="Times New Roman"/>
                <w:bCs/>
                <w:color w:val="auto"/>
                <w:sz w:val="24"/>
                <w:highlight w:val="none"/>
              </w:rPr>
              <w:t>总体而言，项目平面布置基本合理。</w:t>
            </w:r>
          </w:p>
          <w:p w14:paraId="7D1ACEF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color w:val="auto"/>
                <w:szCs w:val="21"/>
                <w:highlight w:val="none"/>
              </w:rPr>
            </w:pPr>
            <w:r>
              <w:rPr>
                <w:rFonts w:hint="eastAsia" w:cs="Times New Roman"/>
                <w:bCs/>
                <w:color w:val="auto"/>
                <w:sz w:val="24"/>
                <w:highlight w:val="none"/>
                <w:lang w:val="en-US" w:eastAsia="zh-CN"/>
              </w:rPr>
              <w:t>本项目主要构筑物如下：</w:t>
            </w:r>
          </w:p>
          <w:p w14:paraId="083EC83C">
            <w:pPr>
              <w:keepNext w:val="0"/>
              <w:keepLines w:val="0"/>
              <w:suppressLineNumbers w:val="0"/>
              <w:spacing w:before="0" w:beforeAutospacing="0" w:after="0" w:afterAutospacing="0"/>
              <w:ind w:left="0" w:right="0" w:firstLine="422"/>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表</w:t>
            </w:r>
            <w:r>
              <w:rPr>
                <w:rFonts w:hint="eastAsia" w:ascii="Times New Roman" w:hAnsi="Times New Roman" w:cs="Times New Roman"/>
                <w:b/>
                <w:color w:val="auto"/>
                <w:szCs w:val="21"/>
                <w:highlight w:val="none"/>
                <w:lang w:val="en-US" w:eastAsia="zh-CN"/>
              </w:rPr>
              <w:t>2-1</w:t>
            </w:r>
            <w:r>
              <w:rPr>
                <w:rFonts w:hint="eastAsia" w:cs="Times New Roman"/>
                <w:b/>
                <w:color w:val="auto"/>
                <w:szCs w:val="21"/>
                <w:highlight w:val="none"/>
                <w:lang w:val="en-US" w:eastAsia="zh-CN"/>
              </w:rPr>
              <w:t>3</w:t>
            </w:r>
            <w:r>
              <w:rPr>
                <w:rFonts w:hint="default" w:ascii="Times New Roman" w:hAnsi="Times New Roman" w:eastAsia="宋体" w:cs="Times New Roman"/>
                <w:b/>
                <w:color w:val="auto"/>
                <w:szCs w:val="21"/>
                <w:highlight w:val="none"/>
              </w:rPr>
              <w:t xml:space="preserve"> </w:t>
            </w:r>
            <w:r>
              <w:rPr>
                <w:rFonts w:hint="eastAsia" w:ascii="Times New Roman" w:hAnsi="Times New Roman" w:eastAsia="宋体" w:cs="Times New Roman"/>
                <w:b/>
                <w:color w:val="auto"/>
                <w:szCs w:val="21"/>
                <w:highlight w:val="none"/>
                <w:lang w:val="en-US" w:eastAsia="zh-CN"/>
              </w:rPr>
              <w:t xml:space="preserve"> </w:t>
            </w:r>
            <w:r>
              <w:rPr>
                <w:rFonts w:hint="default" w:ascii="Times New Roman" w:hAnsi="Times New Roman" w:eastAsia="宋体" w:cs="Times New Roman"/>
                <w:b/>
                <w:color w:val="auto"/>
                <w:szCs w:val="21"/>
                <w:highlight w:val="none"/>
              </w:rPr>
              <w:t>本项目主要构筑物一览表</w:t>
            </w:r>
          </w:p>
          <w:tbl>
            <w:tblPr>
              <w:tblStyle w:val="26"/>
              <w:tblW w:w="4998"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934"/>
              <w:gridCol w:w="6191"/>
              <w:gridCol w:w="2013"/>
            </w:tblGrid>
            <w:tr w14:paraId="6D309E8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40" w:hRule="atLeast"/>
                <w:tblHeader/>
                <w:jc w:val="center"/>
              </w:trPr>
              <w:tc>
                <w:tcPr>
                  <w:tcW w:w="511" w:type="pct"/>
                  <w:tcBorders>
                    <w:tl2br w:val="nil"/>
                    <w:tr2bl w:val="nil"/>
                  </w:tcBorders>
                  <w:noWrap w:val="0"/>
                  <w:vAlign w:val="center"/>
                </w:tcPr>
                <w:p w14:paraId="44CC2C5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序号</w:t>
                  </w:r>
                </w:p>
              </w:tc>
              <w:tc>
                <w:tcPr>
                  <w:tcW w:w="3386" w:type="pct"/>
                  <w:tcBorders>
                    <w:tl2br w:val="nil"/>
                    <w:tr2bl w:val="nil"/>
                  </w:tcBorders>
                  <w:noWrap w:val="0"/>
                  <w:vAlign w:val="center"/>
                </w:tcPr>
                <w:p w14:paraId="43C8656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名称</w:t>
                  </w:r>
                </w:p>
              </w:tc>
              <w:tc>
                <w:tcPr>
                  <w:tcW w:w="1101" w:type="pct"/>
                  <w:tcBorders>
                    <w:tl2br w:val="nil"/>
                    <w:tr2bl w:val="nil"/>
                  </w:tcBorders>
                  <w:noWrap w:val="0"/>
                  <w:vAlign w:val="center"/>
                </w:tcPr>
                <w:p w14:paraId="61D64DD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占地面积m</w:t>
                  </w:r>
                  <w:r>
                    <w:rPr>
                      <w:rFonts w:hint="default" w:ascii="Times New Roman" w:hAnsi="Times New Roman" w:eastAsia="宋体" w:cs="Times New Roman"/>
                      <w:color w:val="auto"/>
                      <w:szCs w:val="21"/>
                      <w:highlight w:val="none"/>
                      <w:vertAlign w:val="superscript"/>
                    </w:rPr>
                    <w:t>2</w:t>
                  </w:r>
                </w:p>
              </w:tc>
            </w:tr>
            <w:tr w14:paraId="247ABBB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314" w:hRule="atLeast"/>
                <w:jc w:val="center"/>
              </w:trPr>
              <w:tc>
                <w:tcPr>
                  <w:tcW w:w="511" w:type="pct"/>
                  <w:tcBorders>
                    <w:tl2br w:val="nil"/>
                    <w:tr2bl w:val="nil"/>
                  </w:tcBorders>
                  <w:noWrap w:val="0"/>
                  <w:vAlign w:val="center"/>
                </w:tcPr>
                <w:p w14:paraId="345F500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w:t>
                  </w:r>
                </w:p>
              </w:tc>
              <w:tc>
                <w:tcPr>
                  <w:tcW w:w="3386" w:type="pct"/>
                  <w:tcBorders>
                    <w:tl2br w:val="nil"/>
                    <w:tr2bl w:val="nil"/>
                  </w:tcBorders>
                  <w:noWrap w:val="0"/>
                  <w:vAlign w:val="center"/>
                </w:tcPr>
                <w:p w14:paraId="7735940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rPr>
                    <w:t>生产车间</w:t>
                  </w:r>
                  <w:r>
                    <w:rPr>
                      <w:rFonts w:hint="eastAsia" w:ascii="Times New Roman" w:hAnsi="Times New Roman" w:cs="Times New Roman"/>
                      <w:color w:val="auto"/>
                      <w:szCs w:val="21"/>
                      <w:highlight w:val="none"/>
                      <w:lang w:eastAsia="zh-CN"/>
                    </w:rPr>
                    <w:t>（</w:t>
                  </w:r>
                  <w:r>
                    <w:rPr>
                      <w:rFonts w:hint="eastAsia" w:ascii="Times New Roman" w:hAnsi="Times New Roman" w:cs="Times New Roman"/>
                      <w:color w:val="auto"/>
                      <w:szCs w:val="21"/>
                      <w:highlight w:val="none"/>
                      <w:lang w:val="en-US" w:eastAsia="zh-CN"/>
                    </w:rPr>
                    <w:t>包括汽车拆解生产线、废钢加工生产线以及一般固废、危险废物贮存库）</w:t>
                  </w:r>
                </w:p>
              </w:tc>
              <w:tc>
                <w:tcPr>
                  <w:tcW w:w="1101" w:type="pct"/>
                  <w:tcBorders>
                    <w:tl2br w:val="nil"/>
                    <w:tr2bl w:val="nil"/>
                  </w:tcBorders>
                  <w:noWrap w:val="0"/>
                  <w:vAlign w:val="center"/>
                </w:tcPr>
                <w:p w14:paraId="549693C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12827.1</w:t>
                  </w:r>
                </w:p>
              </w:tc>
            </w:tr>
            <w:tr w14:paraId="271A3D8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7" w:hRule="atLeast"/>
                <w:jc w:val="center"/>
              </w:trPr>
              <w:tc>
                <w:tcPr>
                  <w:tcW w:w="511" w:type="pct"/>
                  <w:tcBorders>
                    <w:tl2br w:val="nil"/>
                    <w:tr2bl w:val="nil"/>
                  </w:tcBorders>
                  <w:noWrap w:val="0"/>
                  <w:vAlign w:val="center"/>
                </w:tcPr>
                <w:p w14:paraId="6C186506">
                  <w:pPr>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2</w:t>
                  </w:r>
                </w:p>
              </w:tc>
              <w:tc>
                <w:tcPr>
                  <w:tcW w:w="3386" w:type="pct"/>
                  <w:tcBorders>
                    <w:tl2br w:val="nil"/>
                    <w:tr2bl w:val="nil"/>
                  </w:tcBorders>
                  <w:noWrap w:val="0"/>
                  <w:vAlign w:val="center"/>
                </w:tcPr>
                <w:p w14:paraId="28F92A6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北门门卫、办公区</w:t>
                  </w:r>
                </w:p>
              </w:tc>
              <w:tc>
                <w:tcPr>
                  <w:tcW w:w="1101" w:type="pct"/>
                  <w:tcBorders>
                    <w:tl2br w:val="nil"/>
                    <w:tr2bl w:val="nil"/>
                  </w:tcBorders>
                  <w:noWrap w:val="0"/>
                  <w:vAlign w:val="center"/>
                </w:tcPr>
                <w:p w14:paraId="6151B6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约</w:t>
                  </w:r>
                  <w:r>
                    <w:rPr>
                      <w:rFonts w:hint="eastAsia" w:ascii="Times New Roman" w:hAnsi="Times New Roman" w:cs="Times New Roman"/>
                      <w:color w:val="auto"/>
                      <w:szCs w:val="21"/>
                      <w:highlight w:val="none"/>
                      <w:lang w:val="en-US" w:eastAsia="zh-CN"/>
                    </w:rPr>
                    <w:t>720</w:t>
                  </w:r>
                </w:p>
              </w:tc>
            </w:tr>
            <w:tr w14:paraId="6E757DE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7" w:hRule="atLeast"/>
                <w:jc w:val="center"/>
              </w:trPr>
              <w:tc>
                <w:tcPr>
                  <w:tcW w:w="511" w:type="pct"/>
                  <w:tcBorders>
                    <w:tl2br w:val="nil"/>
                    <w:tr2bl w:val="nil"/>
                  </w:tcBorders>
                  <w:noWrap w:val="0"/>
                  <w:vAlign w:val="center"/>
                </w:tcPr>
                <w:p w14:paraId="3A0E857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3</w:t>
                  </w:r>
                </w:p>
              </w:tc>
              <w:tc>
                <w:tcPr>
                  <w:tcW w:w="3386" w:type="pct"/>
                  <w:tcBorders>
                    <w:tl2br w:val="nil"/>
                    <w:tr2bl w:val="nil"/>
                  </w:tcBorders>
                  <w:noWrap w:val="0"/>
                  <w:vAlign w:val="center"/>
                </w:tcPr>
                <w:p w14:paraId="7B6712D9">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南门门卫、食堂及宿舍</w:t>
                  </w:r>
                </w:p>
              </w:tc>
              <w:tc>
                <w:tcPr>
                  <w:tcW w:w="1101" w:type="pct"/>
                  <w:tcBorders>
                    <w:tl2br w:val="nil"/>
                    <w:tr2bl w:val="nil"/>
                  </w:tcBorders>
                  <w:noWrap w:val="0"/>
                  <w:vAlign w:val="center"/>
                </w:tcPr>
                <w:p w14:paraId="1CA44DF8">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约</w:t>
                  </w:r>
                  <w:r>
                    <w:rPr>
                      <w:rFonts w:hint="eastAsia" w:ascii="Times New Roman" w:hAnsi="Times New Roman" w:cs="Times New Roman"/>
                      <w:color w:val="auto"/>
                      <w:szCs w:val="21"/>
                      <w:highlight w:val="none"/>
                      <w:lang w:val="en-US" w:eastAsia="zh-CN"/>
                    </w:rPr>
                    <w:t>750</w:t>
                  </w:r>
                </w:p>
              </w:tc>
            </w:tr>
            <w:tr w14:paraId="73030ED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7" w:hRule="atLeast"/>
                <w:jc w:val="center"/>
              </w:trPr>
              <w:tc>
                <w:tcPr>
                  <w:tcW w:w="511" w:type="pct"/>
                  <w:tcBorders>
                    <w:tl2br w:val="nil"/>
                    <w:tr2bl w:val="nil"/>
                  </w:tcBorders>
                  <w:noWrap w:val="0"/>
                  <w:vAlign w:val="center"/>
                </w:tcPr>
                <w:p w14:paraId="585530B1">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4</w:t>
                  </w:r>
                </w:p>
              </w:tc>
              <w:tc>
                <w:tcPr>
                  <w:tcW w:w="3386" w:type="pct"/>
                  <w:tcBorders>
                    <w:tl2br w:val="nil"/>
                    <w:tr2bl w:val="nil"/>
                  </w:tcBorders>
                  <w:noWrap w:val="0"/>
                  <w:vAlign w:val="center"/>
                </w:tcPr>
                <w:p w14:paraId="57A6E3E4">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事故池及初期雨水池</w:t>
                  </w:r>
                </w:p>
              </w:tc>
              <w:tc>
                <w:tcPr>
                  <w:tcW w:w="1101" w:type="pct"/>
                  <w:tcBorders>
                    <w:tl2br w:val="nil"/>
                    <w:tr2bl w:val="nil"/>
                  </w:tcBorders>
                  <w:noWrap w:val="0"/>
                  <w:vAlign w:val="center"/>
                </w:tcPr>
                <w:p w14:paraId="7A0D2812">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100</w:t>
                  </w:r>
                </w:p>
              </w:tc>
            </w:tr>
            <w:tr w14:paraId="08775B2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511" w:type="pct"/>
                  <w:tcBorders>
                    <w:tl2br w:val="nil"/>
                    <w:tr2bl w:val="nil"/>
                  </w:tcBorders>
                  <w:noWrap w:val="0"/>
                  <w:vAlign w:val="center"/>
                </w:tcPr>
                <w:p w14:paraId="6897D0AC">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5</w:t>
                  </w:r>
                </w:p>
              </w:tc>
              <w:tc>
                <w:tcPr>
                  <w:tcW w:w="3386" w:type="pct"/>
                  <w:tcBorders>
                    <w:tl2br w:val="nil"/>
                    <w:tr2bl w:val="nil"/>
                  </w:tcBorders>
                  <w:noWrap w:val="0"/>
                  <w:vAlign w:val="center"/>
                </w:tcPr>
                <w:p w14:paraId="59533B16">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车辆储存区</w:t>
                  </w:r>
                </w:p>
              </w:tc>
              <w:tc>
                <w:tcPr>
                  <w:tcW w:w="1101" w:type="pct"/>
                  <w:tcBorders>
                    <w:tl2br w:val="nil"/>
                    <w:tr2bl w:val="nil"/>
                  </w:tcBorders>
                  <w:noWrap w:val="0"/>
                  <w:vAlign w:val="center"/>
                </w:tcPr>
                <w:p w14:paraId="216A62FD">
                  <w:pPr>
                    <w:keepNext w:val="0"/>
                    <w:keepLines w:val="0"/>
                    <w:suppressLineNumbers w:val="0"/>
                    <w:spacing w:before="0" w:beforeAutospacing="0" w:after="0" w:afterAutospacing="0"/>
                    <w:ind w:left="0" w:right="0"/>
                    <w:jc w:val="center"/>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约</w:t>
                  </w:r>
                  <w:r>
                    <w:rPr>
                      <w:rFonts w:hint="eastAsia" w:ascii="Times New Roman" w:hAnsi="Times New Roman" w:cs="Times New Roman"/>
                      <w:color w:val="auto"/>
                      <w:szCs w:val="21"/>
                      <w:highlight w:val="none"/>
                      <w:lang w:val="en-US" w:eastAsia="zh-CN"/>
                    </w:rPr>
                    <w:t>1600</w:t>
                  </w:r>
                  <w:r>
                    <w:rPr>
                      <w:rFonts w:hint="eastAsia" w:cs="Times New Roman"/>
                      <w:color w:val="auto"/>
                      <w:szCs w:val="21"/>
                      <w:highlight w:val="none"/>
                      <w:lang w:val="en-US" w:eastAsia="zh-CN"/>
                    </w:rPr>
                    <w:t>0</w:t>
                  </w:r>
                </w:p>
              </w:tc>
            </w:tr>
            <w:tr w14:paraId="43B6308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3898" w:type="pct"/>
                  <w:gridSpan w:val="2"/>
                  <w:tcBorders>
                    <w:tl2br w:val="nil"/>
                    <w:tr2bl w:val="nil"/>
                  </w:tcBorders>
                  <w:noWrap w:val="0"/>
                  <w:vAlign w:val="top"/>
                </w:tcPr>
                <w:p w14:paraId="3D75BC9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合计</w:t>
                  </w:r>
                </w:p>
              </w:tc>
              <w:tc>
                <w:tcPr>
                  <w:tcW w:w="1101" w:type="pct"/>
                  <w:tcBorders>
                    <w:tl2br w:val="nil"/>
                    <w:tr2bl w:val="nil"/>
                  </w:tcBorders>
                  <w:noWrap w:val="0"/>
                  <w:vAlign w:val="top"/>
                </w:tcPr>
                <w:p w14:paraId="3F108F1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约30397.1</w:t>
                  </w:r>
                </w:p>
              </w:tc>
            </w:tr>
          </w:tbl>
          <w:p w14:paraId="333EB8EA">
            <w:pPr>
              <w:keepNext w:val="0"/>
              <w:keepLines w:val="0"/>
              <w:suppressLineNumbers w:val="0"/>
              <w:spacing w:before="0" w:beforeAutospacing="0" w:after="0" w:afterAutospacing="0"/>
              <w:ind w:left="0" w:right="0" w:firstLine="422"/>
              <w:jc w:val="both"/>
              <w:rPr>
                <w:rFonts w:hint="default" w:ascii="Times New Roman" w:hAnsi="Times New Roman" w:eastAsia="宋体" w:cs="Times New Roman"/>
                <w:bCs/>
                <w:color w:val="auto"/>
                <w:sz w:val="24"/>
                <w:highlight w:val="none"/>
                <w:lang w:val="en-US" w:eastAsia="zh-CN"/>
              </w:rPr>
            </w:pPr>
            <w:r>
              <w:rPr>
                <w:rFonts w:hint="eastAsia" w:cs="Times New Roman"/>
                <w:b/>
                <w:color w:val="auto"/>
                <w:szCs w:val="21"/>
                <w:highlight w:val="none"/>
                <w:lang w:val="en-US" w:eastAsia="zh-CN"/>
              </w:rPr>
              <w:t>注：根据租赁协议，仅明确生产车间占地面积以及硬化地面区域（车辆储存区）面积。</w:t>
            </w:r>
          </w:p>
        </w:tc>
      </w:tr>
      <w:tr w14:paraId="6EFE31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235" w:hRule="atLeast"/>
        </w:trPr>
        <w:tc>
          <w:tcPr>
            <w:tcW w:w="584" w:type="dxa"/>
            <w:noWrap w:val="0"/>
            <w:vAlign w:val="center"/>
          </w:tcPr>
          <w:p w14:paraId="6B1A5D55">
            <w:pPr>
              <w:pStyle w:val="22"/>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4"/>
                <w:szCs w:val="24"/>
                <w:highlight w:val="none"/>
              </w:rPr>
              <w:t>工艺流程和产排污环节</w:t>
            </w:r>
          </w:p>
        </w:tc>
        <w:tc>
          <w:tcPr>
            <w:tcW w:w="8476" w:type="dxa"/>
            <w:noWrap w:val="0"/>
            <w:vAlign w:val="center"/>
          </w:tcPr>
          <w:p w14:paraId="1BFDFBB4">
            <w:pPr>
              <w:pStyle w:val="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6" w:firstLineChars="200"/>
              <w:jc w:val="both"/>
              <w:textAlignment w:val="auto"/>
              <w:rPr>
                <w:rFonts w:hint="eastAsia" w:cs="Times New Roman"/>
                <w:b/>
                <w:bCs/>
                <w:color w:val="auto"/>
                <w:spacing w:val="1"/>
                <w:sz w:val="24"/>
                <w:highlight w:val="none"/>
              </w:rPr>
            </w:pPr>
            <w:r>
              <w:rPr>
                <w:rFonts w:hint="eastAsia" w:cs="Times New Roman"/>
                <w:b/>
                <w:bCs/>
                <w:color w:val="auto"/>
                <w:spacing w:val="1"/>
                <w:sz w:val="24"/>
                <w:highlight w:val="none"/>
                <w:lang w:val="en-US" w:eastAsia="zh-CN"/>
              </w:rPr>
              <w:t>1、</w:t>
            </w:r>
            <w:r>
              <w:rPr>
                <w:rFonts w:hint="eastAsia" w:cs="Times New Roman"/>
                <w:b/>
                <w:bCs/>
                <w:color w:val="auto"/>
                <w:spacing w:val="1"/>
                <w:sz w:val="24"/>
                <w:highlight w:val="none"/>
              </w:rPr>
              <w:t>施工期</w:t>
            </w:r>
          </w:p>
          <w:p w14:paraId="18FB9E6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color w:val="auto"/>
                <w:highlight w:val="none"/>
              </w:rPr>
            </w:pPr>
            <w:r>
              <w:rPr>
                <w:rFonts w:hint="default"/>
                <w:color w:val="auto"/>
                <w:spacing w:val="3"/>
                <w:highlight w:val="none"/>
              </w:rPr>
              <w:t>本项目建设性质为新建。利用现有厂房，施工期主要为设备安</w:t>
            </w:r>
            <w:r>
              <w:rPr>
                <w:rFonts w:hint="default"/>
                <w:color w:val="auto"/>
                <w:spacing w:val="2"/>
                <w:highlight w:val="none"/>
              </w:rPr>
              <w:t>装以及事故</w:t>
            </w:r>
            <w:r>
              <w:rPr>
                <w:rFonts w:hint="default"/>
                <w:color w:val="auto"/>
                <w:spacing w:val="3"/>
                <w:highlight w:val="none"/>
              </w:rPr>
              <w:t>池建设。初期雨水池建设主要涉及场地平整、土方开挖</w:t>
            </w:r>
            <w:r>
              <w:rPr>
                <w:rFonts w:hint="default"/>
                <w:color w:val="auto"/>
                <w:spacing w:val="2"/>
                <w:highlight w:val="none"/>
              </w:rPr>
              <w:t>、防渗处理以及表面平</w:t>
            </w:r>
            <w:r>
              <w:rPr>
                <w:rFonts w:hint="default"/>
                <w:color w:val="auto"/>
                <w:spacing w:val="-5"/>
                <w:highlight w:val="none"/>
              </w:rPr>
              <w:t>整。</w:t>
            </w:r>
          </w:p>
          <w:p w14:paraId="4790FBC6">
            <w:pPr>
              <w:keepNext w:val="0"/>
              <w:keepLines w:val="0"/>
              <w:suppressLineNumbers w:val="0"/>
              <w:spacing w:before="0" w:beforeAutospacing="0" w:after="0" w:afterAutospacing="0" w:line="240" w:lineRule="auto"/>
              <w:ind w:left="0" w:right="0" w:firstLine="129"/>
              <w:jc w:val="center"/>
              <w:rPr>
                <w:rFonts w:hint="default"/>
                <w:color w:val="auto"/>
                <w:highlight w:val="none"/>
              </w:rPr>
            </w:pPr>
            <w:r>
              <w:rPr>
                <w:rFonts w:hint="default"/>
                <w:color w:val="auto"/>
                <w:position w:val="-63"/>
                <w:highlight w:val="none"/>
              </w:rPr>
              <w:pict>
                <v:shape id="_x0000_i1028" o:spt="75" type="#_x0000_t75" style="height:119.7pt;width:364.6pt;" filled="f" o:preferrelative="t" stroked="f" coordsize="21600,21600">
                  <v:path/>
                  <v:fill on="f" focussize="0,0"/>
                  <v:stroke on="f"/>
                  <v:imagedata r:id="rId11" o:title=""/>
                  <o:lock v:ext="edit" aspectratio="f"/>
                  <w10:wrap type="none"/>
                  <w10:anchorlock/>
                </v:shape>
              </w:pict>
            </w:r>
          </w:p>
          <w:p w14:paraId="28AF059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Times New Roman" w:hAnsi="Times New Roman" w:eastAsia="宋体" w:cs="Times New Roman"/>
                <w:b/>
                <w:bCs/>
                <w:color w:val="auto"/>
                <w:spacing w:val="1"/>
                <w:sz w:val="21"/>
                <w:szCs w:val="21"/>
                <w:highlight w:val="none"/>
                <w:lang w:val="en-US" w:eastAsia="zh-CN"/>
              </w:rPr>
            </w:pPr>
            <w:r>
              <w:rPr>
                <w:rFonts w:hint="eastAsia" w:ascii="Times New Roman" w:hAnsi="Times New Roman" w:eastAsia="宋体" w:cs="Times New Roman"/>
                <w:b/>
                <w:bCs/>
                <w:color w:val="auto"/>
                <w:spacing w:val="1"/>
                <w:sz w:val="21"/>
                <w:szCs w:val="21"/>
                <w:highlight w:val="none"/>
                <w:lang w:val="en-US" w:eastAsia="zh-CN"/>
              </w:rPr>
              <w:t>图2  施工期工艺流程及产排污节点图</w:t>
            </w:r>
          </w:p>
          <w:p w14:paraId="55C6F23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4" w:firstLineChars="200"/>
              <w:jc w:val="left"/>
              <w:textAlignment w:val="auto"/>
              <w:rPr>
                <w:rFonts w:hint="default" w:ascii="Times New Roman" w:hAnsi="Times New Roman" w:eastAsia="宋体" w:cs="Times New Roman"/>
                <w:b w:val="0"/>
                <w:bCs w:val="0"/>
                <w:color w:val="auto"/>
                <w:spacing w:val="1"/>
                <w:sz w:val="24"/>
                <w:szCs w:val="24"/>
                <w:highlight w:val="none"/>
                <w:lang w:val="en-US" w:eastAsia="zh-CN"/>
              </w:rPr>
            </w:pPr>
            <w:r>
              <w:rPr>
                <w:rFonts w:hint="default" w:ascii="Times New Roman" w:hAnsi="Times New Roman" w:eastAsia="宋体" w:cs="Times New Roman"/>
                <w:b w:val="0"/>
                <w:bCs w:val="0"/>
                <w:color w:val="auto"/>
                <w:spacing w:val="1"/>
                <w:sz w:val="24"/>
                <w:szCs w:val="24"/>
                <w:highlight w:val="none"/>
                <w:lang w:val="en-US" w:eastAsia="zh-CN"/>
              </w:rPr>
              <w:t>（1）施工</w:t>
            </w:r>
            <w:r>
              <w:rPr>
                <w:rFonts w:hint="default" w:ascii="Times New Roman" w:hAnsi="Times New Roman" w:eastAsia="宋体" w:cs="Times New Roman"/>
                <w:b w:val="0"/>
                <w:bCs w:val="0"/>
                <w:color w:val="auto"/>
                <w:kern w:val="2"/>
                <w:sz w:val="24"/>
                <w:szCs w:val="24"/>
                <w:highlight w:val="none"/>
                <w:lang w:val="en-US" w:eastAsia="zh-CN" w:bidi="ar-SA"/>
              </w:rPr>
              <w:t>期</w:t>
            </w:r>
            <w:r>
              <w:rPr>
                <w:rFonts w:hint="default" w:ascii="Times New Roman" w:hAnsi="Times New Roman" w:eastAsia="宋体" w:cs="Times New Roman"/>
                <w:b w:val="0"/>
                <w:bCs w:val="0"/>
                <w:color w:val="auto"/>
                <w:spacing w:val="1"/>
                <w:sz w:val="24"/>
                <w:szCs w:val="24"/>
                <w:highlight w:val="none"/>
                <w:lang w:val="en-US" w:eastAsia="zh-CN"/>
              </w:rPr>
              <w:t>废气</w:t>
            </w:r>
          </w:p>
          <w:p w14:paraId="07D464E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施工期废气主要为施工过程产生的扬尘以及汽车尾气。</w:t>
            </w:r>
          </w:p>
          <w:p w14:paraId="076C42E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（2）施工期废水</w:t>
            </w:r>
          </w:p>
          <w:p w14:paraId="2927401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施工期废水主要为施工人员产生的生活污水及含有泥浆和砂石的施工废水。</w:t>
            </w:r>
          </w:p>
          <w:p w14:paraId="33FAA7E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（3）施工期噪声</w:t>
            </w:r>
          </w:p>
          <w:p w14:paraId="494CD6E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施工噪声主要</w:t>
            </w:r>
            <w:r>
              <w:rPr>
                <w:rFonts w:hint="eastAsia" w:cs="Times New Roman"/>
                <w:b w:val="0"/>
                <w:bCs w:val="0"/>
                <w:color w:val="auto"/>
                <w:kern w:val="2"/>
                <w:sz w:val="24"/>
                <w:szCs w:val="24"/>
                <w:highlight w:val="none"/>
                <w:lang w:val="en-US" w:eastAsia="zh-CN" w:bidi="ar-SA"/>
              </w:rPr>
              <w:t>来自</w:t>
            </w:r>
            <w:r>
              <w:rPr>
                <w:rFonts w:hint="default" w:ascii="Times New Roman" w:hAnsi="Times New Roman" w:eastAsia="宋体" w:cs="Times New Roman"/>
                <w:b w:val="0"/>
                <w:bCs w:val="0"/>
                <w:color w:val="auto"/>
                <w:kern w:val="2"/>
                <w:sz w:val="24"/>
                <w:szCs w:val="24"/>
                <w:highlight w:val="none"/>
                <w:lang w:val="en-US" w:eastAsia="zh-CN" w:bidi="ar-SA"/>
              </w:rPr>
              <w:t>土方开挖过程采用的挖掘机等。</w:t>
            </w:r>
          </w:p>
          <w:p w14:paraId="41D5F0A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（4）施工期固体废物</w:t>
            </w:r>
          </w:p>
          <w:p w14:paraId="1C2D3064">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kern w:val="2"/>
                <w:sz w:val="24"/>
                <w:szCs w:val="24"/>
                <w:highlight w:val="none"/>
                <w:lang w:val="en-US" w:eastAsia="zh-CN" w:bidi="ar-SA"/>
              </w:rPr>
              <w:t>施工期固体废物主要为废渣土</w:t>
            </w:r>
            <w:r>
              <w:rPr>
                <w:rFonts w:hint="eastAsia" w:cs="Times New Roman"/>
                <w:b w:val="0"/>
                <w:bCs w:val="0"/>
                <w:color w:val="auto"/>
                <w:kern w:val="2"/>
                <w:sz w:val="24"/>
                <w:szCs w:val="24"/>
                <w:highlight w:val="none"/>
                <w:lang w:val="en-US" w:eastAsia="zh-CN" w:bidi="ar-SA"/>
              </w:rPr>
              <w:t>、建筑垃圾</w:t>
            </w:r>
            <w:r>
              <w:rPr>
                <w:rFonts w:hint="default" w:ascii="Times New Roman" w:hAnsi="Times New Roman" w:eastAsia="宋体" w:cs="Times New Roman"/>
                <w:b w:val="0"/>
                <w:bCs w:val="0"/>
                <w:color w:val="auto"/>
                <w:kern w:val="2"/>
                <w:sz w:val="24"/>
                <w:szCs w:val="24"/>
                <w:highlight w:val="none"/>
                <w:lang w:val="en-US" w:eastAsia="zh-CN" w:bidi="ar-SA"/>
              </w:rPr>
              <w:t>，以及施工人员产生的生活垃圾</w:t>
            </w:r>
            <w:r>
              <w:rPr>
                <w:rFonts w:hint="default" w:ascii="Times New Roman" w:hAnsi="Times New Roman" w:eastAsia="宋体" w:cs="Times New Roman"/>
                <w:b w:val="0"/>
                <w:bCs w:val="0"/>
                <w:color w:val="auto"/>
                <w:spacing w:val="-1"/>
                <w:sz w:val="24"/>
                <w:szCs w:val="24"/>
                <w:highlight w:val="none"/>
              </w:rPr>
              <w:t>。</w:t>
            </w:r>
          </w:p>
          <w:p w14:paraId="00CAB45F">
            <w:pPr>
              <w:pStyle w:val="6"/>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86" w:firstLineChars="200"/>
              <w:jc w:val="left"/>
              <w:textAlignment w:val="auto"/>
              <w:rPr>
                <w:rFonts w:hint="eastAsia" w:cs="Times New Roman"/>
                <w:b/>
                <w:bCs/>
                <w:color w:val="auto"/>
                <w:spacing w:val="1"/>
                <w:sz w:val="24"/>
                <w:szCs w:val="24"/>
                <w:highlight w:val="none"/>
              </w:rPr>
            </w:pPr>
            <w:r>
              <w:rPr>
                <w:rFonts w:hint="eastAsia" w:cs="Times New Roman"/>
                <w:b/>
                <w:bCs/>
                <w:color w:val="auto"/>
                <w:spacing w:val="1"/>
                <w:sz w:val="24"/>
                <w:szCs w:val="24"/>
                <w:highlight w:val="none"/>
                <w:lang w:val="en-US" w:eastAsia="zh-CN"/>
              </w:rPr>
              <w:t>2、</w:t>
            </w:r>
            <w:r>
              <w:rPr>
                <w:rFonts w:hint="eastAsia" w:cs="Times New Roman"/>
                <w:b/>
                <w:bCs/>
                <w:color w:val="auto"/>
                <w:spacing w:val="1"/>
                <w:sz w:val="24"/>
                <w:szCs w:val="24"/>
                <w:highlight w:val="none"/>
              </w:rPr>
              <w:t>运营期</w:t>
            </w:r>
          </w:p>
          <w:p w14:paraId="6904371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left"/>
              <w:textAlignment w:val="auto"/>
              <w:rPr>
                <w:rFonts w:hint="default"/>
                <w:color w:val="auto"/>
                <w:sz w:val="24"/>
                <w:szCs w:val="24"/>
              </w:rPr>
            </w:pPr>
            <w:r>
              <w:rPr>
                <w:rFonts w:hint="default"/>
                <w:color w:val="auto"/>
                <w:spacing w:val="-5"/>
                <w:sz w:val="24"/>
                <w:szCs w:val="24"/>
              </w:rPr>
              <w:t>本项目对报废农机、报废新能源汽车、报废传统燃油车进行拆解，根据《报</w:t>
            </w:r>
            <w:r>
              <w:rPr>
                <w:rFonts w:hint="default"/>
                <w:color w:val="auto"/>
                <w:spacing w:val="1"/>
                <w:sz w:val="24"/>
                <w:szCs w:val="24"/>
              </w:rPr>
              <w:t>废机动车回收拆解企业技术规范》（</w:t>
            </w:r>
            <w:r>
              <w:rPr>
                <w:rFonts w:hint="default" w:ascii="Times New Roman" w:hAnsi="Times New Roman" w:eastAsia="Times New Roman" w:cs="Times New Roman"/>
                <w:color w:val="auto"/>
                <w:sz w:val="24"/>
                <w:szCs w:val="24"/>
              </w:rPr>
              <w:t>GB</w:t>
            </w:r>
            <w:r>
              <w:rPr>
                <w:rFonts w:hint="default" w:ascii="Times New Roman" w:hAnsi="Times New Roman" w:eastAsia="Times New Roman" w:cs="Times New Roman"/>
                <w:color w:val="auto"/>
                <w:spacing w:val="1"/>
                <w:sz w:val="24"/>
                <w:szCs w:val="24"/>
              </w:rPr>
              <w:t>22128-2</w:t>
            </w:r>
            <w:r>
              <w:rPr>
                <w:rFonts w:hint="default" w:ascii="Times New Roman" w:hAnsi="Times New Roman" w:eastAsia="Times New Roman" w:cs="Times New Roman"/>
                <w:color w:val="auto"/>
                <w:sz w:val="24"/>
                <w:szCs w:val="24"/>
              </w:rPr>
              <w:t>019</w:t>
            </w:r>
            <w:r>
              <w:rPr>
                <w:rFonts w:hint="default"/>
                <w:color w:val="auto"/>
                <w:spacing w:val="8"/>
                <w:sz w:val="24"/>
                <w:szCs w:val="24"/>
              </w:rPr>
              <w:t>），</w:t>
            </w:r>
            <w:r>
              <w:rPr>
                <w:rFonts w:hint="default"/>
                <w:color w:val="auto"/>
                <w:sz w:val="24"/>
                <w:szCs w:val="24"/>
              </w:rPr>
              <w:t>拆解预处理工艺存在不</w:t>
            </w:r>
            <w:r>
              <w:rPr>
                <w:rFonts w:hint="default"/>
                <w:color w:val="auto"/>
                <w:spacing w:val="3"/>
                <w:sz w:val="24"/>
                <w:szCs w:val="24"/>
              </w:rPr>
              <w:t>同，因此，本次评价对报废农机、报废新能源汽车、报废</w:t>
            </w:r>
            <w:r>
              <w:rPr>
                <w:rFonts w:hint="default"/>
                <w:color w:val="auto"/>
                <w:spacing w:val="2"/>
                <w:sz w:val="24"/>
                <w:szCs w:val="24"/>
              </w:rPr>
              <w:t>传统燃油车拆解工艺</w:t>
            </w:r>
            <w:r>
              <w:rPr>
                <w:rFonts w:hint="default"/>
                <w:color w:val="auto"/>
                <w:sz w:val="24"/>
                <w:szCs w:val="24"/>
              </w:rPr>
              <w:t>流程分别描述。项目不对机动车零部件进行进一步</w:t>
            </w:r>
            <w:r>
              <w:rPr>
                <w:rFonts w:hint="default"/>
                <w:color w:val="auto"/>
                <w:spacing w:val="-1"/>
                <w:sz w:val="24"/>
                <w:szCs w:val="24"/>
              </w:rPr>
              <w:t>处置。具体情况如下：</w:t>
            </w:r>
          </w:p>
          <w:p w14:paraId="625D31B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sz w:val="24"/>
                <w:szCs w:val="24"/>
              </w:rPr>
            </w:pPr>
            <w:r>
              <w:rPr>
                <w:rFonts w:hint="eastAsia"/>
                <w:b/>
                <w:bCs/>
                <w:color w:val="auto"/>
                <w:spacing w:val="-4"/>
                <w:sz w:val="24"/>
                <w:szCs w:val="24"/>
                <w:lang w:eastAsia="zh-CN"/>
              </w:rPr>
              <w:t>（</w:t>
            </w:r>
            <w:r>
              <w:rPr>
                <w:rFonts w:hint="eastAsia"/>
                <w:b/>
                <w:bCs/>
                <w:color w:val="auto"/>
                <w:spacing w:val="-4"/>
                <w:sz w:val="24"/>
                <w:szCs w:val="24"/>
                <w:lang w:val="en-US" w:eastAsia="zh-CN"/>
              </w:rPr>
              <w:t>1）</w:t>
            </w:r>
            <w:r>
              <w:rPr>
                <w:rFonts w:hint="default"/>
                <w:b/>
                <w:bCs/>
                <w:color w:val="auto"/>
                <w:spacing w:val="-4"/>
                <w:sz w:val="24"/>
                <w:szCs w:val="24"/>
              </w:rPr>
              <w:t>报废农机拆解工艺流程</w:t>
            </w:r>
          </w:p>
          <w:p w14:paraId="60A7528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sz w:val="24"/>
                <w:szCs w:val="24"/>
              </w:rPr>
            </w:pPr>
            <w:r>
              <w:rPr>
                <w:rFonts w:hint="default"/>
                <w:b/>
                <w:bCs/>
                <w:color w:val="auto"/>
                <w:spacing w:val="-7"/>
                <w:sz w:val="24"/>
                <w:szCs w:val="24"/>
              </w:rPr>
              <w:t>报废农机进厂</w:t>
            </w:r>
          </w:p>
          <w:p w14:paraId="5C0C363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sz w:val="24"/>
                <w:szCs w:val="24"/>
              </w:rPr>
            </w:pPr>
            <w:r>
              <w:rPr>
                <w:rFonts w:hint="default"/>
                <w:color w:val="auto"/>
                <w:sz w:val="24"/>
                <w:szCs w:val="24"/>
              </w:rPr>
              <w:t>本项目收集农机范围包括收割机、拖拉机等</w:t>
            </w:r>
            <w:r>
              <w:rPr>
                <w:rFonts w:hint="default"/>
                <w:color w:val="auto"/>
                <w:spacing w:val="-1"/>
                <w:sz w:val="24"/>
                <w:szCs w:val="24"/>
              </w:rPr>
              <w:t>，报废农机入厂标准如下：</w:t>
            </w:r>
          </w:p>
          <w:p w14:paraId="57279BD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sz w:val="24"/>
                <w:szCs w:val="24"/>
              </w:rPr>
            </w:pPr>
            <w:r>
              <w:rPr>
                <w:rFonts w:hint="eastAsia" w:ascii="Times New Roman" w:hAnsi="Times New Roman" w:eastAsia="宋体" w:cs="Times New Roman"/>
                <w:color w:val="auto"/>
                <w:spacing w:val="-2"/>
                <w:sz w:val="24"/>
                <w:szCs w:val="24"/>
                <w:lang w:val="en-US" w:eastAsia="zh-CN"/>
              </w:rPr>
              <w:t>①</w:t>
            </w:r>
            <w:r>
              <w:rPr>
                <w:rFonts w:hint="default"/>
                <w:color w:val="auto"/>
                <w:spacing w:val="-2"/>
                <w:sz w:val="24"/>
                <w:szCs w:val="24"/>
              </w:rPr>
              <w:t>达到报废条件的农业机械；</w:t>
            </w:r>
          </w:p>
          <w:p w14:paraId="24B4BA5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sz w:val="24"/>
                <w:szCs w:val="24"/>
              </w:rPr>
            </w:pPr>
            <w:r>
              <w:rPr>
                <w:rFonts w:hint="eastAsia"/>
                <w:color w:val="auto"/>
                <w:spacing w:val="-2"/>
                <w:sz w:val="24"/>
                <w:szCs w:val="24"/>
                <w:lang w:val="en-US" w:eastAsia="zh-CN"/>
              </w:rPr>
              <w:t>②</w:t>
            </w:r>
            <w:r>
              <w:rPr>
                <w:rFonts w:hint="default"/>
                <w:color w:val="auto"/>
                <w:spacing w:val="-2"/>
                <w:sz w:val="24"/>
                <w:szCs w:val="24"/>
              </w:rPr>
              <w:t>国家明令淘汰的农业机械：</w:t>
            </w:r>
          </w:p>
          <w:p w14:paraId="664C204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3"/>
              <w:jc w:val="left"/>
              <w:textAlignment w:val="auto"/>
              <w:rPr>
                <w:rFonts w:hint="default"/>
                <w:color w:val="auto"/>
                <w:sz w:val="24"/>
                <w:szCs w:val="24"/>
              </w:rPr>
            </w:pPr>
            <w:r>
              <w:rPr>
                <w:rFonts w:hint="default"/>
                <w:color w:val="auto"/>
                <w:spacing w:val="3"/>
                <w:sz w:val="24"/>
                <w:szCs w:val="24"/>
              </w:rPr>
              <w:t>建设单位对报废农机进行检车和登记，核对机主和拟报废</w:t>
            </w:r>
            <w:r>
              <w:rPr>
                <w:rFonts w:hint="default"/>
                <w:color w:val="auto"/>
                <w:spacing w:val="2"/>
                <w:sz w:val="24"/>
                <w:szCs w:val="24"/>
              </w:rPr>
              <w:t>的农机信息，向</w:t>
            </w:r>
            <w:r>
              <w:rPr>
                <w:rFonts w:hint="default"/>
                <w:color w:val="auto"/>
                <w:spacing w:val="3"/>
                <w:sz w:val="24"/>
                <w:szCs w:val="24"/>
              </w:rPr>
              <w:t>机主出具《农业机械来源和归属承诺书》和《报废农业机</w:t>
            </w:r>
            <w:r>
              <w:rPr>
                <w:rFonts w:hint="default"/>
                <w:color w:val="auto"/>
                <w:spacing w:val="2"/>
                <w:sz w:val="24"/>
                <w:szCs w:val="24"/>
              </w:rPr>
              <w:t>械回收确认表》，并</w:t>
            </w:r>
            <w:r>
              <w:rPr>
                <w:rFonts w:hint="default"/>
                <w:color w:val="auto"/>
                <w:spacing w:val="-1"/>
                <w:sz w:val="24"/>
                <w:szCs w:val="24"/>
              </w:rPr>
              <w:t>向县级农业农村（农机）部门提供机主和报废农机信息。</w:t>
            </w:r>
          </w:p>
          <w:p w14:paraId="14A90DA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sz w:val="24"/>
                <w:szCs w:val="24"/>
              </w:rPr>
            </w:pPr>
            <w:r>
              <w:rPr>
                <w:rFonts w:hint="default"/>
                <w:color w:val="auto"/>
                <w:spacing w:val="-1"/>
                <w:sz w:val="24"/>
                <w:szCs w:val="24"/>
              </w:rPr>
              <w:t>建设单位首先对报废农机进行检查和登记，具体操作如下：</w:t>
            </w:r>
          </w:p>
          <w:p w14:paraId="630C029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9"/>
              <w:jc w:val="both"/>
              <w:textAlignment w:val="auto"/>
              <w:rPr>
                <w:rFonts w:hint="default"/>
                <w:color w:val="auto"/>
                <w:sz w:val="24"/>
                <w:szCs w:val="24"/>
              </w:rPr>
            </w:pPr>
            <w:r>
              <w:rPr>
                <w:rFonts w:hint="default"/>
                <w:color w:val="auto"/>
                <w:spacing w:val="3"/>
                <w:sz w:val="24"/>
                <w:szCs w:val="24"/>
              </w:rPr>
              <w:t>①检测报废农业机械发动机、散热器、变速器、差速器、油箱、液</w:t>
            </w:r>
            <w:r>
              <w:rPr>
                <w:rFonts w:hint="default"/>
                <w:color w:val="auto"/>
                <w:spacing w:val="2"/>
                <w:sz w:val="24"/>
                <w:szCs w:val="24"/>
              </w:rPr>
              <w:t>罐等总</w:t>
            </w:r>
            <w:r>
              <w:rPr>
                <w:rFonts w:hint="default"/>
                <w:color w:val="auto"/>
                <w:spacing w:val="3"/>
                <w:sz w:val="24"/>
                <w:szCs w:val="24"/>
              </w:rPr>
              <w:t>成部件的密封情况，对出现泄漏的地方，应采取适当的方</w:t>
            </w:r>
            <w:r>
              <w:rPr>
                <w:rFonts w:hint="default"/>
                <w:color w:val="auto"/>
                <w:spacing w:val="2"/>
                <w:sz w:val="24"/>
                <w:szCs w:val="24"/>
              </w:rPr>
              <w:t>式收集泄漏的液体或</w:t>
            </w:r>
            <w:r>
              <w:rPr>
                <w:rFonts w:hint="default"/>
                <w:color w:val="auto"/>
                <w:spacing w:val="-1"/>
                <w:sz w:val="24"/>
                <w:szCs w:val="24"/>
              </w:rPr>
              <w:t>封住泄漏处，防止废液渗入地下；</w:t>
            </w:r>
          </w:p>
          <w:p w14:paraId="602F7E2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7"/>
              <w:jc w:val="both"/>
              <w:textAlignment w:val="auto"/>
              <w:rPr>
                <w:rFonts w:hint="default"/>
                <w:color w:val="auto"/>
                <w:sz w:val="24"/>
                <w:szCs w:val="24"/>
              </w:rPr>
            </w:pPr>
            <w:r>
              <w:rPr>
                <w:rFonts w:hint="default"/>
                <w:color w:val="auto"/>
                <w:spacing w:val="3"/>
                <w:sz w:val="24"/>
                <w:szCs w:val="24"/>
              </w:rPr>
              <w:t>②对报废农业机械主要信息进行登记并拍照，并在机身醒目位置贴上</w:t>
            </w:r>
            <w:r>
              <w:rPr>
                <w:rFonts w:hint="default"/>
                <w:color w:val="auto"/>
                <w:spacing w:val="2"/>
                <w:sz w:val="24"/>
                <w:szCs w:val="24"/>
              </w:rPr>
              <w:t>唯一</w:t>
            </w:r>
            <w:r>
              <w:rPr>
                <w:rFonts w:hint="default"/>
                <w:color w:val="auto"/>
                <w:spacing w:val="3"/>
                <w:sz w:val="24"/>
                <w:szCs w:val="24"/>
              </w:rPr>
              <w:t>性标识。主要信息包括：机主（单位或个人）名称、</w:t>
            </w:r>
            <w:r>
              <w:rPr>
                <w:rFonts w:hint="default"/>
                <w:color w:val="auto"/>
                <w:spacing w:val="2"/>
                <w:sz w:val="24"/>
                <w:szCs w:val="24"/>
              </w:rPr>
              <w:t>证件号码、牌照号码、品</w:t>
            </w:r>
            <w:r>
              <w:rPr>
                <w:rFonts w:hint="default"/>
                <w:color w:val="auto"/>
                <w:sz w:val="24"/>
                <w:szCs w:val="24"/>
              </w:rPr>
              <w:t>牌型号机身颜色、车架号、发动机号、出厂</w:t>
            </w:r>
            <w:r>
              <w:rPr>
                <w:rFonts w:hint="default"/>
                <w:color w:val="auto"/>
                <w:spacing w:val="-1"/>
                <w:sz w:val="24"/>
                <w:szCs w:val="24"/>
              </w:rPr>
              <w:t>年份、接收或收购日期等。</w:t>
            </w:r>
          </w:p>
          <w:p w14:paraId="60E2641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eastAsia" w:ascii="Times New Roman" w:hAnsi="Times New Roman" w:eastAsia="宋体" w:cs="Times New Roman"/>
                <w:b/>
                <w:bCs/>
                <w:color w:val="auto"/>
                <w:spacing w:val="-7"/>
                <w:sz w:val="24"/>
                <w:szCs w:val="24"/>
                <w:lang w:eastAsia="zh-CN"/>
              </w:rPr>
              <w:t>（</w:t>
            </w:r>
            <w:r>
              <w:rPr>
                <w:rFonts w:hint="eastAsia" w:ascii="Times New Roman" w:hAnsi="Times New Roman" w:eastAsia="宋体" w:cs="Times New Roman"/>
                <w:b/>
                <w:bCs/>
                <w:color w:val="auto"/>
                <w:spacing w:val="-7"/>
                <w:sz w:val="24"/>
                <w:szCs w:val="24"/>
                <w:lang w:val="en-US" w:eastAsia="zh-CN"/>
              </w:rPr>
              <w:t>2）</w:t>
            </w:r>
            <w:r>
              <w:rPr>
                <w:rFonts w:hint="default"/>
                <w:b/>
                <w:bCs/>
                <w:color w:val="auto"/>
                <w:spacing w:val="-7"/>
                <w:sz w:val="24"/>
                <w:szCs w:val="24"/>
              </w:rPr>
              <w:t>拆解前储存</w:t>
            </w:r>
          </w:p>
          <w:p w14:paraId="3BE7E38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default"/>
                <w:color w:val="auto"/>
                <w:spacing w:val="-1"/>
                <w:sz w:val="24"/>
                <w:szCs w:val="24"/>
              </w:rPr>
              <w:t>将报废农机放置于厂区内报废农机暂存区内，存放要求如下：</w:t>
            </w:r>
          </w:p>
          <w:p w14:paraId="0BC13EB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default" w:ascii="Times New Roman" w:hAnsi="Times New Roman" w:eastAsia="Times New Roman" w:cs="Times New Roman"/>
                <w:color w:val="auto"/>
                <w:spacing w:val="-1"/>
                <w:sz w:val="24"/>
                <w:szCs w:val="24"/>
              </w:rPr>
              <w:t>1</w:t>
            </w:r>
            <w:r>
              <w:rPr>
                <w:rFonts w:hint="default"/>
                <w:color w:val="auto"/>
                <w:spacing w:val="-1"/>
                <w:sz w:val="24"/>
                <w:szCs w:val="24"/>
              </w:rPr>
              <w:t>）报废农业机械存储应与其他废弃物存储分开，应避免侧放、倒放；</w:t>
            </w:r>
          </w:p>
          <w:p w14:paraId="727BB68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default" w:ascii="Times New Roman" w:hAnsi="Times New Roman" w:eastAsia="Times New Roman" w:cs="Times New Roman"/>
                <w:color w:val="auto"/>
                <w:spacing w:val="-1"/>
                <w:sz w:val="24"/>
                <w:szCs w:val="24"/>
              </w:rPr>
              <w:t>2</w:t>
            </w:r>
            <w:r>
              <w:rPr>
                <w:rFonts w:hint="default"/>
                <w:color w:val="auto"/>
                <w:spacing w:val="-1"/>
                <w:sz w:val="24"/>
                <w:szCs w:val="24"/>
              </w:rPr>
              <w:t>）如需要叠放，应做到堆放合理，方便装卸，保障人身财产安全；</w:t>
            </w:r>
          </w:p>
          <w:p w14:paraId="33EA320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default" w:ascii="Times New Roman" w:hAnsi="Times New Roman" w:eastAsia="Times New Roman" w:cs="Times New Roman"/>
                <w:color w:val="auto"/>
                <w:spacing w:val="-1"/>
                <w:sz w:val="24"/>
                <w:szCs w:val="24"/>
              </w:rPr>
              <w:t>3</w:t>
            </w:r>
            <w:r>
              <w:rPr>
                <w:rFonts w:hint="default"/>
                <w:color w:val="auto"/>
                <w:spacing w:val="-1"/>
                <w:sz w:val="24"/>
                <w:szCs w:val="24"/>
              </w:rPr>
              <w:t>）回收报废农业机械后，应在</w:t>
            </w:r>
            <w:r>
              <w:rPr>
                <w:rFonts w:hint="eastAsia"/>
                <w:color w:val="auto"/>
                <w:spacing w:val="-1"/>
                <w:sz w:val="24"/>
                <w:szCs w:val="24"/>
                <w:lang w:val="en-US" w:eastAsia="zh-CN"/>
              </w:rPr>
              <w:t>3</w:t>
            </w:r>
            <w:r>
              <w:rPr>
                <w:rFonts w:hint="default"/>
                <w:color w:val="auto"/>
                <w:spacing w:val="-1"/>
                <w:sz w:val="24"/>
                <w:szCs w:val="24"/>
              </w:rPr>
              <w:t>个月之内将其拆</w:t>
            </w:r>
            <w:r>
              <w:rPr>
                <w:rFonts w:hint="default"/>
                <w:color w:val="auto"/>
                <w:spacing w:val="-2"/>
                <w:sz w:val="24"/>
                <w:szCs w:val="24"/>
              </w:rPr>
              <w:t>解完毕。</w:t>
            </w:r>
          </w:p>
          <w:p w14:paraId="1AB4F17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8"/>
              <w:jc w:val="both"/>
              <w:textAlignment w:val="auto"/>
              <w:rPr>
                <w:rFonts w:hint="default"/>
                <w:color w:val="auto"/>
                <w:sz w:val="24"/>
                <w:szCs w:val="24"/>
              </w:rPr>
            </w:pPr>
            <w:r>
              <w:rPr>
                <w:rFonts w:hint="default"/>
                <w:color w:val="auto"/>
                <w:spacing w:val="-1"/>
                <w:sz w:val="24"/>
                <w:szCs w:val="24"/>
              </w:rPr>
              <w:t>报废农机暂存区位于</w:t>
            </w:r>
            <w:r>
              <w:rPr>
                <w:rFonts w:hint="eastAsia"/>
                <w:color w:val="auto"/>
                <w:spacing w:val="-1"/>
                <w:sz w:val="24"/>
                <w:szCs w:val="24"/>
                <w:lang w:val="en-US" w:eastAsia="zh-CN"/>
              </w:rPr>
              <w:t>生产车间东</w:t>
            </w:r>
            <w:r>
              <w:rPr>
                <w:rFonts w:hint="default"/>
                <w:color w:val="auto"/>
                <w:spacing w:val="-1"/>
                <w:sz w:val="24"/>
                <w:szCs w:val="24"/>
              </w:rPr>
              <w:t>侧，地面水泥硬化，</w:t>
            </w:r>
            <w:r>
              <w:rPr>
                <w:rFonts w:hint="default"/>
                <w:color w:val="auto"/>
                <w:spacing w:val="-2"/>
                <w:sz w:val="24"/>
                <w:szCs w:val="24"/>
              </w:rPr>
              <w:t>厂区内农机最大暂存量为</w:t>
            </w:r>
            <w:r>
              <w:rPr>
                <w:rFonts w:hint="default" w:ascii="Times New Roman" w:hAnsi="Times New Roman" w:eastAsia="Times New Roman" w:cs="Times New Roman"/>
                <w:color w:val="auto"/>
                <w:spacing w:val="-2"/>
                <w:sz w:val="24"/>
                <w:szCs w:val="24"/>
              </w:rPr>
              <w:t>50</w:t>
            </w:r>
            <w:r>
              <w:rPr>
                <w:rFonts w:hint="default"/>
                <w:color w:val="auto"/>
                <w:spacing w:val="-2"/>
                <w:sz w:val="24"/>
                <w:szCs w:val="24"/>
              </w:rPr>
              <w:t>辆。</w:t>
            </w:r>
          </w:p>
          <w:p w14:paraId="1BE23AE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hanging="2"/>
              <w:jc w:val="both"/>
              <w:textAlignment w:val="auto"/>
              <w:rPr>
                <w:rFonts w:hint="eastAsia"/>
                <w:color w:val="auto"/>
                <w:spacing w:val="-1"/>
                <w:sz w:val="24"/>
                <w:szCs w:val="24"/>
                <w:lang w:eastAsia="zh-CN"/>
              </w:rPr>
            </w:pPr>
            <w:r>
              <w:rPr>
                <w:rFonts w:hint="default"/>
                <w:b/>
                <w:bCs/>
                <w:color w:val="auto"/>
                <w:spacing w:val="-1"/>
                <w:sz w:val="24"/>
                <w:szCs w:val="24"/>
              </w:rPr>
              <w:t>产污环节：</w:t>
            </w:r>
            <w:r>
              <w:rPr>
                <w:rFonts w:hint="default"/>
                <w:color w:val="auto"/>
                <w:spacing w:val="-1"/>
                <w:sz w:val="24"/>
                <w:szCs w:val="24"/>
              </w:rPr>
              <w:t>报废农机露天堆放产生初期雨水</w:t>
            </w:r>
            <w:r>
              <w:rPr>
                <w:rFonts w:hint="eastAsia"/>
                <w:color w:val="auto"/>
                <w:spacing w:val="-1"/>
                <w:sz w:val="24"/>
                <w:szCs w:val="24"/>
                <w:lang w:eastAsia="zh-CN"/>
              </w:rPr>
              <w:t>。</w:t>
            </w:r>
          </w:p>
          <w:p w14:paraId="352C529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hanging="2"/>
              <w:jc w:val="both"/>
              <w:textAlignment w:val="auto"/>
              <w:rPr>
                <w:rFonts w:hint="default"/>
                <w:color w:val="auto"/>
                <w:sz w:val="24"/>
                <w:szCs w:val="24"/>
              </w:rPr>
            </w:pPr>
            <w:r>
              <w:rPr>
                <w:rFonts w:hint="default"/>
                <w:color w:val="auto"/>
                <w:spacing w:val="-1"/>
                <w:sz w:val="24"/>
                <w:szCs w:val="24"/>
              </w:rPr>
              <w:t>本项目报废农机贮</w:t>
            </w:r>
            <w:r>
              <w:rPr>
                <w:rFonts w:hint="default"/>
                <w:color w:val="auto"/>
                <w:spacing w:val="3"/>
                <w:sz w:val="24"/>
                <w:szCs w:val="24"/>
              </w:rPr>
              <w:t>存区进行地面防渗、硬化，设置初期雨水收集系统，初期</w:t>
            </w:r>
            <w:r>
              <w:rPr>
                <w:rFonts w:hint="default"/>
                <w:color w:val="auto"/>
                <w:spacing w:val="2"/>
                <w:sz w:val="24"/>
                <w:szCs w:val="24"/>
              </w:rPr>
              <w:t>雨水经初期雨水收集</w:t>
            </w:r>
            <w:r>
              <w:rPr>
                <w:rFonts w:hint="default"/>
                <w:color w:val="auto"/>
                <w:spacing w:val="3"/>
                <w:sz w:val="24"/>
                <w:szCs w:val="24"/>
              </w:rPr>
              <w:t>池进入污水处理设施，处理后经污水管网排入阜新市北</w:t>
            </w:r>
            <w:r>
              <w:rPr>
                <w:rFonts w:hint="default"/>
                <w:color w:val="auto"/>
                <w:spacing w:val="2"/>
                <w:sz w:val="24"/>
                <w:szCs w:val="24"/>
              </w:rPr>
              <w:t>控水务有限公司集中处</w:t>
            </w:r>
            <w:r>
              <w:rPr>
                <w:rFonts w:hint="default"/>
                <w:color w:val="auto"/>
                <w:spacing w:val="-2"/>
                <w:sz w:val="24"/>
                <w:szCs w:val="24"/>
              </w:rPr>
              <w:t>理达标后排放。</w:t>
            </w:r>
          </w:p>
          <w:p w14:paraId="4ED2BA2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eastAsia" w:ascii="Times New Roman" w:hAnsi="Times New Roman" w:eastAsia="宋体" w:cs="Times New Roman"/>
                <w:b/>
                <w:bCs/>
                <w:color w:val="auto"/>
                <w:spacing w:val="-6"/>
                <w:sz w:val="24"/>
                <w:szCs w:val="24"/>
                <w:lang w:eastAsia="zh-CN"/>
              </w:rPr>
              <w:t>（</w:t>
            </w:r>
            <w:r>
              <w:rPr>
                <w:rFonts w:hint="eastAsia" w:ascii="Times New Roman" w:hAnsi="Times New Roman" w:eastAsia="宋体" w:cs="Times New Roman"/>
                <w:b/>
                <w:bCs/>
                <w:color w:val="auto"/>
                <w:spacing w:val="-6"/>
                <w:sz w:val="24"/>
                <w:szCs w:val="24"/>
                <w:lang w:val="en-US" w:eastAsia="zh-CN"/>
              </w:rPr>
              <w:t>3）</w:t>
            </w:r>
            <w:r>
              <w:rPr>
                <w:rFonts w:hint="default"/>
                <w:b/>
                <w:bCs/>
                <w:color w:val="auto"/>
                <w:spacing w:val="-6"/>
                <w:sz w:val="24"/>
                <w:szCs w:val="24"/>
              </w:rPr>
              <w:t>拆解预处理</w:t>
            </w:r>
          </w:p>
          <w:p w14:paraId="587FEB5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4"/>
              <w:jc w:val="both"/>
              <w:textAlignment w:val="auto"/>
              <w:rPr>
                <w:rFonts w:hint="default"/>
                <w:color w:val="auto"/>
                <w:sz w:val="24"/>
                <w:szCs w:val="24"/>
              </w:rPr>
            </w:pPr>
            <w:r>
              <w:rPr>
                <w:rFonts w:hint="default"/>
                <w:color w:val="auto"/>
                <w:spacing w:val="2"/>
                <w:sz w:val="24"/>
                <w:szCs w:val="24"/>
              </w:rPr>
              <w:t>先去除机械外部的非原机所属的覆盖物。在拆解预处理区域（拆解区内）</w:t>
            </w:r>
            <w:r>
              <w:rPr>
                <w:rFonts w:hint="default"/>
                <w:color w:val="auto"/>
                <w:spacing w:val="3"/>
                <w:sz w:val="24"/>
                <w:szCs w:val="24"/>
              </w:rPr>
              <w:t>排空并分类收集农业机械内的废液，所有废液应排放干</w:t>
            </w:r>
            <w:r>
              <w:rPr>
                <w:rFonts w:hint="default"/>
                <w:color w:val="auto"/>
                <w:spacing w:val="2"/>
                <w:sz w:val="24"/>
                <w:szCs w:val="24"/>
              </w:rPr>
              <w:t>净。废油液承装容器采</w:t>
            </w:r>
            <w:r>
              <w:rPr>
                <w:rFonts w:hint="default"/>
                <w:color w:val="auto"/>
                <w:spacing w:val="-3"/>
                <w:sz w:val="24"/>
                <w:szCs w:val="24"/>
              </w:rPr>
              <w:t>用桶装。</w:t>
            </w:r>
          </w:p>
          <w:p w14:paraId="385ABE8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9"/>
              <w:jc w:val="both"/>
              <w:textAlignment w:val="auto"/>
              <w:rPr>
                <w:rFonts w:hint="default" w:eastAsia="宋体"/>
                <w:b/>
                <w:bCs/>
                <w:color w:val="auto"/>
                <w:sz w:val="24"/>
                <w:szCs w:val="24"/>
                <w:lang w:val="en-US" w:eastAsia="zh-CN"/>
              </w:rPr>
            </w:pPr>
            <w:r>
              <w:rPr>
                <w:rFonts w:hint="default"/>
                <w:b/>
                <w:bCs/>
                <w:color w:val="auto"/>
                <w:sz w:val="24"/>
                <w:szCs w:val="24"/>
              </w:rPr>
              <w:t>产污环节：排空废液过程产生有机废气经集气罩收集后，经二级活性炭吸附箱处理后，由</w:t>
            </w:r>
            <w:r>
              <w:rPr>
                <w:rFonts w:hint="default" w:ascii="Times New Roman" w:hAnsi="Times New Roman" w:eastAsia="Times New Roman" w:cs="Times New Roman"/>
                <w:b/>
                <w:bCs/>
                <w:color w:val="auto"/>
                <w:sz w:val="24"/>
                <w:szCs w:val="24"/>
              </w:rPr>
              <w:t>1</w:t>
            </w:r>
            <w:r>
              <w:rPr>
                <w:rFonts w:hint="default"/>
                <w:b/>
                <w:bCs/>
                <w:color w:val="auto"/>
                <w:sz w:val="24"/>
                <w:szCs w:val="24"/>
              </w:rPr>
              <w:t>根</w:t>
            </w:r>
            <w:r>
              <w:rPr>
                <w:rFonts w:hint="eastAsia" w:ascii="Times New Roman" w:hAnsi="Times New Roman" w:eastAsia="宋体" w:cs="Times New Roman"/>
                <w:b/>
                <w:bCs/>
                <w:color w:val="auto"/>
                <w:sz w:val="24"/>
                <w:szCs w:val="24"/>
                <w:lang w:val="en-US" w:eastAsia="zh-CN"/>
              </w:rPr>
              <w:t>2</w:t>
            </w:r>
            <w:r>
              <w:rPr>
                <w:rFonts w:hint="eastAsia" w:cs="Times New Roman"/>
                <w:b/>
                <w:bCs/>
                <w:color w:val="auto"/>
                <w:sz w:val="24"/>
                <w:szCs w:val="24"/>
                <w:lang w:val="en-US" w:eastAsia="zh-CN"/>
              </w:rPr>
              <w:t>4</w:t>
            </w:r>
            <w:r>
              <w:rPr>
                <w:rFonts w:hint="default" w:ascii="Times New Roman" w:hAnsi="Times New Roman" w:eastAsia="Times New Roman" w:cs="Times New Roman"/>
                <w:b/>
                <w:bCs/>
                <w:color w:val="auto"/>
                <w:sz w:val="24"/>
                <w:szCs w:val="24"/>
              </w:rPr>
              <w:t>m</w:t>
            </w:r>
            <w:r>
              <w:rPr>
                <w:rFonts w:hint="default"/>
                <w:b/>
                <w:bCs/>
                <w:color w:val="auto"/>
                <w:sz w:val="24"/>
                <w:szCs w:val="24"/>
              </w:rPr>
              <w:t>高排气筒</w:t>
            </w:r>
            <w:r>
              <w:rPr>
                <w:rFonts w:hint="default" w:ascii="Times New Roman" w:hAnsi="Times New Roman" w:eastAsia="Times New Roman" w:cs="Times New Roman"/>
                <w:b/>
                <w:bCs/>
                <w:color w:val="auto"/>
                <w:sz w:val="24"/>
                <w:szCs w:val="24"/>
              </w:rPr>
              <w:t>DA001</w:t>
            </w:r>
            <w:r>
              <w:rPr>
                <w:rFonts w:hint="default"/>
                <w:b/>
                <w:bCs/>
                <w:color w:val="auto"/>
                <w:sz w:val="24"/>
                <w:szCs w:val="24"/>
              </w:rPr>
              <w:t>有组织排</w:t>
            </w:r>
            <w:r>
              <w:rPr>
                <w:rFonts w:hint="default"/>
                <w:b/>
                <w:bCs/>
                <w:color w:val="auto"/>
                <w:spacing w:val="-2"/>
                <w:sz w:val="24"/>
                <w:szCs w:val="24"/>
              </w:rPr>
              <w:t>放；预处理过程产生的废油液、废防冻液</w:t>
            </w:r>
            <w:r>
              <w:rPr>
                <w:rFonts w:hint="eastAsia"/>
                <w:b/>
                <w:bCs/>
                <w:color w:val="auto"/>
                <w:spacing w:val="-2"/>
                <w:sz w:val="24"/>
                <w:szCs w:val="24"/>
                <w:lang w:val="en-US" w:eastAsia="zh-CN"/>
              </w:rPr>
              <w:t>、</w:t>
            </w:r>
            <w:r>
              <w:rPr>
                <w:rFonts w:hint="default"/>
                <w:b/>
                <w:bCs/>
                <w:color w:val="auto"/>
                <w:spacing w:val="-2"/>
                <w:sz w:val="24"/>
                <w:szCs w:val="24"/>
              </w:rPr>
              <w:t>废</w:t>
            </w:r>
            <w:r>
              <w:rPr>
                <w:rFonts w:hint="eastAsia"/>
                <w:b/>
                <w:bCs/>
                <w:color w:val="auto"/>
                <w:spacing w:val="-2"/>
                <w:sz w:val="24"/>
                <w:szCs w:val="24"/>
                <w:lang w:val="en-US" w:eastAsia="zh-CN"/>
              </w:rPr>
              <w:t>蓄电池</w:t>
            </w:r>
            <w:r>
              <w:rPr>
                <w:rFonts w:hint="default"/>
                <w:b/>
                <w:bCs/>
                <w:color w:val="auto"/>
                <w:spacing w:val="-2"/>
                <w:sz w:val="24"/>
                <w:szCs w:val="24"/>
              </w:rPr>
              <w:t>等</w:t>
            </w:r>
            <w:r>
              <w:rPr>
                <w:rFonts w:hint="default"/>
                <w:b/>
                <w:bCs/>
                <w:color w:val="auto"/>
                <w:spacing w:val="3"/>
                <w:sz w:val="24"/>
                <w:szCs w:val="24"/>
              </w:rPr>
              <w:t>均属于危险废物，分类收集后，暂存于危废贮存库内，</w:t>
            </w:r>
            <w:r>
              <w:rPr>
                <w:rFonts w:hint="default"/>
                <w:b/>
                <w:bCs/>
                <w:color w:val="auto"/>
                <w:spacing w:val="2"/>
                <w:sz w:val="24"/>
                <w:szCs w:val="24"/>
              </w:rPr>
              <w:t>定期交由有资质单位安</w:t>
            </w:r>
            <w:r>
              <w:rPr>
                <w:rFonts w:hint="default"/>
                <w:b/>
                <w:bCs/>
                <w:color w:val="auto"/>
                <w:spacing w:val="-3"/>
                <w:sz w:val="24"/>
                <w:szCs w:val="24"/>
              </w:rPr>
              <w:t>全处置</w:t>
            </w:r>
            <w:r>
              <w:rPr>
                <w:rFonts w:hint="eastAsia"/>
                <w:b/>
                <w:bCs/>
                <w:color w:val="auto"/>
                <w:spacing w:val="-3"/>
                <w:sz w:val="24"/>
                <w:szCs w:val="24"/>
                <w:lang w:eastAsia="zh-CN"/>
              </w:rPr>
              <w:t>；</w:t>
            </w:r>
            <w:r>
              <w:rPr>
                <w:rFonts w:hint="default"/>
                <w:b/>
                <w:bCs/>
                <w:color w:val="auto"/>
                <w:spacing w:val="-2"/>
                <w:sz w:val="24"/>
                <w:szCs w:val="24"/>
              </w:rPr>
              <w:t>预处理过程</w:t>
            </w:r>
            <w:r>
              <w:rPr>
                <w:rFonts w:hint="eastAsia"/>
                <w:b/>
                <w:bCs/>
                <w:color w:val="auto"/>
                <w:spacing w:val="-2"/>
                <w:sz w:val="24"/>
                <w:szCs w:val="24"/>
                <w:lang w:val="en-US" w:eastAsia="zh-CN"/>
              </w:rPr>
              <w:t>产生的设备噪声采取厂房隔声降噪等措施降低噪声排放。</w:t>
            </w:r>
          </w:p>
          <w:p w14:paraId="50EBC27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eastAsia" w:ascii="Times New Roman" w:hAnsi="Times New Roman" w:eastAsia="宋体" w:cs="Times New Roman"/>
                <w:b/>
                <w:bCs/>
                <w:color w:val="auto"/>
                <w:spacing w:val="-8"/>
                <w:sz w:val="24"/>
                <w:szCs w:val="24"/>
                <w:lang w:eastAsia="zh-CN"/>
              </w:rPr>
              <w:t>（</w:t>
            </w:r>
            <w:r>
              <w:rPr>
                <w:rFonts w:hint="eastAsia" w:ascii="Times New Roman" w:hAnsi="Times New Roman" w:eastAsia="宋体" w:cs="Times New Roman"/>
                <w:b/>
                <w:bCs/>
                <w:color w:val="auto"/>
                <w:spacing w:val="-8"/>
                <w:sz w:val="24"/>
                <w:szCs w:val="24"/>
                <w:lang w:val="en-US" w:eastAsia="zh-CN"/>
              </w:rPr>
              <w:t>4）</w:t>
            </w:r>
            <w:r>
              <w:rPr>
                <w:rFonts w:hint="default"/>
                <w:b/>
                <w:bCs/>
                <w:color w:val="auto"/>
                <w:spacing w:val="-8"/>
                <w:sz w:val="24"/>
                <w:szCs w:val="24"/>
              </w:rPr>
              <w:t>总成拆解</w:t>
            </w:r>
          </w:p>
          <w:p w14:paraId="1B79170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8"/>
              <w:jc w:val="both"/>
              <w:textAlignment w:val="auto"/>
              <w:rPr>
                <w:rFonts w:hint="default"/>
                <w:color w:val="auto"/>
                <w:sz w:val="24"/>
                <w:szCs w:val="24"/>
              </w:rPr>
            </w:pPr>
            <w:r>
              <w:rPr>
                <w:rFonts w:hint="default"/>
                <w:color w:val="auto"/>
                <w:spacing w:val="3"/>
                <w:sz w:val="24"/>
                <w:szCs w:val="24"/>
              </w:rPr>
              <w:t>报废农机预处理完成后，使用工具拆除其他外部件、轮胎、玻璃、发</w:t>
            </w:r>
            <w:r>
              <w:rPr>
                <w:rFonts w:hint="default"/>
                <w:color w:val="auto"/>
                <w:spacing w:val="2"/>
                <w:sz w:val="24"/>
                <w:szCs w:val="24"/>
              </w:rPr>
              <w:t>动机</w:t>
            </w:r>
            <w:r>
              <w:rPr>
                <w:rFonts w:hint="default"/>
                <w:color w:val="auto"/>
                <w:spacing w:val="3"/>
                <w:sz w:val="24"/>
                <w:szCs w:val="24"/>
              </w:rPr>
              <w:t>等。并按《报废农业机械回收拆解技术规范》对以上总</w:t>
            </w:r>
            <w:r>
              <w:rPr>
                <w:rFonts w:hint="default"/>
                <w:color w:val="auto"/>
                <w:spacing w:val="2"/>
                <w:sz w:val="24"/>
                <w:szCs w:val="24"/>
              </w:rPr>
              <w:t>成进行毁形，毁形主要</w:t>
            </w:r>
            <w:r>
              <w:rPr>
                <w:rFonts w:hint="default"/>
                <w:color w:val="auto"/>
                <w:spacing w:val="3"/>
                <w:sz w:val="24"/>
                <w:szCs w:val="24"/>
              </w:rPr>
              <w:t>是对总成进行物理破坏，使其不能再次被回收再利用。</w:t>
            </w:r>
            <w:r>
              <w:rPr>
                <w:rFonts w:hint="default"/>
                <w:color w:val="auto"/>
                <w:spacing w:val="2"/>
                <w:sz w:val="24"/>
                <w:szCs w:val="24"/>
              </w:rPr>
              <w:t>对拆解下来的发动机进</w:t>
            </w:r>
            <w:r>
              <w:rPr>
                <w:rFonts w:hint="default"/>
                <w:color w:val="auto"/>
                <w:spacing w:val="-2"/>
                <w:sz w:val="24"/>
                <w:szCs w:val="24"/>
              </w:rPr>
              <w:t>行毁形，首先在发动机上开一个至少</w:t>
            </w:r>
            <w:r>
              <w:rPr>
                <w:rFonts w:hint="default"/>
                <w:color w:val="auto"/>
                <w:spacing w:val="-30"/>
                <w:sz w:val="24"/>
                <w:szCs w:val="24"/>
              </w:rPr>
              <w:t xml:space="preserve"> </w:t>
            </w:r>
            <w:r>
              <w:rPr>
                <w:rFonts w:hint="default" w:ascii="Times New Roman" w:hAnsi="Times New Roman" w:eastAsia="Times New Roman" w:cs="Times New Roman"/>
                <w:color w:val="auto"/>
                <w:spacing w:val="-2"/>
                <w:sz w:val="24"/>
                <w:szCs w:val="24"/>
              </w:rPr>
              <w:t>5cm</w:t>
            </w:r>
            <w:r>
              <w:rPr>
                <w:rFonts w:hint="eastAsia" w:ascii="Times New Roman" w:hAnsi="Times New Roman" w:eastAsia="宋体" w:cs="Times New Roman"/>
                <w:color w:val="auto"/>
                <w:spacing w:val="-2"/>
                <w:sz w:val="24"/>
                <w:szCs w:val="24"/>
                <w:vertAlign w:val="superscript"/>
                <w:lang w:val="en-US" w:eastAsia="zh-CN"/>
              </w:rPr>
              <w:t>2</w:t>
            </w:r>
            <w:r>
              <w:rPr>
                <w:rFonts w:hint="default"/>
                <w:color w:val="auto"/>
                <w:spacing w:val="-2"/>
                <w:sz w:val="24"/>
                <w:szCs w:val="24"/>
              </w:rPr>
              <w:t>的孔，保证其不能再次被回收利用，</w:t>
            </w:r>
            <w:r>
              <w:rPr>
                <w:rFonts w:hint="default"/>
                <w:color w:val="auto"/>
                <w:spacing w:val="3"/>
                <w:sz w:val="24"/>
                <w:szCs w:val="24"/>
              </w:rPr>
              <w:t>最后将破坏后的发动机暂存在金属箱中置于发动机存放</w:t>
            </w:r>
            <w:r>
              <w:rPr>
                <w:rFonts w:hint="default"/>
                <w:color w:val="auto"/>
                <w:spacing w:val="2"/>
                <w:sz w:val="24"/>
                <w:szCs w:val="24"/>
              </w:rPr>
              <w:t>区。拆解下的油箱、油</w:t>
            </w:r>
            <w:r>
              <w:rPr>
                <w:rFonts w:hint="default"/>
                <w:color w:val="auto"/>
                <w:spacing w:val="3"/>
                <w:sz w:val="24"/>
                <w:szCs w:val="24"/>
              </w:rPr>
              <w:t>管等零部件采用抹布擦拭后，均暂存于危废贮存库内。</w:t>
            </w:r>
            <w:r>
              <w:rPr>
                <w:rFonts w:hint="default"/>
                <w:color w:val="auto"/>
                <w:spacing w:val="2"/>
                <w:sz w:val="24"/>
                <w:szCs w:val="24"/>
              </w:rPr>
              <w:t>从结构复杂性与操纵舒</w:t>
            </w:r>
            <w:r>
              <w:rPr>
                <w:rFonts w:hint="default"/>
                <w:color w:val="auto"/>
                <w:spacing w:val="3"/>
                <w:sz w:val="24"/>
                <w:szCs w:val="24"/>
              </w:rPr>
              <w:t>适性两方面来说，农业机械通常比汽车简单许多操纵性</w:t>
            </w:r>
            <w:r>
              <w:rPr>
                <w:rFonts w:hint="default"/>
                <w:color w:val="auto"/>
                <w:spacing w:val="2"/>
                <w:sz w:val="24"/>
                <w:szCs w:val="24"/>
              </w:rPr>
              <w:t>能要求也低，故其总成</w:t>
            </w:r>
            <w:r>
              <w:rPr>
                <w:rFonts w:hint="default"/>
                <w:color w:val="auto"/>
                <w:spacing w:val="-3"/>
                <w:sz w:val="24"/>
                <w:szCs w:val="24"/>
              </w:rPr>
              <w:t>数较少。</w:t>
            </w:r>
          </w:p>
          <w:p w14:paraId="33C37B8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both"/>
              <w:textAlignment w:val="auto"/>
              <w:rPr>
                <w:rFonts w:hint="default"/>
                <w:b/>
                <w:bCs/>
                <w:color w:val="auto"/>
                <w:spacing w:val="-2"/>
                <w:sz w:val="24"/>
                <w:szCs w:val="24"/>
              </w:rPr>
            </w:pPr>
            <w:r>
              <w:rPr>
                <w:rFonts w:hint="default"/>
                <w:b/>
                <w:bCs/>
                <w:color w:val="auto"/>
                <w:spacing w:val="-11"/>
                <w:sz w:val="24"/>
                <w:szCs w:val="24"/>
              </w:rPr>
              <w:t>产污环节：拆除的总成零部件、废</w:t>
            </w:r>
            <w:r>
              <w:rPr>
                <w:rFonts w:hint="eastAsia"/>
                <w:b/>
                <w:bCs/>
                <w:color w:val="auto"/>
                <w:spacing w:val="-11"/>
                <w:sz w:val="24"/>
                <w:szCs w:val="24"/>
                <w:lang w:val="en-US" w:eastAsia="zh-CN"/>
              </w:rPr>
              <w:t>轮胎</w:t>
            </w:r>
            <w:r>
              <w:rPr>
                <w:rFonts w:hint="default"/>
                <w:b/>
                <w:bCs/>
                <w:color w:val="auto"/>
                <w:spacing w:val="-11"/>
                <w:sz w:val="24"/>
                <w:szCs w:val="24"/>
              </w:rPr>
              <w:t>、</w:t>
            </w:r>
            <w:r>
              <w:rPr>
                <w:rFonts w:hint="default"/>
                <w:b/>
                <w:bCs/>
                <w:color w:val="auto"/>
                <w:spacing w:val="-12"/>
                <w:sz w:val="24"/>
                <w:szCs w:val="24"/>
              </w:rPr>
              <w:t>废旧玻璃</w:t>
            </w:r>
            <w:r>
              <w:rPr>
                <w:rFonts w:hint="default"/>
                <w:b/>
                <w:bCs/>
                <w:color w:val="auto"/>
                <w:spacing w:val="-2"/>
                <w:sz w:val="24"/>
                <w:szCs w:val="24"/>
              </w:rPr>
              <w:t>送至各自暂存区域暂存，定期外售；</w:t>
            </w:r>
            <w:r>
              <w:rPr>
                <w:rFonts w:hint="default"/>
                <w:b/>
                <w:bCs/>
                <w:color w:val="auto"/>
                <w:spacing w:val="-3"/>
                <w:sz w:val="24"/>
                <w:szCs w:val="24"/>
              </w:rPr>
              <w:t>废油箱、废</w:t>
            </w:r>
            <w:r>
              <w:rPr>
                <w:rFonts w:hint="eastAsia"/>
                <w:b/>
                <w:bCs/>
                <w:color w:val="auto"/>
                <w:spacing w:val="-3"/>
                <w:sz w:val="24"/>
                <w:szCs w:val="24"/>
                <w:lang w:val="en-US" w:eastAsia="zh-CN"/>
              </w:rPr>
              <w:t>电路板、</w:t>
            </w:r>
            <w:r>
              <w:rPr>
                <w:rFonts w:hint="default"/>
                <w:b/>
                <w:bCs/>
                <w:color w:val="auto"/>
                <w:spacing w:val="-3"/>
                <w:sz w:val="24"/>
                <w:szCs w:val="24"/>
              </w:rPr>
              <w:t>废</w:t>
            </w:r>
            <w:r>
              <w:rPr>
                <w:rFonts w:hint="eastAsia"/>
                <w:b/>
                <w:bCs/>
                <w:color w:val="auto"/>
                <w:spacing w:val="-3"/>
                <w:sz w:val="24"/>
                <w:szCs w:val="24"/>
                <w:lang w:val="en-US" w:eastAsia="zh-CN"/>
              </w:rPr>
              <w:t>机油滤清器</w:t>
            </w:r>
            <w:r>
              <w:rPr>
                <w:rFonts w:hint="default"/>
                <w:b/>
                <w:bCs/>
                <w:color w:val="auto"/>
                <w:spacing w:val="-3"/>
                <w:sz w:val="24"/>
                <w:szCs w:val="24"/>
              </w:rPr>
              <w:t>等均属于危险废物，收集后，暂存于危废贮存库内</w:t>
            </w:r>
            <w:r>
              <w:rPr>
                <w:rFonts w:hint="default"/>
                <w:b/>
                <w:bCs/>
                <w:color w:val="auto"/>
                <w:spacing w:val="-4"/>
                <w:sz w:val="24"/>
                <w:szCs w:val="24"/>
              </w:rPr>
              <w:t>，定期交由有资质</w:t>
            </w:r>
            <w:r>
              <w:rPr>
                <w:rFonts w:hint="default"/>
                <w:b/>
                <w:bCs/>
                <w:color w:val="auto"/>
                <w:spacing w:val="-2"/>
                <w:sz w:val="24"/>
                <w:szCs w:val="24"/>
              </w:rPr>
              <w:t>单位安全处置。</w:t>
            </w:r>
          </w:p>
          <w:p w14:paraId="45EC54F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both"/>
              <w:textAlignment w:val="auto"/>
              <w:rPr>
                <w:rFonts w:hint="default"/>
                <w:b/>
                <w:bCs/>
                <w:color w:val="auto"/>
                <w:sz w:val="24"/>
                <w:szCs w:val="24"/>
              </w:rPr>
            </w:pPr>
            <w:r>
              <w:rPr>
                <w:rFonts w:hint="default" w:ascii="Times New Roman" w:hAnsi="Times New Roman"/>
                <w:b/>
                <w:bCs/>
                <w:color w:val="auto"/>
                <w:spacing w:val="-3"/>
                <w:sz w:val="24"/>
                <w:szCs w:val="24"/>
                <w:lang w:val="en-US" w:eastAsia="zh-CN"/>
              </w:rPr>
              <w:t>总成拆解过程产生</w:t>
            </w:r>
            <w:r>
              <w:rPr>
                <w:rFonts w:hint="eastAsia" w:ascii="Times New Roman" w:hAnsi="Times New Roman"/>
                <w:b/>
                <w:bCs/>
                <w:color w:val="auto"/>
                <w:spacing w:val="-3"/>
                <w:sz w:val="24"/>
                <w:szCs w:val="24"/>
                <w:lang w:val="en-US" w:eastAsia="zh-CN"/>
              </w:rPr>
              <w:t>的设备</w:t>
            </w:r>
            <w:r>
              <w:rPr>
                <w:rFonts w:hint="default" w:ascii="Times New Roman" w:hAnsi="Times New Roman"/>
                <w:b/>
                <w:bCs/>
                <w:color w:val="auto"/>
                <w:spacing w:val="-3"/>
                <w:sz w:val="24"/>
                <w:szCs w:val="24"/>
                <w:lang w:val="en-US" w:eastAsia="zh-CN"/>
              </w:rPr>
              <w:t>噪声</w:t>
            </w:r>
            <w:r>
              <w:rPr>
                <w:rFonts w:hint="eastAsia" w:ascii="Times New Roman" w:hAnsi="Times New Roman"/>
                <w:b/>
                <w:bCs/>
                <w:color w:val="auto"/>
                <w:spacing w:val="-3"/>
                <w:sz w:val="24"/>
                <w:szCs w:val="24"/>
                <w:lang w:val="en-US" w:eastAsia="zh-CN"/>
              </w:rPr>
              <w:t>采取厂房隔声降噪等措施降低噪声排放。</w:t>
            </w:r>
          </w:p>
          <w:p w14:paraId="0BC2A02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olor w:val="auto"/>
                <w:sz w:val="24"/>
                <w:szCs w:val="24"/>
              </w:rPr>
            </w:pPr>
            <w:r>
              <w:rPr>
                <w:rFonts w:hint="eastAsia" w:ascii="Times New Roman" w:hAnsi="Times New Roman" w:eastAsia="宋体" w:cs="Times New Roman"/>
                <w:b/>
                <w:bCs/>
                <w:color w:val="auto"/>
                <w:spacing w:val="-8"/>
                <w:sz w:val="24"/>
                <w:szCs w:val="24"/>
                <w:lang w:eastAsia="zh-CN"/>
              </w:rPr>
              <w:t>（</w:t>
            </w:r>
            <w:r>
              <w:rPr>
                <w:rFonts w:hint="eastAsia" w:ascii="Times New Roman" w:hAnsi="Times New Roman" w:eastAsia="宋体" w:cs="Times New Roman"/>
                <w:b/>
                <w:bCs/>
                <w:color w:val="auto"/>
                <w:spacing w:val="-8"/>
                <w:sz w:val="24"/>
                <w:szCs w:val="24"/>
                <w:lang w:val="en-US" w:eastAsia="zh-CN"/>
              </w:rPr>
              <w:t>5）</w:t>
            </w:r>
            <w:r>
              <w:rPr>
                <w:rFonts w:hint="default"/>
                <w:b/>
                <w:bCs/>
                <w:color w:val="auto"/>
                <w:spacing w:val="-8"/>
                <w:sz w:val="24"/>
                <w:szCs w:val="24"/>
              </w:rPr>
              <w:t>机体拆解</w:t>
            </w:r>
          </w:p>
          <w:p w14:paraId="00FD873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both"/>
              <w:textAlignment w:val="auto"/>
              <w:rPr>
                <w:rFonts w:hint="default"/>
                <w:color w:val="auto"/>
                <w:spacing w:val="2"/>
                <w:sz w:val="24"/>
                <w:szCs w:val="24"/>
              </w:rPr>
            </w:pPr>
            <w:r>
              <w:rPr>
                <w:rFonts w:hint="default"/>
                <w:color w:val="auto"/>
                <w:spacing w:val="3"/>
                <w:sz w:val="24"/>
                <w:szCs w:val="24"/>
              </w:rPr>
              <w:t>对拆除总成后的整体机架进行解体，在拆解区进行，机架拆解以能</w:t>
            </w:r>
            <w:r>
              <w:rPr>
                <w:rFonts w:hint="default"/>
                <w:color w:val="auto"/>
                <w:spacing w:val="2"/>
                <w:sz w:val="24"/>
                <w:szCs w:val="24"/>
              </w:rPr>
              <w:t>对拆解</w:t>
            </w:r>
            <w:r>
              <w:rPr>
                <w:rFonts w:hint="default"/>
                <w:color w:val="auto"/>
                <w:spacing w:val="-1"/>
                <w:sz w:val="24"/>
                <w:szCs w:val="24"/>
              </w:rPr>
              <w:t>物进行粗略归类为原则。</w:t>
            </w:r>
          </w:p>
          <w:p w14:paraId="084D09E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8"/>
              <w:jc w:val="left"/>
              <w:textAlignment w:val="auto"/>
              <w:rPr>
                <w:rFonts w:hint="default"/>
                <w:color w:val="auto"/>
              </w:rPr>
            </w:pPr>
            <w:r>
              <w:rPr>
                <w:rFonts w:hint="default"/>
                <w:color w:val="auto"/>
                <w:spacing w:val="3"/>
              </w:rPr>
              <w:t>视局部结构与可拆性的差异，用切割工具进行解体，切割时使用割</w:t>
            </w:r>
            <w:r>
              <w:rPr>
                <w:rFonts w:hint="default"/>
                <w:color w:val="auto"/>
                <w:spacing w:val="2"/>
              </w:rPr>
              <w:t>枪仅对</w:t>
            </w:r>
            <w:r>
              <w:rPr>
                <w:rFonts w:hint="default"/>
                <w:color w:val="auto"/>
                <w:spacing w:val="3"/>
              </w:rPr>
              <w:t>螺帽或部件连接处进行少量切割达到可拆卸目的即可</w:t>
            </w:r>
            <w:r>
              <w:rPr>
                <w:rFonts w:hint="default"/>
                <w:color w:val="auto"/>
                <w:spacing w:val="2"/>
              </w:rPr>
              <w:t>，然后人工分选出金属、</w:t>
            </w:r>
            <w:r>
              <w:rPr>
                <w:rFonts w:hint="default"/>
                <w:color w:val="auto"/>
                <w:spacing w:val="3"/>
              </w:rPr>
              <w:t>玻璃等，无需进一步分割为小块。拆解完成后即可售</w:t>
            </w:r>
            <w:r>
              <w:rPr>
                <w:rFonts w:hint="default"/>
                <w:color w:val="auto"/>
                <w:spacing w:val="2"/>
              </w:rPr>
              <w:t>卖无需进行打包、粉碎、</w:t>
            </w:r>
            <w:r>
              <w:rPr>
                <w:rFonts w:hint="default"/>
                <w:color w:val="auto"/>
                <w:spacing w:val="-2"/>
              </w:rPr>
              <w:t>压块等处理。</w:t>
            </w:r>
          </w:p>
          <w:p w14:paraId="63FF555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left"/>
              <w:textAlignment w:val="auto"/>
              <w:rPr>
                <w:rFonts w:hint="default" w:ascii="Times New Roman" w:hAnsi="Times New Roman" w:eastAsia="宋体" w:cs="宋体"/>
                <w:b/>
                <w:bCs/>
                <w:color w:val="auto"/>
                <w:sz w:val="24"/>
                <w:szCs w:val="24"/>
              </w:rPr>
            </w:pPr>
            <w:r>
              <w:rPr>
                <w:rFonts w:hint="default"/>
                <w:b/>
                <w:bCs/>
                <w:color w:val="auto"/>
                <w:spacing w:val="-14"/>
              </w:rPr>
              <w:t>产污环节：</w:t>
            </w:r>
            <w:r>
              <w:rPr>
                <w:rFonts w:hint="eastAsia" w:ascii="Times New Roman" w:hAnsi="Times New Roman" w:eastAsia="宋体" w:cs="宋体"/>
                <w:b/>
                <w:bCs/>
                <w:color w:val="auto"/>
                <w:sz w:val="24"/>
                <w:szCs w:val="24"/>
                <w:lang w:val="en-US" w:eastAsia="zh-CN"/>
              </w:rPr>
              <w:t>机体分割、剪切</w:t>
            </w:r>
            <w:r>
              <w:rPr>
                <w:rFonts w:hint="default" w:ascii="Times New Roman" w:hAnsi="Times New Roman" w:eastAsia="宋体" w:cs="宋体"/>
                <w:b/>
                <w:bCs/>
                <w:color w:val="auto"/>
                <w:sz w:val="24"/>
                <w:szCs w:val="24"/>
              </w:rPr>
              <w:t>工序产生粉尘经集气罩收集后，经布袋除尘器处理后，由1根</w:t>
            </w:r>
            <w:r>
              <w:rPr>
                <w:rFonts w:hint="eastAsia" w:ascii="Times New Roman" w:hAnsi="Times New Roman" w:eastAsia="宋体" w:cs="宋体"/>
                <w:b/>
                <w:bCs/>
                <w:color w:val="auto"/>
                <w:sz w:val="24"/>
                <w:szCs w:val="24"/>
                <w:lang w:val="en-US" w:eastAsia="zh-CN"/>
              </w:rPr>
              <w:t>24</w:t>
            </w:r>
            <w:r>
              <w:rPr>
                <w:rFonts w:hint="default" w:ascii="Times New Roman" w:hAnsi="Times New Roman" w:eastAsia="宋体" w:cs="宋体"/>
                <w:b/>
                <w:bCs/>
                <w:color w:val="auto"/>
                <w:sz w:val="24"/>
                <w:szCs w:val="24"/>
              </w:rPr>
              <w:t>m高排气筒DA002有组织排放。</w:t>
            </w:r>
          </w:p>
          <w:p w14:paraId="1F35615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left"/>
              <w:textAlignment w:val="auto"/>
              <w:rPr>
                <w:rFonts w:hint="default"/>
                <w:b/>
                <w:bCs/>
                <w:color w:val="auto"/>
              </w:rPr>
            </w:pPr>
            <w:r>
              <w:rPr>
                <w:rFonts w:hint="eastAsia"/>
                <w:b/>
                <w:bCs/>
                <w:color w:val="auto"/>
                <w:spacing w:val="-14"/>
                <w:lang w:val="en-US" w:eastAsia="zh-CN"/>
              </w:rPr>
              <w:t>机体分割、剪切</w:t>
            </w:r>
            <w:r>
              <w:rPr>
                <w:rFonts w:hint="default"/>
                <w:b/>
                <w:bCs/>
                <w:color w:val="auto"/>
                <w:spacing w:val="-14"/>
              </w:rPr>
              <w:t>工序</w:t>
            </w:r>
            <w:r>
              <w:rPr>
                <w:rFonts w:hint="default" w:ascii="Times New Roman" w:hAnsi="Times New Roman"/>
                <w:b/>
                <w:bCs/>
                <w:color w:val="auto"/>
                <w:spacing w:val="-3"/>
                <w:sz w:val="24"/>
                <w:szCs w:val="24"/>
                <w:lang w:val="en-US" w:eastAsia="zh-CN"/>
              </w:rPr>
              <w:t>产生</w:t>
            </w:r>
            <w:r>
              <w:rPr>
                <w:rFonts w:hint="eastAsia" w:ascii="Times New Roman" w:hAnsi="Times New Roman"/>
                <w:b/>
                <w:bCs/>
                <w:color w:val="auto"/>
                <w:spacing w:val="-3"/>
                <w:sz w:val="24"/>
                <w:szCs w:val="24"/>
                <w:lang w:val="en-US" w:eastAsia="zh-CN"/>
              </w:rPr>
              <w:t>的设备</w:t>
            </w:r>
            <w:r>
              <w:rPr>
                <w:rFonts w:hint="default" w:ascii="Times New Roman" w:hAnsi="Times New Roman"/>
                <w:b/>
                <w:bCs/>
                <w:color w:val="auto"/>
                <w:spacing w:val="-3"/>
                <w:sz w:val="24"/>
                <w:szCs w:val="24"/>
                <w:lang w:val="en-US" w:eastAsia="zh-CN"/>
              </w:rPr>
              <w:t>噪声</w:t>
            </w:r>
            <w:r>
              <w:rPr>
                <w:rFonts w:hint="eastAsia" w:ascii="Times New Roman" w:hAnsi="Times New Roman"/>
                <w:b/>
                <w:bCs/>
                <w:color w:val="auto"/>
                <w:spacing w:val="-3"/>
                <w:sz w:val="24"/>
                <w:szCs w:val="24"/>
                <w:lang w:val="en-US" w:eastAsia="zh-CN"/>
              </w:rPr>
              <w:t>采取厂房隔声降噪等措施降低噪声排放。</w:t>
            </w:r>
          </w:p>
          <w:p w14:paraId="4113255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rPr>
            </w:pPr>
            <w:r>
              <w:rPr>
                <w:rFonts w:hint="eastAsia"/>
                <w:b/>
                <w:bCs/>
                <w:color w:val="auto"/>
                <w:spacing w:val="-7"/>
                <w:lang w:eastAsia="zh-CN"/>
              </w:rPr>
              <w:t>（</w:t>
            </w:r>
            <w:r>
              <w:rPr>
                <w:rFonts w:hint="eastAsia"/>
                <w:b/>
                <w:bCs/>
                <w:color w:val="auto"/>
                <w:spacing w:val="-7"/>
                <w:lang w:val="en-US" w:eastAsia="zh-CN"/>
              </w:rPr>
              <w:t>6）</w:t>
            </w:r>
            <w:r>
              <w:rPr>
                <w:rFonts w:hint="default"/>
                <w:b/>
                <w:bCs/>
                <w:color w:val="auto"/>
                <w:spacing w:val="-7"/>
              </w:rPr>
              <w:t>拆解后存储</w:t>
            </w:r>
          </w:p>
          <w:p w14:paraId="29A9AFF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color w:val="auto"/>
              </w:rPr>
            </w:pPr>
            <w:r>
              <w:rPr>
                <w:rFonts w:hint="default"/>
                <w:color w:val="auto"/>
                <w:spacing w:val="3"/>
              </w:rPr>
              <w:t>拆解后的所有固体废物避免混合、混放。妥善处置固体废物，不</w:t>
            </w:r>
            <w:r>
              <w:rPr>
                <w:rFonts w:hint="default"/>
                <w:color w:val="auto"/>
                <w:spacing w:val="2"/>
              </w:rPr>
              <w:t>应非法转</w:t>
            </w:r>
            <w:r>
              <w:rPr>
                <w:rFonts w:hint="default"/>
                <w:color w:val="auto"/>
                <w:spacing w:val="3"/>
              </w:rPr>
              <w:t>移倾倒、利用和处置。制冷剂应使用专用设备进行回收，</w:t>
            </w:r>
            <w:r>
              <w:rPr>
                <w:rFonts w:hint="default"/>
                <w:color w:val="auto"/>
                <w:spacing w:val="2"/>
              </w:rPr>
              <w:t>分类收集，并使用专</w:t>
            </w:r>
            <w:r>
              <w:rPr>
                <w:rFonts w:hint="default"/>
                <w:color w:val="auto"/>
                <w:spacing w:val="3"/>
              </w:rPr>
              <w:t>门容器单独储存。废弃电器储存场地不得有明火。容器和</w:t>
            </w:r>
            <w:r>
              <w:rPr>
                <w:rFonts w:hint="default"/>
                <w:color w:val="auto"/>
                <w:spacing w:val="2"/>
              </w:rPr>
              <w:t>装置要防漏和防止洒</w:t>
            </w:r>
            <w:r>
              <w:rPr>
                <w:rFonts w:hint="default"/>
                <w:color w:val="auto"/>
                <w:spacing w:val="3"/>
              </w:rPr>
              <w:t>溅，并对其进行日常性检查，对拆解后的所有固体废物分</w:t>
            </w:r>
            <w:r>
              <w:rPr>
                <w:rFonts w:hint="default"/>
                <w:color w:val="auto"/>
                <w:spacing w:val="2"/>
              </w:rPr>
              <w:t>类储存和标识。固体</w:t>
            </w:r>
            <w:r>
              <w:rPr>
                <w:rFonts w:hint="default"/>
                <w:color w:val="auto"/>
                <w:spacing w:val="-4"/>
              </w:rPr>
              <w:t>废物的储存符合</w:t>
            </w:r>
            <w:r>
              <w:rPr>
                <w:rFonts w:hint="default"/>
                <w:color w:val="auto"/>
                <w:spacing w:val="-37"/>
              </w:rPr>
              <w:t xml:space="preserve"> </w:t>
            </w:r>
            <w:r>
              <w:rPr>
                <w:rFonts w:hint="default" w:ascii="Times New Roman" w:hAnsi="Times New Roman" w:eastAsia="Times New Roman" w:cs="Times New Roman"/>
                <w:color w:val="auto"/>
                <w:spacing w:val="-4"/>
              </w:rPr>
              <w:t>GB18599</w:t>
            </w:r>
            <w:r>
              <w:rPr>
                <w:rFonts w:hint="default"/>
                <w:color w:val="auto"/>
                <w:spacing w:val="-4"/>
              </w:rPr>
              <w:t>、</w:t>
            </w:r>
            <w:r>
              <w:rPr>
                <w:rFonts w:hint="default" w:ascii="Times New Roman" w:hAnsi="Times New Roman" w:eastAsia="Times New Roman" w:cs="Times New Roman"/>
                <w:color w:val="auto"/>
                <w:spacing w:val="-4"/>
              </w:rPr>
              <w:t xml:space="preserve">GB18597 </w:t>
            </w:r>
            <w:r>
              <w:rPr>
                <w:rFonts w:hint="default"/>
                <w:color w:val="auto"/>
                <w:spacing w:val="-4"/>
              </w:rPr>
              <w:t>和</w:t>
            </w:r>
            <w:r>
              <w:rPr>
                <w:rFonts w:hint="default"/>
                <w:color w:val="auto"/>
                <w:spacing w:val="-56"/>
              </w:rPr>
              <w:t xml:space="preserve"> </w:t>
            </w:r>
            <w:r>
              <w:rPr>
                <w:rFonts w:hint="default" w:ascii="Times New Roman" w:hAnsi="Times New Roman" w:eastAsia="Times New Roman" w:cs="Times New Roman"/>
                <w:color w:val="auto"/>
                <w:spacing w:val="-4"/>
              </w:rPr>
              <w:t>HJ2025</w:t>
            </w:r>
            <w:r>
              <w:rPr>
                <w:rFonts w:hint="default" w:ascii="Times New Roman" w:hAnsi="Times New Roman" w:eastAsia="Times New Roman" w:cs="Times New Roman"/>
                <w:color w:val="auto"/>
                <w:spacing w:val="29"/>
              </w:rPr>
              <w:t xml:space="preserve"> </w:t>
            </w:r>
            <w:r>
              <w:rPr>
                <w:rFonts w:hint="default"/>
                <w:color w:val="auto"/>
                <w:spacing w:val="-4"/>
              </w:rPr>
              <w:t>的规定。一般工业固体废物储存</w:t>
            </w:r>
            <w:r>
              <w:rPr>
                <w:rFonts w:hint="default"/>
                <w:color w:val="auto"/>
              </w:rPr>
              <w:t>设施及包装物应按照</w:t>
            </w:r>
            <w:r>
              <w:rPr>
                <w:rFonts w:hint="default"/>
                <w:color w:val="auto"/>
                <w:spacing w:val="-34"/>
              </w:rPr>
              <w:t xml:space="preserve"> </w:t>
            </w:r>
            <w:r>
              <w:rPr>
                <w:rFonts w:hint="default" w:ascii="Times New Roman" w:hAnsi="Times New Roman" w:eastAsia="Times New Roman" w:cs="Times New Roman"/>
                <w:color w:val="auto"/>
              </w:rPr>
              <w:t>GB15562.2</w:t>
            </w:r>
            <w:r>
              <w:rPr>
                <w:rFonts w:hint="default" w:ascii="Times New Roman" w:hAnsi="Times New Roman" w:eastAsia="Times New Roman" w:cs="Times New Roman"/>
                <w:color w:val="auto"/>
                <w:spacing w:val="34"/>
              </w:rPr>
              <w:t xml:space="preserve"> </w:t>
            </w:r>
            <w:r>
              <w:rPr>
                <w:rFonts w:hint="default"/>
                <w:color w:val="auto"/>
              </w:rPr>
              <w:t>的规定进行标识。危险废物储存设施及包装物</w:t>
            </w:r>
            <w:r>
              <w:rPr>
                <w:rFonts w:hint="default"/>
                <w:color w:val="auto"/>
                <w:spacing w:val="-2"/>
              </w:rPr>
              <w:t>的标志符合</w:t>
            </w:r>
            <w:r>
              <w:rPr>
                <w:rFonts w:hint="default"/>
                <w:color w:val="auto"/>
                <w:spacing w:val="-37"/>
              </w:rPr>
              <w:t xml:space="preserve"> </w:t>
            </w:r>
            <w:r>
              <w:rPr>
                <w:rFonts w:hint="default" w:ascii="Times New Roman" w:hAnsi="Times New Roman" w:eastAsia="Times New Roman" w:cs="Times New Roman"/>
                <w:color w:val="auto"/>
                <w:spacing w:val="-2"/>
              </w:rPr>
              <w:t xml:space="preserve">GB18597 </w:t>
            </w:r>
            <w:r>
              <w:rPr>
                <w:rFonts w:hint="default"/>
                <w:color w:val="auto"/>
                <w:spacing w:val="-2"/>
              </w:rPr>
              <w:t>和</w:t>
            </w:r>
            <w:r>
              <w:rPr>
                <w:rFonts w:hint="default"/>
                <w:color w:val="auto"/>
                <w:spacing w:val="-56"/>
              </w:rPr>
              <w:t xml:space="preserve"> </w:t>
            </w:r>
            <w:r>
              <w:rPr>
                <w:rFonts w:hint="default" w:ascii="Times New Roman" w:hAnsi="Times New Roman" w:eastAsia="Times New Roman" w:cs="Times New Roman"/>
                <w:color w:val="auto"/>
                <w:spacing w:val="-2"/>
              </w:rPr>
              <w:t>HJ2025</w:t>
            </w:r>
            <w:r>
              <w:rPr>
                <w:rFonts w:hint="default" w:ascii="Times New Roman" w:hAnsi="Times New Roman" w:eastAsia="Times New Roman" w:cs="Times New Roman"/>
                <w:color w:val="auto"/>
                <w:spacing w:val="29"/>
              </w:rPr>
              <w:t xml:space="preserve"> </w:t>
            </w:r>
            <w:r>
              <w:rPr>
                <w:rFonts w:hint="default"/>
                <w:color w:val="auto"/>
                <w:spacing w:val="-2"/>
              </w:rPr>
              <w:t>的规定，暂存于危废贮存库。</w:t>
            </w:r>
          </w:p>
          <w:p w14:paraId="178F3C1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default"/>
                <w:color w:val="auto"/>
              </w:rPr>
            </w:pPr>
            <w:r>
              <w:rPr>
                <w:rFonts w:hint="eastAsia" w:ascii="Times New Roman" w:hAnsi="Times New Roman" w:eastAsia="宋体" w:cs="Times New Roman"/>
                <w:b/>
                <w:bCs/>
                <w:color w:val="auto"/>
                <w:spacing w:val="-7"/>
                <w:lang w:eastAsia="zh-CN"/>
              </w:rPr>
              <w:t>（</w:t>
            </w:r>
            <w:r>
              <w:rPr>
                <w:rFonts w:hint="eastAsia" w:ascii="Times New Roman" w:hAnsi="Times New Roman" w:eastAsia="宋体" w:cs="Times New Roman"/>
                <w:b/>
                <w:bCs/>
                <w:color w:val="auto"/>
                <w:spacing w:val="-7"/>
                <w:lang w:val="en-US" w:eastAsia="zh-CN"/>
              </w:rPr>
              <w:t>7）</w:t>
            </w:r>
            <w:r>
              <w:rPr>
                <w:rFonts w:hint="default"/>
                <w:b/>
                <w:bCs/>
                <w:color w:val="auto"/>
                <w:spacing w:val="-7"/>
              </w:rPr>
              <w:t>拆解后处置</w:t>
            </w:r>
          </w:p>
          <w:p w14:paraId="44CDB77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jc w:val="left"/>
              <w:textAlignment w:val="auto"/>
              <w:rPr>
                <w:rFonts w:hint="default"/>
                <w:color w:val="auto"/>
              </w:rPr>
            </w:pPr>
            <w:r>
              <w:rPr>
                <w:rFonts w:hint="default" w:ascii="Times New Roman" w:hAnsi="Times New Roman" w:eastAsia="Times New Roman" w:cs="Times New Roman"/>
                <w:color w:val="auto"/>
                <w:spacing w:val="-1"/>
              </w:rPr>
              <w:t>1</w:t>
            </w:r>
            <w:r>
              <w:rPr>
                <w:rFonts w:hint="default"/>
                <w:color w:val="auto"/>
                <w:spacing w:val="-1"/>
              </w:rPr>
              <w:t>）废液应使用专用密闭容器存储，容器应具有防漏、防洒</w:t>
            </w:r>
            <w:r>
              <w:rPr>
                <w:rFonts w:hint="default"/>
                <w:color w:val="auto"/>
                <w:spacing w:val="-2"/>
              </w:rPr>
              <w:t>溅、防挥发属</w:t>
            </w:r>
            <w:r>
              <w:rPr>
                <w:rFonts w:hint="default"/>
                <w:color w:val="auto"/>
                <w:spacing w:val="-1"/>
              </w:rPr>
              <w:t>性，并交给合法的、有资质的废液回收处置企业。</w:t>
            </w:r>
          </w:p>
          <w:p w14:paraId="730071F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91"/>
              <w:jc w:val="left"/>
              <w:textAlignment w:val="auto"/>
              <w:rPr>
                <w:rFonts w:hint="default"/>
                <w:color w:val="auto"/>
              </w:rPr>
            </w:pPr>
            <w:r>
              <w:rPr>
                <w:rFonts w:hint="default" w:ascii="Times New Roman" w:hAnsi="Times New Roman" w:eastAsia="Times New Roman" w:cs="Times New Roman"/>
                <w:color w:val="auto"/>
                <w:spacing w:val="-1"/>
              </w:rPr>
              <w:t>2</w:t>
            </w:r>
            <w:r>
              <w:rPr>
                <w:rFonts w:hint="default"/>
                <w:color w:val="auto"/>
                <w:spacing w:val="-1"/>
              </w:rPr>
              <w:t>）拆解后的可再用零部件存储前，应做清理防锈等处理后</w:t>
            </w:r>
            <w:r>
              <w:rPr>
                <w:rFonts w:hint="default"/>
                <w:color w:val="auto"/>
                <w:spacing w:val="-2"/>
              </w:rPr>
              <w:t>在室内存储，</w:t>
            </w:r>
            <w:r>
              <w:rPr>
                <w:rFonts w:hint="default"/>
                <w:color w:val="auto"/>
                <w:spacing w:val="1"/>
              </w:rPr>
              <w:t>并标明“</w:t>
            </w:r>
            <w:r>
              <w:rPr>
                <w:rFonts w:hint="default"/>
                <w:color w:val="auto"/>
                <w:spacing w:val="-85"/>
              </w:rPr>
              <w:t xml:space="preserve"> </w:t>
            </w:r>
            <w:r>
              <w:rPr>
                <w:rFonts w:hint="default"/>
                <w:color w:val="auto"/>
                <w:spacing w:val="1"/>
              </w:rPr>
              <w:t>回用件</w:t>
            </w:r>
            <w:r>
              <w:rPr>
                <w:rFonts w:hint="default"/>
                <w:color w:val="auto"/>
                <w:spacing w:val="-86"/>
              </w:rPr>
              <w:t xml:space="preserve"> </w:t>
            </w:r>
            <w:r>
              <w:rPr>
                <w:rFonts w:hint="default"/>
                <w:color w:val="auto"/>
                <w:spacing w:val="1"/>
              </w:rPr>
              <w:t>”。所有的零部件、材料、废物，应</w:t>
            </w:r>
            <w:r>
              <w:rPr>
                <w:rFonts w:hint="default"/>
                <w:color w:val="auto"/>
              </w:rPr>
              <w:t>进行分类存储和标识，废</w:t>
            </w:r>
            <w:r>
              <w:rPr>
                <w:rFonts w:hint="default"/>
                <w:color w:val="auto"/>
                <w:spacing w:val="-2"/>
              </w:rPr>
              <w:t>物不得焚烧、丢弃。</w:t>
            </w:r>
          </w:p>
          <w:p w14:paraId="0D9A836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92"/>
              <w:jc w:val="left"/>
              <w:textAlignment w:val="auto"/>
              <w:rPr>
                <w:rFonts w:hint="default"/>
                <w:color w:val="auto"/>
              </w:rPr>
            </w:pPr>
            <w:r>
              <w:rPr>
                <w:rFonts w:hint="default" w:ascii="Times New Roman" w:hAnsi="Times New Roman" w:eastAsia="Times New Roman" w:cs="Times New Roman"/>
                <w:color w:val="auto"/>
                <w:spacing w:val="-1"/>
              </w:rPr>
              <w:t>3</w:t>
            </w:r>
            <w:r>
              <w:rPr>
                <w:rFonts w:hint="default"/>
                <w:color w:val="auto"/>
                <w:spacing w:val="-1"/>
              </w:rPr>
              <w:t>）拆解后有毒有害的危险废物、列入国家危险废物名录的</w:t>
            </w:r>
            <w:r>
              <w:rPr>
                <w:rFonts w:hint="default"/>
                <w:color w:val="auto"/>
                <w:spacing w:val="-2"/>
              </w:rPr>
              <w:t>危险废物的存</w:t>
            </w:r>
            <w:r>
              <w:rPr>
                <w:rFonts w:hint="default"/>
                <w:color w:val="auto"/>
                <w:spacing w:val="-3"/>
              </w:rPr>
              <w:t>储和处置应按照《危险废物贮存污染控制标准》（</w:t>
            </w:r>
            <w:r>
              <w:rPr>
                <w:rFonts w:hint="default" w:ascii="Times New Roman" w:hAnsi="Times New Roman" w:eastAsia="Times New Roman" w:cs="Times New Roman"/>
                <w:color w:val="auto"/>
                <w:spacing w:val="-3"/>
              </w:rPr>
              <w:t>GB1</w:t>
            </w:r>
            <w:r>
              <w:rPr>
                <w:rFonts w:hint="default" w:ascii="Times New Roman" w:hAnsi="Times New Roman" w:eastAsia="Times New Roman" w:cs="Times New Roman"/>
                <w:color w:val="auto"/>
                <w:spacing w:val="-4"/>
              </w:rPr>
              <w:t>8597-2023</w:t>
            </w:r>
            <w:r>
              <w:rPr>
                <w:rFonts w:hint="default"/>
                <w:color w:val="auto"/>
                <w:spacing w:val="-4"/>
              </w:rPr>
              <w:t>）的规定执行，</w:t>
            </w:r>
            <w:r>
              <w:rPr>
                <w:rFonts w:hint="default"/>
                <w:color w:val="auto"/>
                <w:spacing w:val="-1"/>
              </w:rPr>
              <w:t>危险废物应交由具有相应资质的单位进行处置。</w:t>
            </w:r>
          </w:p>
          <w:p w14:paraId="7E80202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left"/>
              <w:textAlignment w:val="auto"/>
              <w:rPr>
                <w:rFonts w:hint="eastAsia"/>
                <w:color w:val="auto"/>
                <w:spacing w:val="-1"/>
                <w:lang w:eastAsia="zh-CN"/>
              </w:rPr>
            </w:pPr>
            <w:r>
              <w:rPr>
                <w:rFonts w:hint="default"/>
                <w:color w:val="auto"/>
                <w:spacing w:val="-1"/>
              </w:rPr>
              <w:t>本项目报废农机拆解工艺流程与产排污节点见下图</w:t>
            </w:r>
            <w:r>
              <w:rPr>
                <w:rFonts w:hint="eastAsia"/>
                <w:color w:val="auto"/>
                <w:spacing w:val="-1"/>
                <w:lang w:eastAsia="zh-CN"/>
              </w:rPr>
              <w:t>。</w:t>
            </w:r>
          </w:p>
          <w:p w14:paraId="234BCE4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center"/>
              <w:textAlignment w:val="auto"/>
              <w:rPr>
                <w:rFonts w:hint="eastAsia"/>
                <w:color w:val="auto"/>
                <w:spacing w:val="-1"/>
                <w:lang w:eastAsia="zh-CN"/>
              </w:rPr>
            </w:pPr>
            <w:r>
              <w:rPr>
                <w:rFonts w:hint="eastAsia" w:eastAsia="宋体"/>
                <w:color w:val="auto"/>
                <w:spacing w:val="2"/>
                <w:lang w:eastAsia="zh-CN"/>
              </w:rPr>
              <w:pict>
                <v:shape id="ECB019B1-382A-4266-B25C-5B523AA43C14-1" o:spid="ECB019B1-382A-4266-B25C-5B523AA43C14-1" o:spt="75" alt="C:/Users/Administrator/AppData/Local/Temp/wps.jEaPHTwps" type="#_x0000_t75" style="height:496.05pt;width:221pt;" filled="f" o:preferrelative="t" stroked="f" coordsize="21600,21600">
                  <v:path/>
                  <v:fill on="f" focussize="0,0"/>
                  <v:stroke on="f"/>
                  <v:imagedata r:id="rId12" o:title="wps"/>
                  <o:lock v:ext="edit" aspectratio="t"/>
                  <w10:wrap type="none"/>
                  <w10:anchorlock/>
                </v:shape>
              </w:pict>
            </w:r>
          </w:p>
          <w:p w14:paraId="00777BE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Times New Roman" w:hAnsi="Times New Roman" w:eastAsia="宋体" w:cs="Times New Roman"/>
                <w:b/>
                <w:bCs/>
                <w:color w:val="auto"/>
                <w:spacing w:val="1"/>
                <w:sz w:val="21"/>
                <w:szCs w:val="21"/>
                <w:highlight w:val="none"/>
                <w:lang w:val="en-US" w:eastAsia="zh-CN"/>
              </w:rPr>
            </w:pPr>
            <w:r>
              <w:rPr>
                <w:rFonts w:hint="eastAsia" w:ascii="Times New Roman" w:hAnsi="Times New Roman" w:eastAsia="宋体" w:cs="Times New Roman"/>
                <w:b/>
                <w:bCs/>
                <w:color w:val="auto"/>
                <w:spacing w:val="1"/>
                <w:sz w:val="21"/>
                <w:szCs w:val="21"/>
                <w:highlight w:val="none"/>
                <w:lang w:val="en-US" w:eastAsia="zh-CN"/>
              </w:rPr>
              <w:t>图3  报废农机拆解工艺流程及产排污节点图</w:t>
            </w:r>
          </w:p>
          <w:p w14:paraId="51A8C1B1">
            <w:pPr>
              <w:pStyle w:val="73"/>
              <w:keepNext w:val="0"/>
              <w:keepLines w:val="0"/>
              <w:suppressLineNumbers w:val="0"/>
              <w:spacing w:before="121" w:beforeAutospacing="0" w:after="0" w:afterAutospacing="0" w:line="360" w:lineRule="auto"/>
              <w:ind w:left="0" w:leftChars="0" w:right="0" w:firstLine="466" w:firstLineChars="200"/>
              <w:jc w:val="both"/>
              <w:rPr>
                <w:rFonts w:hint="default"/>
                <w:color w:val="auto"/>
              </w:rPr>
            </w:pPr>
            <w:r>
              <w:rPr>
                <w:rFonts w:hint="default"/>
                <w:b/>
                <w:bCs/>
                <w:color w:val="auto"/>
                <w:spacing w:val="-4"/>
              </w:rPr>
              <w:t>（二）报废汽车拆解工艺流程</w:t>
            </w:r>
          </w:p>
          <w:p w14:paraId="76407D7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8"/>
              <w:jc w:val="both"/>
              <w:textAlignment w:val="auto"/>
              <w:rPr>
                <w:rFonts w:hint="default"/>
                <w:color w:val="auto"/>
                <w:spacing w:val="2"/>
              </w:rPr>
            </w:pPr>
            <w:r>
              <w:rPr>
                <w:rFonts w:hint="default"/>
                <w:color w:val="auto"/>
                <w:spacing w:val="11"/>
              </w:rPr>
              <w:t>报废传统燃油车和报废新能源汽车拆解工艺仅蓄电池拆</w:t>
            </w:r>
            <w:r>
              <w:rPr>
                <w:rFonts w:hint="default"/>
                <w:color w:val="auto"/>
                <w:spacing w:val="10"/>
              </w:rPr>
              <w:t>解预处理工艺不</w:t>
            </w:r>
            <w:r>
              <w:rPr>
                <w:rFonts w:hint="default"/>
                <w:color w:val="auto"/>
                <w:spacing w:val="3"/>
              </w:rPr>
              <w:t>同，因此，本次评价对蓄电池拆解预处理进行分别描述</w:t>
            </w:r>
            <w:r>
              <w:rPr>
                <w:rFonts w:hint="default"/>
                <w:color w:val="auto"/>
                <w:spacing w:val="2"/>
              </w:rPr>
              <w:t>，其他工序均一致，生</w:t>
            </w:r>
            <w:r>
              <w:rPr>
                <w:rFonts w:hint="default"/>
                <w:color w:val="auto"/>
                <w:spacing w:val="-1"/>
              </w:rPr>
              <w:t>产过程中使用相同设备，共用生产线。报废汽车（</w:t>
            </w:r>
            <w:r>
              <w:rPr>
                <w:rFonts w:hint="default"/>
                <w:color w:val="auto"/>
                <w:spacing w:val="-2"/>
              </w:rPr>
              <w:t>含传统燃油车和新能源汽车）拆解工艺流程如下：</w:t>
            </w:r>
          </w:p>
          <w:p w14:paraId="68EA9CA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eastAsia" w:eastAsia="宋体" w:cs="Times New Roman"/>
                <w:b/>
                <w:bCs/>
                <w:color w:val="auto"/>
                <w:spacing w:val="-8"/>
                <w:sz w:val="24"/>
                <w:szCs w:val="24"/>
                <w:highlight w:val="none"/>
                <w:lang w:eastAsia="zh-CN"/>
              </w:rPr>
              <w:t>（</w:t>
            </w:r>
            <w:r>
              <w:rPr>
                <w:rFonts w:hint="eastAsia" w:eastAsia="宋体" w:cs="Times New Roman"/>
                <w:b/>
                <w:bCs/>
                <w:color w:val="auto"/>
                <w:spacing w:val="-8"/>
                <w:sz w:val="24"/>
                <w:szCs w:val="24"/>
                <w:highlight w:val="none"/>
                <w:lang w:val="en-US" w:eastAsia="zh-CN"/>
              </w:rPr>
              <w:t>1）</w:t>
            </w:r>
            <w:r>
              <w:rPr>
                <w:rFonts w:hint="default"/>
                <w:b/>
                <w:bCs/>
                <w:color w:val="auto"/>
                <w:spacing w:val="-8"/>
                <w:sz w:val="24"/>
                <w:szCs w:val="24"/>
                <w:highlight w:val="none"/>
              </w:rPr>
              <w:t>检查和登记</w:t>
            </w:r>
          </w:p>
          <w:p w14:paraId="388A9441">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z w:val="24"/>
                <w:szCs w:val="24"/>
                <w:highlight w:val="none"/>
              </w:rPr>
            </w:pPr>
            <w:r>
              <w:rPr>
                <w:rFonts w:hint="default"/>
                <w:color w:val="auto"/>
                <w:spacing w:val="3"/>
                <w:sz w:val="24"/>
                <w:szCs w:val="24"/>
                <w:highlight w:val="none"/>
              </w:rPr>
              <w:t>①检查报废汽车发动机、散热器、变速器、差速器、油箱等总成部</w:t>
            </w:r>
            <w:r>
              <w:rPr>
                <w:rFonts w:hint="default"/>
                <w:color w:val="auto"/>
                <w:spacing w:val="2"/>
                <w:sz w:val="24"/>
                <w:szCs w:val="24"/>
                <w:highlight w:val="none"/>
              </w:rPr>
              <w:t>件的密</w:t>
            </w:r>
            <w:r>
              <w:rPr>
                <w:rFonts w:hint="default"/>
                <w:color w:val="auto"/>
                <w:spacing w:val="3"/>
                <w:sz w:val="24"/>
                <w:szCs w:val="24"/>
                <w:highlight w:val="none"/>
              </w:rPr>
              <w:t>封、破损情况。对于出现泄漏的总成部件，应采用适当的</w:t>
            </w:r>
            <w:r>
              <w:rPr>
                <w:rFonts w:hint="default"/>
                <w:color w:val="auto"/>
                <w:spacing w:val="2"/>
                <w:sz w:val="24"/>
                <w:szCs w:val="24"/>
                <w:highlight w:val="none"/>
              </w:rPr>
              <w:t>方式收集泄漏的液体</w:t>
            </w:r>
            <w:r>
              <w:rPr>
                <w:rFonts w:hint="default"/>
                <w:color w:val="auto"/>
                <w:spacing w:val="-1"/>
                <w:sz w:val="24"/>
                <w:szCs w:val="24"/>
                <w:highlight w:val="none"/>
              </w:rPr>
              <w:t>或封住泄漏处，防止废液渗入地下。</w:t>
            </w:r>
          </w:p>
          <w:p w14:paraId="79ED4A4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6"/>
              <w:jc w:val="left"/>
              <w:textAlignment w:val="auto"/>
              <w:rPr>
                <w:rFonts w:hint="default"/>
                <w:color w:val="auto"/>
                <w:sz w:val="24"/>
                <w:szCs w:val="24"/>
                <w:highlight w:val="none"/>
              </w:rPr>
            </w:pPr>
            <w:r>
              <w:rPr>
                <w:rFonts w:hint="default"/>
                <w:color w:val="auto"/>
                <w:spacing w:val="3"/>
                <w:sz w:val="24"/>
                <w:szCs w:val="24"/>
                <w:highlight w:val="none"/>
              </w:rPr>
              <w:t>②对报废汽车进行登记注册并拍照，将其主要信息录入电脑数据库并</w:t>
            </w:r>
            <w:r>
              <w:rPr>
                <w:rFonts w:hint="default"/>
                <w:color w:val="auto"/>
                <w:spacing w:val="2"/>
                <w:sz w:val="24"/>
                <w:szCs w:val="24"/>
                <w:highlight w:val="none"/>
              </w:rPr>
              <w:t>在车</w:t>
            </w:r>
            <w:r>
              <w:rPr>
                <w:rFonts w:hint="default"/>
                <w:color w:val="auto"/>
                <w:spacing w:val="-1"/>
                <w:sz w:val="24"/>
                <w:szCs w:val="24"/>
                <w:highlight w:val="none"/>
              </w:rPr>
              <w:t>身醒目位置贴上显示信息的标签。主要信息包</w:t>
            </w:r>
            <w:r>
              <w:rPr>
                <w:rFonts w:hint="default"/>
                <w:color w:val="auto"/>
                <w:spacing w:val="-2"/>
                <w:sz w:val="24"/>
                <w:szCs w:val="24"/>
                <w:highlight w:val="none"/>
              </w:rPr>
              <w:t>括：报废汽车车主（单位或个人）</w:t>
            </w:r>
            <w:r>
              <w:rPr>
                <w:rFonts w:hint="default"/>
                <w:color w:val="auto"/>
                <w:spacing w:val="3"/>
                <w:sz w:val="24"/>
                <w:szCs w:val="24"/>
                <w:highlight w:val="none"/>
              </w:rPr>
              <w:t>名称、证件号码、牌照号码、车型、品牌型号、车身颜色、重量、发动机号、</w:t>
            </w:r>
            <w:r>
              <w:rPr>
                <w:rFonts w:hint="default"/>
                <w:color w:val="auto"/>
                <w:spacing w:val="-1"/>
                <w:sz w:val="24"/>
                <w:szCs w:val="24"/>
                <w:highlight w:val="none"/>
              </w:rPr>
              <w:t>车辆识别代号（或车架号）、出厂年份、接收或收购日期。</w:t>
            </w:r>
          </w:p>
          <w:p w14:paraId="7720DB8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3"/>
              <w:jc w:val="left"/>
              <w:textAlignment w:val="auto"/>
              <w:rPr>
                <w:rFonts w:hint="default"/>
                <w:color w:val="auto"/>
                <w:sz w:val="24"/>
                <w:szCs w:val="24"/>
                <w:highlight w:val="none"/>
              </w:rPr>
            </w:pPr>
            <w:r>
              <w:rPr>
                <w:rFonts w:hint="default"/>
                <w:color w:val="auto"/>
                <w:spacing w:val="3"/>
                <w:sz w:val="24"/>
                <w:szCs w:val="24"/>
                <w:highlight w:val="none"/>
              </w:rPr>
              <w:t>③将报废汽车的机动车登记证书、号牌、行驶证</w:t>
            </w:r>
            <w:r>
              <w:rPr>
                <w:rFonts w:hint="eastAsia"/>
                <w:color w:val="auto"/>
                <w:spacing w:val="3"/>
                <w:sz w:val="24"/>
                <w:szCs w:val="24"/>
                <w:highlight w:val="none"/>
                <w:lang w:eastAsia="zh-CN"/>
              </w:rPr>
              <w:t>移交公安机关</w:t>
            </w:r>
            <w:r>
              <w:rPr>
                <w:rFonts w:hint="default"/>
                <w:color w:val="auto"/>
                <w:spacing w:val="3"/>
                <w:sz w:val="24"/>
                <w:szCs w:val="24"/>
                <w:highlight w:val="none"/>
              </w:rPr>
              <w:t>交通管理</w:t>
            </w:r>
            <w:r>
              <w:rPr>
                <w:rFonts w:hint="default"/>
                <w:color w:val="auto"/>
                <w:spacing w:val="2"/>
                <w:sz w:val="24"/>
                <w:szCs w:val="24"/>
                <w:highlight w:val="none"/>
              </w:rPr>
              <w:t>部门</w:t>
            </w:r>
            <w:r>
              <w:rPr>
                <w:rFonts w:hint="default"/>
                <w:color w:val="auto"/>
                <w:spacing w:val="-3"/>
                <w:sz w:val="24"/>
                <w:szCs w:val="24"/>
                <w:highlight w:val="none"/>
              </w:rPr>
              <w:t>办理注销登记。</w:t>
            </w:r>
          </w:p>
          <w:p w14:paraId="4D66483D">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z w:val="24"/>
                <w:szCs w:val="24"/>
                <w:highlight w:val="none"/>
              </w:rPr>
              <w:t>④向报废汽车车主发放《报废汽车回收证明》及</w:t>
            </w:r>
            <w:r>
              <w:rPr>
                <w:rFonts w:hint="default"/>
                <w:color w:val="auto"/>
                <w:spacing w:val="-1"/>
                <w:sz w:val="24"/>
                <w:szCs w:val="24"/>
                <w:highlight w:val="none"/>
              </w:rPr>
              <w:t>有关注销书面材料。</w:t>
            </w:r>
          </w:p>
          <w:p w14:paraId="2DCE75E4">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eastAsia" w:eastAsia="宋体" w:cs="Times New Roman"/>
                <w:b/>
                <w:bCs/>
                <w:color w:val="auto"/>
                <w:spacing w:val="-6"/>
                <w:sz w:val="24"/>
                <w:szCs w:val="24"/>
                <w:highlight w:val="none"/>
                <w:lang w:eastAsia="zh-CN"/>
              </w:rPr>
              <w:t>（</w:t>
            </w:r>
            <w:r>
              <w:rPr>
                <w:rFonts w:hint="eastAsia" w:eastAsia="宋体" w:cs="Times New Roman"/>
                <w:b/>
                <w:bCs/>
                <w:color w:val="auto"/>
                <w:spacing w:val="-6"/>
                <w:sz w:val="24"/>
                <w:szCs w:val="24"/>
                <w:highlight w:val="none"/>
                <w:lang w:val="en-US" w:eastAsia="zh-CN"/>
              </w:rPr>
              <w:t>2）</w:t>
            </w:r>
            <w:r>
              <w:rPr>
                <w:rFonts w:hint="default"/>
                <w:b/>
                <w:bCs/>
                <w:color w:val="auto"/>
                <w:spacing w:val="-6"/>
                <w:sz w:val="24"/>
                <w:szCs w:val="24"/>
                <w:highlight w:val="none"/>
              </w:rPr>
              <w:t>报废汽车存储</w:t>
            </w:r>
          </w:p>
          <w:p w14:paraId="450765E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z w:val="24"/>
                <w:szCs w:val="24"/>
                <w:highlight w:val="none"/>
              </w:rPr>
            </w:pPr>
            <w:r>
              <w:rPr>
                <w:rFonts w:hint="default"/>
                <w:color w:val="auto"/>
                <w:spacing w:val="3"/>
                <w:sz w:val="24"/>
                <w:szCs w:val="24"/>
                <w:highlight w:val="none"/>
              </w:rPr>
              <w:t>报废机动车放置于（完整）报废机动车贮存区，与传统燃油机动车隔</w:t>
            </w:r>
            <w:r>
              <w:rPr>
                <w:rFonts w:hint="default"/>
                <w:color w:val="auto"/>
                <w:spacing w:val="2"/>
                <w:sz w:val="24"/>
                <w:szCs w:val="24"/>
                <w:highlight w:val="none"/>
              </w:rPr>
              <w:t>离开</w:t>
            </w:r>
            <w:r>
              <w:rPr>
                <w:rFonts w:hint="default"/>
                <w:color w:val="auto"/>
                <w:spacing w:val="-16"/>
                <w:sz w:val="24"/>
                <w:szCs w:val="24"/>
                <w:highlight w:val="none"/>
              </w:rPr>
              <w:t>来，分区存放，待拆。根据《报废机动车回收拆解企业技术规范》（</w:t>
            </w:r>
            <w:r>
              <w:rPr>
                <w:rFonts w:hint="default" w:ascii="Times New Roman" w:hAnsi="Times New Roman" w:eastAsia="Times New Roman" w:cs="Times New Roman"/>
                <w:color w:val="auto"/>
                <w:spacing w:val="-16"/>
                <w:sz w:val="24"/>
                <w:szCs w:val="24"/>
                <w:highlight w:val="none"/>
              </w:rPr>
              <w:t>GB</w:t>
            </w:r>
            <w:r>
              <w:rPr>
                <w:rFonts w:hint="default" w:ascii="Times New Roman" w:hAnsi="Times New Roman" w:eastAsia="Times New Roman" w:cs="Times New Roman"/>
                <w:color w:val="auto"/>
                <w:spacing w:val="-17"/>
                <w:sz w:val="24"/>
                <w:szCs w:val="24"/>
                <w:highlight w:val="none"/>
              </w:rPr>
              <w:t>22128-2019</w:t>
            </w:r>
            <w:r>
              <w:rPr>
                <w:rFonts w:hint="default"/>
                <w:color w:val="auto"/>
                <w:spacing w:val="-54"/>
                <w:w w:val="85"/>
                <w:sz w:val="24"/>
                <w:szCs w:val="24"/>
                <w:highlight w:val="none"/>
              </w:rPr>
              <w:t>），</w:t>
            </w:r>
            <w:r>
              <w:rPr>
                <w:rFonts w:hint="default"/>
                <w:color w:val="auto"/>
                <w:spacing w:val="3"/>
                <w:sz w:val="24"/>
                <w:szCs w:val="24"/>
                <w:highlight w:val="none"/>
              </w:rPr>
              <w:t>存放的汽车应平置于报废机动车贮存区，避免侧放或倒放</w:t>
            </w:r>
            <w:r>
              <w:rPr>
                <w:rFonts w:hint="default"/>
                <w:color w:val="auto"/>
                <w:spacing w:val="2"/>
                <w:sz w:val="24"/>
                <w:szCs w:val="24"/>
                <w:highlight w:val="none"/>
              </w:rPr>
              <w:t>，一般不叠放。当需</w:t>
            </w:r>
            <w:r>
              <w:rPr>
                <w:rFonts w:hint="default"/>
                <w:color w:val="auto"/>
                <w:spacing w:val="-2"/>
                <w:sz w:val="24"/>
                <w:szCs w:val="24"/>
                <w:highlight w:val="none"/>
              </w:rPr>
              <w:t>要叠放时，则使上下机动车中心尽量重合，叠放时外侧高度不超过</w:t>
            </w:r>
            <w:r>
              <w:rPr>
                <w:rFonts w:hint="default"/>
                <w:color w:val="auto"/>
                <w:spacing w:val="-50"/>
                <w:sz w:val="24"/>
                <w:szCs w:val="24"/>
                <w:highlight w:val="none"/>
              </w:rPr>
              <w:t xml:space="preserve"> </w:t>
            </w:r>
            <w:r>
              <w:rPr>
                <w:rFonts w:hint="default" w:ascii="Times New Roman" w:hAnsi="Times New Roman" w:eastAsia="Times New Roman" w:cs="Times New Roman"/>
                <w:color w:val="auto"/>
                <w:spacing w:val="-2"/>
                <w:sz w:val="24"/>
                <w:szCs w:val="24"/>
                <w:highlight w:val="none"/>
              </w:rPr>
              <w:t>3m</w:t>
            </w:r>
            <w:r>
              <w:rPr>
                <w:rFonts w:hint="default" w:ascii="Times New Roman" w:hAnsi="Times New Roman" w:eastAsia="Times New Roman" w:cs="Times New Roman"/>
                <w:color w:val="auto"/>
                <w:spacing w:val="-30"/>
                <w:sz w:val="24"/>
                <w:szCs w:val="24"/>
                <w:highlight w:val="none"/>
              </w:rPr>
              <w:t xml:space="preserve"> </w:t>
            </w:r>
            <w:r>
              <w:rPr>
                <w:rFonts w:hint="default"/>
                <w:color w:val="auto"/>
                <w:spacing w:val="-2"/>
                <w:sz w:val="24"/>
                <w:szCs w:val="24"/>
                <w:highlight w:val="none"/>
              </w:rPr>
              <w:t>，</w:t>
            </w:r>
            <w:r>
              <w:rPr>
                <w:rFonts w:hint="default"/>
                <w:color w:val="auto"/>
                <w:spacing w:val="-3"/>
                <w:sz w:val="24"/>
                <w:szCs w:val="24"/>
                <w:highlight w:val="none"/>
              </w:rPr>
              <w:t>内部高度不超过</w:t>
            </w:r>
            <w:r>
              <w:rPr>
                <w:rFonts w:hint="default"/>
                <w:color w:val="auto"/>
                <w:spacing w:val="-39"/>
                <w:sz w:val="24"/>
                <w:szCs w:val="24"/>
                <w:highlight w:val="none"/>
              </w:rPr>
              <w:t xml:space="preserve"> </w:t>
            </w:r>
            <w:r>
              <w:rPr>
                <w:rFonts w:hint="default" w:ascii="Times New Roman" w:hAnsi="Times New Roman" w:eastAsia="Times New Roman" w:cs="Times New Roman"/>
                <w:color w:val="auto"/>
                <w:spacing w:val="-3"/>
                <w:sz w:val="24"/>
                <w:szCs w:val="24"/>
                <w:highlight w:val="none"/>
              </w:rPr>
              <w:t>4.5m</w:t>
            </w:r>
            <w:r>
              <w:rPr>
                <w:rFonts w:hint="default" w:ascii="Times New Roman" w:hAnsi="Times New Roman" w:eastAsia="Times New Roman" w:cs="Times New Roman"/>
                <w:color w:val="auto"/>
                <w:spacing w:val="-30"/>
                <w:sz w:val="24"/>
                <w:szCs w:val="24"/>
                <w:highlight w:val="none"/>
              </w:rPr>
              <w:t xml:space="preserve"> </w:t>
            </w:r>
            <w:r>
              <w:rPr>
                <w:rFonts w:hint="default"/>
                <w:color w:val="auto"/>
                <w:spacing w:val="-3"/>
                <w:sz w:val="24"/>
                <w:szCs w:val="24"/>
                <w:highlight w:val="none"/>
              </w:rPr>
              <w:t>，另大型机动车不得叠放。</w:t>
            </w:r>
          </w:p>
          <w:p w14:paraId="0BDE3DA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z w:val="24"/>
                <w:szCs w:val="24"/>
                <w:highlight w:val="none"/>
              </w:rPr>
            </w:pPr>
            <w:r>
              <w:rPr>
                <w:rFonts w:hint="default"/>
                <w:color w:val="auto"/>
                <w:spacing w:val="3"/>
                <w:sz w:val="24"/>
                <w:szCs w:val="24"/>
                <w:highlight w:val="none"/>
              </w:rPr>
              <w:t>新能源车在动力蓄电池未拆卸前不应叠放，单独贮存。新能源</w:t>
            </w:r>
            <w:r>
              <w:rPr>
                <w:rFonts w:hint="default"/>
                <w:color w:val="auto"/>
                <w:spacing w:val="2"/>
                <w:sz w:val="24"/>
                <w:szCs w:val="24"/>
                <w:highlight w:val="none"/>
              </w:rPr>
              <w:t>车中的事故</w:t>
            </w:r>
            <w:r>
              <w:rPr>
                <w:rFonts w:hint="default"/>
                <w:color w:val="auto"/>
                <w:spacing w:val="-1"/>
                <w:sz w:val="24"/>
                <w:szCs w:val="24"/>
                <w:highlight w:val="none"/>
              </w:rPr>
              <w:t>车以及发生动力蓄电池破损的车辆应隔离贮存。</w:t>
            </w:r>
          </w:p>
          <w:p w14:paraId="39C4BD2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76" w:firstLineChars="200"/>
              <w:jc w:val="left"/>
              <w:textAlignment w:val="auto"/>
              <w:rPr>
                <w:rFonts w:hint="default" w:eastAsia="宋体"/>
                <w:color w:val="auto"/>
                <w:spacing w:val="-5"/>
                <w:sz w:val="24"/>
                <w:szCs w:val="24"/>
                <w:highlight w:val="none"/>
                <w:lang w:val="en-US" w:eastAsia="zh-CN"/>
              </w:rPr>
            </w:pPr>
            <w:r>
              <w:rPr>
                <w:rFonts w:hint="default"/>
                <w:color w:val="auto"/>
                <w:spacing w:val="-1"/>
                <w:sz w:val="24"/>
                <w:szCs w:val="24"/>
                <w:highlight w:val="none"/>
              </w:rPr>
              <w:t>报废新能源汽车</w:t>
            </w:r>
            <w:r>
              <w:rPr>
                <w:rFonts w:hint="eastAsia"/>
                <w:color w:val="auto"/>
                <w:spacing w:val="-1"/>
                <w:sz w:val="24"/>
                <w:szCs w:val="24"/>
                <w:highlight w:val="none"/>
                <w:lang w:val="en-US" w:eastAsia="zh-CN"/>
              </w:rPr>
              <w:t>与报废燃油车</w:t>
            </w:r>
            <w:r>
              <w:rPr>
                <w:rFonts w:hint="default"/>
                <w:color w:val="auto"/>
                <w:spacing w:val="-1"/>
                <w:sz w:val="24"/>
                <w:szCs w:val="24"/>
                <w:highlight w:val="none"/>
              </w:rPr>
              <w:t>暂存区位于</w:t>
            </w:r>
            <w:r>
              <w:rPr>
                <w:rFonts w:hint="eastAsia"/>
                <w:color w:val="auto"/>
                <w:spacing w:val="-1"/>
                <w:sz w:val="24"/>
                <w:szCs w:val="24"/>
                <w:highlight w:val="none"/>
                <w:lang w:val="en-US" w:eastAsia="zh-CN"/>
              </w:rPr>
              <w:t>生产车间东侧</w:t>
            </w:r>
            <w:r>
              <w:rPr>
                <w:rFonts w:hint="default"/>
                <w:color w:val="auto"/>
                <w:spacing w:val="-2"/>
                <w:sz w:val="24"/>
                <w:szCs w:val="24"/>
                <w:highlight w:val="none"/>
              </w:rPr>
              <w:t>，地面水泥硬化，</w:t>
            </w:r>
            <w:r>
              <w:rPr>
                <w:rFonts w:hint="eastAsia"/>
                <w:color w:val="auto"/>
                <w:spacing w:val="-2"/>
                <w:sz w:val="24"/>
                <w:szCs w:val="24"/>
                <w:highlight w:val="none"/>
                <w:lang w:val="en-US" w:eastAsia="zh-CN"/>
              </w:rPr>
              <w:t>燃油车</w:t>
            </w:r>
            <w:r>
              <w:rPr>
                <w:rFonts w:hint="default"/>
                <w:color w:val="auto"/>
                <w:spacing w:val="3"/>
                <w:sz w:val="24"/>
                <w:szCs w:val="24"/>
                <w:highlight w:val="none"/>
              </w:rPr>
              <w:t>与新能源汽车之间设置隔</w:t>
            </w:r>
            <w:r>
              <w:rPr>
                <w:rFonts w:hint="default"/>
                <w:color w:val="auto"/>
                <w:spacing w:val="2"/>
                <w:sz w:val="24"/>
                <w:szCs w:val="24"/>
                <w:highlight w:val="none"/>
              </w:rPr>
              <w:t>离区。</w:t>
            </w:r>
            <w:r>
              <w:rPr>
                <w:rFonts w:hint="eastAsia"/>
                <w:color w:val="auto"/>
                <w:spacing w:val="2"/>
                <w:sz w:val="24"/>
                <w:szCs w:val="24"/>
                <w:highlight w:val="none"/>
                <w:lang w:val="en-US" w:eastAsia="zh-CN"/>
              </w:rPr>
              <w:t>报废新能源车与报废燃油车最大储存量均为50辆。</w:t>
            </w:r>
          </w:p>
          <w:p w14:paraId="61BE227B">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8"/>
              <w:jc w:val="left"/>
              <w:textAlignment w:val="auto"/>
              <w:rPr>
                <w:rFonts w:hint="eastAsia"/>
                <w:b/>
                <w:bCs/>
                <w:color w:val="auto"/>
                <w:spacing w:val="-1"/>
                <w:sz w:val="24"/>
                <w:szCs w:val="24"/>
                <w:highlight w:val="none"/>
                <w:lang w:eastAsia="zh-CN"/>
              </w:rPr>
            </w:pPr>
            <w:r>
              <w:rPr>
                <w:rFonts w:hint="default"/>
                <w:b/>
                <w:bCs/>
                <w:color w:val="auto"/>
                <w:spacing w:val="-1"/>
                <w:sz w:val="24"/>
                <w:szCs w:val="24"/>
                <w:highlight w:val="none"/>
              </w:rPr>
              <w:t>产污环节：报废机动车露天堆放产生初期雨水</w:t>
            </w:r>
            <w:r>
              <w:rPr>
                <w:rFonts w:hint="eastAsia"/>
                <w:b/>
                <w:bCs/>
                <w:color w:val="auto"/>
                <w:spacing w:val="-1"/>
                <w:sz w:val="24"/>
                <w:szCs w:val="24"/>
                <w:highlight w:val="none"/>
                <w:lang w:eastAsia="zh-CN"/>
              </w:rPr>
              <w:t>。</w:t>
            </w:r>
          </w:p>
          <w:p w14:paraId="6EEEA32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8"/>
              <w:jc w:val="left"/>
              <w:textAlignment w:val="auto"/>
              <w:rPr>
                <w:rFonts w:hint="default"/>
                <w:color w:val="auto"/>
                <w:sz w:val="24"/>
                <w:szCs w:val="24"/>
                <w:highlight w:val="none"/>
              </w:rPr>
            </w:pPr>
            <w:r>
              <w:rPr>
                <w:rFonts w:hint="default"/>
                <w:b/>
                <w:bCs/>
                <w:color w:val="auto"/>
                <w:spacing w:val="-1"/>
                <w:sz w:val="24"/>
                <w:szCs w:val="24"/>
                <w:highlight w:val="none"/>
              </w:rPr>
              <w:t>本项目报废机动</w:t>
            </w:r>
            <w:r>
              <w:rPr>
                <w:rFonts w:hint="default"/>
                <w:b/>
                <w:bCs/>
                <w:color w:val="auto"/>
                <w:spacing w:val="3"/>
                <w:sz w:val="24"/>
                <w:szCs w:val="24"/>
                <w:highlight w:val="none"/>
              </w:rPr>
              <w:t>车贮存区进行地面防渗、硬化，设置初期雨水收集</w:t>
            </w:r>
            <w:r>
              <w:rPr>
                <w:rFonts w:hint="default"/>
                <w:b/>
                <w:bCs/>
                <w:color w:val="auto"/>
                <w:spacing w:val="2"/>
                <w:sz w:val="24"/>
                <w:szCs w:val="24"/>
                <w:highlight w:val="none"/>
              </w:rPr>
              <w:t>系统，初期雨水经初期雨水</w:t>
            </w:r>
            <w:r>
              <w:rPr>
                <w:rFonts w:hint="default"/>
                <w:b/>
                <w:bCs/>
                <w:color w:val="auto"/>
                <w:spacing w:val="3"/>
                <w:sz w:val="24"/>
                <w:szCs w:val="24"/>
                <w:highlight w:val="none"/>
              </w:rPr>
              <w:t>收集池进入污水处理设施，处理后经污水管网排入</w:t>
            </w:r>
            <w:r>
              <w:rPr>
                <w:rFonts w:hint="default"/>
                <w:b/>
                <w:bCs/>
                <w:color w:val="auto"/>
                <w:spacing w:val="2"/>
                <w:sz w:val="24"/>
                <w:szCs w:val="24"/>
                <w:highlight w:val="none"/>
              </w:rPr>
              <w:t>阜新市北控水务有限公司集</w:t>
            </w:r>
            <w:r>
              <w:rPr>
                <w:rFonts w:hint="default"/>
                <w:b/>
                <w:bCs/>
                <w:color w:val="auto"/>
                <w:spacing w:val="-2"/>
                <w:sz w:val="24"/>
                <w:szCs w:val="24"/>
                <w:highlight w:val="none"/>
              </w:rPr>
              <w:t>中处理达标后排放。</w:t>
            </w:r>
          </w:p>
          <w:p w14:paraId="602CD7D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eastAsia" w:eastAsia="宋体" w:cs="Times New Roman"/>
                <w:b/>
                <w:bCs/>
                <w:color w:val="auto"/>
                <w:spacing w:val="-6"/>
                <w:sz w:val="24"/>
                <w:szCs w:val="24"/>
                <w:highlight w:val="none"/>
                <w:lang w:eastAsia="zh-CN"/>
              </w:rPr>
              <w:t>（</w:t>
            </w:r>
            <w:r>
              <w:rPr>
                <w:rFonts w:hint="eastAsia" w:eastAsia="宋体" w:cs="Times New Roman"/>
                <w:b/>
                <w:bCs/>
                <w:color w:val="auto"/>
                <w:spacing w:val="-6"/>
                <w:sz w:val="24"/>
                <w:szCs w:val="24"/>
                <w:highlight w:val="none"/>
                <w:lang w:val="en-US" w:eastAsia="zh-CN"/>
              </w:rPr>
              <w:t>3）</w:t>
            </w:r>
            <w:r>
              <w:rPr>
                <w:rFonts w:hint="default"/>
                <w:b/>
                <w:bCs/>
                <w:color w:val="auto"/>
                <w:spacing w:val="-6"/>
                <w:sz w:val="24"/>
                <w:szCs w:val="24"/>
                <w:highlight w:val="none"/>
              </w:rPr>
              <w:t>拆解预处理</w:t>
            </w:r>
          </w:p>
          <w:p w14:paraId="49E684C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1</w:t>
            </w:r>
            <w:r>
              <w:rPr>
                <w:rFonts w:hint="default"/>
                <w:color w:val="auto"/>
                <w:spacing w:val="-1"/>
                <w:sz w:val="24"/>
                <w:szCs w:val="24"/>
                <w:highlight w:val="none"/>
              </w:rPr>
              <w:t>）拆除蓄电池（新能源汽车和传统燃油车分别简述）</w:t>
            </w:r>
          </w:p>
          <w:p w14:paraId="21AFF3E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pacing w:val="-1"/>
                <w:sz w:val="24"/>
                <w:szCs w:val="24"/>
                <w:highlight w:val="none"/>
              </w:rPr>
              <w:t>①新能源汽车蓄电池拆除</w:t>
            </w:r>
          </w:p>
          <w:p w14:paraId="6DAC20E1">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a.</w:t>
            </w:r>
            <w:r>
              <w:rPr>
                <w:rFonts w:hint="default"/>
                <w:color w:val="auto"/>
                <w:spacing w:val="-1"/>
                <w:sz w:val="24"/>
                <w:szCs w:val="24"/>
                <w:highlight w:val="none"/>
              </w:rPr>
              <w:t>检查车身有无漏电、有无带电。</w:t>
            </w:r>
          </w:p>
          <w:p w14:paraId="37A8EEE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z w:val="24"/>
                <w:szCs w:val="24"/>
                <w:highlight w:val="none"/>
              </w:rPr>
              <w:t>b.</w:t>
            </w:r>
            <w:r>
              <w:rPr>
                <w:rFonts w:hint="default"/>
                <w:color w:val="auto"/>
                <w:sz w:val="24"/>
                <w:szCs w:val="24"/>
                <w:highlight w:val="none"/>
              </w:rPr>
              <w:t>检查动力蓄电池布局和安装位置，确认诊断接口是否完好。</w:t>
            </w:r>
          </w:p>
          <w:p w14:paraId="00ACBCE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c.</w:t>
            </w:r>
            <w:r>
              <w:rPr>
                <w:rFonts w:hint="default"/>
                <w:color w:val="auto"/>
                <w:spacing w:val="-1"/>
                <w:sz w:val="24"/>
                <w:szCs w:val="24"/>
                <w:highlight w:val="none"/>
              </w:rPr>
              <w:t>对动力蓄电池电压、温度等参数进行检测，评估其安全状态。</w:t>
            </w:r>
          </w:p>
          <w:p w14:paraId="6DAA3C8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d.</w:t>
            </w:r>
            <w:r>
              <w:rPr>
                <w:rFonts w:hint="default"/>
                <w:color w:val="auto"/>
                <w:spacing w:val="-1"/>
                <w:sz w:val="24"/>
                <w:szCs w:val="24"/>
                <w:highlight w:val="none"/>
              </w:rPr>
              <w:t>断开动力蓄电池高压回路。</w:t>
            </w:r>
          </w:p>
          <w:p w14:paraId="11DFF664">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8"/>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e.</w:t>
            </w:r>
            <w:r>
              <w:rPr>
                <w:rFonts w:hint="default"/>
                <w:color w:val="auto"/>
                <w:spacing w:val="-2"/>
                <w:sz w:val="24"/>
                <w:szCs w:val="24"/>
                <w:highlight w:val="none"/>
              </w:rPr>
              <w:t>在室内拆解预处理平台上使用防静电工具排空存留在车内的</w:t>
            </w:r>
            <w:r>
              <w:rPr>
                <w:rFonts w:hint="default"/>
                <w:color w:val="auto"/>
                <w:spacing w:val="-3"/>
                <w:sz w:val="24"/>
                <w:szCs w:val="24"/>
                <w:highlight w:val="none"/>
              </w:rPr>
              <w:t>废液，并使用</w:t>
            </w:r>
            <w:r>
              <w:rPr>
                <w:rFonts w:hint="default"/>
                <w:color w:val="auto"/>
                <w:spacing w:val="-2"/>
                <w:sz w:val="24"/>
                <w:szCs w:val="24"/>
                <w:highlight w:val="none"/>
              </w:rPr>
              <w:t>专用容器分类回收；</w:t>
            </w:r>
          </w:p>
          <w:p w14:paraId="2636EC9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f.</w:t>
            </w:r>
            <w:r>
              <w:rPr>
                <w:rFonts w:hint="default"/>
                <w:color w:val="auto"/>
                <w:spacing w:val="-1"/>
                <w:sz w:val="24"/>
                <w:szCs w:val="24"/>
                <w:highlight w:val="none"/>
              </w:rPr>
              <w:t>使用防静电设备回收汽车空调制冷剂。</w:t>
            </w:r>
          </w:p>
          <w:p w14:paraId="0811792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505"/>
              <w:jc w:val="left"/>
              <w:textAlignment w:val="auto"/>
              <w:rPr>
                <w:rFonts w:hint="default"/>
                <w:color w:val="auto"/>
                <w:sz w:val="24"/>
                <w:szCs w:val="24"/>
                <w:highlight w:val="none"/>
              </w:rPr>
            </w:pPr>
            <w:r>
              <w:rPr>
                <w:rFonts w:hint="default"/>
                <w:color w:val="auto"/>
                <w:spacing w:val="2"/>
                <w:sz w:val="24"/>
                <w:szCs w:val="24"/>
                <w:highlight w:val="none"/>
              </w:rPr>
              <w:t>以上为新能源报废机动车动力蓄电池的预处理工艺，新能源报废机动车经</w:t>
            </w:r>
            <w:r>
              <w:rPr>
                <w:rFonts w:hint="default"/>
                <w:color w:val="auto"/>
                <w:spacing w:val="-1"/>
                <w:sz w:val="24"/>
                <w:szCs w:val="24"/>
                <w:highlight w:val="none"/>
              </w:rPr>
              <w:t>预处理后，还要进行以下拆解工序拆解动力蓄电池：</w:t>
            </w:r>
          </w:p>
          <w:p w14:paraId="6E8EECFD">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a.</w:t>
            </w:r>
            <w:r>
              <w:rPr>
                <w:rFonts w:hint="default"/>
                <w:color w:val="auto"/>
                <w:spacing w:val="-1"/>
                <w:sz w:val="24"/>
                <w:szCs w:val="24"/>
                <w:highlight w:val="none"/>
              </w:rPr>
              <w:t>拆解动力蓄电池主阻挡部件，如引擎盖、行李箱盖，车门等；</w:t>
            </w:r>
          </w:p>
          <w:p w14:paraId="11A078B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b.</w:t>
            </w:r>
            <w:r>
              <w:rPr>
                <w:rFonts w:hint="default"/>
                <w:color w:val="auto"/>
                <w:spacing w:val="-1"/>
                <w:sz w:val="24"/>
                <w:szCs w:val="24"/>
                <w:highlight w:val="none"/>
              </w:rPr>
              <w:t>断开电压线束（电缆</w:t>
            </w:r>
            <w:r>
              <w:rPr>
                <w:rFonts w:hint="default"/>
                <w:color w:val="auto"/>
                <w:spacing w:val="12"/>
                <w:sz w:val="24"/>
                <w:szCs w:val="24"/>
                <w:highlight w:val="none"/>
              </w:rPr>
              <w:t>），</w:t>
            </w:r>
            <w:r>
              <w:rPr>
                <w:rFonts w:hint="default"/>
                <w:color w:val="auto"/>
                <w:spacing w:val="-1"/>
                <w:sz w:val="24"/>
                <w:szCs w:val="24"/>
                <w:highlight w:val="none"/>
              </w:rPr>
              <w:t>拆卸不同安装位置的动力蓄电池；</w:t>
            </w:r>
          </w:p>
          <w:p w14:paraId="0EF9D9C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6"/>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c.</w:t>
            </w:r>
            <w:r>
              <w:rPr>
                <w:rFonts w:hint="default"/>
                <w:color w:val="auto"/>
                <w:spacing w:val="-2"/>
                <w:sz w:val="24"/>
                <w:szCs w:val="24"/>
                <w:highlight w:val="none"/>
              </w:rPr>
              <w:t>收集采用液冷结构方式散热的动力蓄电池包（组）内的冷却液</w:t>
            </w:r>
            <w:r>
              <w:rPr>
                <w:rFonts w:hint="default"/>
                <w:color w:val="auto"/>
                <w:spacing w:val="-3"/>
                <w:sz w:val="24"/>
                <w:szCs w:val="24"/>
                <w:highlight w:val="none"/>
              </w:rPr>
              <w:t>，并使用专</w:t>
            </w:r>
            <w:r>
              <w:rPr>
                <w:rFonts w:hint="default"/>
                <w:color w:val="auto"/>
                <w:spacing w:val="-1"/>
                <w:sz w:val="24"/>
                <w:szCs w:val="24"/>
                <w:highlight w:val="none"/>
              </w:rPr>
              <w:t>用容器分类回收，分类分区存放在危废贮存库内；</w:t>
            </w:r>
          </w:p>
          <w:p w14:paraId="0D8C6C6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d.</w:t>
            </w:r>
            <w:r>
              <w:rPr>
                <w:rFonts w:hint="default"/>
                <w:color w:val="auto"/>
                <w:spacing w:val="-3"/>
                <w:sz w:val="24"/>
                <w:szCs w:val="24"/>
                <w:highlight w:val="none"/>
              </w:rPr>
              <w:t>对拆卸下的动力蓄电池线束（电缆）接头、正负极片等外露线束和金属物</w:t>
            </w:r>
            <w:r>
              <w:rPr>
                <w:rFonts w:hint="default"/>
                <w:color w:val="auto"/>
                <w:spacing w:val="-1"/>
                <w:sz w:val="24"/>
                <w:szCs w:val="24"/>
                <w:highlight w:val="none"/>
              </w:rPr>
              <w:t>进行绝缘处理，并在其明显位置处贴上标签，标明绝缘状况；</w:t>
            </w:r>
          </w:p>
          <w:p w14:paraId="5451EDA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7"/>
                <w:sz w:val="24"/>
                <w:szCs w:val="24"/>
                <w:highlight w:val="none"/>
              </w:rPr>
              <w:t>e.</w:t>
            </w:r>
            <w:r>
              <w:rPr>
                <w:rFonts w:hint="default"/>
                <w:color w:val="auto"/>
                <w:spacing w:val="-7"/>
                <w:sz w:val="24"/>
                <w:szCs w:val="24"/>
                <w:highlight w:val="none"/>
              </w:rPr>
              <w:t>收集驱动电机总成内残余冷却液，使用专用容器分类回收，拆除驱动电机。</w:t>
            </w:r>
            <w:r>
              <w:rPr>
                <w:rFonts w:hint="default"/>
                <w:color w:val="auto"/>
                <w:spacing w:val="3"/>
                <w:sz w:val="24"/>
                <w:szCs w:val="24"/>
                <w:highlight w:val="none"/>
              </w:rPr>
              <w:t>拆解车间内设置盐水池用来处理破损动力电池，破损动力电池不</w:t>
            </w:r>
            <w:r>
              <w:rPr>
                <w:rFonts w:hint="default"/>
                <w:color w:val="auto"/>
                <w:spacing w:val="2"/>
                <w:sz w:val="24"/>
                <w:szCs w:val="24"/>
                <w:highlight w:val="none"/>
              </w:rPr>
              <w:t>能用放电</w:t>
            </w:r>
          </w:p>
          <w:p w14:paraId="185BAA2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pacing w:val="-1"/>
                <w:sz w:val="24"/>
                <w:szCs w:val="24"/>
                <w:highlight w:val="none"/>
              </w:rPr>
              <w:t>机处理，只能放在盐水池内自然放电。</w:t>
            </w:r>
          </w:p>
          <w:p w14:paraId="2EECE27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6"/>
              <w:jc w:val="left"/>
              <w:textAlignment w:val="auto"/>
              <w:rPr>
                <w:rFonts w:hint="default"/>
                <w:b/>
                <w:bCs/>
                <w:color w:val="auto"/>
                <w:spacing w:val="-13"/>
                <w:sz w:val="24"/>
                <w:szCs w:val="24"/>
                <w:highlight w:val="none"/>
              </w:rPr>
            </w:pPr>
            <w:r>
              <w:rPr>
                <w:rFonts w:hint="default"/>
                <w:b/>
                <w:bCs/>
                <w:color w:val="auto"/>
                <w:spacing w:val="-4"/>
                <w:sz w:val="24"/>
                <w:szCs w:val="24"/>
                <w:highlight w:val="none"/>
              </w:rPr>
              <w:t>产污环节：此工序产生废动力蓄电池属于危险废物，收集后暂存</w:t>
            </w:r>
            <w:r>
              <w:rPr>
                <w:rFonts w:hint="default"/>
                <w:b/>
                <w:bCs/>
                <w:color w:val="auto"/>
                <w:spacing w:val="-13"/>
                <w:sz w:val="24"/>
                <w:szCs w:val="24"/>
                <w:highlight w:val="none"/>
              </w:rPr>
              <w:t>于危废贮存库内，定期交由有资质单位安全处置。</w:t>
            </w:r>
          </w:p>
          <w:p w14:paraId="407549DE">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pacing w:val="-1"/>
                <w:sz w:val="24"/>
                <w:szCs w:val="24"/>
                <w:highlight w:val="none"/>
              </w:rPr>
              <w:t>②传统燃油车蓄电池拆除</w:t>
            </w:r>
          </w:p>
          <w:p w14:paraId="5D9D390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92" w:firstLineChars="200"/>
              <w:jc w:val="left"/>
              <w:textAlignment w:val="auto"/>
              <w:rPr>
                <w:rFonts w:hint="default"/>
                <w:color w:val="auto"/>
                <w:sz w:val="24"/>
                <w:szCs w:val="24"/>
                <w:highlight w:val="none"/>
              </w:rPr>
            </w:pPr>
            <w:r>
              <w:rPr>
                <w:rFonts w:hint="default"/>
                <w:color w:val="auto"/>
                <w:spacing w:val="3"/>
                <w:sz w:val="24"/>
                <w:szCs w:val="24"/>
                <w:highlight w:val="none"/>
              </w:rPr>
              <w:t>用扳手、螺丝刀、钢筋剪（液压剪）等工具拆除蓄电池，将</w:t>
            </w:r>
            <w:r>
              <w:rPr>
                <w:rFonts w:hint="default"/>
                <w:color w:val="auto"/>
                <w:spacing w:val="2"/>
                <w:sz w:val="24"/>
                <w:szCs w:val="24"/>
                <w:highlight w:val="none"/>
              </w:rPr>
              <w:t>拆解下的蓄电</w:t>
            </w:r>
            <w:r>
              <w:rPr>
                <w:rFonts w:hint="default"/>
                <w:color w:val="auto"/>
                <w:spacing w:val="-2"/>
                <w:sz w:val="24"/>
                <w:szCs w:val="24"/>
                <w:highlight w:val="none"/>
              </w:rPr>
              <w:t>池放置在专用容器内，转移至废铅酸蓄电池贮存库，蓄电池不再进行深度拆解。</w:t>
            </w:r>
            <w:r>
              <w:rPr>
                <w:rFonts w:hint="default"/>
                <w:color w:val="auto"/>
                <w:spacing w:val="3"/>
                <w:sz w:val="24"/>
                <w:szCs w:val="24"/>
                <w:highlight w:val="none"/>
              </w:rPr>
              <w:t>按照《废铅蓄电池处理污染控制技术规范》进行收集</w:t>
            </w:r>
            <w:r>
              <w:rPr>
                <w:rFonts w:hint="default"/>
                <w:color w:val="auto"/>
                <w:spacing w:val="2"/>
                <w:sz w:val="24"/>
                <w:szCs w:val="24"/>
                <w:highlight w:val="none"/>
              </w:rPr>
              <w:t>和贮存：废铅蓄电池收集</w:t>
            </w:r>
            <w:r>
              <w:rPr>
                <w:rFonts w:hint="default"/>
                <w:color w:val="auto"/>
                <w:spacing w:val="-1"/>
                <w:sz w:val="24"/>
                <w:szCs w:val="24"/>
                <w:highlight w:val="none"/>
              </w:rPr>
              <w:t>过程应采取以下防范措施，避免发生环境污染事故：</w:t>
            </w:r>
          </w:p>
          <w:p w14:paraId="149296F0">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z w:val="24"/>
                <w:szCs w:val="24"/>
                <w:highlight w:val="none"/>
              </w:rPr>
              <w:t>a</w:t>
            </w:r>
            <w:r>
              <w:rPr>
                <w:rFonts w:hint="default"/>
                <w:color w:val="auto"/>
                <w:sz w:val="24"/>
                <w:szCs w:val="24"/>
                <w:highlight w:val="none"/>
              </w:rPr>
              <w:t>）废铅蓄电池应进行合理包装，防止运输</w:t>
            </w:r>
            <w:r>
              <w:rPr>
                <w:rFonts w:hint="default"/>
                <w:color w:val="auto"/>
                <w:spacing w:val="-1"/>
                <w:sz w:val="24"/>
                <w:szCs w:val="24"/>
                <w:highlight w:val="none"/>
              </w:rPr>
              <w:t>过程破损和电解质泄漏。</w:t>
            </w:r>
          </w:p>
          <w:p w14:paraId="744C977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67"/>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b</w:t>
            </w:r>
            <w:r>
              <w:rPr>
                <w:rFonts w:hint="default"/>
                <w:color w:val="auto"/>
                <w:spacing w:val="-1"/>
                <w:sz w:val="24"/>
                <w:szCs w:val="24"/>
                <w:highlight w:val="none"/>
              </w:rPr>
              <w:t>）废铅蓄电池有破损或电解质渗漏的，应将废铅蓄电池及其渗漏液贮存于</w:t>
            </w:r>
            <w:r>
              <w:rPr>
                <w:rFonts w:hint="default"/>
                <w:color w:val="auto"/>
                <w:spacing w:val="-3"/>
                <w:sz w:val="24"/>
                <w:szCs w:val="24"/>
                <w:highlight w:val="none"/>
              </w:rPr>
              <w:t>耐酸容器中；</w:t>
            </w:r>
          </w:p>
          <w:p w14:paraId="07A1E8C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pacing w:val="-1"/>
                <w:sz w:val="24"/>
                <w:szCs w:val="24"/>
                <w:highlight w:val="none"/>
              </w:rPr>
              <w:t>废铅蓄电池贮存设施符合以下要求：</w:t>
            </w:r>
          </w:p>
          <w:p w14:paraId="0D74AC1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a</w:t>
            </w:r>
            <w:r>
              <w:rPr>
                <w:rFonts w:hint="default"/>
                <w:color w:val="auto"/>
                <w:spacing w:val="-1"/>
                <w:sz w:val="24"/>
                <w:szCs w:val="24"/>
                <w:highlight w:val="none"/>
              </w:rPr>
              <w:t>）应防雨，必须远离其他水源和热源。</w:t>
            </w:r>
          </w:p>
          <w:p w14:paraId="6E03857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b</w:t>
            </w:r>
            <w:r>
              <w:rPr>
                <w:rFonts w:hint="default"/>
                <w:color w:val="auto"/>
                <w:spacing w:val="-2"/>
                <w:sz w:val="24"/>
                <w:szCs w:val="24"/>
                <w:highlight w:val="none"/>
              </w:rPr>
              <w:t>）面积不少于</w:t>
            </w:r>
            <w:r>
              <w:rPr>
                <w:rFonts w:hint="default"/>
                <w:color w:val="auto"/>
                <w:spacing w:val="-35"/>
                <w:sz w:val="24"/>
                <w:szCs w:val="24"/>
                <w:highlight w:val="none"/>
              </w:rPr>
              <w:t xml:space="preserve"> </w:t>
            </w:r>
            <w:r>
              <w:rPr>
                <w:rFonts w:hint="default" w:ascii="Times New Roman" w:hAnsi="Times New Roman" w:eastAsia="Times New Roman" w:cs="Times New Roman"/>
                <w:color w:val="auto"/>
                <w:spacing w:val="-2"/>
                <w:sz w:val="24"/>
                <w:szCs w:val="24"/>
                <w:highlight w:val="none"/>
              </w:rPr>
              <w:t>30m</w:t>
            </w:r>
            <w:r>
              <w:rPr>
                <w:rFonts w:hint="eastAsia" w:eastAsia="宋体" w:cs="Times New Roman"/>
                <w:color w:val="auto"/>
                <w:spacing w:val="-2"/>
                <w:sz w:val="24"/>
                <w:szCs w:val="24"/>
                <w:highlight w:val="none"/>
                <w:vertAlign w:val="superscript"/>
                <w:lang w:val="en-US" w:eastAsia="zh-CN"/>
              </w:rPr>
              <w:t>2</w:t>
            </w:r>
            <w:r>
              <w:rPr>
                <w:rFonts w:hint="default" w:ascii="Times New Roman" w:hAnsi="Times New Roman" w:eastAsia="Times New Roman" w:cs="Times New Roman"/>
                <w:color w:val="auto"/>
                <w:spacing w:val="-9"/>
                <w:position w:val="8"/>
                <w:sz w:val="24"/>
                <w:szCs w:val="24"/>
                <w:highlight w:val="none"/>
              </w:rPr>
              <w:t xml:space="preserve"> </w:t>
            </w:r>
            <w:r>
              <w:rPr>
                <w:rFonts w:hint="default"/>
                <w:color w:val="auto"/>
                <w:spacing w:val="-2"/>
                <w:sz w:val="24"/>
                <w:szCs w:val="24"/>
                <w:highlight w:val="none"/>
              </w:rPr>
              <w:t>，有硬化地面和必要的防渗措施。</w:t>
            </w:r>
          </w:p>
          <w:p w14:paraId="4B4647F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c</w:t>
            </w:r>
            <w:r>
              <w:rPr>
                <w:rFonts w:hint="default"/>
                <w:color w:val="auto"/>
                <w:spacing w:val="-1"/>
                <w:sz w:val="24"/>
                <w:szCs w:val="24"/>
                <w:highlight w:val="none"/>
              </w:rPr>
              <w:t>）应设有截流槽、导流沟、临时应急池和废液收集系统。</w:t>
            </w:r>
          </w:p>
          <w:p w14:paraId="34E584B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d</w:t>
            </w:r>
            <w:r>
              <w:rPr>
                <w:rFonts w:hint="default"/>
                <w:color w:val="auto"/>
                <w:spacing w:val="-1"/>
                <w:sz w:val="24"/>
                <w:szCs w:val="24"/>
                <w:highlight w:val="none"/>
              </w:rPr>
              <w:t>）应配备通讯设备、计量设备、照明设施、视频监控设施。</w:t>
            </w:r>
          </w:p>
          <w:p w14:paraId="0D7A6E17">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e</w:t>
            </w:r>
            <w:r>
              <w:rPr>
                <w:rFonts w:hint="default"/>
                <w:color w:val="auto"/>
                <w:spacing w:val="-1"/>
                <w:sz w:val="24"/>
                <w:szCs w:val="24"/>
                <w:highlight w:val="none"/>
              </w:rPr>
              <w:t>）应设立警示标志，只允许收集废铅蓄电池的专门人员进入。</w:t>
            </w:r>
          </w:p>
          <w:p w14:paraId="130928F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f</w:t>
            </w:r>
            <w:r>
              <w:rPr>
                <w:rFonts w:hint="default"/>
                <w:color w:val="auto"/>
                <w:spacing w:val="-1"/>
                <w:sz w:val="24"/>
                <w:szCs w:val="24"/>
                <w:highlight w:val="none"/>
              </w:rPr>
              <w:t>）应有排风换气系统，保证良好通风。</w:t>
            </w:r>
          </w:p>
          <w:p w14:paraId="1E52411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7"/>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g</w:t>
            </w:r>
            <w:r>
              <w:rPr>
                <w:rFonts w:hint="default"/>
                <w:color w:val="auto"/>
                <w:spacing w:val="-1"/>
                <w:sz w:val="24"/>
                <w:szCs w:val="24"/>
                <w:highlight w:val="none"/>
              </w:rPr>
              <w:t>）应配备耐腐蚀、不易破损变形的专用容器，用于单独分区存放开口式废铅蓄电池和破损的密闭式免维护废铅蓄电池。</w:t>
            </w:r>
          </w:p>
          <w:p w14:paraId="6B2E649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default"/>
                <w:color w:val="auto"/>
                <w:sz w:val="24"/>
                <w:szCs w:val="24"/>
                <w:highlight w:val="none"/>
              </w:rPr>
            </w:pPr>
            <w:r>
              <w:rPr>
                <w:rFonts w:hint="default"/>
                <w:b/>
                <w:bCs/>
                <w:color w:val="auto"/>
                <w:spacing w:val="-3"/>
                <w:sz w:val="24"/>
                <w:szCs w:val="24"/>
                <w:highlight w:val="none"/>
              </w:rPr>
              <w:t>产污环节：</w:t>
            </w:r>
            <w:r>
              <w:rPr>
                <w:rFonts w:hint="eastAsia"/>
                <w:b/>
                <w:bCs/>
                <w:color w:val="auto"/>
                <w:spacing w:val="-3"/>
                <w:sz w:val="24"/>
                <w:szCs w:val="24"/>
                <w:highlight w:val="none"/>
                <w:lang w:val="en-US" w:eastAsia="zh-CN"/>
              </w:rPr>
              <w:t>此工序产生的</w:t>
            </w:r>
            <w:r>
              <w:rPr>
                <w:rFonts w:hint="default"/>
                <w:b/>
                <w:bCs/>
                <w:color w:val="auto"/>
                <w:spacing w:val="-3"/>
                <w:sz w:val="24"/>
                <w:szCs w:val="24"/>
                <w:highlight w:val="none"/>
              </w:rPr>
              <w:t>废铅蓄电池属于危险废物，收集后暂存于危废贮</w:t>
            </w:r>
            <w:r>
              <w:rPr>
                <w:rFonts w:hint="default"/>
                <w:b/>
                <w:bCs/>
                <w:color w:val="auto"/>
                <w:spacing w:val="-7"/>
                <w:sz w:val="24"/>
                <w:szCs w:val="24"/>
                <w:highlight w:val="none"/>
              </w:rPr>
              <w:t>存库内，定期交由有资质单位安全处置。</w:t>
            </w:r>
          </w:p>
          <w:p w14:paraId="3A30D3E4">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2</w:t>
            </w:r>
            <w:r>
              <w:rPr>
                <w:rFonts w:hint="default"/>
                <w:color w:val="auto"/>
                <w:spacing w:val="-2"/>
                <w:sz w:val="24"/>
                <w:szCs w:val="24"/>
                <w:highlight w:val="none"/>
              </w:rPr>
              <w:t>）拆除和引爆安全气囊</w:t>
            </w:r>
          </w:p>
          <w:p w14:paraId="08F918AC">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4"/>
              <w:jc w:val="left"/>
              <w:textAlignment w:val="auto"/>
              <w:rPr>
                <w:rFonts w:hint="default"/>
                <w:color w:val="auto"/>
                <w:sz w:val="24"/>
                <w:szCs w:val="24"/>
                <w:highlight w:val="none"/>
              </w:rPr>
            </w:pPr>
            <w:r>
              <w:rPr>
                <w:rFonts w:hint="default"/>
                <w:color w:val="auto"/>
                <w:spacing w:val="3"/>
                <w:sz w:val="24"/>
                <w:szCs w:val="24"/>
                <w:highlight w:val="none"/>
              </w:rPr>
              <w:t>安全气囊内主要化学成分包括：叠氮化钠、硝酸钾和</w:t>
            </w:r>
            <w:r>
              <w:rPr>
                <w:rFonts w:hint="default"/>
                <w:color w:val="auto"/>
                <w:spacing w:val="2"/>
                <w:sz w:val="24"/>
                <w:szCs w:val="24"/>
                <w:highlight w:val="none"/>
              </w:rPr>
              <w:t>二氧化硅，在近乎爆</w:t>
            </w:r>
            <w:r>
              <w:rPr>
                <w:rFonts w:hint="default"/>
                <w:color w:val="auto"/>
                <w:spacing w:val="3"/>
                <w:sz w:val="24"/>
                <w:szCs w:val="24"/>
                <w:highlight w:val="none"/>
              </w:rPr>
              <w:t>炸的化学反应快速发生的同时，会产生大量无害的氮气</w:t>
            </w:r>
            <w:r>
              <w:rPr>
                <w:rFonts w:hint="default"/>
                <w:color w:val="auto"/>
                <w:spacing w:val="2"/>
                <w:sz w:val="24"/>
                <w:szCs w:val="24"/>
                <w:highlight w:val="none"/>
              </w:rPr>
              <w:t>，将气囊充气至饱满的</w:t>
            </w:r>
            <w:r>
              <w:rPr>
                <w:rFonts w:hint="default"/>
                <w:color w:val="auto"/>
                <w:spacing w:val="3"/>
                <w:sz w:val="24"/>
                <w:szCs w:val="24"/>
                <w:highlight w:val="none"/>
              </w:rPr>
              <w:t>状态。同时在充气剂点燃的过程中，点火器总成中的金</w:t>
            </w:r>
            <w:r>
              <w:rPr>
                <w:rFonts w:hint="default"/>
                <w:color w:val="auto"/>
                <w:spacing w:val="2"/>
                <w:sz w:val="24"/>
                <w:szCs w:val="24"/>
                <w:highlight w:val="none"/>
              </w:rPr>
              <w:t>属网罩可冷却快速膨胀</w:t>
            </w:r>
            <w:r>
              <w:rPr>
                <w:rFonts w:hint="default"/>
                <w:color w:val="auto"/>
                <w:spacing w:val="3"/>
                <w:sz w:val="24"/>
                <w:szCs w:val="24"/>
                <w:highlight w:val="none"/>
              </w:rPr>
              <w:t>的气体，随即气囊可由设计好的小排气口排气，排出的</w:t>
            </w:r>
            <w:r>
              <w:rPr>
                <w:rFonts w:hint="default"/>
                <w:color w:val="auto"/>
                <w:spacing w:val="2"/>
                <w:sz w:val="24"/>
                <w:szCs w:val="24"/>
                <w:highlight w:val="none"/>
              </w:rPr>
              <w:t>气体主要成分为氮气和</w:t>
            </w:r>
            <w:r>
              <w:rPr>
                <w:rFonts w:hint="default"/>
                <w:color w:val="auto"/>
                <w:spacing w:val="3"/>
                <w:sz w:val="24"/>
                <w:szCs w:val="24"/>
                <w:highlight w:val="none"/>
              </w:rPr>
              <w:t>少量颗粒物，对空气环境影响较小。引爆后的安全气囊</w:t>
            </w:r>
            <w:r>
              <w:rPr>
                <w:rFonts w:hint="default"/>
                <w:color w:val="auto"/>
                <w:spacing w:val="2"/>
                <w:sz w:val="24"/>
                <w:szCs w:val="24"/>
                <w:highlight w:val="none"/>
              </w:rPr>
              <w:t>不再具有环境风险，引</w:t>
            </w:r>
            <w:r>
              <w:rPr>
                <w:rFonts w:hint="default"/>
                <w:color w:val="auto"/>
                <w:spacing w:val="-1"/>
                <w:sz w:val="24"/>
                <w:szCs w:val="24"/>
                <w:highlight w:val="none"/>
              </w:rPr>
              <w:t>爆后的气囊可作为一般尼龙材料外售。</w:t>
            </w:r>
          </w:p>
          <w:p w14:paraId="782EF64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pacing w:val="-1"/>
                <w:sz w:val="24"/>
                <w:szCs w:val="24"/>
                <w:highlight w:val="none"/>
              </w:rPr>
              <w:t>安全气囊引爆主要反应方程式如下：</w:t>
            </w:r>
          </w:p>
          <w:p w14:paraId="3069345E">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color w:val="auto"/>
                <w:sz w:val="24"/>
                <w:szCs w:val="24"/>
                <w:highlight w:val="none"/>
              </w:rPr>
            </w:pPr>
            <w:r>
              <w:rPr>
                <w:rFonts w:hint="default" w:ascii="Times New Roman" w:hAnsi="Times New Roman" w:eastAsia="Times New Roman" w:cs="Times New Roman"/>
                <w:color w:val="auto"/>
                <w:spacing w:val="-5"/>
                <w:sz w:val="24"/>
                <w:szCs w:val="24"/>
                <w:highlight w:val="none"/>
              </w:rPr>
              <w:t>2NaN</w:t>
            </w:r>
            <w:r>
              <w:rPr>
                <w:rFonts w:hint="default" w:ascii="Times New Roman" w:hAnsi="Times New Roman" w:eastAsia="Times New Roman" w:cs="Times New Roman"/>
                <w:color w:val="auto"/>
                <w:spacing w:val="-5"/>
                <w:position w:val="-1"/>
                <w:sz w:val="24"/>
                <w:szCs w:val="24"/>
                <w:highlight w:val="none"/>
                <w:vertAlign w:val="subscript"/>
              </w:rPr>
              <w:t>3</w:t>
            </w:r>
            <w:r>
              <w:rPr>
                <w:rFonts w:hint="default" w:ascii="Times New Roman" w:hAnsi="Times New Roman" w:eastAsia="Times New Roman" w:cs="Times New Roman"/>
                <w:color w:val="auto"/>
                <w:spacing w:val="-18"/>
                <w:position w:val="-1"/>
                <w:sz w:val="24"/>
                <w:szCs w:val="24"/>
                <w:highlight w:val="none"/>
              </w:rPr>
              <w:t xml:space="preserve"> </w:t>
            </w:r>
            <w:r>
              <w:rPr>
                <w:rFonts w:hint="default"/>
                <w:color w:val="auto"/>
                <w:spacing w:val="-5"/>
                <w:sz w:val="24"/>
                <w:szCs w:val="24"/>
                <w:highlight w:val="none"/>
              </w:rPr>
              <w:t>→</w:t>
            </w:r>
            <w:r>
              <w:rPr>
                <w:rFonts w:hint="default" w:ascii="Times New Roman" w:hAnsi="Times New Roman" w:eastAsia="Times New Roman" w:cs="Times New Roman"/>
                <w:color w:val="auto"/>
                <w:spacing w:val="-5"/>
                <w:sz w:val="24"/>
                <w:szCs w:val="24"/>
                <w:highlight w:val="none"/>
              </w:rPr>
              <w:t>2Na+3N</w:t>
            </w:r>
            <w:r>
              <w:rPr>
                <w:rFonts w:hint="default" w:ascii="Times New Roman" w:hAnsi="Times New Roman" w:eastAsia="Times New Roman" w:cs="Times New Roman"/>
                <w:color w:val="auto"/>
                <w:spacing w:val="-5"/>
                <w:position w:val="-1"/>
                <w:sz w:val="24"/>
                <w:szCs w:val="24"/>
                <w:highlight w:val="none"/>
                <w:vertAlign w:val="subscript"/>
              </w:rPr>
              <w:t>2</w:t>
            </w:r>
          </w:p>
          <w:p w14:paraId="2624E38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60" w:firstLineChars="200"/>
              <w:jc w:val="center"/>
              <w:textAlignment w:val="auto"/>
              <w:rPr>
                <w:rFonts w:hint="default" w:ascii="Times New Roman" w:hAnsi="Times New Roman" w:cs="Times New Roman"/>
                <w:color w:val="auto"/>
                <w:spacing w:val="1"/>
                <w:sz w:val="24"/>
                <w:szCs w:val="24"/>
                <w:highlight w:val="none"/>
              </w:rPr>
            </w:pPr>
            <w:r>
              <w:rPr>
                <w:rFonts w:hint="default" w:ascii="Times New Roman" w:hAnsi="Times New Roman" w:eastAsia="Times New Roman" w:cs="Times New Roman"/>
                <w:color w:val="auto"/>
                <w:spacing w:val="-5"/>
                <w:sz w:val="24"/>
                <w:szCs w:val="24"/>
                <w:highlight w:val="none"/>
              </w:rPr>
              <w:t>10Na+2KNO</w:t>
            </w:r>
            <w:r>
              <w:rPr>
                <w:rFonts w:hint="default" w:ascii="Times New Roman" w:hAnsi="Times New Roman" w:eastAsia="Times New Roman" w:cs="Times New Roman"/>
                <w:color w:val="auto"/>
                <w:spacing w:val="-5"/>
                <w:position w:val="-1"/>
                <w:sz w:val="24"/>
                <w:szCs w:val="24"/>
                <w:highlight w:val="none"/>
                <w:vertAlign w:val="subscript"/>
              </w:rPr>
              <w:t>3</w:t>
            </w:r>
            <w:r>
              <w:rPr>
                <w:rFonts w:hint="default" w:ascii="Times New Roman" w:hAnsi="Times New Roman" w:eastAsia="Times New Roman" w:cs="Times New Roman"/>
                <w:color w:val="auto"/>
                <w:spacing w:val="-5"/>
                <w:sz w:val="24"/>
                <w:szCs w:val="24"/>
                <w:highlight w:val="none"/>
              </w:rPr>
              <w:t>+6SiO</w:t>
            </w:r>
            <w:r>
              <w:rPr>
                <w:rFonts w:hint="default" w:ascii="Times New Roman" w:hAnsi="Times New Roman" w:eastAsia="Times New Roman" w:cs="Times New Roman"/>
                <w:color w:val="auto"/>
                <w:spacing w:val="-5"/>
                <w:position w:val="-1"/>
                <w:sz w:val="24"/>
                <w:szCs w:val="24"/>
                <w:highlight w:val="none"/>
                <w:vertAlign w:val="subscript"/>
              </w:rPr>
              <w:t>2</w:t>
            </w:r>
            <w:r>
              <w:rPr>
                <w:rFonts w:hint="default" w:ascii="Times New Roman" w:hAnsi="Times New Roman" w:eastAsia="Times New Roman" w:cs="Times New Roman"/>
                <w:color w:val="auto"/>
                <w:spacing w:val="-7"/>
                <w:position w:val="-1"/>
                <w:sz w:val="24"/>
                <w:szCs w:val="24"/>
                <w:highlight w:val="none"/>
                <w:vertAlign w:val="subscript"/>
              </w:rPr>
              <w:t xml:space="preserve"> </w:t>
            </w:r>
            <w:r>
              <w:rPr>
                <w:rFonts w:hint="default"/>
                <w:color w:val="auto"/>
                <w:spacing w:val="-5"/>
                <w:sz w:val="24"/>
                <w:szCs w:val="24"/>
                <w:highlight w:val="none"/>
              </w:rPr>
              <w:t>→</w:t>
            </w:r>
            <w:r>
              <w:rPr>
                <w:rFonts w:hint="default" w:ascii="Times New Roman" w:hAnsi="Times New Roman" w:eastAsia="Times New Roman" w:cs="Times New Roman"/>
                <w:color w:val="auto"/>
                <w:spacing w:val="-5"/>
                <w:sz w:val="24"/>
                <w:szCs w:val="24"/>
                <w:highlight w:val="none"/>
              </w:rPr>
              <w:t>5Na</w:t>
            </w:r>
            <w:r>
              <w:rPr>
                <w:rFonts w:hint="default" w:ascii="Times New Roman" w:hAnsi="Times New Roman" w:eastAsia="Times New Roman" w:cs="Times New Roman"/>
                <w:color w:val="auto"/>
                <w:spacing w:val="-5"/>
                <w:position w:val="-1"/>
                <w:sz w:val="24"/>
                <w:szCs w:val="24"/>
                <w:highlight w:val="none"/>
                <w:vertAlign w:val="subscript"/>
              </w:rPr>
              <w:t>2</w:t>
            </w:r>
            <w:r>
              <w:rPr>
                <w:rFonts w:hint="default" w:ascii="Times New Roman" w:hAnsi="Times New Roman" w:eastAsia="Times New Roman" w:cs="Times New Roman"/>
                <w:color w:val="auto"/>
                <w:spacing w:val="-5"/>
                <w:sz w:val="24"/>
                <w:szCs w:val="24"/>
                <w:highlight w:val="none"/>
              </w:rPr>
              <w:t>SiO</w:t>
            </w:r>
            <w:r>
              <w:rPr>
                <w:rFonts w:hint="default" w:ascii="Times New Roman" w:hAnsi="Times New Roman" w:eastAsia="Times New Roman" w:cs="Times New Roman"/>
                <w:color w:val="auto"/>
                <w:spacing w:val="-5"/>
                <w:position w:val="-1"/>
                <w:sz w:val="24"/>
                <w:szCs w:val="24"/>
                <w:highlight w:val="none"/>
                <w:vertAlign w:val="subscript"/>
              </w:rPr>
              <w:t>3</w:t>
            </w:r>
            <w:r>
              <w:rPr>
                <w:rFonts w:hint="default" w:ascii="Times New Roman" w:hAnsi="Times New Roman" w:eastAsia="Times New Roman" w:cs="Times New Roman"/>
                <w:color w:val="auto"/>
                <w:spacing w:val="-5"/>
                <w:sz w:val="24"/>
                <w:szCs w:val="24"/>
                <w:highlight w:val="none"/>
              </w:rPr>
              <w:t>+K</w:t>
            </w:r>
            <w:r>
              <w:rPr>
                <w:rFonts w:hint="default" w:ascii="Times New Roman" w:hAnsi="Times New Roman" w:eastAsia="Times New Roman" w:cs="Times New Roman"/>
                <w:color w:val="auto"/>
                <w:spacing w:val="-5"/>
                <w:position w:val="-1"/>
                <w:sz w:val="24"/>
                <w:szCs w:val="24"/>
                <w:highlight w:val="none"/>
                <w:vertAlign w:val="subscript"/>
              </w:rPr>
              <w:t>2</w:t>
            </w:r>
            <w:r>
              <w:rPr>
                <w:rFonts w:hint="default" w:ascii="Times New Roman" w:hAnsi="Times New Roman" w:eastAsia="Times New Roman" w:cs="Times New Roman"/>
                <w:color w:val="auto"/>
                <w:spacing w:val="-22"/>
                <w:position w:val="-1"/>
                <w:sz w:val="24"/>
                <w:szCs w:val="24"/>
                <w:highlight w:val="none"/>
              </w:rPr>
              <w:t xml:space="preserve"> </w:t>
            </w:r>
            <w:r>
              <w:rPr>
                <w:rFonts w:hint="default" w:ascii="Times New Roman" w:hAnsi="Times New Roman" w:eastAsia="Times New Roman" w:cs="Times New Roman"/>
                <w:color w:val="auto"/>
                <w:spacing w:val="-5"/>
                <w:sz w:val="24"/>
                <w:szCs w:val="24"/>
                <w:highlight w:val="none"/>
              </w:rPr>
              <w:t>SiO</w:t>
            </w:r>
            <w:r>
              <w:rPr>
                <w:rFonts w:hint="default" w:ascii="Times New Roman" w:hAnsi="Times New Roman" w:eastAsia="Times New Roman" w:cs="Times New Roman"/>
                <w:color w:val="auto"/>
                <w:spacing w:val="-5"/>
                <w:position w:val="-1"/>
                <w:sz w:val="24"/>
                <w:szCs w:val="24"/>
                <w:highlight w:val="none"/>
                <w:vertAlign w:val="subscript"/>
              </w:rPr>
              <w:t>3</w:t>
            </w:r>
            <w:r>
              <w:rPr>
                <w:rFonts w:hint="default" w:ascii="Times New Roman" w:hAnsi="Times New Roman" w:eastAsia="Times New Roman" w:cs="Times New Roman"/>
                <w:color w:val="auto"/>
                <w:spacing w:val="-5"/>
                <w:sz w:val="24"/>
                <w:szCs w:val="24"/>
                <w:highlight w:val="none"/>
              </w:rPr>
              <w:t>+N</w:t>
            </w:r>
            <w:r>
              <w:rPr>
                <w:rFonts w:hint="default" w:ascii="Times New Roman" w:hAnsi="Times New Roman" w:eastAsia="Times New Roman" w:cs="Times New Roman"/>
                <w:color w:val="auto"/>
                <w:spacing w:val="-5"/>
                <w:position w:val="-1"/>
                <w:sz w:val="24"/>
                <w:szCs w:val="24"/>
                <w:highlight w:val="none"/>
                <w:vertAlign w:val="subscript"/>
              </w:rPr>
              <w:t>2</w:t>
            </w:r>
          </w:p>
          <w:p w14:paraId="4BDEE01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9"/>
              <w:jc w:val="both"/>
              <w:textAlignment w:val="auto"/>
              <w:rPr>
                <w:rFonts w:hint="default"/>
                <w:color w:val="auto"/>
                <w:highlight w:val="none"/>
              </w:rPr>
            </w:pPr>
            <w:r>
              <w:rPr>
                <w:rFonts w:hint="default"/>
                <w:color w:val="auto"/>
                <w:spacing w:val="1"/>
                <w:highlight w:val="none"/>
              </w:rPr>
              <w:t>根据《报废机动车回收拆解企业技术规范》（</w:t>
            </w:r>
            <w:r>
              <w:rPr>
                <w:rFonts w:hint="default" w:ascii="Times New Roman" w:hAnsi="Times New Roman" w:eastAsia="Times New Roman" w:cs="Times New Roman"/>
                <w:color w:val="auto"/>
                <w:highlight w:val="none"/>
              </w:rPr>
              <w:t>GB</w:t>
            </w:r>
            <w:r>
              <w:rPr>
                <w:rFonts w:hint="default" w:ascii="Times New Roman" w:hAnsi="Times New Roman" w:eastAsia="Times New Roman" w:cs="Times New Roman"/>
                <w:color w:val="auto"/>
                <w:spacing w:val="1"/>
                <w:highlight w:val="none"/>
              </w:rPr>
              <w:t>22128-2008</w:t>
            </w:r>
            <w:r>
              <w:rPr>
                <w:rFonts w:hint="default"/>
                <w:color w:val="auto"/>
                <w:spacing w:val="1"/>
                <w:highlight w:val="none"/>
              </w:rPr>
              <w:t>）要求：报废</w:t>
            </w:r>
            <w:r>
              <w:rPr>
                <w:rFonts w:hint="default"/>
                <w:color w:val="auto"/>
                <w:spacing w:val="3"/>
                <w:highlight w:val="none"/>
              </w:rPr>
              <w:t>汽车拆解企业必须具备安全气囊直接引爆装置或者拆除</w:t>
            </w:r>
            <w:r>
              <w:rPr>
                <w:rFonts w:hint="default"/>
                <w:color w:val="auto"/>
                <w:spacing w:val="2"/>
                <w:highlight w:val="none"/>
              </w:rPr>
              <w:t>、存储、引爆装置。因</w:t>
            </w:r>
            <w:r>
              <w:rPr>
                <w:rFonts w:hint="default"/>
                <w:color w:val="auto"/>
                <w:spacing w:val="3"/>
                <w:highlight w:val="none"/>
              </w:rPr>
              <w:t>此，安全气囊引爆车间不需要另行选址，设置于拆解企</w:t>
            </w:r>
            <w:r>
              <w:rPr>
                <w:rFonts w:hint="default"/>
                <w:color w:val="auto"/>
                <w:spacing w:val="2"/>
                <w:highlight w:val="none"/>
              </w:rPr>
              <w:t>业内可行。本项目采用</w:t>
            </w:r>
            <w:r>
              <w:rPr>
                <w:rFonts w:hint="default"/>
                <w:color w:val="auto"/>
                <w:spacing w:val="3"/>
                <w:highlight w:val="none"/>
              </w:rPr>
              <w:t>箱式的专用设备进行气囊的引爆，从报废汽车上拆下的</w:t>
            </w:r>
            <w:r>
              <w:rPr>
                <w:rFonts w:hint="default"/>
                <w:color w:val="auto"/>
                <w:spacing w:val="2"/>
                <w:highlight w:val="none"/>
              </w:rPr>
              <w:t>气囊置于引爆容器内，</w:t>
            </w:r>
            <w:r>
              <w:rPr>
                <w:rFonts w:hint="default"/>
                <w:color w:val="auto"/>
                <w:spacing w:val="3"/>
                <w:highlight w:val="none"/>
              </w:rPr>
              <w:t>使用电子引爆器对气囊进行引爆，引爆容器为密闭装置</w:t>
            </w:r>
            <w:r>
              <w:rPr>
                <w:rFonts w:hint="default"/>
                <w:color w:val="auto"/>
                <w:spacing w:val="2"/>
                <w:highlight w:val="none"/>
              </w:rPr>
              <w:t>，可起到阻隔噪声的作</w:t>
            </w:r>
            <w:r>
              <w:rPr>
                <w:rFonts w:hint="default"/>
                <w:color w:val="auto"/>
                <w:spacing w:val="-1"/>
                <w:highlight w:val="none"/>
              </w:rPr>
              <w:t>用，且可有效保证车间内操作人员的安全。</w:t>
            </w:r>
          </w:p>
          <w:p w14:paraId="7C9D998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jc w:val="both"/>
              <w:textAlignment w:val="auto"/>
              <w:rPr>
                <w:rFonts w:hint="default"/>
                <w:color w:val="auto"/>
                <w:highlight w:val="none"/>
              </w:rPr>
            </w:pPr>
            <w:r>
              <w:rPr>
                <w:rFonts w:hint="default"/>
                <w:color w:val="auto"/>
                <w:spacing w:val="3"/>
                <w:highlight w:val="none"/>
              </w:rPr>
              <w:t>安全气囊引爆工艺说明：项目采用将安全气囊组件拆</w:t>
            </w:r>
            <w:r>
              <w:rPr>
                <w:rFonts w:hint="default"/>
                <w:color w:val="auto"/>
                <w:spacing w:val="2"/>
                <w:highlight w:val="none"/>
              </w:rPr>
              <w:t>除后再引爆的方式，典型的气囊系统包括两个组成部分：探测碰撞点火装置（或称传感器</w:t>
            </w:r>
            <w:r>
              <w:rPr>
                <w:rFonts w:hint="default"/>
                <w:color w:val="auto"/>
                <w:spacing w:val="12"/>
                <w:highlight w:val="none"/>
              </w:rPr>
              <w:t>），</w:t>
            </w:r>
            <w:r>
              <w:rPr>
                <w:rFonts w:hint="default"/>
                <w:color w:val="auto"/>
                <w:spacing w:val="2"/>
                <w:highlight w:val="none"/>
              </w:rPr>
              <w:t>气体</w:t>
            </w:r>
            <w:r>
              <w:rPr>
                <w:rFonts w:hint="default"/>
                <w:color w:val="auto"/>
                <w:spacing w:val="-1"/>
                <w:highlight w:val="none"/>
              </w:rPr>
              <w:t>发生器的气囊（或称气袋）。安全气囊的引爆过程如下图所示：</w:t>
            </w:r>
          </w:p>
          <w:p w14:paraId="1DF42B0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b/>
                <w:bCs/>
                <w:color w:val="auto"/>
                <w:spacing w:val="-4"/>
                <w:highlight w:val="none"/>
              </w:rPr>
            </w:pPr>
            <w:r>
              <w:rPr>
                <w:rFonts w:hint="default"/>
                <w:color w:val="auto"/>
                <w:highlight w:val="none"/>
              </w:rPr>
              <w:pict>
                <v:shape id="_x0000_i1030" o:spt="75" type="#_x0000_t75" style="height:141.75pt;width:238.75pt;" filled="f" o:preferrelative="t" stroked="f" coordsize="21600,21600" o:gfxdata="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">
                  <v:path/>
                  <v:fill on="f" focussize="0,0"/>
                  <v:stroke on="f"/>
                  <v:imagedata r:id="rId13" cropleft="246f" croptop="169f" cropright="237f" o:title=""/>
                  <o:lock v:ext="edit" aspectratio="t"/>
                  <w10:wrap type="none"/>
                  <w10:anchorlock/>
                </v:shape>
              </w:pict>
            </w:r>
          </w:p>
          <w:p w14:paraId="3F58ABC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default"/>
                <w:color w:val="auto"/>
                <w:sz w:val="21"/>
                <w:szCs w:val="21"/>
                <w:highlight w:val="none"/>
              </w:rPr>
            </w:pPr>
            <w:r>
              <w:rPr>
                <w:rFonts w:hint="default"/>
                <w:b/>
                <w:bCs/>
                <w:color w:val="auto"/>
                <w:spacing w:val="-4"/>
                <w:sz w:val="21"/>
                <w:szCs w:val="21"/>
                <w:highlight w:val="none"/>
              </w:rPr>
              <w:t>图</w:t>
            </w:r>
            <w:r>
              <w:rPr>
                <w:rFonts w:hint="eastAsia" w:cs="Times New Roman"/>
                <w:b/>
                <w:bCs/>
                <w:color w:val="auto"/>
                <w:spacing w:val="-4"/>
                <w:sz w:val="21"/>
                <w:szCs w:val="21"/>
                <w:highlight w:val="none"/>
                <w:lang w:val="en-US" w:eastAsia="zh-CN"/>
              </w:rPr>
              <w:t xml:space="preserve">4  </w:t>
            </w:r>
            <w:r>
              <w:rPr>
                <w:rFonts w:hint="default"/>
                <w:b/>
                <w:bCs/>
                <w:color w:val="auto"/>
                <w:spacing w:val="-4"/>
                <w:sz w:val="21"/>
                <w:szCs w:val="21"/>
                <w:highlight w:val="none"/>
              </w:rPr>
              <w:t>安全气囊引爆过程图</w:t>
            </w:r>
          </w:p>
          <w:p w14:paraId="23ACE998">
            <w:pPr>
              <w:pStyle w:val="73"/>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right="0" w:firstLine="479"/>
              <w:jc w:val="both"/>
              <w:textAlignment w:val="auto"/>
              <w:rPr>
                <w:rFonts w:hint="default"/>
                <w:b/>
                <w:bCs/>
                <w:color w:val="auto"/>
                <w:sz w:val="24"/>
                <w:szCs w:val="24"/>
                <w:highlight w:val="none"/>
              </w:rPr>
            </w:pPr>
            <w:r>
              <w:rPr>
                <w:rFonts w:hint="default"/>
                <w:b/>
                <w:bCs/>
                <w:color w:val="auto"/>
                <w:spacing w:val="-3"/>
                <w:sz w:val="24"/>
                <w:szCs w:val="24"/>
                <w:highlight w:val="none"/>
              </w:rPr>
              <w:t>产污环节：此工序产生废安全气囊</w:t>
            </w:r>
            <w:r>
              <w:rPr>
                <w:rFonts w:hint="default"/>
                <w:b/>
                <w:bCs/>
                <w:color w:val="auto"/>
                <w:spacing w:val="-16"/>
                <w:sz w:val="24"/>
                <w:szCs w:val="24"/>
                <w:highlight w:val="none"/>
              </w:rPr>
              <w:t>，</w:t>
            </w:r>
            <w:r>
              <w:rPr>
                <w:rFonts w:hint="default"/>
                <w:b/>
                <w:bCs/>
                <w:color w:val="auto"/>
                <w:spacing w:val="-3"/>
                <w:sz w:val="24"/>
                <w:szCs w:val="24"/>
                <w:highlight w:val="none"/>
              </w:rPr>
              <w:t>引爆后的安全气囊不</w:t>
            </w:r>
            <w:r>
              <w:rPr>
                <w:rFonts w:hint="default"/>
                <w:b/>
                <w:bCs/>
                <w:color w:val="auto"/>
                <w:spacing w:val="-4"/>
                <w:sz w:val="24"/>
                <w:szCs w:val="24"/>
                <w:highlight w:val="none"/>
              </w:rPr>
              <w:t>再具有危</w:t>
            </w:r>
            <w:r>
              <w:rPr>
                <w:rFonts w:hint="default"/>
                <w:b/>
                <w:bCs/>
                <w:color w:val="auto"/>
                <w:spacing w:val="3"/>
                <w:sz w:val="24"/>
                <w:szCs w:val="24"/>
                <w:highlight w:val="none"/>
              </w:rPr>
              <w:t>险性，暂存于一般固废暂存</w:t>
            </w:r>
            <w:r>
              <w:rPr>
                <w:rFonts w:hint="eastAsia"/>
                <w:b/>
                <w:bCs/>
                <w:color w:val="auto"/>
                <w:spacing w:val="3"/>
                <w:sz w:val="24"/>
                <w:szCs w:val="24"/>
                <w:highlight w:val="none"/>
                <w:lang w:val="en-US" w:eastAsia="zh-CN"/>
              </w:rPr>
              <w:t>库</w:t>
            </w:r>
            <w:r>
              <w:rPr>
                <w:rFonts w:hint="default"/>
                <w:b/>
                <w:bCs/>
                <w:color w:val="auto"/>
                <w:spacing w:val="3"/>
                <w:sz w:val="24"/>
                <w:szCs w:val="24"/>
                <w:highlight w:val="none"/>
              </w:rPr>
              <w:t>，定期交由具有相应处理</w:t>
            </w:r>
            <w:r>
              <w:rPr>
                <w:rFonts w:hint="default"/>
                <w:b/>
                <w:bCs/>
                <w:color w:val="auto"/>
                <w:spacing w:val="2"/>
                <w:sz w:val="24"/>
                <w:szCs w:val="24"/>
                <w:highlight w:val="none"/>
              </w:rPr>
              <w:t>能力或经营范围的单位</w:t>
            </w:r>
            <w:r>
              <w:rPr>
                <w:rFonts w:hint="default"/>
                <w:b/>
                <w:bCs/>
                <w:color w:val="auto"/>
                <w:spacing w:val="-2"/>
                <w:sz w:val="24"/>
                <w:szCs w:val="24"/>
                <w:highlight w:val="none"/>
              </w:rPr>
              <w:t>利用和处置。引爆安全气囊会产生少量的</w:t>
            </w:r>
            <w:r>
              <w:rPr>
                <w:rFonts w:hint="eastAsia"/>
                <w:b/>
                <w:bCs/>
                <w:color w:val="auto"/>
                <w:spacing w:val="-2"/>
                <w:sz w:val="24"/>
                <w:szCs w:val="24"/>
                <w:highlight w:val="none"/>
                <w:lang w:val="en-US" w:eastAsia="zh-CN"/>
              </w:rPr>
              <w:t>氮气</w:t>
            </w:r>
            <w:r>
              <w:rPr>
                <w:rFonts w:hint="default"/>
                <w:b/>
                <w:bCs/>
                <w:color w:val="auto"/>
                <w:spacing w:val="-2"/>
                <w:sz w:val="24"/>
                <w:szCs w:val="24"/>
                <w:highlight w:val="none"/>
              </w:rPr>
              <w:t>和噪声</w:t>
            </w:r>
            <w:r>
              <w:rPr>
                <w:rFonts w:hint="default"/>
                <w:b/>
                <w:bCs/>
                <w:color w:val="auto"/>
                <w:spacing w:val="-9"/>
                <w:sz w:val="24"/>
                <w:szCs w:val="24"/>
                <w:highlight w:val="none"/>
              </w:rPr>
              <w:t>，</w:t>
            </w:r>
            <w:r>
              <w:rPr>
                <w:rFonts w:hint="default"/>
                <w:b/>
                <w:bCs/>
                <w:color w:val="auto"/>
                <w:spacing w:val="-3"/>
                <w:sz w:val="24"/>
                <w:szCs w:val="24"/>
                <w:highlight w:val="none"/>
              </w:rPr>
              <w:t>在室内引</w:t>
            </w:r>
            <w:r>
              <w:rPr>
                <w:rFonts w:hint="default"/>
                <w:b/>
                <w:bCs/>
                <w:color w:val="auto"/>
                <w:spacing w:val="-1"/>
                <w:sz w:val="24"/>
                <w:szCs w:val="24"/>
                <w:highlight w:val="none"/>
              </w:rPr>
              <w:t>爆，对周围环境影响较小。</w:t>
            </w:r>
          </w:p>
          <w:p w14:paraId="5ABD93C1">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3</w:t>
            </w:r>
            <w:r>
              <w:rPr>
                <w:rFonts w:hint="default"/>
                <w:color w:val="auto"/>
                <w:spacing w:val="-2"/>
                <w:sz w:val="24"/>
                <w:szCs w:val="24"/>
                <w:highlight w:val="none"/>
              </w:rPr>
              <w:t>）排出机动车内残留各种废液</w:t>
            </w:r>
          </w:p>
          <w:p w14:paraId="06BCF23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92" w:firstLineChars="200"/>
              <w:jc w:val="left"/>
              <w:textAlignment w:val="auto"/>
              <w:rPr>
                <w:rFonts w:hint="default" w:ascii="Times New Roman" w:hAnsi="Times New Roman" w:cs="Times New Roman"/>
                <w:b/>
                <w:bCs/>
                <w:color w:val="auto"/>
                <w:spacing w:val="1"/>
                <w:sz w:val="24"/>
                <w:szCs w:val="24"/>
                <w:highlight w:val="none"/>
              </w:rPr>
            </w:pPr>
            <w:r>
              <w:rPr>
                <w:rFonts w:hint="default"/>
                <w:color w:val="auto"/>
                <w:spacing w:val="3"/>
                <w:sz w:val="24"/>
                <w:szCs w:val="24"/>
                <w:highlight w:val="none"/>
              </w:rPr>
              <w:t>使用真空抽油机分别抽取车内的汽油、柴油、发动机油、变速</w:t>
            </w:r>
            <w:r>
              <w:rPr>
                <w:rFonts w:hint="default"/>
                <w:color w:val="auto"/>
                <w:spacing w:val="2"/>
                <w:sz w:val="24"/>
                <w:szCs w:val="24"/>
                <w:highlight w:val="none"/>
              </w:rPr>
              <w:t>器油、离合</w:t>
            </w:r>
            <w:r>
              <w:rPr>
                <w:rFonts w:hint="default"/>
                <w:color w:val="auto"/>
                <w:spacing w:val="3"/>
                <w:sz w:val="24"/>
                <w:szCs w:val="24"/>
                <w:highlight w:val="none"/>
              </w:rPr>
              <w:t>器油、差速器油、制动器油、动力转向油、冷却液、防</w:t>
            </w:r>
            <w:r>
              <w:rPr>
                <w:rFonts w:hint="default"/>
                <w:color w:val="auto"/>
                <w:spacing w:val="2"/>
                <w:sz w:val="24"/>
                <w:szCs w:val="24"/>
                <w:highlight w:val="none"/>
              </w:rPr>
              <w:t>冻液、挡风玻璃洗涤液</w:t>
            </w:r>
            <w:r>
              <w:rPr>
                <w:rFonts w:hint="default"/>
                <w:color w:val="auto"/>
                <w:spacing w:val="-5"/>
                <w:sz w:val="24"/>
                <w:szCs w:val="24"/>
                <w:highlight w:val="none"/>
              </w:rPr>
              <w:t>等。</w:t>
            </w:r>
          </w:p>
          <w:p w14:paraId="44FF748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both"/>
              <w:textAlignment w:val="auto"/>
              <w:rPr>
                <w:rFonts w:hint="default"/>
                <w:color w:val="auto"/>
                <w:sz w:val="24"/>
                <w:szCs w:val="24"/>
                <w:highlight w:val="none"/>
              </w:rPr>
            </w:pPr>
            <w:r>
              <w:rPr>
                <w:rFonts w:hint="default"/>
                <w:b/>
                <w:bCs/>
                <w:color w:val="auto"/>
                <w:spacing w:val="1"/>
                <w:sz w:val="24"/>
                <w:szCs w:val="24"/>
                <w:highlight w:val="none"/>
              </w:rPr>
              <w:t>产污环节：排出机动车内残留各种废液过程产生有机废气经集</w:t>
            </w:r>
            <w:r>
              <w:rPr>
                <w:rFonts w:hint="default"/>
                <w:b/>
                <w:bCs/>
                <w:color w:val="auto"/>
                <w:spacing w:val="4"/>
                <w:sz w:val="24"/>
                <w:szCs w:val="24"/>
                <w:highlight w:val="none"/>
              </w:rPr>
              <w:t>气罩收集后，经二级活性炭吸附处理后，</w:t>
            </w:r>
            <w:r>
              <w:rPr>
                <w:rFonts w:hint="default"/>
                <w:b/>
                <w:bCs/>
                <w:color w:val="auto"/>
                <w:spacing w:val="-70"/>
                <w:sz w:val="24"/>
                <w:szCs w:val="24"/>
                <w:highlight w:val="none"/>
              </w:rPr>
              <w:t xml:space="preserve"> </w:t>
            </w:r>
            <w:r>
              <w:rPr>
                <w:rFonts w:hint="default"/>
                <w:b/>
                <w:bCs/>
                <w:color w:val="auto"/>
                <w:spacing w:val="4"/>
                <w:sz w:val="24"/>
                <w:szCs w:val="24"/>
                <w:highlight w:val="none"/>
              </w:rPr>
              <w:t>由</w:t>
            </w:r>
            <w:r>
              <w:rPr>
                <w:rFonts w:hint="default" w:ascii="Times New Roman" w:hAnsi="Times New Roman" w:eastAsia="Times New Roman" w:cs="Times New Roman"/>
                <w:b/>
                <w:bCs/>
                <w:color w:val="auto"/>
                <w:spacing w:val="4"/>
                <w:sz w:val="24"/>
                <w:szCs w:val="24"/>
                <w:highlight w:val="none"/>
              </w:rPr>
              <w:t>1</w:t>
            </w:r>
            <w:r>
              <w:rPr>
                <w:rFonts w:hint="default"/>
                <w:b/>
                <w:bCs/>
                <w:color w:val="auto"/>
                <w:spacing w:val="3"/>
                <w:sz w:val="24"/>
                <w:szCs w:val="24"/>
                <w:highlight w:val="none"/>
              </w:rPr>
              <w:t>根</w:t>
            </w:r>
            <w:r>
              <w:rPr>
                <w:rFonts w:hint="eastAsia" w:eastAsia="宋体" w:cs="Times New Roman"/>
                <w:b/>
                <w:bCs/>
                <w:color w:val="auto"/>
                <w:spacing w:val="3"/>
                <w:sz w:val="24"/>
                <w:szCs w:val="24"/>
                <w:highlight w:val="none"/>
                <w:lang w:val="en-US" w:eastAsia="zh-CN"/>
              </w:rPr>
              <w:t>2</w:t>
            </w:r>
            <w:r>
              <w:rPr>
                <w:rFonts w:hint="eastAsia" w:cs="Times New Roman"/>
                <w:b/>
                <w:bCs/>
                <w:color w:val="auto"/>
                <w:spacing w:val="3"/>
                <w:sz w:val="24"/>
                <w:szCs w:val="24"/>
                <w:highlight w:val="none"/>
                <w:lang w:val="en-US" w:eastAsia="zh-CN"/>
              </w:rPr>
              <w:t>4</w:t>
            </w:r>
            <w:r>
              <w:rPr>
                <w:rFonts w:hint="eastAsia" w:eastAsia="宋体" w:cs="Times New Roman"/>
                <w:b/>
                <w:bCs/>
                <w:color w:val="auto"/>
                <w:spacing w:val="3"/>
                <w:sz w:val="24"/>
                <w:szCs w:val="24"/>
                <w:highlight w:val="none"/>
                <w:lang w:val="en-US" w:eastAsia="zh-CN"/>
              </w:rPr>
              <w:t>m</w:t>
            </w:r>
            <w:r>
              <w:rPr>
                <w:rFonts w:hint="default"/>
                <w:b/>
                <w:bCs/>
                <w:color w:val="auto"/>
                <w:spacing w:val="3"/>
                <w:sz w:val="24"/>
                <w:szCs w:val="24"/>
                <w:highlight w:val="none"/>
              </w:rPr>
              <w:t>高排气筒</w:t>
            </w:r>
            <w:r>
              <w:rPr>
                <w:rFonts w:hint="default" w:ascii="Times New Roman" w:hAnsi="Times New Roman" w:eastAsia="Times New Roman" w:cs="Times New Roman"/>
                <w:b/>
                <w:bCs/>
                <w:color w:val="auto"/>
                <w:spacing w:val="-2"/>
                <w:sz w:val="24"/>
                <w:szCs w:val="24"/>
                <w:highlight w:val="none"/>
              </w:rPr>
              <w:t>DA001</w:t>
            </w:r>
            <w:r>
              <w:rPr>
                <w:rFonts w:hint="default"/>
                <w:b/>
                <w:bCs/>
                <w:color w:val="auto"/>
                <w:spacing w:val="-2"/>
                <w:sz w:val="24"/>
                <w:szCs w:val="24"/>
                <w:highlight w:val="none"/>
              </w:rPr>
              <w:t>有组织排放；</w:t>
            </w:r>
            <w:r>
              <w:rPr>
                <w:rFonts w:hint="eastAsia"/>
                <w:b/>
                <w:bCs/>
                <w:color w:val="auto"/>
                <w:spacing w:val="-2"/>
                <w:sz w:val="24"/>
                <w:szCs w:val="24"/>
                <w:highlight w:val="none"/>
                <w:lang w:eastAsia="zh-CN"/>
              </w:rPr>
              <w:t>排出</w:t>
            </w:r>
            <w:r>
              <w:rPr>
                <w:rFonts w:hint="default"/>
                <w:b/>
                <w:bCs/>
                <w:color w:val="auto"/>
                <w:spacing w:val="-2"/>
                <w:sz w:val="24"/>
                <w:szCs w:val="24"/>
                <w:highlight w:val="none"/>
              </w:rPr>
              <w:t>的废油液、废有机溶剂、废尾气</w:t>
            </w:r>
            <w:r>
              <w:rPr>
                <w:rFonts w:hint="default"/>
                <w:b/>
                <w:bCs/>
                <w:color w:val="auto"/>
                <w:spacing w:val="-3"/>
                <w:sz w:val="24"/>
                <w:szCs w:val="24"/>
                <w:highlight w:val="none"/>
              </w:rPr>
              <w:t>催化剂等均属于危险废物，分类收集后，暂存于</w:t>
            </w:r>
            <w:r>
              <w:rPr>
                <w:rFonts w:hint="default"/>
                <w:b/>
                <w:bCs/>
                <w:color w:val="auto"/>
                <w:spacing w:val="-4"/>
                <w:sz w:val="24"/>
                <w:szCs w:val="24"/>
                <w:highlight w:val="none"/>
              </w:rPr>
              <w:t>危废贮存库内，定期交</w:t>
            </w:r>
            <w:r>
              <w:rPr>
                <w:rFonts w:hint="default"/>
                <w:b/>
                <w:bCs/>
                <w:color w:val="auto"/>
                <w:spacing w:val="-1"/>
                <w:sz w:val="24"/>
                <w:szCs w:val="24"/>
                <w:highlight w:val="none"/>
              </w:rPr>
              <w:t>由有资质单位安全处置。</w:t>
            </w:r>
          </w:p>
          <w:p w14:paraId="744C7DC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4</w:t>
            </w:r>
            <w:r>
              <w:rPr>
                <w:rFonts w:hint="default"/>
                <w:color w:val="auto"/>
                <w:spacing w:val="-2"/>
                <w:sz w:val="24"/>
                <w:szCs w:val="24"/>
                <w:highlight w:val="none"/>
              </w:rPr>
              <w:t>）拆除油箱、液化气罐</w:t>
            </w:r>
          </w:p>
          <w:p w14:paraId="45D9C180">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5"/>
              <w:jc w:val="left"/>
              <w:textAlignment w:val="auto"/>
              <w:rPr>
                <w:rFonts w:hint="default"/>
                <w:color w:val="auto"/>
                <w:sz w:val="24"/>
                <w:szCs w:val="24"/>
                <w:highlight w:val="none"/>
              </w:rPr>
            </w:pPr>
            <w:r>
              <w:rPr>
                <w:rFonts w:hint="default"/>
                <w:color w:val="auto"/>
                <w:spacing w:val="3"/>
                <w:sz w:val="24"/>
                <w:szCs w:val="24"/>
                <w:highlight w:val="none"/>
              </w:rPr>
              <w:t>使用工具拆除燃油油箱、液化气罐、机油滤清器等。拆除油箱</w:t>
            </w:r>
            <w:r>
              <w:rPr>
                <w:rFonts w:hint="default"/>
                <w:color w:val="auto"/>
                <w:spacing w:val="2"/>
                <w:sz w:val="24"/>
                <w:szCs w:val="24"/>
                <w:highlight w:val="none"/>
              </w:rPr>
              <w:t>主要针对传统燃油报废机动车，抽取废液后再拆除油箱。对于燃气汽车，使用专用工具拆</w:t>
            </w:r>
            <w:r>
              <w:rPr>
                <w:rFonts w:hint="default"/>
                <w:color w:val="auto"/>
                <w:spacing w:val="-1"/>
                <w:sz w:val="24"/>
                <w:szCs w:val="24"/>
                <w:highlight w:val="none"/>
              </w:rPr>
              <w:t>除液化气罐（仅拆除，不再进行拆解）。</w:t>
            </w:r>
          </w:p>
          <w:p w14:paraId="6343106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b/>
                <w:bCs/>
                <w:color w:val="auto"/>
                <w:spacing w:val="2"/>
                <w:sz w:val="24"/>
                <w:szCs w:val="24"/>
                <w:highlight w:val="none"/>
              </w:rPr>
            </w:pPr>
            <w:r>
              <w:rPr>
                <w:rFonts w:hint="default"/>
                <w:b/>
                <w:bCs/>
                <w:color w:val="auto"/>
                <w:spacing w:val="-3"/>
                <w:sz w:val="24"/>
                <w:szCs w:val="24"/>
                <w:highlight w:val="none"/>
              </w:rPr>
              <w:t>产污环节：拆解后的废油箱</w:t>
            </w:r>
            <w:r>
              <w:rPr>
                <w:rFonts w:hint="eastAsia"/>
                <w:b/>
                <w:bCs/>
                <w:color w:val="auto"/>
                <w:spacing w:val="-3"/>
                <w:sz w:val="24"/>
                <w:szCs w:val="24"/>
                <w:highlight w:val="none"/>
                <w:lang w:val="en-US" w:eastAsia="zh-CN"/>
              </w:rPr>
              <w:t>、废</w:t>
            </w:r>
            <w:r>
              <w:rPr>
                <w:rFonts w:hint="default"/>
                <w:b/>
                <w:bCs/>
                <w:color w:val="auto"/>
                <w:spacing w:val="3"/>
                <w:sz w:val="24"/>
                <w:szCs w:val="24"/>
                <w:highlight w:val="none"/>
              </w:rPr>
              <w:t>机油滤清器</w:t>
            </w:r>
            <w:r>
              <w:rPr>
                <w:rFonts w:hint="default"/>
                <w:b/>
                <w:bCs/>
                <w:color w:val="auto"/>
                <w:spacing w:val="-3"/>
                <w:sz w:val="24"/>
                <w:szCs w:val="24"/>
                <w:highlight w:val="none"/>
              </w:rPr>
              <w:t>属于危险废</w:t>
            </w:r>
            <w:r>
              <w:rPr>
                <w:rFonts w:hint="default"/>
                <w:b/>
                <w:bCs/>
                <w:color w:val="auto"/>
                <w:spacing w:val="3"/>
                <w:sz w:val="24"/>
                <w:szCs w:val="24"/>
                <w:highlight w:val="none"/>
              </w:rPr>
              <w:t>物，分类收集后，暂存于危废贮存库内，定期交由</w:t>
            </w:r>
            <w:r>
              <w:rPr>
                <w:rFonts w:hint="default"/>
                <w:b/>
                <w:bCs/>
                <w:color w:val="auto"/>
                <w:spacing w:val="2"/>
                <w:sz w:val="24"/>
                <w:szCs w:val="24"/>
                <w:highlight w:val="none"/>
              </w:rPr>
              <w:t>有资质单位安全处置。</w:t>
            </w:r>
          </w:p>
          <w:p w14:paraId="151EC3F2">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eastAsia="宋体"/>
                <w:color w:val="auto"/>
                <w:spacing w:val="2"/>
                <w:sz w:val="24"/>
                <w:szCs w:val="24"/>
                <w:highlight w:val="none"/>
                <w:lang w:val="en-US" w:eastAsia="zh-CN"/>
              </w:rPr>
            </w:pPr>
            <w:r>
              <w:rPr>
                <w:rFonts w:hint="eastAsia"/>
                <w:b/>
                <w:bCs/>
                <w:color w:val="auto"/>
                <w:spacing w:val="2"/>
                <w:sz w:val="24"/>
                <w:szCs w:val="24"/>
                <w:highlight w:val="none"/>
                <w:lang w:val="en-US" w:eastAsia="zh-CN"/>
              </w:rPr>
              <w:t>拆除过程产生的设备噪声</w:t>
            </w:r>
            <w:r>
              <w:rPr>
                <w:rFonts w:hint="eastAsia" w:ascii="Times New Roman" w:hAnsi="Times New Roman"/>
                <w:b/>
                <w:bCs/>
                <w:color w:val="auto"/>
                <w:spacing w:val="-3"/>
                <w:sz w:val="24"/>
                <w:szCs w:val="24"/>
                <w:lang w:val="en-US" w:eastAsia="zh-CN"/>
              </w:rPr>
              <w:t>采取厂房隔声降噪等措施降低噪声排放。</w:t>
            </w:r>
          </w:p>
          <w:p w14:paraId="693F2FCB">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5</w:t>
            </w:r>
            <w:r>
              <w:rPr>
                <w:rFonts w:hint="default"/>
                <w:color w:val="auto"/>
                <w:spacing w:val="-3"/>
                <w:sz w:val="24"/>
                <w:szCs w:val="24"/>
                <w:highlight w:val="none"/>
              </w:rPr>
              <w:t>）拆除催化系统</w:t>
            </w:r>
          </w:p>
          <w:p w14:paraId="5559A251">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z w:val="24"/>
                <w:szCs w:val="24"/>
                <w:highlight w:val="none"/>
              </w:rPr>
            </w:pPr>
            <w:r>
              <w:rPr>
                <w:rFonts w:hint="default"/>
                <w:color w:val="auto"/>
                <w:spacing w:val="3"/>
                <w:sz w:val="24"/>
                <w:szCs w:val="24"/>
                <w:highlight w:val="none"/>
              </w:rPr>
              <w:t>拆除各种催化转化器、选择性催化还原装置、柴油颗粒物捕集器</w:t>
            </w:r>
            <w:r>
              <w:rPr>
                <w:rFonts w:hint="default"/>
                <w:color w:val="auto"/>
                <w:spacing w:val="2"/>
                <w:sz w:val="24"/>
                <w:szCs w:val="24"/>
                <w:highlight w:val="none"/>
              </w:rPr>
              <w:t>、三元催</w:t>
            </w:r>
            <w:r>
              <w:rPr>
                <w:rFonts w:hint="default"/>
                <w:color w:val="auto"/>
                <w:spacing w:val="3"/>
                <w:sz w:val="24"/>
                <w:szCs w:val="24"/>
                <w:highlight w:val="none"/>
              </w:rPr>
              <w:t>化器等，此步骤为各部件直接整体拆解，分类分区存</w:t>
            </w:r>
            <w:r>
              <w:rPr>
                <w:rFonts w:hint="default"/>
                <w:color w:val="auto"/>
                <w:spacing w:val="2"/>
                <w:sz w:val="24"/>
                <w:szCs w:val="24"/>
                <w:highlight w:val="none"/>
              </w:rPr>
              <w:t>放在危废贮存库内，整体</w:t>
            </w:r>
            <w:r>
              <w:rPr>
                <w:rFonts w:hint="default"/>
                <w:color w:val="auto"/>
                <w:spacing w:val="-1"/>
                <w:sz w:val="24"/>
                <w:szCs w:val="24"/>
                <w:highlight w:val="none"/>
              </w:rPr>
              <w:t>交有资质单位进行处理处置，本企业不进行进一步精细拆解。</w:t>
            </w:r>
          </w:p>
          <w:p w14:paraId="596926AD">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b w:val="0"/>
                <w:bCs w:val="0"/>
                <w:color w:val="auto"/>
                <w:spacing w:val="2"/>
                <w:sz w:val="24"/>
                <w:szCs w:val="24"/>
                <w:highlight w:val="none"/>
              </w:rPr>
            </w:pPr>
            <w:r>
              <w:rPr>
                <w:rFonts w:hint="default"/>
                <w:b/>
                <w:bCs/>
                <w:color w:val="auto"/>
                <w:spacing w:val="-4"/>
                <w:sz w:val="24"/>
                <w:szCs w:val="24"/>
                <w:highlight w:val="none"/>
              </w:rPr>
              <w:t>产污环节：</w:t>
            </w:r>
            <w:r>
              <w:rPr>
                <w:rFonts w:hint="eastAsia"/>
                <w:b w:val="0"/>
                <w:bCs w:val="0"/>
                <w:color w:val="auto"/>
                <w:spacing w:val="-4"/>
                <w:sz w:val="24"/>
                <w:szCs w:val="24"/>
                <w:highlight w:val="none"/>
                <w:lang w:val="en-US" w:eastAsia="zh-CN"/>
              </w:rPr>
              <w:t>废尾气催化剂</w:t>
            </w:r>
            <w:r>
              <w:rPr>
                <w:rFonts w:hint="default"/>
                <w:b w:val="0"/>
                <w:bCs w:val="0"/>
                <w:color w:val="auto"/>
                <w:spacing w:val="-4"/>
                <w:sz w:val="24"/>
                <w:szCs w:val="24"/>
                <w:highlight w:val="none"/>
              </w:rPr>
              <w:t>属于危险废物，分类收集</w:t>
            </w:r>
            <w:r>
              <w:rPr>
                <w:rFonts w:hint="default"/>
                <w:b w:val="0"/>
                <w:bCs w:val="0"/>
                <w:color w:val="auto"/>
                <w:spacing w:val="3"/>
                <w:sz w:val="24"/>
                <w:szCs w:val="24"/>
                <w:highlight w:val="none"/>
              </w:rPr>
              <w:t>后，暂存于危废贮存库内，定期交由有资质单位安</w:t>
            </w:r>
            <w:r>
              <w:rPr>
                <w:rFonts w:hint="default"/>
                <w:b w:val="0"/>
                <w:bCs w:val="0"/>
                <w:color w:val="auto"/>
                <w:spacing w:val="2"/>
                <w:sz w:val="24"/>
                <w:szCs w:val="24"/>
                <w:highlight w:val="none"/>
              </w:rPr>
              <w:t>全处置。</w:t>
            </w:r>
          </w:p>
          <w:p w14:paraId="210DD7C2">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pacing w:val="2"/>
                <w:sz w:val="24"/>
                <w:szCs w:val="24"/>
                <w:highlight w:val="none"/>
              </w:rPr>
            </w:pPr>
            <w:r>
              <w:rPr>
                <w:rFonts w:hint="eastAsia"/>
                <w:color w:val="auto"/>
                <w:spacing w:val="2"/>
                <w:sz w:val="24"/>
                <w:szCs w:val="24"/>
                <w:highlight w:val="none"/>
                <w:lang w:val="en-US" w:eastAsia="zh-CN"/>
              </w:rPr>
              <w:t>拆除过程产生的设备噪声</w:t>
            </w:r>
            <w:r>
              <w:rPr>
                <w:rFonts w:hint="eastAsia" w:ascii="Times New Roman" w:hAnsi="Times New Roman"/>
                <w:color w:val="auto"/>
                <w:spacing w:val="-3"/>
                <w:sz w:val="24"/>
                <w:szCs w:val="24"/>
                <w:lang w:val="en-US" w:eastAsia="zh-CN"/>
              </w:rPr>
              <w:t>采取厂房隔声降噪等措施降低噪声排放。</w:t>
            </w:r>
          </w:p>
          <w:p w14:paraId="59CEB392">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2"/>
                <w:sz w:val="24"/>
                <w:szCs w:val="24"/>
                <w:highlight w:val="none"/>
              </w:rPr>
              <w:t>6</w:t>
            </w:r>
            <w:r>
              <w:rPr>
                <w:rFonts w:hint="default"/>
                <w:color w:val="auto"/>
                <w:spacing w:val="-2"/>
                <w:sz w:val="24"/>
                <w:szCs w:val="24"/>
                <w:highlight w:val="none"/>
              </w:rPr>
              <w:t>）拆除空调器，收集汽车空气制冷剂</w:t>
            </w:r>
          </w:p>
          <w:p w14:paraId="0CF85EC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92" w:firstLineChars="200"/>
              <w:jc w:val="left"/>
              <w:textAlignment w:val="auto"/>
              <w:rPr>
                <w:rFonts w:hint="default"/>
                <w:color w:val="auto"/>
                <w:spacing w:val="-1"/>
                <w:sz w:val="24"/>
                <w:szCs w:val="24"/>
                <w:highlight w:val="none"/>
              </w:rPr>
            </w:pPr>
            <w:r>
              <w:rPr>
                <w:rFonts w:hint="eastAsia"/>
                <w:color w:val="auto"/>
                <w:spacing w:val="3"/>
                <w:sz w:val="24"/>
                <w:szCs w:val="24"/>
                <w:highlight w:val="none"/>
                <w:lang w:val="en-US" w:eastAsia="zh-CN"/>
              </w:rPr>
              <w:t>本项目涉及《</w:t>
            </w:r>
            <w:r>
              <w:rPr>
                <w:rFonts w:hint="eastAsia" w:ascii="Times New Roman" w:hAnsi="Times New Roman" w:eastAsia="宋体" w:cs="Times New Roman"/>
                <w:color w:val="auto"/>
                <w:sz w:val="24"/>
                <w:szCs w:val="24"/>
                <w:vertAlign w:val="baseline"/>
                <w:lang w:val="en-US" w:eastAsia="zh-CN"/>
              </w:rPr>
              <w:t>中国受控消耗臭氧层物质清单》</w:t>
            </w:r>
            <w:r>
              <w:rPr>
                <w:rFonts w:hint="eastAsia" w:eastAsia="宋体" w:cs="Times New Roman"/>
                <w:color w:val="auto"/>
                <w:sz w:val="24"/>
                <w:szCs w:val="24"/>
                <w:vertAlign w:val="baseline"/>
                <w:lang w:val="en-US" w:eastAsia="zh-CN"/>
              </w:rPr>
              <w:t>中的制冷剂为R134a，</w:t>
            </w:r>
            <w:r>
              <w:rPr>
                <w:rFonts w:hint="default"/>
                <w:color w:val="auto"/>
                <w:spacing w:val="3"/>
                <w:sz w:val="24"/>
                <w:szCs w:val="24"/>
                <w:highlight w:val="none"/>
              </w:rPr>
              <w:t>项目采用专门的冷媒回收机对制冷剂进行回收，回收时</w:t>
            </w:r>
            <w:r>
              <w:rPr>
                <w:rFonts w:hint="default"/>
                <w:color w:val="auto"/>
                <w:spacing w:val="2"/>
                <w:sz w:val="24"/>
                <w:szCs w:val="24"/>
                <w:highlight w:val="none"/>
              </w:rPr>
              <w:t>将回收罐连接在回</w:t>
            </w:r>
            <w:r>
              <w:rPr>
                <w:rFonts w:hint="default"/>
                <w:color w:val="auto"/>
                <w:spacing w:val="3"/>
                <w:sz w:val="24"/>
                <w:szCs w:val="24"/>
                <w:highlight w:val="none"/>
              </w:rPr>
              <w:t>收装置的气阀上并把回收罐的液阀连接在制冷系统的液体</w:t>
            </w:r>
            <w:r>
              <w:rPr>
                <w:rFonts w:hint="default"/>
                <w:color w:val="auto"/>
                <w:spacing w:val="2"/>
                <w:sz w:val="24"/>
                <w:szCs w:val="24"/>
                <w:highlight w:val="none"/>
              </w:rPr>
              <w:t>一侧，当降低回收罐的压力时，回收装置会把被回收设备中的液态制冷剂</w:t>
            </w:r>
            <w:r>
              <w:rPr>
                <w:rFonts w:hint="default"/>
                <w:color w:val="auto"/>
                <w:spacing w:val="1"/>
                <w:sz w:val="24"/>
                <w:szCs w:val="24"/>
                <w:highlight w:val="none"/>
              </w:rPr>
              <w:t>“拉</w:t>
            </w:r>
            <w:r>
              <w:rPr>
                <w:rFonts w:hint="default"/>
                <w:color w:val="auto"/>
                <w:spacing w:val="-84"/>
                <w:sz w:val="24"/>
                <w:szCs w:val="24"/>
                <w:highlight w:val="none"/>
              </w:rPr>
              <w:t xml:space="preserve"> </w:t>
            </w:r>
            <w:r>
              <w:rPr>
                <w:rFonts w:hint="default"/>
                <w:color w:val="auto"/>
                <w:spacing w:val="1"/>
                <w:sz w:val="24"/>
                <w:szCs w:val="24"/>
                <w:highlight w:val="none"/>
              </w:rPr>
              <w:t>”出来。从回收罐抽</w:t>
            </w:r>
            <w:r>
              <w:rPr>
                <w:rFonts w:hint="default"/>
                <w:color w:val="auto"/>
                <w:spacing w:val="-2"/>
                <w:sz w:val="24"/>
                <w:szCs w:val="24"/>
                <w:highlight w:val="none"/>
              </w:rPr>
              <w:t>出蒸汽，又会返回收装置的运行，把它排到（退回）被回收设备的蒸汽入口处。</w:t>
            </w:r>
            <w:r>
              <w:rPr>
                <w:rFonts w:hint="default"/>
                <w:color w:val="auto"/>
                <w:spacing w:val="4"/>
                <w:sz w:val="24"/>
                <w:szCs w:val="24"/>
                <w:highlight w:val="none"/>
              </w:rPr>
              <w:t>在车用空调压缩机拆解之前，采用制冷剂回收机真空抽</w:t>
            </w:r>
            <w:r>
              <w:rPr>
                <w:rFonts w:hint="default"/>
                <w:color w:val="auto"/>
                <w:spacing w:val="3"/>
                <w:sz w:val="24"/>
                <w:szCs w:val="24"/>
                <w:highlight w:val="none"/>
              </w:rPr>
              <w:t>取压缩机中的制冷剂。制冷剂回收系统与压缩机系统连接处密闭效果好，制冷剂</w:t>
            </w:r>
            <w:r>
              <w:rPr>
                <w:rFonts w:hint="default"/>
                <w:color w:val="auto"/>
                <w:spacing w:val="2"/>
                <w:sz w:val="24"/>
                <w:szCs w:val="24"/>
                <w:highlight w:val="none"/>
              </w:rPr>
              <w:t>不会从二者连接处外</w:t>
            </w:r>
            <w:r>
              <w:rPr>
                <w:rFonts w:hint="default"/>
                <w:color w:val="auto"/>
                <w:spacing w:val="-1"/>
                <w:sz w:val="24"/>
                <w:szCs w:val="24"/>
                <w:highlight w:val="none"/>
              </w:rPr>
              <w:t>泄。回收过程电子计量、精确控制，回收完毕自动停机。标配</w:t>
            </w:r>
            <w:r>
              <w:rPr>
                <w:rFonts w:hint="default"/>
                <w:color w:val="auto"/>
                <w:spacing w:val="-50"/>
                <w:sz w:val="24"/>
                <w:szCs w:val="24"/>
                <w:highlight w:val="none"/>
              </w:rPr>
              <w:t xml:space="preserve"> </w:t>
            </w:r>
            <w:r>
              <w:rPr>
                <w:rFonts w:hint="default" w:ascii="Times New Roman" w:hAnsi="Times New Roman" w:eastAsia="Times New Roman" w:cs="Times New Roman"/>
                <w:color w:val="auto"/>
                <w:spacing w:val="-1"/>
                <w:sz w:val="24"/>
                <w:szCs w:val="24"/>
                <w:highlight w:val="none"/>
              </w:rPr>
              <w:t xml:space="preserve">20kg </w:t>
            </w:r>
            <w:r>
              <w:rPr>
                <w:rFonts w:hint="default"/>
                <w:color w:val="auto"/>
                <w:spacing w:val="-1"/>
                <w:sz w:val="24"/>
                <w:szCs w:val="24"/>
                <w:highlight w:val="none"/>
              </w:rPr>
              <w:t>大容量</w:t>
            </w:r>
            <w:r>
              <w:rPr>
                <w:rFonts w:hint="eastAsia"/>
                <w:color w:val="auto"/>
                <w:spacing w:val="-1"/>
                <w:sz w:val="24"/>
                <w:szCs w:val="24"/>
                <w:highlight w:val="none"/>
                <w:lang w:val="en-US" w:eastAsia="zh-CN"/>
              </w:rPr>
              <w:t>钢瓶</w:t>
            </w:r>
            <w:r>
              <w:rPr>
                <w:rFonts w:hint="default"/>
                <w:color w:val="auto"/>
                <w:spacing w:val="3"/>
                <w:sz w:val="24"/>
                <w:szCs w:val="24"/>
                <w:highlight w:val="none"/>
              </w:rPr>
              <w:t>，以收贮回收的制冷剂。此步骤将制冷剂直接回收，分</w:t>
            </w:r>
            <w:r>
              <w:rPr>
                <w:rFonts w:hint="default"/>
                <w:color w:val="auto"/>
                <w:spacing w:val="2"/>
                <w:sz w:val="24"/>
                <w:szCs w:val="24"/>
                <w:highlight w:val="none"/>
              </w:rPr>
              <w:t>类分区存放在危废贮</w:t>
            </w:r>
            <w:r>
              <w:rPr>
                <w:rFonts w:hint="default"/>
                <w:color w:val="auto"/>
                <w:spacing w:val="-1"/>
                <w:sz w:val="24"/>
                <w:szCs w:val="24"/>
                <w:highlight w:val="none"/>
              </w:rPr>
              <w:t>存库内，定期委托有资质单位清运处置。</w:t>
            </w:r>
          </w:p>
          <w:p w14:paraId="17C7E9E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default"/>
                <w:b/>
                <w:bCs/>
                <w:color w:val="auto"/>
                <w:spacing w:val="2"/>
                <w:sz w:val="24"/>
                <w:szCs w:val="24"/>
                <w:highlight w:val="none"/>
              </w:rPr>
            </w:pPr>
            <w:r>
              <w:rPr>
                <w:rFonts w:hint="default"/>
                <w:b/>
                <w:bCs/>
                <w:color w:val="auto"/>
                <w:sz w:val="24"/>
                <w:szCs w:val="24"/>
                <w:highlight w:val="none"/>
              </w:rPr>
              <w:t>产污环节：废制冷剂抽排过程中产生有机废气经集气</w:t>
            </w:r>
            <w:r>
              <w:rPr>
                <w:rFonts w:hint="default"/>
                <w:b/>
                <w:bCs/>
                <w:color w:val="auto"/>
                <w:spacing w:val="-14"/>
                <w:sz w:val="24"/>
                <w:szCs w:val="24"/>
                <w:highlight w:val="none"/>
              </w:rPr>
              <w:t>罩收集后，经二级活性炭吸附箱处理后，由</w:t>
            </w:r>
            <w:r>
              <w:rPr>
                <w:rFonts w:hint="default" w:ascii="Times New Roman" w:hAnsi="Times New Roman" w:eastAsia="Times New Roman" w:cs="Times New Roman"/>
                <w:b/>
                <w:bCs/>
                <w:color w:val="auto"/>
                <w:spacing w:val="-14"/>
                <w:sz w:val="24"/>
                <w:szCs w:val="24"/>
                <w:highlight w:val="none"/>
              </w:rPr>
              <w:t>1</w:t>
            </w:r>
            <w:r>
              <w:rPr>
                <w:rFonts w:hint="default"/>
                <w:b/>
                <w:bCs/>
                <w:color w:val="auto"/>
                <w:spacing w:val="-14"/>
                <w:sz w:val="24"/>
                <w:szCs w:val="24"/>
                <w:highlight w:val="none"/>
              </w:rPr>
              <w:t>根</w:t>
            </w:r>
            <w:r>
              <w:rPr>
                <w:rFonts w:hint="eastAsia"/>
                <w:b/>
                <w:bCs/>
                <w:color w:val="auto"/>
                <w:spacing w:val="-32"/>
                <w:sz w:val="24"/>
                <w:szCs w:val="24"/>
                <w:highlight w:val="none"/>
                <w:lang w:val="en-US" w:eastAsia="zh-CN"/>
              </w:rPr>
              <w:t>24m</w:t>
            </w:r>
            <w:r>
              <w:rPr>
                <w:rFonts w:hint="default"/>
                <w:b/>
                <w:bCs/>
                <w:color w:val="auto"/>
                <w:spacing w:val="-15"/>
                <w:sz w:val="24"/>
                <w:szCs w:val="24"/>
                <w:highlight w:val="none"/>
              </w:rPr>
              <w:t>高排气筒</w:t>
            </w:r>
            <w:r>
              <w:rPr>
                <w:rFonts w:hint="default" w:ascii="Times New Roman" w:hAnsi="Times New Roman" w:eastAsia="Times New Roman" w:cs="Times New Roman"/>
                <w:b/>
                <w:bCs/>
                <w:color w:val="auto"/>
                <w:spacing w:val="-15"/>
                <w:sz w:val="24"/>
                <w:szCs w:val="24"/>
                <w:highlight w:val="none"/>
              </w:rPr>
              <w:t>DA001</w:t>
            </w:r>
            <w:r>
              <w:rPr>
                <w:rFonts w:hint="default"/>
                <w:b/>
                <w:bCs/>
                <w:color w:val="auto"/>
                <w:spacing w:val="-7"/>
                <w:sz w:val="24"/>
                <w:szCs w:val="24"/>
                <w:highlight w:val="none"/>
              </w:rPr>
              <w:t>有组织排放；产生的废空调制冷剂属于危险废</w:t>
            </w:r>
            <w:r>
              <w:rPr>
                <w:rFonts w:hint="default"/>
                <w:b/>
                <w:bCs/>
                <w:color w:val="auto"/>
                <w:spacing w:val="-8"/>
                <w:sz w:val="24"/>
                <w:szCs w:val="24"/>
                <w:highlight w:val="none"/>
              </w:rPr>
              <w:t>物，</w:t>
            </w:r>
            <w:r>
              <w:rPr>
                <w:rFonts w:hint="default"/>
                <w:b/>
                <w:bCs/>
                <w:color w:val="auto"/>
                <w:spacing w:val="3"/>
                <w:sz w:val="24"/>
                <w:szCs w:val="24"/>
                <w:highlight w:val="none"/>
              </w:rPr>
              <w:t>收集后暂存于危废贮存库内，定期交由有资质单位安全</w:t>
            </w:r>
            <w:r>
              <w:rPr>
                <w:rFonts w:hint="default"/>
                <w:b/>
                <w:bCs/>
                <w:color w:val="auto"/>
                <w:spacing w:val="2"/>
                <w:sz w:val="24"/>
                <w:szCs w:val="24"/>
                <w:highlight w:val="none"/>
              </w:rPr>
              <w:t>处置。</w:t>
            </w:r>
          </w:p>
          <w:p w14:paraId="4E7DDD5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b/>
                <w:bCs/>
                <w:color w:val="auto"/>
                <w:spacing w:val="2"/>
                <w:sz w:val="24"/>
                <w:szCs w:val="24"/>
                <w:highlight w:val="none"/>
              </w:rPr>
            </w:pPr>
            <w:r>
              <w:rPr>
                <w:rFonts w:hint="eastAsia"/>
                <w:b/>
                <w:bCs/>
                <w:color w:val="auto"/>
                <w:spacing w:val="2"/>
                <w:sz w:val="24"/>
                <w:szCs w:val="24"/>
                <w:highlight w:val="none"/>
                <w:lang w:val="en-US" w:eastAsia="zh-CN"/>
              </w:rPr>
              <w:t>拆除过程产生的设备噪声</w:t>
            </w:r>
            <w:r>
              <w:rPr>
                <w:rFonts w:hint="eastAsia" w:ascii="Times New Roman" w:hAnsi="Times New Roman"/>
                <w:b/>
                <w:bCs/>
                <w:color w:val="auto"/>
                <w:spacing w:val="-3"/>
                <w:sz w:val="24"/>
                <w:szCs w:val="24"/>
                <w:lang w:val="en-US" w:eastAsia="zh-CN"/>
              </w:rPr>
              <w:t>采取厂房隔声降噪等措施降低噪声排放。</w:t>
            </w:r>
          </w:p>
          <w:p w14:paraId="5403112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7</w:t>
            </w:r>
            <w:r>
              <w:rPr>
                <w:rFonts w:hint="default"/>
                <w:color w:val="auto"/>
                <w:spacing w:val="-3"/>
                <w:sz w:val="24"/>
                <w:szCs w:val="24"/>
                <w:highlight w:val="none"/>
              </w:rPr>
              <w:t>）拆除机油滤清器</w:t>
            </w:r>
          </w:p>
          <w:p w14:paraId="5CFEA8D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default"/>
                <w:color w:val="auto"/>
                <w:sz w:val="24"/>
                <w:szCs w:val="24"/>
                <w:highlight w:val="none"/>
              </w:rPr>
            </w:pPr>
            <w:r>
              <w:rPr>
                <w:rFonts w:hint="default"/>
                <w:color w:val="auto"/>
                <w:spacing w:val="3"/>
                <w:sz w:val="24"/>
                <w:szCs w:val="24"/>
                <w:highlight w:val="none"/>
              </w:rPr>
              <w:t>拆除汽车全流式或分流式机油滤清器，不对其中的滤纸、橡胶密</w:t>
            </w:r>
            <w:r>
              <w:rPr>
                <w:rFonts w:hint="default"/>
                <w:color w:val="auto"/>
                <w:spacing w:val="2"/>
                <w:sz w:val="24"/>
                <w:szCs w:val="24"/>
                <w:highlight w:val="none"/>
              </w:rPr>
              <w:t>封圈、回</w:t>
            </w:r>
            <w:r>
              <w:rPr>
                <w:rFonts w:hint="default"/>
                <w:color w:val="auto"/>
                <w:spacing w:val="3"/>
                <w:sz w:val="24"/>
                <w:szCs w:val="24"/>
                <w:highlight w:val="none"/>
              </w:rPr>
              <w:t>流抑制阀、溢流阀等进行单独拆解，为整体拆解，本企业</w:t>
            </w:r>
            <w:r>
              <w:rPr>
                <w:rFonts w:hint="default"/>
                <w:color w:val="auto"/>
                <w:spacing w:val="2"/>
                <w:sz w:val="24"/>
                <w:szCs w:val="24"/>
                <w:highlight w:val="none"/>
              </w:rPr>
              <w:t>不进行进一步精细拆</w:t>
            </w:r>
            <w:r>
              <w:rPr>
                <w:rFonts w:hint="default"/>
                <w:color w:val="auto"/>
                <w:spacing w:val="-5"/>
                <w:sz w:val="24"/>
                <w:szCs w:val="24"/>
                <w:highlight w:val="none"/>
              </w:rPr>
              <w:t>解。</w:t>
            </w:r>
          </w:p>
          <w:p w14:paraId="7065DC1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2"/>
                <w:sz w:val="24"/>
                <w:szCs w:val="24"/>
                <w:highlight w:val="none"/>
              </w:rPr>
            </w:pPr>
            <w:r>
              <w:rPr>
                <w:rFonts w:hint="default"/>
                <w:b/>
                <w:bCs/>
                <w:color w:val="auto"/>
                <w:spacing w:val="-1"/>
                <w:sz w:val="24"/>
                <w:szCs w:val="24"/>
                <w:highlight w:val="none"/>
              </w:rPr>
              <w:t>产污环节：此工序产生的废机油滤清器属于危险废</w:t>
            </w:r>
            <w:r>
              <w:rPr>
                <w:rFonts w:hint="default"/>
                <w:b/>
                <w:bCs/>
                <w:color w:val="auto"/>
                <w:spacing w:val="-2"/>
                <w:sz w:val="24"/>
                <w:szCs w:val="24"/>
                <w:highlight w:val="none"/>
              </w:rPr>
              <w:t>物，收集</w:t>
            </w:r>
            <w:r>
              <w:rPr>
                <w:rFonts w:hint="default"/>
                <w:b/>
                <w:bCs/>
                <w:color w:val="auto"/>
                <w:spacing w:val="3"/>
                <w:sz w:val="24"/>
                <w:szCs w:val="24"/>
                <w:highlight w:val="none"/>
              </w:rPr>
              <w:t>后暂存于危废贮存库内，定期交由有资质单位安全处置</w:t>
            </w:r>
            <w:r>
              <w:rPr>
                <w:rFonts w:hint="default"/>
                <w:b/>
                <w:bCs/>
                <w:color w:val="auto"/>
                <w:spacing w:val="2"/>
                <w:sz w:val="24"/>
                <w:szCs w:val="24"/>
                <w:highlight w:val="none"/>
              </w:rPr>
              <w:t>。</w:t>
            </w:r>
          </w:p>
          <w:p w14:paraId="0295DC33">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eastAsia" w:eastAsia="宋体" w:cs="Times New Roman"/>
                <w:b/>
                <w:bCs/>
                <w:color w:val="auto"/>
                <w:spacing w:val="-10"/>
                <w:sz w:val="24"/>
                <w:szCs w:val="24"/>
                <w:highlight w:val="none"/>
                <w:lang w:eastAsia="zh-CN"/>
              </w:rPr>
              <w:t>（</w:t>
            </w:r>
            <w:r>
              <w:rPr>
                <w:rFonts w:hint="eastAsia" w:eastAsia="宋体" w:cs="Times New Roman"/>
                <w:b/>
                <w:bCs/>
                <w:color w:val="auto"/>
                <w:spacing w:val="-10"/>
                <w:sz w:val="24"/>
                <w:szCs w:val="24"/>
                <w:highlight w:val="none"/>
                <w:lang w:val="en-US" w:eastAsia="zh-CN"/>
              </w:rPr>
              <w:t>4）</w:t>
            </w:r>
            <w:r>
              <w:rPr>
                <w:rFonts w:hint="default"/>
                <w:b/>
                <w:bCs/>
                <w:color w:val="auto"/>
                <w:spacing w:val="-10"/>
                <w:sz w:val="24"/>
                <w:szCs w:val="24"/>
                <w:highlight w:val="none"/>
              </w:rPr>
              <w:t>拆解</w:t>
            </w:r>
          </w:p>
          <w:p w14:paraId="30221A4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1</w:t>
            </w:r>
            <w:r>
              <w:rPr>
                <w:rFonts w:hint="default"/>
                <w:color w:val="auto"/>
                <w:spacing w:val="-3"/>
                <w:sz w:val="24"/>
                <w:szCs w:val="24"/>
                <w:highlight w:val="none"/>
              </w:rPr>
              <w:t>）外部组件拆解</w:t>
            </w:r>
          </w:p>
          <w:p w14:paraId="2A66F0DB">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z w:val="24"/>
                <w:szCs w:val="24"/>
                <w:highlight w:val="none"/>
              </w:rPr>
            </w:pPr>
            <w:r>
              <w:rPr>
                <w:rFonts w:hint="default"/>
                <w:color w:val="auto"/>
                <w:spacing w:val="2"/>
                <w:sz w:val="24"/>
                <w:szCs w:val="24"/>
                <w:highlight w:val="none"/>
              </w:rPr>
              <w:t>利用各类专用工具将外部组件进行拆解，如</w:t>
            </w:r>
            <w:r>
              <w:rPr>
                <w:rFonts w:hint="default"/>
                <w:color w:val="auto"/>
                <w:spacing w:val="1"/>
                <w:sz w:val="24"/>
                <w:szCs w:val="24"/>
                <w:highlight w:val="none"/>
              </w:rPr>
              <w:t>轮胎、车轮、叶子板、玻璃、</w:t>
            </w:r>
            <w:r>
              <w:rPr>
                <w:rFonts w:hint="default"/>
                <w:color w:val="auto"/>
                <w:spacing w:val="-1"/>
                <w:sz w:val="24"/>
                <w:szCs w:val="24"/>
                <w:highlight w:val="none"/>
              </w:rPr>
              <w:t>车门、前后盖、保险杠、车灯等。</w:t>
            </w:r>
          </w:p>
          <w:p w14:paraId="2C285A0C">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default"/>
                <w:b/>
                <w:bCs/>
                <w:color w:val="auto"/>
                <w:sz w:val="24"/>
                <w:szCs w:val="24"/>
                <w:highlight w:val="none"/>
              </w:rPr>
            </w:pPr>
            <w:r>
              <w:rPr>
                <w:rFonts w:hint="default"/>
                <w:b/>
                <w:bCs/>
                <w:color w:val="auto"/>
                <w:spacing w:val="-1"/>
                <w:sz w:val="24"/>
                <w:szCs w:val="24"/>
                <w:highlight w:val="none"/>
              </w:rPr>
              <w:t>产污环节：拆解后的钢铁、有色金属、轮胎、塑料、玻璃</w:t>
            </w:r>
            <w:r>
              <w:rPr>
                <w:rFonts w:hint="default"/>
                <w:b/>
                <w:bCs/>
                <w:color w:val="auto"/>
                <w:spacing w:val="-2"/>
                <w:sz w:val="24"/>
                <w:szCs w:val="24"/>
                <w:highlight w:val="none"/>
              </w:rPr>
              <w:t>等分类暂存于各自暂存区，定期外售；</w:t>
            </w:r>
            <w:r>
              <w:rPr>
                <w:rFonts w:hint="default"/>
                <w:b/>
                <w:bCs/>
                <w:color w:val="auto"/>
                <w:spacing w:val="-4"/>
                <w:sz w:val="24"/>
                <w:szCs w:val="24"/>
                <w:highlight w:val="none"/>
              </w:rPr>
              <w:t>废电路板及元器件等属于危险废物，分类</w:t>
            </w:r>
            <w:r>
              <w:rPr>
                <w:rFonts w:hint="default"/>
                <w:b/>
                <w:bCs/>
                <w:color w:val="auto"/>
                <w:spacing w:val="-1"/>
                <w:sz w:val="24"/>
                <w:szCs w:val="24"/>
                <w:highlight w:val="none"/>
              </w:rPr>
              <w:t>收集后暂存于危废贮存库内，定期交由有资质单位安全处置。</w:t>
            </w:r>
          </w:p>
          <w:p w14:paraId="6A5FD7E4">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2</w:t>
            </w:r>
            <w:r>
              <w:rPr>
                <w:rFonts w:hint="default"/>
                <w:color w:val="auto"/>
                <w:spacing w:val="-3"/>
                <w:sz w:val="24"/>
                <w:szCs w:val="24"/>
                <w:highlight w:val="none"/>
              </w:rPr>
              <w:t>）内部组件拆解</w:t>
            </w:r>
          </w:p>
          <w:p w14:paraId="1571600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default"/>
                <w:color w:val="auto"/>
                <w:sz w:val="24"/>
                <w:szCs w:val="24"/>
                <w:highlight w:val="none"/>
              </w:rPr>
            </w:pPr>
            <w:r>
              <w:rPr>
                <w:rFonts w:hint="default"/>
                <w:color w:val="auto"/>
                <w:spacing w:val="3"/>
                <w:sz w:val="24"/>
                <w:szCs w:val="24"/>
                <w:highlight w:val="none"/>
              </w:rPr>
              <w:t>利用各类专用工具将内部组件进行拆解，如空调器、车座椅、</w:t>
            </w:r>
            <w:r>
              <w:rPr>
                <w:rFonts w:hint="default"/>
                <w:color w:val="auto"/>
                <w:spacing w:val="2"/>
                <w:sz w:val="24"/>
                <w:szCs w:val="24"/>
                <w:highlight w:val="none"/>
              </w:rPr>
              <w:t>中控台、线</w:t>
            </w:r>
            <w:r>
              <w:rPr>
                <w:rFonts w:hint="default"/>
                <w:color w:val="auto"/>
                <w:spacing w:val="-1"/>
                <w:sz w:val="24"/>
                <w:szCs w:val="24"/>
                <w:highlight w:val="none"/>
              </w:rPr>
              <w:t>束、开关、继电器、传感器、内饰等。</w:t>
            </w:r>
          </w:p>
          <w:p w14:paraId="08DD7FA4">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b/>
                <w:bCs/>
                <w:color w:val="auto"/>
                <w:sz w:val="24"/>
                <w:szCs w:val="24"/>
                <w:highlight w:val="none"/>
              </w:rPr>
            </w:pPr>
            <w:r>
              <w:rPr>
                <w:rFonts w:hint="default"/>
                <w:b/>
                <w:bCs/>
                <w:color w:val="auto"/>
                <w:spacing w:val="2"/>
                <w:sz w:val="24"/>
                <w:szCs w:val="24"/>
                <w:highlight w:val="none"/>
              </w:rPr>
              <w:t>产污环节：拆解后的海绵及座椅材料、内饰材料、安全带及相关纺织品、</w:t>
            </w:r>
            <w:r>
              <w:rPr>
                <w:rFonts w:hint="default"/>
                <w:b/>
                <w:bCs/>
                <w:color w:val="auto"/>
                <w:spacing w:val="6"/>
                <w:sz w:val="24"/>
                <w:szCs w:val="24"/>
                <w:highlight w:val="none"/>
              </w:rPr>
              <w:t>轻质物料等分类暂存于各自暂存区，定期外售；废电</w:t>
            </w:r>
            <w:r>
              <w:rPr>
                <w:rFonts w:hint="default"/>
                <w:b/>
                <w:bCs/>
                <w:color w:val="auto"/>
                <w:spacing w:val="5"/>
                <w:sz w:val="24"/>
                <w:szCs w:val="24"/>
                <w:highlight w:val="none"/>
              </w:rPr>
              <w:t>路板及元器件</w:t>
            </w:r>
            <w:r>
              <w:rPr>
                <w:rFonts w:hint="default"/>
                <w:b/>
                <w:bCs/>
                <w:color w:val="auto"/>
                <w:spacing w:val="-1"/>
                <w:sz w:val="24"/>
                <w:szCs w:val="24"/>
                <w:highlight w:val="none"/>
              </w:rPr>
              <w:t>等属于危险废物，分类收集后暂存于危废贮存库内，定期交由有资质</w:t>
            </w:r>
            <w:r>
              <w:rPr>
                <w:rFonts w:hint="default"/>
                <w:b/>
                <w:bCs/>
                <w:color w:val="auto"/>
                <w:spacing w:val="-2"/>
                <w:sz w:val="24"/>
                <w:szCs w:val="24"/>
                <w:highlight w:val="none"/>
              </w:rPr>
              <w:t>单位安全处置。</w:t>
            </w:r>
          </w:p>
          <w:p w14:paraId="514B478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3</w:t>
            </w:r>
            <w:r>
              <w:rPr>
                <w:rFonts w:hint="default"/>
                <w:color w:val="auto"/>
                <w:spacing w:val="-3"/>
                <w:sz w:val="24"/>
                <w:szCs w:val="24"/>
                <w:highlight w:val="none"/>
              </w:rPr>
              <w:t>）总成部件拆解</w:t>
            </w:r>
          </w:p>
          <w:p w14:paraId="0C5591F6">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3"/>
              <w:jc w:val="left"/>
              <w:textAlignment w:val="auto"/>
              <w:rPr>
                <w:rFonts w:hint="default"/>
                <w:color w:val="auto"/>
                <w:sz w:val="24"/>
                <w:szCs w:val="24"/>
                <w:highlight w:val="none"/>
              </w:rPr>
            </w:pPr>
            <w:r>
              <w:rPr>
                <w:rFonts w:hint="default"/>
                <w:color w:val="auto"/>
                <w:spacing w:val="2"/>
                <w:sz w:val="24"/>
                <w:szCs w:val="24"/>
                <w:highlight w:val="none"/>
              </w:rPr>
              <w:t>根据《报废机动车回收管理办法》（国务院令第</w:t>
            </w:r>
            <w:r>
              <w:rPr>
                <w:rFonts w:hint="default"/>
                <w:color w:val="auto"/>
                <w:spacing w:val="-49"/>
                <w:sz w:val="24"/>
                <w:szCs w:val="24"/>
                <w:highlight w:val="none"/>
              </w:rPr>
              <w:t xml:space="preserve"> </w:t>
            </w:r>
            <w:r>
              <w:rPr>
                <w:rFonts w:hint="default" w:ascii="Times New Roman" w:hAnsi="Times New Roman" w:eastAsia="Times New Roman" w:cs="Times New Roman"/>
                <w:color w:val="auto"/>
                <w:spacing w:val="2"/>
                <w:sz w:val="24"/>
                <w:szCs w:val="24"/>
                <w:highlight w:val="none"/>
              </w:rPr>
              <w:t>715</w:t>
            </w:r>
            <w:r>
              <w:rPr>
                <w:rFonts w:hint="default" w:ascii="Times New Roman" w:hAnsi="Times New Roman" w:eastAsia="Times New Roman" w:cs="Times New Roman"/>
                <w:color w:val="auto"/>
                <w:spacing w:val="18"/>
                <w:sz w:val="24"/>
                <w:szCs w:val="24"/>
                <w:highlight w:val="none"/>
              </w:rPr>
              <w:t xml:space="preserve"> </w:t>
            </w:r>
            <w:r>
              <w:rPr>
                <w:rFonts w:hint="default"/>
                <w:color w:val="auto"/>
                <w:spacing w:val="2"/>
                <w:sz w:val="24"/>
                <w:szCs w:val="24"/>
                <w:highlight w:val="none"/>
              </w:rPr>
              <w:t>号）可知</w:t>
            </w:r>
            <w:r>
              <w:rPr>
                <w:rFonts w:hint="default"/>
                <w:color w:val="auto"/>
                <w:spacing w:val="1"/>
                <w:sz w:val="24"/>
                <w:szCs w:val="24"/>
                <w:highlight w:val="none"/>
              </w:rPr>
              <w:t>，回收拆解</w:t>
            </w:r>
            <w:r>
              <w:rPr>
                <w:rFonts w:hint="default"/>
                <w:color w:val="auto"/>
                <w:spacing w:val="-3"/>
                <w:sz w:val="24"/>
                <w:szCs w:val="24"/>
                <w:highlight w:val="none"/>
              </w:rPr>
              <w:t>企业拆解的报废机动车</w:t>
            </w:r>
            <w:r>
              <w:rPr>
                <w:rFonts w:hint="default" w:ascii="Times New Roman" w:hAnsi="Times New Roman" w:eastAsia="Times New Roman" w:cs="Times New Roman"/>
                <w:color w:val="auto"/>
                <w:spacing w:val="-3"/>
                <w:sz w:val="24"/>
                <w:szCs w:val="24"/>
                <w:highlight w:val="none"/>
              </w:rPr>
              <w:t>“</w:t>
            </w:r>
            <w:r>
              <w:rPr>
                <w:rFonts w:hint="default"/>
                <w:color w:val="auto"/>
                <w:spacing w:val="-3"/>
                <w:sz w:val="24"/>
                <w:szCs w:val="24"/>
                <w:highlight w:val="none"/>
              </w:rPr>
              <w:t>五大总成</w:t>
            </w:r>
            <w:r>
              <w:rPr>
                <w:rFonts w:hint="default" w:ascii="Times New Roman" w:hAnsi="Times New Roman" w:eastAsia="Times New Roman" w:cs="Times New Roman"/>
                <w:color w:val="auto"/>
                <w:spacing w:val="-3"/>
                <w:sz w:val="24"/>
                <w:szCs w:val="24"/>
                <w:highlight w:val="none"/>
              </w:rPr>
              <w:t>”</w:t>
            </w:r>
            <w:r>
              <w:rPr>
                <w:rFonts w:hint="default"/>
                <w:color w:val="auto"/>
                <w:spacing w:val="-3"/>
                <w:sz w:val="24"/>
                <w:szCs w:val="24"/>
                <w:highlight w:val="none"/>
              </w:rPr>
              <w:t>具备再</w:t>
            </w:r>
            <w:r>
              <w:rPr>
                <w:rFonts w:hint="default"/>
                <w:color w:val="auto"/>
                <w:spacing w:val="-4"/>
                <w:sz w:val="24"/>
                <w:szCs w:val="24"/>
                <w:highlight w:val="none"/>
              </w:rPr>
              <w:t>制造条件的，可以按照国家有关规定出</w:t>
            </w:r>
            <w:r>
              <w:rPr>
                <w:rFonts w:hint="default"/>
                <w:color w:val="auto"/>
                <w:spacing w:val="3"/>
                <w:sz w:val="24"/>
                <w:szCs w:val="24"/>
                <w:highlight w:val="none"/>
              </w:rPr>
              <w:t>售给具有再制造能力的企业经过再制造予以循环使用；</w:t>
            </w:r>
            <w:r>
              <w:rPr>
                <w:rFonts w:hint="default"/>
                <w:color w:val="auto"/>
                <w:spacing w:val="2"/>
                <w:sz w:val="24"/>
                <w:szCs w:val="24"/>
                <w:highlight w:val="none"/>
              </w:rPr>
              <w:t>不具备再制造条件的，</w:t>
            </w:r>
            <w:r>
              <w:rPr>
                <w:rFonts w:hint="default"/>
                <w:color w:val="auto"/>
                <w:spacing w:val="-1"/>
                <w:sz w:val="24"/>
                <w:szCs w:val="24"/>
                <w:highlight w:val="none"/>
              </w:rPr>
              <w:t>应当作为废金属，交售给钢铁企业作为冶炼原料。</w:t>
            </w:r>
          </w:p>
          <w:p w14:paraId="6E905AA7">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default"/>
                <w:color w:val="auto"/>
                <w:sz w:val="24"/>
                <w:szCs w:val="24"/>
                <w:highlight w:val="none"/>
              </w:rPr>
            </w:pPr>
            <w:r>
              <w:rPr>
                <w:rFonts w:hint="default"/>
                <w:color w:val="auto"/>
                <w:spacing w:val="3"/>
                <w:sz w:val="24"/>
                <w:szCs w:val="24"/>
                <w:highlight w:val="none"/>
              </w:rPr>
              <w:t>报废汽车精细拆解的主要内容是将初步拆解后产生的报废汽车各机械</w:t>
            </w:r>
            <w:r>
              <w:rPr>
                <w:rFonts w:hint="default"/>
                <w:color w:val="auto"/>
                <w:spacing w:val="2"/>
                <w:sz w:val="24"/>
                <w:szCs w:val="24"/>
                <w:highlight w:val="none"/>
              </w:rPr>
              <w:t>总成</w:t>
            </w:r>
            <w:r>
              <w:rPr>
                <w:rFonts w:hint="default"/>
                <w:color w:val="auto"/>
                <w:spacing w:val="3"/>
                <w:sz w:val="24"/>
                <w:szCs w:val="24"/>
                <w:highlight w:val="none"/>
              </w:rPr>
              <w:t>进行零部件和附件的精细拆解加工。通过精细拆解，能够获</w:t>
            </w:r>
            <w:r>
              <w:rPr>
                <w:rFonts w:hint="default"/>
                <w:color w:val="auto"/>
                <w:spacing w:val="2"/>
                <w:sz w:val="24"/>
                <w:szCs w:val="24"/>
                <w:highlight w:val="none"/>
              </w:rPr>
              <w:t>得大量的总成零部</w:t>
            </w:r>
            <w:r>
              <w:rPr>
                <w:rFonts w:hint="default"/>
                <w:color w:val="auto"/>
                <w:spacing w:val="-2"/>
                <w:sz w:val="24"/>
                <w:szCs w:val="24"/>
                <w:highlight w:val="none"/>
              </w:rPr>
              <w:t>件，为再生零部件制造提供原材料。机械总成的体积较小，其机械构造较复杂。</w:t>
            </w:r>
            <w:r>
              <w:rPr>
                <w:rFonts w:hint="default"/>
                <w:color w:val="auto"/>
                <w:spacing w:val="3"/>
                <w:sz w:val="24"/>
                <w:szCs w:val="24"/>
                <w:highlight w:val="none"/>
              </w:rPr>
              <w:t>本项目根据各机械总成的组成和特点，在车间内设置精细拆</w:t>
            </w:r>
            <w:r>
              <w:rPr>
                <w:rFonts w:hint="default"/>
                <w:color w:val="auto"/>
                <w:spacing w:val="2"/>
                <w:sz w:val="24"/>
                <w:szCs w:val="24"/>
                <w:highlight w:val="none"/>
              </w:rPr>
              <w:t>解平台，采用人工</w:t>
            </w:r>
            <w:r>
              <w:rPr>
                <w:rFonts w:hint="default"/>
                <w:color w:val="auto"/>
                <w:spacing w:val="-2"/>
                <w:sz w:val="24"/>
                <w:szCs w:val="24"/>
                <w:highlight w:val="none"/>
              </w:rPr>
              <w:t>精细拆解。</w:t>
            </w:r>
          </w:p>
          <w:p w14:paraId="6F2C7F2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8"/>
              <w:jc w:val="left"/>
              <w:textAlignment w:val="auto"/>
              <w:rPr>
                <w:rFonts w:hint="default"/>
                <w:b/>
                <w:bCs/>
                <w:color w:val="auto"/>
                <w:sz w:val="24"/>
                <w:szCs w:val="24"/>
                <w:highlight w:val="none"/>
              </w:rPr>
            </w:pPr>
            <w:r>
              <w:rPr>
                <w:rFonts w:hint="default"/>
                <w:b/>
                <w:bCs/>
                <w:color w:val="auto"/>
                <w:spacing w:val="-2"/>
                <w:sz w:val="24"/>
                <w:szCs w:val="24"/>
                <w:highlight w:val="none"/>
              </w:rPr>
              <w:t>产污环节：拆解的废总成部件、有色金属、可回用零部件分类暂</w:t>
            </w:r>
            <w:r>
              <w:rPr>
                <w:rFonts w:hint="default"/>
                <w:b/>
                <w:bCs/>
                <w:color w:val="auto"/>
                <w:spacing w:val="-4"/>
                <w:sz w:val="24"/>
                <w:szCs w:val="24"/>
                <w:highlight w:val="none"/>
              </w:rPr>
              <w:t>存于各自暂存区，定期外售；含油手套及抹布</w:t>
            </w:r>
            <w:r>
              <w:rPr>
                <w:rFonts w:hint="eastAsia"/>
                <w:b/>
                <w:bCs/>
                <w:color w:val="auto"/>
                <w:spacing w:val="-4"/>
                <w:sz w:val="24"/>
                <w:szCs w:val="24"/>
                <w:highlight w:val="none"/>
                <w:lang w:val="en-US" w:eastAsia="zh-CN"/>
              </w:rPr>
              <w:t>等</w:t>
            </w:r>
            <w:r>
              <w:rPr>
                <w:rFonts w:hint="default"/>
                <w:b/>
                <w:bCs/>
                <w:color w:val="auto"/>
                <w:spacing w:val="-2"/>
                <w:sz w:val="24"/>
                <w:szCs w:val="24"/>
                <w:highlight w:val="none"/>
              </w:rPr>
              <w:t>分类收集后暂存于危废贮存库内，定期交由有资质单位安全处置。</w:t>
            </w:r>
          </w:p>
          <w:p w14:paraId="74D20D5D">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3"/>
                <w:sz w:val="24"/>
                <w:szCs w:val="24"/>
                <w:highlight w:val="none"/>
              </w:rPr>
              <w:t>4</w:t>
            </w:r>
            <w:r>
              <w:rPr>
                <w:rFonts w:hint="default"/>
                <w:color w:val="auto"/>
                <w:spacing w:val="-3"/>
                <w:sz w:val="24"/>
                <w:szCs w:val="24"/>
                <w:highlight w:val="none"/>
              </w:rPr>
              <w:t>）切割、剪切</w:t>
            </w:r>
          </w:p>
          <w:p w14:paraId="0B9AEF70">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pacing w:val="-1"/>
                <w:sz w:val="24"/>
                <w:szCs w:val="24"/>
                <w:highlight w:val="none"/>
              </w:rPr>
              <w:t>拆解车身、车架过程中，部分部件需要进行切割。</w:t>
            </w:r>
          </w:p>
          <w:p w14:paraId="76ADF98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left"/>
              <w:textAlignment w:val="auto"/>
              <w:rPr>
                <w:rFonts w:hint="eastAsia"/>
                <w:color w:val="auto"/>
                <w:spacing w:val="-1"/>
                <w:sz w:val="24"/>
                <w:szCs w:val="24"/>
                <w:highlight w:val="none"/>
                <w:lang w:eastAsia="zh-CN"/>
              </w:rPr>
            </w:pPr>
            <w:r>
              <w:rPr>
                <w:rFonts w:hint="default"/>
                <w:b/>
                <w:bCs/>
                <w:color w:val="auto"/>
                <w:spacing w:val="2"/>
                <w:sz w:val="24"/>
                <w:szCs w:val="24"/>
                <w:highlight w:val="none"/>
              </w:rPr>
              <w:t>产污环节：切割、剪切过程产生的粉尘经集气罩收集后</w:t>
            </w:r>
            <w:r>
              <w:rPr>
                <w:rFonts w:hint="default"/>
                <w:b/>
                <w:bCs/>
                <w:color w:val="auto"/>
                <w:spacing w:val="1"/>
                <w:sz w:val="24"/>
                <w:szCs w:val="24"/>
                <w:highlight w:val="none"/>
              </w:rPr>
              <w:t>，经布袋</w:t>
            </w:r>
            <w:r>
              <w:rPr>
                <w:rFonts w:hint="default"/>
                <w:b/>
                <w:bCs/>
                <w:color w:val="auto"/>
                <w:sz w:val="24"/>
                <w:szCs w:val="24"/>
                <w:highlight w:val="none"/>
              </w:rPr>
              <w:t>除尘器处理后，由</w:t>
            </w:r>
            <w:r>
              <w:rPr>
                <w:rFonts w:hint="default" w:ascii="Times New Roman" w:hAnsi="Times New Roman" w:eastAsia="Times New Roman" w:cs="Times New Roman"/>
                <w:b/>
                <w:bCs/>
                <w:color w:val="auto"/>
                <w:sz w:val="24"/>
                <w:szCs w:val="24"/>
                <w:highlight w:val="none"/>
              </w:rPr>
              <w:t>1</w:t>
            </w:r>
            <w:r>
              <w:rPr>
                <w:rFonts w:hint="default"/>
                <w:b/>
                <w:bCs/>
                <w:color w:val="auto"/>
                <w:sz w:val="24"/>
                <w:szCs w:val="24"/>
                <w:highlight w:val="none"/>
              </w:rPr>
              <w:t>根</w:t>
            </w:r>
            <w:r>
              <w:rPr>
                <w:rFonts w:hint="eastAsia"/>
                <w:b/>
                <w:bCs/>
                <w:color w:val="auto"/>
                <w:spacing w:val="-29"/>
                <w:sz w:val="24"/>
                <w:szCs w:val="24"/>
                <w:highlight w:val="none"/>
                <w:lang w:val="en-US" w:eastAsia="zh-CN"/>
              </w:rPr>
              <w:t>24m</w:t>
            </w:r>
            <w:r>
              <w:rPr>
                <w:rFonts w:hint="default"/>
                <w:b/>
                <w:bCs/>
                <w:color w:val="auto"/>
                <w:sz w:val="24"/>
                <w:szCs w:val="24"/>
                <w:highlight w:val="none"/>
              </w:rPr>
              <w:t>高排气筒</w:t>
            </w:r>
            <w:r>
              <w:rPr>
                <w:rFonts w:hint="default" w:ascii="Times New Roman" w:hAnsi="Times New Roman" w:eastAsia="Times New Roman" w:cs="Times New Roman"/>
                <w:b/>
                <w:bCs/>
                <w:color w:val="auto"/>
                <w:sz w:val="24"/>
                <w:szCs w:val="24"/>
                <w:highlight w:val="none"/>
              </w:rPr>
              <w:t>DA002</w:t>
            </w:r>
            <w:r>
              <w:rPr>
                <w:rFonts w:hint="default"/>
                <w:b/>
                <w:bCs/>
                <w:color w:val="auto"/>
                <w:sz w:val="24"/>
                <w:szCs w:val="24"/>
                <w:highlight w:val="none"/>
              </w:rPr>
              <w:t>有组织</w:t>
            </w:r>
            <w:r>
              <w:rPr>
                <w:rFonts w:hint="default"/>
                <w:b/>
                <w:bCs/>
                <w:color w:val="auto"/>
                <w:spacing w:val="-1"/>
                <w:sz w:val="24"/>
                <w:szCs w:val="24"/>
                <w:highlight w:val="none"/>
              </w:rPr>
              <w:t>排放</w:t>
            </w:r>
            <w:r>
              <w:rPr>
                <w:rFonts w:hint="eastAsia"/>
                <w:b/>
                <w:bCs/>
                <w:color w:val="auto"/>
                <w:spacing w:val="-1"/>
                <w:sz w:val="24"/>
                <w:szCs w:val="24"/>
                <w:highlight w:val="none"/>
                <w:lang w:eastAsia="zh-CN"/>
              </w:rPr>
              <w:t>；</w:t>
            </w:r>
          </w:p>
          <w:p w14:paraId="53BCF8E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79"/>
              <w:jc w:val="left"/>
              <w:textAlignment w:val="auto"/>
              <w:rPr>
                <w:rFonts w:hint="eastAsia"/>
                <w:color w:val="auto"/>
                <w:spacing w:val="-1"/>
                <w:sz w:val="24"/>
                <w:szCs w:val="24"/>
                <w:highlight w:val="none"/>
                <w:lang w:eastAsia="zh-CN"/>
              </w:rPr>
            </w:pPr>
            <w:r>
              <w:rPr>
                <w:rFonts w:hint="eastAsia"/>
                <w:b/>
                <w:bCs/>
                <w:color w:val="auto"/>
                <w:spacing w:val="2"/>
                <w:sz w:val="24"/>
                <w:szCs w:val="24"/>
                <w:highlight w:val="none"/>
                <w:lang w:val="en-US" w:eastAsia="zh-CN"/>
              </w:rPr>
              <w:t>切割过程产生的设备噪声</w:t>
            </w:r>
            <w:r>
              <w:rPr>
                <w:rFonts w:hint="eastAsia" w:ascii="Times New Roman" w:hAnsi="Times New Roman"/>
                <w:b/>
                <w:bCs/>
                <w:color w:val="auto"/>
                <w:spacing w:val="-3"/>
                <w:sz w:val="24"/>
                <w:szCs w:val="24"/>
                <w:lang w:val="en-US" w:eastAsia="zh-CN"/>
              </w:rPr>
              <w:t>采取厂房隔声降噪等措施降低噪声排放。</w:t>
            </w:r>
          </w:p>
          <w:p w14:paraId="4D099AF7">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eastAsia" w:eastAsia="宋体" w:cs="Times New Roman"/>
                <w:b/>
                <w:bCs/>
                <w:color w:val="auto"/>
                <w:spacing w:val="-8"/>
                <w:sz w:val="24"/>
                <w:szCs w:val="24"/>
                <w:highlight w:val="none"/>
                <w:lang w:eastAsia="zh-CN"/>
              </w:rPr>
              <w:t>（</w:t>
            </w:r>
            <w:r>
              <w:rPr>
                <w:rFonts w:hint="eastAsia" w:eastAsia="宋体" w:cs="Times New Roman"/>
                <w:b/>
                <w:bCs/>
                <w:color w:val="auto"/>
                <w:spacing w:val="-8"/>
                <w:sz w:val="24"/>
                <w:szCs w:val="24"/>
                <w:highlight w:val="none"/>
                <w:lang w:val="en-US" w:eastAsia="zh-CN"/>
              </w:rPr>
              <w:t>5）</w:t>
            </w:r>
            <w:r>
              <w:rPr>
                <w:rFonts w:hint="default"/>
                <w:b/>
                <w:bCs/>
                <w:color w:val="auto"/>
                <w:spacing w:val="-8"/>
                <w:sz w:val="24"/>
                <w:szCs w:val="24"/>
                <w:highlight w:val="none"/>
              </w:rPr>
              <w:t>分类暂存</w:t>
            </w:r>
          </w:p>
          <w:p w14:paraId="7C338D11">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color w:val="auto"/>
                <w:sz w:val="24"/>
                <w:szCs w:val="24"/>
                <w:highlight w:val="none"/>
              </w:rPr>
              <w:t>拆卸下来的零部件、钢材、有色金属、危险废物</w:t>
            </w:r>
            <w:r>
              <w:rPr>
                <w:rFonts w:hint="default"/>
                <w:color w:val="auto"/>
                <w:spacing w:val="-1"/>
                <w:sz w:val="24"/>
                <w:szCs w:val="24"/>
                <w:highlight w:val="none"/>
              </w:rPr>
              <w:t>等进行分类贮存、出售。</w:t>
            </w:r>
          </w:p>
          <w:p w14:paraId="2B4EBDE2">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9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1</w:t>
            </w:r>
            <w:r>
              <w:rPr>
                <w:rFonts w:hint="default"/>
                <w:color w:val="auto"/>
                <w:spacing w:val="-1"/>
                <w:sz w:val="24"/>
                <w:szCs w:val="24"/>
                <w:highlight w:val="none"/>
              </w:rPr>
              <w:t>）应使用各种专用密闭容器分类贮存废液，防止废液挥发</w:t>
            </w:r>
            <w:r>
              <w:rPr>
                <w:rFonts w:hint="default"/>
                <w:color w:val="auto"/>
                <w:spacing w:val="-2"/>
                <w:sz w:val="24"/>
                <w:szCs w:val="24"/>
                <w:highlight w:val="none"/>
              </w:rPr>
              <w:t>，并交由有资质的单位清运处置。</w:t>
            </w:r>
          </w:p>
          <w:p w14:paraId="2AD06287">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91"/>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2</w:t>
            </w:r>
            <w:r>
              <w:rPr>
                <w:rFonts w:hint="default"/>
                <w:color w:val="auto"/>
                <w:spacing w:val="-1"/>
                <w:sz w:val="24"/>
                <w:szCs w:val="24"/>
                <w:highlight w:val="none"/>
              </w:rPr>
              <w:t>）对贮存的各种零部件、材料、废弃物的容器进行标识，</w:t>
            </w:r>
            <w:r>
              <w:rPr>
                <w:rFonts w:hint="default"/>
                <w:color w:val="auto"/>
                <w:spacing w:val="-2"/>
                <w:sz w:val="24"/>
                <w:szCs w:val="24"/>
                <w:highlight w:val="none"/>
              </w:rPr>
              <w:t>避免混合、混</w:t>
            </w:r>
            <w:r>
              <w:rPr>
                <w:rFonts w:hint="default"/>
                <w:color w:val="auto"/>
                <w:spacing w:val="-1"/>
                <w:sz w:val="24"/>
                <w:szCs w:val="24"/>
                <w:highlight w:val="none"/>
              </w:rPr>
              <w:t>放，含有害物质的部件应标明有害物质的种类。</w:t>
            </w:r>
          </w:p>
          <w:p w14:paraId="6A2A0994">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92"/>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3</w:t>
            </w:r>
            <w:r>
              <w:rPr>
                <w:rFonts w:hint="default"/>
                <w:color w:val="auto"/>
                <w:spacing w:val="-1"/>
                <w:sz w:val="24"/>
                <w:szCs w:val="24"/>
                <w:highlight w:val="none"/>
              </w:rPr>
              <w:t>）拆解后废弃物的贮存应严格按照《一般工业固体废物贮</w:t>
            </w:r>
            <w:r>
              <w:rPr>
                <w:rFonts w:hint="default"/>
                <w:color w:val="auto"/>
                <w:spacing w:val="-2"/>
                <w:sz w:val="24"/>
                <w:szCs w:val="24"/>
                <w:highlight w:val="none"/>
              </w:rPr>
              <w:t>存和填埋污染</w:t>
            </w:r>
            <w:r>
              <w:rPr>
                <w:rFonts w:hint="default"/>
                <w:color w:val="auto"/>
                <w:spacing w:val="-13"/>
                <w:sz w:val="24"/>
                <w:szCs w:val="24"/>
                <w:highlight w:val="none"/>
              </w:rPr>
              <w:t>控制标准》（</w:t>
            </w:r>
            <w:r>
              <w:rPr>
                <w:rFonts w:hint="default" w:ascii="Times New Roman" w:hAnsi="Times New Roman" w:eastAsia="Times New Roman" w:cs="Times New Roman"/>
                <w:color w:val="auto"/>
                <w:spacing w:val="-13"/>
                <w:sz w:val="24"/>
                <w:szCs w:val="24"/>
                <w:highlight w:val="none"/>
              </w:rPr>
              <w:t>GB18599-2020</w:t>
            </w:r>
            <w:r>
              <w:rPr>
                <w:rFonts w:hint="default"/>
                <w:color w:val="auto"/>
                <w:spacing w:val="-13"/>
                <w:sz w:val="24"/>
                <w:szCs w:val="24"/>
                <w:highlight w:val="none"/>
              </w:rPr>
              <w:t>）、《危险废物贮存污染物控制标准》（</w:t>
            </w:r>
            <w:r>
              <w:rPr>
                <w:rFonts w:hint="default" w:ascii="Times New Roman" w:hAnsi="Times New Roman" w:eastAsia="Times New Roman" w:cs="Times New Roman"/>
                <w:color w:val="auto"/>
                <w:spacing w:val="-13"/>
                <w:sz w:val="24"/>
                <w:szCs w:val="24"/>
                <w:highlight w:val="none"/>
              </w:rPr>
              <w:t>GB18597-2023</w:t>
            </w:r>
            <w:r>
              <w:rPr>
                <w:rFonts w:hint="default"/>
                <w:color w:val="auto"/>
                <w:spacing w:val="-13"/>
                <w:sz w:val="24"/>
                <w:szCs w:val="24"/>
                <w:highlight w:val="none"/>
              </w:rPr>
              <w:t>）</w:t>
            </w:r>
            <w:r>
              <w:rPr>
                <w:rFonts w:hint="default"/>
                <w:color w:val="auto"/>
                <w:spacing w:val="-2"/>
                <w:sz w:val="24"/>
                <w:szCs w:val="24"/>
                <w:highlight w:val="none"/>
              </w:rPr>
              <w:t>的相关规定执行。</w:t>
            </w:r>
          </w:p>
          <w:p w14:paraId="4B56809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color w:val="auto"/>
                <w:sz w:val="24"/>
                <w:szCs w:val="24"/>
                <w:highlight w:val="none"/>
              </w:rPr>
            </w:pPr>
            <w:r>
              <w:rPr>
                <w:rFonts w:hint="default" w:ascii="Times New Roman" w:hAnsi="Times New Roman" w:eastAsia="Times New Roman" w:cs="Times New Roman"/>
                <w:color w:val="auto"/>
                <w:spacing w:val="-1"/>
                <w:sz w:val="24"/>
                <w:szCs w:val="24"/>
                <w:highlight w:val="none"/>
              </w:rPr>
              <w:t>4</w:t>
            </w:r>
            <w:r>
              <w:rPr>
                <w:rFonts w:hint="default"/>
                <w:color w:val="auto"/>
                <w:spacing w:val="-1"/>
                <w:sz w:val="24"/>
                <w:szCs w:val="24"/>
                <w:highlight w:val="none"/>
              </w:rPr>
              <w:t>）各种废弃物的贮存时间一般不超过一年。</w:t>
            </w:r>
          </w:p>
          <w:p w14:paraId="6AA043B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04" w:firstLineChars="200"/>
              <w:jc w:val="left"/>
              <w:textAlignment w:val="auto"/>
              <w:rPr>
                <w:rFonts w:hint="default"/>
                <w:color w:val="auto"/>
                <w:spacing w:val="-2"/>
                <w:sz w:val="24"/>
                <w:szCs w:val="24"/>
                <w:highlight w:val="none"/>
              </w:rPr>
            </w:pPr>
            <w:r>
              <w:rPr>
                <w:rFonts w:hint="default" w:ascii="Times New Roman" w:hAnsi="Times New Roman" w:eastAsia="Times New Roman" w:cs="Times New Roman"/>
                <w:color w:val="auto"/>
                <w:spacing w:val="6"/>
                <w:sz w:val="24"/>
                <w:szCs w:val="24"/>
                <w:highlight w:val="none"/>
              </w:rPr>
              <w:t>5</w:t>
            </w:r>
            <w:r>
              <w:rPr>
                <w:rFonts w:hint="default"/>
                <w:color w:val="auto"/>
                <w:spacing w:val="6"/>
                <w:sz w:val="24"/>
                <w:szCs w:val="24"/>
                <w:highlight w:val="none"/>
              </w:rPr>
              <w:t>）固体废弃物应交给符合国家相关标准的废物处理单位处理，不得焚</w:t>
            </w:r>
            <w:r>
              <w:rPr>
                <w:rFonts w:hint="default"/>
                <w:color w:val="auto"/>
                <w:spacing w:val="-2"/>
                <w:sz w:val="24"/>
                <w:szCs w:val="24"/>
                <w:highlight w:val="none"/>
              </w:rPr>
              <w:t>烧、丢弃。</w:t>
            </w:r>
          </w:p>
          <w:p w14:paraId="1DAC6A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504" w:firstLineChars="200"/>
              <w:jc w:val="left"/>
              <w:textAlignment w:val="auto"/>
              <w:rPr>
                <w:rFonts w:hint="default" w:ascii="Times New Roman" w:hAnsi="Times New Roman" w:eastAsia="Times New Roman" w:cs="Times New Roman"/>
                <w:color w:val="auto"/>
                <w:spacing w:val="6"/>
                <w:sz w:val="24"/>
                <w:szCs w:val="24"/>
                <w:highlight w:val="none"/>
              </w:rPr>
            </w:pPr>
            <w:r>
              <w:rPr>
                <w:rFonts w:hint="default" w:ascii="Times New Roman" w:hAnsi="Times New Roman" w:eastAsia="Times New Roman" w:cs="Times New Roman"/>
                <w:color w:val="auto"/>
                <w:spacing w:val="6"/>
                <w:sz w:val="24"/>
                <w:szCs w:val="24"/>
                <w:highlight w:val="none"/>
              </w:rPr>
              <w:t>6）危险废物应交由具有相应资质的单位进行处置。</w:t>
            </w:r>
          </w:p>
          <w:p w14:paraId="0253BBA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72" w:firstLineChars="200"/>
              <w:jc w:val="center"/>
              <w:textAlignment w:val="auto"/>
              <w:rPr>
                <w:rFonts w:hint="default" w:ascii="Times New Roman" w:hAnsi="Times New Roman" w:eastAsia="Times New Roman" w:cs="Times New Roman"/>
                <w:color w:val="auto"/>
                <w:spacing w:val="6"/>
                <w:sz w:val="24"/>
                <w:szCs w:val="24"/>
                <w:highlight w:val="none"/>
              </w:rPr>
            </w:pPr>
            <w:r>
              <w:rPr>
                <w:rFonts w:hint="eastAsia" w:eastAsia="宋体"/>
                <w:color w:val="auto"/>
                <w:spacing w:val="-2"/>
                <w:sz w:val="24"/>
                <w:szCs w:val="24"/>
                <w:highlight w:val="none"/>
                <w:lang w:eastAsia="zh-CN"/>
              </w:rPr>
              <w:pict>
                <v:shape id="ECB019B1-382A-4266-B25C-5B523AA43C14-2" o:spid="ECB019B1-382A-4266-B25C-5B523AA43C14-2" o:spt="75" alt="C:/Users/Administrator/AppData/Local/Temp/wps.ZtooXGwps" type="#_x0000_t75" style="height:481.9pt;width:211.05pt;" filled="f" o:preferrelative="t" stroked="f" coordsize="21600,21600">
                  <v:path/>
                  <v:fill on="f" focussize="0,0"/>
                  <v:stroke on="f"/>
                  <v:imagedata r:id="rId14" o:title="wps"/>
                  <o:lock v:ext="edit" aspectratio="t"/>
                  <w10:wrap type="none"/>
                  <w10:anchorlock/>
                </v:shape>
              </w:pict>
            </w:r>
          </w:p>
          <w:p w14:paraId="6B6F2BF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b/>
                <w:bCs/>
                <w:color w:val="auto"/>
                <w:spacing w:val="-3"/>
                <w:sz w:val="21"/>
                <w:szCs w:val="21"/>
              </w:rPr>
            </w:pPr>
            <w:r>
              <w:rPr>
                <w:rFonts w:hint="default"/>
                <w:b/>
                <w:bCs/>
                <w:color w:val="auto"/>
                <w:spacing w:val="-3"/>
                <w:sz w:val="21"/>
                <w:szCs w:val="21"/>
              </w:rPr>
              <w:t>图</w:t>
            </w:r>
            <w:r>
              <w:rPr>
                <w:rFonts w:hint="default"/>
                <w:color w:val="auto"/>
                <w:spacing w:val="-52"/>
                <w:sz w:val="21"/>
                <w:szCs w:val="21"/>
              </w:rPr>
              <w:t xml:space="preserve"> </w:t>
            </w:r>
            <w:r>
              <w:rPr>
                <w:rFonts w:hint="default" w:ascii="Times New Roman" w:hAnsi="Times New Roman" w:eastAsia="Times New Roman" w:cs="Times New Roman"/>
                <w:b/>
                <w:bCs/>
                <w:color w:val="auto"/>
                <w:spacing w:val="-3"/>
                <w:sz w:val="21"/>
                <w:szCs w:val="21"/>
              </w:rPr>
              <w:t xml:space="preserve">5  </w:t>
            </w:r>
            <w:r>
              <w:rPr>
                <w:rFonts w:hint="default"/>
                <w:b/>
                <w:bCs/>
                <w:color w:val="auto"/>
                <w:spacing w:val="-3"/>
                <w:sz w:val="21"/>
                <w:szCs w:val="21"/>
              </w:rPr>
              <w:t>报废新能源汽车拆解工艺流程及产排污节点图</w:t>
            </w:r>
          </w:p>
          <w:p w14:paraId="4D12D3E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eastAsia="Times New Roman" w:cs="Times New Roman"/>
                <w:color w:val="auto"/>
                <w:spacing w:val="6"/>
                <w:sz w:val="24"/>
                <w:szCs w:val="24"/>
                <w:highlight w:val="none"/>
              </w:rPr>
            </w:pPr>
            <w:r>
              <w:rPr>
                <w:rFonts w:hint="eastAsia" w:eastAsia="宋体"/>
                <w:b/>
                <w:bCs/>
                <w:color w:val="auto"/>
                <w:spacing w:val="-3"/>
                <w:sz w:val="21"/>
                <w:szCs w:val="21"/>
                <w:lang w:eastAsia="zh-CN"/>
              </w:rPr>
              <w:pict>
                <v:shape id="ECB019B1-382A-4266-B25C-5B523AA43C14-3" o:spid="ECB019B1-382A-4266-B25C-5B523AA43C14-3" o:spt="75" alt="C:/Users/Administrator/AppData/Local/Temp/wps.jEanHKwps" type="#_x0000_t75" style="height:496.05pt;width:230.2pt;" filled="f" o:preferrelative="t" stroked="f" coordsize="21600,21600">
                  <v:path/>
                  <v:fill on="f" focussize="0,0"/>
                  <v:stroke on="f"/>
                  <v:imagedata r:id="rId15" o:title="wps"/>
                  <o:lock v:ext="edit" aspectratio="t"/>
                  <w10:wrap type="none"/>
                  <w10:anchorlock/>
                </v:shape>
              </w:pict>
            </w:r>
          </w:p>
          <w:p w14:paraId="731FDAE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b/>
                <w:bCs/>
                <w:color w:val="auto"/>
                <w:spacing w:val="-3"/>
                <w:sz w:val="21"/>
                <w:szCs w:val="21"/>
              </w:rPr>
            </w:pPr>
            <w:r>
              <w:rPr>
                <w:rFonts w:hint="default"/>
                <w:b/>
                <w:bCs/>
                <w:color w:val="auto"/>
                <w:spacing w:val="-3"/>
                <w:sz w:val="21"/>
                <w:szCs w:val="21"/>
              </w:rPr>
              <w:t>图 6  报废传统燃油车拆解工艺流程及产排污节点图</w:t>
            </w:r>
          </w:p>
          <w:p w14:paraId="626E2F55">
            <w:pPr>
              <w:keepNext w:val="0"/>
              <w:keepLines w:val="0"/>
              <w:suppressLineNumbers w:val="0"/>
              <w:adjustRightInd w:val="0"/>
              <w:snapToGrid w:val="0"/>
              <w:spacing w:before="0" w:beforeAutospacing="0" w:after="0" w:afterAutospacing="0" w:line="360" w:lineRule="auto"/>
              <w:ind w:left="0" w:right="0" w:firstLine="484" w:firstLineChars="200"/>
              <w:rPr>
                <w:rFonts w:hint="eastAsia" w:cs="Times New Roman"/>
                <w:color w:val="auto"/>
                <w:spacing w:val="1"/>
                <w:sz w:val="24"/>
                <w:highlight w:val="none"/>
                <w:lang w:val="en-US" w:eastAsia="zh-CN"/>
              </w:rPr>
            </w:pPr>
            <w:r>
              <w:rPr>
                <w:rFonts w:hint="eastAsia" w:cs="Times New Roman"/>
                <w:color w:val="auto"/>
                <w:spacing w:val="1"/>
                <w:sz w:val="24"/>
                <w:highlight w:val="none"/>
                <w:lang w:eastAsia="zh-CN"/>
              </w:rPr>
              <w:t>（</w:t>
            </w:r>
            <w:r>
              <w:rPr>
                <w:rFonts w:hint="eastAsia" w:cs="Times New Roman"/>
                <w:color w:val="auto"/>
                <w:spacing w:val="1"/>
                <w:sz w:val="24"/>
                <w:highlight w:val="none"/>
                <w:lang w:val="en-US" w:eastAsia="zh-CN"/>
              </w:rPr>
              <w:t>三）废钢加工生产线工艺流程</w:t>
            </w:r>
          </w:p>
          <w:p w14:paraId="02207F57">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34" w:firstLineChars="200"/>
              <w:jc w:val="both"/>
              <w:textAlignment w:val="auto"/>
              <w:outlineLvl w:val="5"/>
              <w:rPr>
                <w:rFonts w:hint="default" w:ascii="Times New Roman" w:hAnsi="Times New Roman" w:eastAsia="宋体" w:cs="Times New Roman"/>
                <w:color w:val="auto"/>
                <w:sz w:val="24"/>
                <w:szCs w:val="24"/>
              </w:rPr>
            </w:pPr>
            <w:r>
              <w:rPr>
                <w:rFonts w:hint="eastAsia" w:ascii="Times New Roman" w:hAnsi="Times New Roman" w:eastAsia="宋体" w:cs="Times New Roman"/>
                <w:b/>
                <w:bCs/>
                <w:color w:val="auto"/>
                <w:spacing w:val="-12"/>
                <w:sz w:val="24"/>
                <w:szCs w:val="24"/>
                <w:lang w:eastAsia="zh-CN"/>
              </w:rPr>
              <w:t>（</w:t>
            </w:r>
            <w:r>
              <w:rPr>
                <w:rFonts w:hint="eastAsia" w:ascii="Times New Roman" w:hAnsi="Times New Roman" w:eastAsia="宋体" w:cs="Times New Roman"/>
                <w:b/>
                <w:bCs/>
                <w:color w:val="auto"/>
                <w:spacing w:val="-12"/>
                <w:sz w:val="24"/>
                <w:szCs w:val="24"/>
                <w:lang w:val="en-US" w:eastAsia="zh-CN"/>
              </w:rPr>
              <w:t>1）</w:t>
            </w:r>
            <w:r>
              <w:rPr>
                <w:rFonts w:hint="default" w:ascii="Times New Roman" w:hAnsi="Times New Roman" w:eastAsia="宋体" w:cs="Times New Roman"/>
                <w:b/>
                <w:bCs/>
                <w:color w:val="auto"/>
                <w:spacing w:val="-12"/>
                <w:sz w:val="24"/>
                <w:szCs w:val="24"/>
              </w:rPr>
              <w:t>原料准备</w:t>
            </w:r>
          </w:p>
          <w:p w14:paraId="6353AECA">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装载废钢铁原料的运输车辆按照办公室调度，依次行驶到电子磅进行称重，</w:t>
            </w:r>
            <w:r>
              <w:rPr>
                <w:rFonts w:hint="default" w:ascii="Times New Roman" w:hAnsi="Times New Roman" w:eastAsia="宋体" w:cs="Times New Roman"/>
                <w:color w:val="auto"/>
                <w:spacing w:val="-6"/>
                <w:sz w:val="24"/>
                <w:szCs w:val="24"/>
              </w:rPr>
              <w:t>原料由人工进行摊平、分选、归类，分别将薄</w:t>
            </w:r>
            <w:r>
              <w:rPr>
                <w:rFonts w:hint="default" w:ascii="Times New Roman" w:hAnsi="Times New Roman" w:eastAsia="宋体" w:cs="Times New Roman"/>
                <w:color w:val="auto"/>
                <w:spacing w:val="-7"/>
                <w:sz w:val="24"/>
                <w:szCs w:val="24"/>
              </w:rPr>
              <w:t>料、生件、钢件、铁丝组等分类</w:t>
            </w:r>
            <w:r>
              <w:rPr>
                <w:rFonts w:hint="eastAsia" w:cs="Times New Roman"/>
                <w:color w:val="auto"/>
                <w:spacing w:val="-7"/>
                <w:sz w:val="24"/>
                <w:szCs w:val="24"/>
                <w:lang w:eastAsia="zh-CN"/>
              </w:rPr>
              <w:t>拣出</w:t>
            </w:r>
            <w:r>
              <w:rPr>
                <w:rFonts w:hint="default" w:ascii="Times New Roman" w:hAnsi="Times New Roman" w:eastAsia="宋体" w:cs="Times New Roman"/>
                <w:color w:val="auto"/>
                <w:spacing w:val="-7"/>
                <w:sz w:val="24"/>
                <w:szCs w:val="24"/>
              </w:rPr>
              <w:t>堆存。</w:t>
            </w:r>
          </w:p>
          <w:p w14:paraId="173CAA0C">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38" w:firstLineChars="200"/>
              <w:jc w:val="both"/>
              <w:textAlignment w:val="auto"/>
              <w:outlineLvl w:val="5"/>
              <w:rPr>
                <w:rFonts w:hint="default" w:ascii="Times New Roman" w:hAnsi="Times New Roman" w:eastAsia="宋体" w:cs="Times New Roman"/>
                <w:color w:val="auto"/>
                <w:sz w:val="24"/>
                <w:szCs w:val="24"/>
              </w:rPr>
            </w:pPr>
            <w:r>
              <w:rPr>
                <w:rFonts w:hint="eastAsia" w:ascii="Times New Roman" w:hAnsi="Times New Roman" w:eastAsia="宋体" w:cs="Times New Roman"/>
                <w:b/>
                <w:bCs/>
                <w:color w:val="auto"/>
                <w:spacing w:val="-11"/>
                <w:sz w:val="24"/>
                <w:szCs w:val="24"/>
                <w:lang w:eastAsia="zh-CN"/>
              </w:rPr>
              <w:t>（</w:t>
            </w:r>
            <w:r>
              <w:rPr>
                <w:rFonts w:hint="eastAsia" w:ascii="Times New Roman" w:hAnsi="Times New Roman" w:eastAsia="宋体" w:cs="Times New Roman"/>
                <w:b/>
                <w:bCs/>
                <w:color w:val="auto"/>
                <w:spacing w:val="-11"/>
                <w:sz w:val="24"/>
                <w:szCs w:val="24"/>
                <w:lang w:val="en-US" w:eastAsia="zh-CN"/>
              </w:rPr>
              <w:t>2）</w:t>
            </w:r>
            <w:r>
              <w:rPr>
                <w:rFonts w:hint="default" w:ascii="Times New Roman" w:hAnsi="Times New Roman" w:eastAsia="宋体" w:cs="Times New Roman"/>
                <w:b/>
                <w:bCs/>
                <w:color w:val="auto"/>
                <w:spacing w:val="-11"/>
                <w:sz w:val="24"/>
                <w:szCs w:val="24"/>
              </w:rPr>
              <w:t>原料预处理</w:t>
            </w:r>
          </w:p>
          <w:p w14:paraId="5F1FAE54">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28" w:firstLineChars="200"/>
              <w:jc w:val="both"/>
              <w:textAlignment w:val="auto"/>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13"/>
                <w:sz w:val="24"/>
                <w:szCs w:val="24"/>
              </w:rPr>
              <w:t>不便于直接进入破碎主机的原料，如长薄料、超厚料、异型钢、</w:t>
            </w:r>
            <w:r>
              <w:rPr>
                <w:rFonts w:hint="default" w:ascii="Times New Roman" w:hAnsi="Times New Roman" w:eastAsia="宋体" w:cs="Times New Roman"/>
                <w:color w:val="auto"/>
                <w:spacing w:val="23"/>
                <w:sz w:val="24"/>
                <w:szCs w:val="24"/>
              </w:rPr>
              <w:t>大块废钢等送至龙门的切机进行剪切，剪切后物料长度约为</w:t>
            </w:r>
            <w:r>
              <w:rPr>
                <w:rFonts w:hint="default" w:ascii="Times New Roman" w:hAnsi="Times New Roman" w:eastAsia="宋体" w:cs="Times New Roman"/>
                <w:color w:val="auto"/>
                <w:sz w:val="24"/>
                <w:szCs w:val="24"/>
              </w:rPr>
              <w:t>250mm.铁丝绳、蓬松铁用等不能破碎的原料需进行打包处理，采</w:t>
            </w:r>
            <w:r>
              <w:rPr>
                <w:rFonts w:hint="default" w:ascii="Times New Roman" w:hAnsi="Times New Roman" w:eastAsia="宋体" w:cs="Times New Roman"/>
                <w:color w:val="auto"/>
                <w:spacing w:val="-6"/>
                <w:sz w:val="24"/>
                <w:szCs w:val="24"/>
              </w:rPr>
              <w:t>用液压打包机，直接打包成</w:t>
            </w:r>
            <w:r>
              <w:rPr>
                <w:rFonts w:hint="default" w:ascii="Times New Roman" w:hAnsi="Times New Roman" w:eastAsia="宋体" w:cs="Times New Roman"/>
                <w:color w:val="auto"/>
                <w:spacing w:val="-58"/>
                <w:sz w:val="24"/>
                <w:szCs w:val="24"/>
              </w:rPr>
              <w:t xml:space="preserve"> </w:t>
            </w:r>
            <w:r>
              <w:rPr>
                <w:rFonts w:hint="default" w:ascii="Times New Roman" w:hAnsi="Times New Roman" w:eastAsia="宋体" w:cs="Times New Roman"/>
                <w:color w:val="auto"/>
                <w:spacing w:val="-6"/>
                <w:sz w:val="24"/>
                <w:szCs w:val="24"/>
              </w:rPr>
              <w:t>500X500x500m</w:t>
            </w:r>
            <w:r>
              <w:rPr>
                <w:rFonts w:hint="default" w:ascii="Times New Roman" w:hAnsi="Times New Roman" w:eastAsia="宋体" w:cs="Times New Roman"/>
                <w:color w:val="auto"/>
                <w:spacing w:val="-39"/>
                <w:sz w:val="24"/>
                <w:szCs w:val="24"/>
              </w:rPr>
              <w:t xml:space="preserve"> </w:t>
            </w:r>
            <w:r>
              <w:rPr>
                <w:rFonts w:hint="default" w:ascii="Times New Roman" w:hAnsi="Times New Roman" w:eastAsia="宋体" w:cs="Times New Roman"/>
                <w:color w:val="auto"/>
                <w:spacing w:val="-6"/>
                <w:sz w:val="24"/>
                <w:szCs w:val="24"/>
              </w:rPr>
              <w:t>的废钢压块，之后进入</w:t>
            </w:r>
            <w:r>
              <w:rPr>
                <w:rFonts w:hint="default" w:ascii="Times New Roman" w:hAnsi="Times New Roman" w:eastAsia="宋体" w:cs="Times New Roman"/>
                <w:color w:val="auto"/>
                <w:spacing w:val="-4"/>
                <w:sz w:val="24"/>
                <w:szCs w:val="24"/>
              </w:rPr>
              <w:t>成品库。</w:t>
            </w:r>
          </w:p>
          <w:p w14:paraId="29E2133D">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90" w:firstLineChars="200"/>
              <w:jc w:val="both"/>
              <w:textAlignment w:val="auto"/>
              <w:rPr>
                <w:rFonts w:hint="default" w:ascii="Times New Roman" w:hAnsi="Times New Roman" w:eastAsia="宋体" w:cs="Times New Roman"/>
                <w:b/>
                <w:bCs/>
                <w:color w:val="auto"/>
                <w:spacing w:val="-4"/>
                <w:sz w:val="24"/>
                <w:szCs w:val="24"/>
              </w:rPr>
            </w:pPr>
            <w:r>
              <w:rPr>
                <w:rFonts w:hint="default"/>
                <w:b/>
                <w:bCs/>
                <w:color w:val="auto"/>
                <w:spacing w:val="2"/>
                <w:sz w:val="24"/>
                <w:szCs w:val="24"/>
                <w:highlight w:val="none"/>
              </w:rPr>
              <w:t>产污环节：</w:t>
            </w:r>
            <w:r>
              <w:rPr>
                <w:rFonts w:hint="eastAsia"/>
                <w:b/>
                <w:bCs/>
                <w:color w:val="auto"/>
                <w:spacing w:val="2"/>
                <w:sz w:val="24"/>
                <w:szCs w:val="24"/>
                <w:highlight w:val="none"/>
                <w:lang w:val="en-US" w:eastAsia="zh-CN"/>
              </w:rPr>
              <w:t>切割、打包</w:t>
            </w:r>
            <w:r>
              <w:rPr>
                <w:rFonts w:hint="default"/>
                <w:b/>
                <w:bCs/>
                <w:color w:val="auto"/>
                <w:spacing w:val="2"/>
                <w:sz w:val="24"/>
                <w:szCs w:val="24"/>
                <w:highlight w:val="none"/>
              </w:rPr>
              <w:t>过程产生的粉尘经集气罩收集后</w:t>
            </w:r>
            <w:r>
              <w:rPr>
                <w:rFonts w:hint="default"/>
                <w:b/>
                <w:bCs/>
                <w:color w:val="auto"/>
                <w:spacing w:val="1"/>
                <w:sz w:val="24"/>
                <w:szCs w:val="24"/>
                <w:highlight w:val="none"/>
              </w:rPr>
              <w:t>，经布袋</w:t>
            </w:r>
            <w:r>
              <w:rPr>
                <w:rFonts w:hint="default"/>
                <w:b/>
                <w:bCs/>
                <w:color w:val="auto"/>
                <w:sz w:val="24"/>
                <w:szCs w:val="24"/>
                <w:highlight w:val="none"/>
              </w:rPr>
              <w:t>除尘器处理后，由</w:t>
            </w:r>
            <w:r>
              <w:rPr>
                <w:rFonts w:hint="default" w:ascii="Times New Roman" w:hAnsi="Times New Roman" w:eastAsia="Times New Roman" w:cs="Times New Roman"/>
                <w:b/>
                <w:bCs/>
                <w:color w:val="auto"/>
                <w:sz w:val="24"/>
                <w:szCs w:val="24"/>
                <w:highlight w:val="none"/>
              </w:rPr>
              <w:t>1</w:t>
            </w:r>
            <w:r>
              <w:rPr>
                <w:rFonts w:hint="default"/>
                <w:b/>
                <w:bCs/>
                <w:color w:val="auto"/>
                <w:sz w:val="24"/>
                <w:szCs w:val="24"/>
                <w:highlight w:val="none"/>
              </w:rPr>
              <w:t>根</w:t>
            </w:r>
            <w:r>
              <w:rPr>
                <w:rFonts w:hint="eastAsia"/>
                <w:b/>
                <w:bCs/>
                <w:color w:val="auto"/>
                <w:spacing w:val="-29"/>
                <w:sz w:val="24"/>
                <w:szCs w:val="24"/>
                <w:highlight w:val="none"/>
                <w:lang w:val="en-US" w:eastAsia="zh-CN"/>
              </w:rPr>
              <w:t>24m</w:t>
            </w:r>
            <w:r>
              <w:rPr>
                <w:rFonts w:hint="default"/>
                <w:b/>
                <w:bCs/>
                <w:color w:val="auto"/>
                <w:sz w:val="24"/>
                <w:szCs w:val="24"/>
                <w:highlight w:val="none"/>
              </w:rPr>
              <w:t>高排气筒</w:t>
            </w:r>
            <w:r>
              <w:rPr>
                <w:rFonts w:hint="default" w:ascii="Times New Roman" w:hAnsi="Times New Roman" w:eastAsia="Times New Roman" w:cs="Times New Roman"/>
                <w:b/>
                <w:bCs/>
                <w:color w:val="auto"/>
                <w:sz w:val="24"/>
                <w:szCs w:val="24"/>
                <w:highlight w:val="none"/>
              </w:rPr>
              <w:t>DA00</w:t>
            </w:r>
            <w:r>
              <w:rPr>
                <w:rFonts w:hint="eastAsia" w:eastAsia="宋体" w:cs="Times New Roman"/>
                <w:b/>
                <w:bCs/>
                <w:color w:val="auto"/>
                <w:sz w:val="24"/>
                <w:szCs w:val="24"/>
                <w:highlight w:val="none"/>
                <w:lang w:val="en-US" w:eastAsia="zh-CN"/>
              </w:rPr>
              <w:t>3</w:t>
            </w:r>
            <w:r>
              <w:rPr>
                <w:rFonts w:hint="default"/>
                <w:b/>
                <w:bCs/>
                <w:color w:val="auto"/>
                <w:sz w:val="24"/>
                <w:szCs w:val="24"/>
                <w:highlight w:val="none"/>
              </w:rPr>
              <w:t>有组织</w:t>
            </w:r>
            <w:r>
              <w:rPr>
                <w:rFonts w:hint="default"/>
                <w:b/>
                <w:bCs/>
                <w:color w:val="auto"/>
                <w:spacing w:val="-1"/>
                <w:sz w:val="24"/>
                <w:szCs w:val="24"/>
                <w:highlight w:val="none"/>
              </w:rPr>
              <w:t>排放；切割</w:t>
            </w:r>
            <w:r>
              <w:rPr>
                <w:rFonts w:hint="eastAsia"/>
                <w:b/>
                <w:bCs/>
                <w:color w:val="auto"/>
                <w:spacing w:val="-1"/>
                <w:sz w:val="24"/>
                <w:szCs w:val="24"/>
                <w:highlight w:val="none"/>
                <w:lang w:val="en-US" w:eastAsia="zh-CN"/>
              </w:rPr>
              <w:t>打包</w:t>
            </w:r>
            <w:r>
              <w:rPr>
                <w:rFonts w:hint="eastAsia"/>
                <w:b/>
                <w:bCs/>
                <w:color w:val="auto"/>
                <w:spacing w:val="2"/>
                <w:sz w:val="24"/>
                <w:szCs w:val="24"/>
                <w:highlight w:val="none"/>
                <w:lang w:val="en-US" w:eastAsia="zh-CN"/>
              </w:rPr>
              <w:t>过程产生的设备噪声</w:t>
            </w:r>
            <w:r>
              <w:rPr>
                <w:rFonts w:hint="eastAsia" w:ascii="Times New Roman" w:hAnsi="Times New Roman"/>
                <w:b/>
                <w:bCs/>
                <w:color w:val="auto"/>
                <w:spacing w:val="-3"/>
                <w:sz w:val="24"/>
                <w:szCs w:val="24"/>
                <w:lang w:val="en-US" w:eastAsia="zh-CN"/>
              </w:rPr>
              <w:t>采取厂房隔声降噪等措施降低噪声排放</w:t>
            </w:r>
            <w:r>
              <w:rPr>
                <w:rFonts w:hint="eastAsia"/>
                <w:b/>
                <w:bCs/>
                <w:color w:val="auto"/>
                <w:spacing w:val="1"/>
                <w:sz w:val="24"/>
                <w:szCs w:val="24"/>
                <w:highlight w:val="none"/>
                <w:lang w:val="en-US" w:eastAsia="zh-CN"/>
              </w:rPr>
              <w:t xml:space="preserve"> </w:t>
            </w:r>
            <w:r>
              <w:rPr>
                <w:rFonts w:hint="default"/>
                <w:b/>
                <w:bCs/>
                <w:color w:val="auto"/>
                <w:spacing w:val="1"/>
                <w:sz w:val="24"/>
                <w:szCs w:val="24"/>
                <w:highlight w:val="none"/>
              </w:rPr>
              <w:t>。</w:t>
            </w:r>
          </w:p>
          <w:p w14:paraId="16E98F65">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34" w:firstLineChars="200"/>
              <w:jc w:val="both"/>
              <w:textAlignment w:val="auto"/>
              <w:outlineLvl w:val="5"/>
              <w:rPr>
                <w:rFonts w:hint="default" w:ascii="Times New Roman" w:hAnsi="Times New Roman" w:eastAsia="宋体" w:cs="Times New Roman"/>
                <w:color w:val="auto"/>
                <w:sz w:val="24"/>
                <w:szCs w:val="24"/>
              </w:rPr>
            </w:pPr>
            <w:r>
              <w:rPr>
                <w:rFonts w:hint="eastAsia" w:ascii="Times New Roman" w:hAnsi="Times New Roman" w:eastAsia="宋体" w:cs="Times New Roman"/>
                <w:b/>
                <w:bCs/>
                <w:color w:val="auto"/>
                <w:spacing w:val="-12"/>
                <w:sz w:val="24"/>
                <w:szCs w:val="24"/>
                <w:lang w:eastAsia="zh-CN"/>
              </w:rPr>
              <w:t>（</w:t>
            </w:r>
            <w:r>
              <w:rPr>
                <w:rFonts w:hint="eastAsia" w:ascii="Times New Roman" w:hAnsi="Times New Roman" w:eastAsia="宋体" w:cs="Times New Roman"/>
                <w:b/>
                <w:bCs/>
                <w:color w:val="auto"/>
                <w:spacing w:val="-12"/>
                <w:sz w:val="24"/>
                <w:szCs w:val="24"/>
                <w:lang w:val="en-US" w:eastAsia="zh-CN"/>
              </w:rPr>
              <w:t>3）</w:t>
            </w:r>
            <w:r>
              <w:rPr>
                <w:rFonts w:hint="default" w:ascii="Times New Roman" w:hAnsi="Times New Roman" w:eastAsia="宋体" w:cs="Times New Roman"/>
                <w:b/>
                <w:bCs/>
                <w:color w:val="auto"/>
                <w:spacing w:val="-12"/>
                <w:sz w:val="24"/>
                <w:szCs w:val="24"/>
              </w:rPr>
              <w:t>原料破碎</w:t>
            </w:r>
          </w:p>
          <w:p w14:paraId="167DD1ED">
            <w:pPr>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56" w:firstLineChars="20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spacing w:val="-6"/>
                <w:sz w:val="24"/>
                <w:szCs w:val="24"/>
              </w:rPr>
              <w:t>剪切后的物料及生件、钢件等进入废钢破碎生产线。首先由</w:t>
            </w:r>
            <w:r>
              <w:rPr>
                <w:rFonts w:hint="default" w:ascii="Times New Roman" w:hAnsi="Times New Roman" w:eastAsia="宋体" w:cs="Times New Roman"/>
                <w:color w:val="auto"/>
                <w:spacing w:val="-1"/>
                <w:sz w:val="24"/>
                <w:szCs w:val="24"/>
              </w:rPr>
              <w:t>抓钢机将物料放置在链板式上料输送机上，同步采用磁力航吊辅</w:t>
            </w:r>
            <w:r>
              <w:rPr>
                <w:rFonts w:hint="default" w:ascii="Times New Roman" w:hAnsi="Times New Roman" w:eastAsia="宋体" w:cs="Times New Roman"/>
                <w:color w:val="auto"/>
                <w:spacing w:val="-8"/>
                <w:sz w:val="24"/>
                <w:szCs w:val="24"/>
              </w:rPr>
              <w:t>助上料，磁力航吊悬浮在原科堆上利用磁力将物料吸附在圆然上，</w:t>
            </w:r>
            <w:r>
              <w:rPr>
                <w:rFonts w:hint="default" w:ascii="Times New Roman" w:hAnsi="Times New Roman" w:eastAsia="宋体" w:cs="Times New Roman"/>
                <w:color w:val="auto"/>
                <w:spacing w:val="-1"/>
                <w:sz w:val="24"/>
                <w:szCs w:val="24"/>
              </w:rPr>
              <w:t>操纵至上相输送机后卸料，一并将物料输送至破碎主机。破碎主机内设有若干个固定在主轴上的圆盘和安装在圆盘之间可以自由</w:t>
            </w:r>
            <w:r>
              <w:rPr>
                <w:rFonts w:hint="default" w:ascii="Times New Roman" w:hAnsi="Times New Roman" w:eastAsia="宋体" w:cs="Times New Roman"/>
                <w:color w:val="auto"/>
                <w:spacing w:val="-8"/>
                <w:sz w:val="24"/>
                <w:szCs w:val="24"/>
              </w:rPr>
              <w:t>摆支的锤头，通过锤头</w:t>
            </w:r>
            <w:r>
              <w:rPr>
                <w:rFonts w:hint="eastAsia" w:cs="Times New Roman"/>
                <w:color w:val="auto"/>
                <w:spacing w:val="-8"/>
                <w:sz w:val="24"/>
                <w:szCs w:val="24"/>
                <w:lang w:eastAsia="zh-CN"/>
              </w:rPr>
              <w:t>高速旋转</w:t>
            </w:r>
            <w:r>
              <w:rPr>
                <w:rFonts w:hint="default" w:ascii="Times New Roman" w:hAnsi="Times New Roman" w:eastAsia="宋体" w:cs="Times New Roman"/>
                <w:color w:val="auto"/>
                <w:spacing w:val="-8"/>
                <w:sz w:val="24"/>
                <w:szCs w:val="24"/>
              </w:rPr>
              <w:t>对度钢进行锤、撕、碎等的处理，</w:t>
            </w:r>
            <w:r>
              <w:rPr>
                <w:rFonts w:hint="default" w:ascii="Times New Roman" w:hAnsi="Times New Roman" w:eastAsia="宋体" w:cs="Times New Roman"/>
                <w:color w:val="auto"/>
                <w:spacing w:val="-1"/>
                <w:sz w:val="24"/>
                <w:szCs w:val="24"/>
              </w:rPr>
              <w:t>将</w:t>
            </w:r>
            <w:r>
              <w:rPr>
                <w:rFonts w:hint="eastAsia" w:cs="Times New Roman"/>
                <w:color w:val="auto"/>
                <w:spacing w:val="-1"/>
                <w:sz w:val="24"/>
                <w:szCs w:val="24"/>
                <w:lang w:eastAsia="zh-CN"/>
              </w:rPr>
              <w:t>物料</w:t>
            </w:r>
            <w:r>
              <w:rPr>
                <w:rFonts w:hint="default" w:ascii="Times New Roman" w:hAnsi="Times New Roman" w:eastAsia="宋体" w:cs="Times New Roman"/>
                <w:color w:val="auto"/>
                <w:spacing w:val="-1"/>
                <w:sz w:val="24"/>
                <w:szCs w:val="24"/>
              </w:rPr>
              <w:t>处理成</w:t>
            </w:r>
            <w:r>
              <w:rPr>
                <w:rFonts w:hint="eastAsia" w:cs="Times New Roman"/>
                <w:color w:val="auto"/>
                <w:spacing w:val="-1"/>
                <w:sz w:val="24"/>
                <w:szCs w:val="24"/>
                <w:lang w:eastAsia="zh-CN"/>
              </w:rPr>
              <w:t>块状</w:t>
            </w:r>
            <w:r>
              <w:rPr>
                <w:rFonts w:hint="default" w:ascii="Times New Roman" w:hAnsi="Times New Roman" w:eastAsia="宋体" w:cs="Times New Roman"/>
                <w:color w:val="auto"/>
                <w:spacing w:val="-1"/>
                <w:sz w:val="24"/>
                <w:szCs w:val="24"/>
              </w:rPr>
              <w:t>成团</w:t>
            </w:r>
            <w:r>
              <w:rPr>
                <w:rFonts w:hint="eastAsia" w:cs="Times New Roman"/>
                <w:color w:val="auto"/>
                <w:spacing w:val="-1"/>
                <w:sz w:val="24"/>
                <w:szCs w:val="24"/>
                <w:lang w:eastAsia="zh-CN"/>
              </w:rPr>
              <w:t>状</w:t>
            </w:r>
            <w:r>
              <w:rPr>
                <w:rFonts w:hint="default" w:ascii="Times New Roman" w:hAnsi="Times New Roman" w:eastAsia="宋体" w:cs="Times New Roman"/>
                <w:color w:val="auto"/>
                <w:spacing w:val="-1"/>
                <w:sz w:val="24"/>
                <w:szCs w:val="24"/>
              </w:rPr>
              <w:t>，粒径为</w:t>
            </w:r>
            <w:r>
              <w:rPr>
                <w:rFonts w:hint="default" w:ascii="Times New Roman" w:hAnsi="Times New Roman" w:eastAsia="宋体" w:cs="Times New Roman"/>
                <w:color w:val="auto"/>
                <w:spacing w:val="-54"/>
                <w:sz w:val="24"/>
                <w:szCs w:val="24"/>
              </w:rPr>
              <w:t xml:space="preserve"> </w:t>
            </w:r>
            <w:r>
              <w:rPr>
                <w:rFonts w:hint="default" w:ascii="Times New Roman" w:hAnsi="Times New Roman" w:eastAsia="宋体" w:cs="Times New Roman"/>
                <w:color w:val="auto"/>
                <w:spacing w:val="-1"/>
                <w:sz w:val="24"/>
                <w:szCs w:val="24"/>
              </w:rPr>
              <w:t>70mm-200</w:t>
            </w:r>
            <w:r>
              <w:rPr>
                <w:rFonts w:hint="default" w:ascii="Times New Roman" w:hAnsi="Times New Roman" w:eastAsia="宋体" w:cs="Times New Roman"/>
                <w:color w:val="auto"/>
                <w:spacing w:val="-2"/>
                <w:sz w:val="24"/>
                <w:szCs w:val="24"/>
              </w:rPr>
              <w:t>mm</w:t>
            </w:r>
            <w:r>
              <w:rPr>
                <w:rFonts w:hint="eastAsia" w:cs="Times New Roman"/>
                <w:color w:val="auto"/>
                <w:spacing w:val="-2"/>
                <w:sz w:val="24"/>
                <w:szCs w:val="24"/>
                <w:lang w:eastAsia="zh-CN"/>
              </w:rPr>
              <w:t>。</w:t>
            </w:r>
          </w:p>
          <w:p w14:paraId="5DF983A3">
            <w:pPr>
              <w:keepNext w:val="0"/>
              <w:keepLines w:val="0"/>
              <w:pageBreakBefore w:val="0"/>
              <w:widowControl w:val="0"/>
              <w:suppressLineNumbers w:val="0"/>
              <w:kinsoku/>
              <w:wordWrap/>
              <w:overflowPunct w:val="0"/>
              <w:topLinePunct w:val="0"/>
              <w:autoSpaceDE w:val="0"/>
              <w:autoSpaceDN w:val="0"/>
              <w:bidi w:val="0"/>
              <w:adjustRightInd w:val="0"/>
              <w:snapToGrid w:val="0"/>
              <w:spacing w:before="0" w:beforeAutospacing="0" w:after="0" w:afterAutospacing="0" w:line="360" w:lineRule="auto"/>
              <w:ind w:left="0" w:right="0" w:firstLine="476" w:firstLineChars="200"/>
              <w:jc w:val="both"/>
              <w:textAlignment w:val="auto"/>
              <w:rPr>
                <w:rFonts w:hint="default" w:ascii="Times New Roman" w:hAnsi="Times New Roman" w:eastAsia="宋体" w:cs="Times New Roman"/>
                <w:color w:val="auto"/>
                <w:spacing w:val="-1"/>
                <w:sz w:val="24"/>
                <w:szCs w:val="24"/>
              </w:rPr>
            </w:pPr>
            <w:r>
              <w:rPr>
                <w:rFonts w:hint="default" w:ascii="Times New Roman" w:hAnsi="Times New Roman" w:eastAsia="宋体" w:cs="Times New Roman"/>
                <w:color w:val="auto"/>
                <w:spacing w:val="-1"/>
                <w:sz w:val="24"/>
                <w:szCs w:val="24"/>
              </w:rPr>
              <w:t>破碎后的物料由振动给料机输送至上置式永选滚</w:t>
            </w:r>
            <w:r>
              <w:rPr>
                <w:rFonts w:hint="eastAsia" w:ascii="Times New Roman" w:hAnsi="Times New Roman" w:eastAsia="宋体" w:cs="Times New Roman"/>
                <w:color w:val="auto"/>
                <w:spacing w:val="-1"/>
                <w:sz w:val="24"/>
                <w:szCs w:val="24"/>
                <w:lang w:val="en-US" w:eastAsia="zh-CN"/>
              </w:rPr>
              <w:t>筒</w:t>
            </w:r>
            <w:r>
              <w:rPr>
                <w:rFonts w:hint="default" w:ascii="Times New Roman" w:hAnsi="Times New Roman" w:eastAsia="宋体" w:cs="Times New Roman"/>
                <w:color w:val="auto"/>
                <w:spacing w:val="-1"/>
                <w:sz w:val="24"/>
                <w:szCs w:val="24"/>
              </w:rPr>
              <w:t>，对物料进磁选。磁选出的钢铁即为成品，经出料皮带式输送机输送至成</w:t>
            </w:r>
            <w:r>
              <w:rPr>
                <w:rFonts w:hint="default" w:ascii="Times New Roman" w:hAnsi="Times New Roman" w:eastAsia="宋体" w:cs="Times New Roman"/>
                <w:color w:val="auto"/>
                <w:spacing w:val="1"/>
                <w:sz w:val="24"/>
                <w:szCs w:val="24"/>
              </w:rPr>
              <w:t>品堆待售。有色金属等非铁料经非磁选出料皮带式</w:t>
            </w:r>
            <w:r>
              <w:rPr>
                <w:rFonts w:hint="default" w:ascii="Times New Roman" w:hAnsi="Times New Roman" w:eastAsia="宋体" w:cs="Times New Roman"/>
                <w:color w:val="auto"/>
                <w:sz w:val="24"/>
                <w:szCs w:val="24"/>
              </w:rPr>
              <w:t>输送机输出，</w:t>
            </w:r>
            <w:r>
              <w:rPr>
                <w:rFonts w:hint="default" w:ascii="Times New Roman" w:hAnsi="Times New Roman" w:eastAsia="宋体" w:cs="Times New Roman"/>
                <w:color w:val="auto"/>
                <w:spacing w:val="-1"/>
                <w:sz w:val="24"/>
                <w:szCs w:val="24"/>
              </w:rPr>
              <w:t>在输送机上方设置悬挂式除铁器进行二次磁选，将混入的废钢铁料吸出。在非磁选皮带式出料输送机</w:t>
            </w:r>
            <w:r>
              <w:rPr>
                <w:rFonts w:hint="eastAsia" w:cs="Times New Roman"/>
                <w:color w:val="auto"/>
                <w:spacing w:val="-1"/>
                <w:sz w:val="24"/>
                <w:szCs w:val="24"/>
                <w:lang w:eastAsia="zh-CN"/>
              </w:rPr>
              <w:t>旁</w:t>
            </w:r>
            <w:r>
              <w:rPr>
                <w:rFonts w:hint="default" w:ascii="Times New Roman" w:hAnsi="Times New Roman" w:eastAsia="宋体" w:cs="Times New Roman"/>
                <w:color w:val="auto"/>
                <w:spacing w:val="-1"/>
                <w:sz w:val="24"/>
                <w:szCs w:val="24"/>
              </w:rPr>
              <w:t>设有站台，在慢速输送</w:t>
            </w:r>
            <w:r>
              <w:rPr>
                <w:rFonts w:hint="default" w:ascii="Times New Roman" w:hAnsi="Times New Roman" w:eastAsia="宋体" w:cs="Times New Roman"/>
                <w:color w:val="auto"/>
                <w:spacing w:val="-7"/>
                <w:sz w:val="24"/>
                <w:szCs w:val="24"/>
              </w:rPr>
              <w:t>过程中便于分拣人员进行人工挑选，将夹杂在非磁性物质中的铜、</w:t>
            </w:r>
            <w:r>
              <w:rPr>
                <w:rFonts w:hint="default" w:ascii="Times New Roman" w:hAnsi="Times New Roman" w:eastAsia="宋体" w:cs="Times New Roman"/>
                <w:color w:val="auto"/>
                <w:spacing w:val="-1"/>
                <w:sz w:val="24"/>
                <w:szCs w:val="24"/>
              </w:rPr>
              <w:t>铝等有色金属挑选出，剩余废渣土等输出后归堆。</w:t>
            </w:r>
          </w:p>
          <w:p w14:paraId="02774CCA">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r>
              <w:rPr>
                <w:rFonts w:hint="default"/>
                <w:b/>
                <w:bCs/>
                <w:color w:val="auto"/>
                <w:spacing w:val="2"/>
                <w:sz w:val="24"/>
                <w:szCs w:val="24"/>
                <w:highlight w:val="none"/>
              </w:rPr>
              <w:t>产污环节：</w:t>
            </w:r>
            <w:r>
              <w:rPr>
                <w:rFonts w:hint="eastAsia"/>
                <w:b/>
                <w:bCs/>
                <w:color w:val="auto"/>
                <w:spacing w:val="2"/>
                <w:sz w:val="24"/>
                <w:szCs w:val="24"/>
                <w:highlight w:val="none"/>
                <w:lang w:val="en-US" w:eastAsia="zh-CN"/>
              </w:rPr>
              <w:t>破碎以及磁选过程产生的</w:t>
            </w:r>
            <w:r>
              <w:rPr>
                <w:rFonts w:hint="default"/>
                <w:b/>
                <w:bCs/>
                <w:color w:val="auto"/>
                <w:spacing w:val="2"/>
                <w:sz w:val="24"/>
                <w:szCs w:val="24"/>
                <w:highlight w:val="none"/>
              </w:rPr>
              <w:t>粉尘经集气罩收集后</w:t>
            </w:r>
            <w:r>
              <w:rPr>
                <w:rFonts w:hint="default"/>
                <w:b/>
                <w:bCs/>
                <w:color w:val="auto"/>
                <w:spacing w:val="1"/>
                <w:sz w:val="24"/>
                <w:szCs w:val="24"/>
                <w:highlight w:val="none"/>
              </w:rPr>
              <w:t>，经布袋</w:t>
            </w:r>
            <w:r>
              <w:rPr>
                <w:rFonts w:hint="default"/>
                <w:b/>
                <w:bCs/>
                <w:color w:val="auto"/>
                <w:sz w:val="24"/>
                <w:szCs w:val="24"/>
                <w:highlight w:val="none"/>
              </w:rPr>
              <w:t>除尘器处理后，由</w:t>
            </w:r>
            <w:r>
              <w:rPr>
                <w:rFonts w:hint="default" w:ascii="Times New Roman" w:hAnsi="Times New Roman" w:eastAsia="Times New Roman" w:cs="Times New Roman"/>
                <w:b/>
                <w:bCs/>
                <w:color w:val="auto"/>
                <w:sz w:val="24"/>
                <w:szCs w:val="24"/>
                <w:highlight w:val="none"/>
              </w:rPr>
              <w:t>1</w:t>
            </w:r>
            <w:r>
              <w:rPr>
                <w:rFonts w:hint="default"/>
                <w:b/>
                <w:bCs/>
                <w:color w:val="auto"/>
                <w:sz w:val="24"/>
                <w:szCs w:val="24"/>
                <w:highlight w:val="none"/>
              </w:rPr>
              <w:t>根</w:t>
            </w:r>
            <w:r>
              <w:rPr>
                <w:rFonts w:hint="eastAsia"/>
                <w:b/>
                <w:bCs/>
                <w:color w:val="auto"/>
                <w:spacing w:val="-29"/>
                <w:sz w:val="24"/>
                <w:szCs w:val="24"/>
                <w:highlight w:val="none"/>
                <w:lang w:val="en-US" w:eastAsia="zh-CN"/>
              </w:rPr>
              <w:t>24m</w:t>
            </w:r>
            <w:r>
              <w:rPr>
                <w:rFonts w:hint="default"/>
                <w:b/>
                <w:bCs/>
                <w:color w:val="auto"/>
                <w:sz w:val="24"/>
                <w:szCs w:val="24"/>
                <w:highlight w:val="none"/>
              </w:rPr>
              <w:t>高排气筒</w:t>
            </w:r>
            <w:r>
              <w:rPr>
                <w:rFonts w:hint="default" w:ascii="Times New Roman" w:hAnsi="Times New Roman" w:eastAsia="Times New Roman" w:cs="Times New Roman"/>
                <w:b/>
                <w:bCs/>
                <w:color w:val="auto"/>
                <w:sz w:val="24"/>
                <w:szCs w:val="24"/>
                <w:highlight w:val="none"/>
              </w:rPr>
              <w:t>DA002</w:t>
            </w:r>
            <w:r>
              <w:rPr>
                <w:rFonts w:hint="default"/>
                <w:b/>
                <w:bCs/>
                <w:color w:val="auto"/>
                <w:sz w:val="24"/>
                <w:szCs w:val="24"/>
                <w:highlight w:val="none"/>
              </w:rPr>
              <w:t>有组织</w:t>
            </w:r>
            <w:r>
              <w:rPr>
                <w:rFonts w:hint="default"/>
                <w:b/>
                <w:bCs/>
                <w:color w:val="auto"/>
                <w:spacing w:val="-1"/>
                <w:sz w:val="24"/>
                <w:szCs w:val="24"/>
                <w:highlight w:val="none"/>
              </w:rPr>
              <w:t>排放；</w:t>
            </w:r>
            <w:r>
              <w:rPr>
                <w:rFonts w:hint="eastAsia"/>
                <w:b/>
                <w:bCs/>
                <w:color w:val="auto"/>
                <w:spacing w:val="-1"/>
                <w:sz w:val="24"/>
                <w:szCs w:val="24"/>
                <w:highlight w:val="none"/>
                <w:lang w:val="en-US" w:eastAsia="zh-CN"/>
              </w:rPr>
              <w:t>破碎磁选</w:t>
            </w:r>
            <w:r>
              <w:rPr>
                <w:rFonts w:hint="eastAsia"/>
                <w:b/>
                <w:bCs/>
                <w:color w:val="auto"/>
                <w:spacing w:val="2"/>
                <w:sz w:val="24"/>
                <w:szCs w:val="24"/>
                <w:highlight w:val="none"/>
                <w:lang w:val="en-US" w:eastAsia="zh-CN"/>
              </w:rPr>
              <w:t>过程产生的设备噪声</w:t>
            </w:r>
            <w:r>
              <w:rPr>
                <w:rFonts w:hint="eastAsia" w:ascii="Times New Roman" w:hAnsi="Times New Roman"/>
                <w:b/>
                <w:bCs/>
                <w:color w:val="auto"/>
                <w:spacing w:val="-3"/>
                <w:sz w:val="24"/>
                <w:szCs w:val="24"/>
                <w:lang w:val="en-US" w:eastAsia="zh-CN"/>
              </w:rPr>
              <w:t>采取厂房隔声降噪等措施降低噪声排放</w:t>
            </w:r>
            <w:r>
              <w:rPr>
                <w:rFonts w:hint="default"/>
                <w:b/>
                <w:bCs/>
                <w:color w:val="auto"/>
                <w:spacing w:val="1"/>
                <w:sz w:val="24"/>
                <w:szCs w:val="24"/>
                <w:highlight w:val="none"/>
              </w:rPr>
              <w:t>。</w:t>
            </w:r>
          </w:p>
          <w:p w14:paraId="6ACBD765">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6AF5144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0BEA166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0A0356D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55000A3F">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6A2F343E">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51E7EC1B">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660F770B">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1F4204CD">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741F9449">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480"/>
              <w:jc w:val="both"/>
              <w:textAlignment w:val="auto"/>
              <w:rPr>
                <w:rFonts w:hint="default"/>
                <w:b/>
                <w:bCs/>
                <w:color w:val="auto"/>
                <w:spacing w:val="1"/>
                <w:sz w:val="24"/>
                <w:szCs w:val="24"/>
                <w:highlight w:val="none"/>
              </w:rPr>
            </w:pPr>
          </w:p>
          <w:p w14:paraId="7985D5E8">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leftChars="0" w:right="0" w:firstLine="0" w:firstLineChars="0"/>
              <w:jc w:val="both"/>
              <w:textAlignment w:val="auto"/>
              <w:rPr>
                <w:rFonts w:hint="default"/>
                <w:b/>
                <w:bCs/>
                <w:color w:val="auto"/>
                <w:spacing w:val="1"/>
                <w:sz w:val="24"/>
                <w:szCs w:val="24"/>
                <w:highlight w:val="none"/>
              </w:rPr>
            </w:pPr>
          </w:p>
          <w:p w14:paraId="08204B22">
            <w:pPr>
              <w:keepNext w:val="0"/>
              <w:keepLines w:val="0"/>
              <w:pageBreakBefore w:val="0"/>
              <w:widowControl w:val="0"/>
              <w:suppressLineNumbers w:val="0"/>
              <w:kinsoku/>
              <w:wordWrap/>
              <w:overflowPunct w:val="0"/>
              <w:topLinePunct w:val="0"/>
              <w:autoSpaceDE w:val="0"/>
              <w:autoSpaceDN w:val="0"/>
              <w:bidi w:val="0"/>
              <w:adjustRightInd w:val="0"/>
              <w:snapToGrid w:val="0"/>
              <w:spacing w:before="0" w:beforeAutospacing="0" w:after="0" w:afterAutospacing="0" w:line="360" w:lineRule="auto"/>
              <w:ind w:left="0" w:right="0" w:firstLine="0" w:firstLineChars="0"/>
              <w:jc w:val="center"/>
              <w:textAlignment w:val="auto"/>
              <w:rPr>
                <w:rFonts w:hint="eastAsia" w:ascii="Times New Roman" w:hAnsi="Times New Roman" w:eastAsia="宋体" w:cs="Times New Roman"/>
                <w:color w:val="auto"/>
                <w:spacing w:val="-1"/>
                <w:sz w:val="24"/>
                <w:szCs w:val="24"/>
                <w:lang w:eastAsia="zh-CN"/>
              </w:rPr>
            </w:pPr>
            <w:r>
              <w:rPr>
                <w:rFonts w:hint="eastAsia" w:ascii="Times New Roman" w:hAnsi="Times New Roman" w:eastAsia="宋体" w:cs="Times New Roman"/>
                <w:color w:val="auto"/>
                <w:spacing w:val="-1"/>
                <w:sz w:val="24"/>
                <w:szCs w:val="24"/>
                <w:lang w:eastAsia="zh-CN"/>
              </w:rPr>
              <w:pict>
                <v:shape id="ECB019B1-382A-4266-B25C-5B523AA43C14-4" o:spid="ECB019B1-382A-4266-B25C-5B523AA43C14-4" o:spt="75" alt="C:/Users/Administrator/AppData/Local/Temp/wps.deYRBzwps" type="#_x0000_t75" style="height:359.5pt;width:226.15pt;" filled="f" o:preferrelative="t" stroked="f" coordsize="21600,21600">
                  <v:path/>
                  <v:fill on="f" focussize="0,0"/>
                  <v:stroke on="f"/>
                  <v:imagedata r:id="rId16" o:title="wps"/>
                  <o:lock v:ext="edit" aspectratio="t"/>
                  <w10:wrap type="none"/>
                  <w10:anchorlock/>
                </v:shape>
              </w:pict>
            </w:r>
          </w:p>
          <w:p w14:paraId="3182543E">
            <w:pPr>
              <w:keepNext w:val="0"/>
              <w:keepLines w:val="0"/>
              <w:pageBreakBefore w:val="0"/>
              <w:widowControl w:val="0"/>
              <w:suppressLineNumbers w:val="0"/>
              <w:kinsoku/>
              <w:wordWrap/>
              <w:overflowPunct w:val="0"/>
              <w:topLinePunct w:val="0"/>
              <w:autoSpaceDE w:val="0"/>
              <w:autoSpaceDN w:val="0"/>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pacing w:val="-1"/>
                <w:sz w:val="24"/>
                <w:szCs w:val="24"/>
              </w:rPr>
            </w:pPr>
            <w:r>
              <w:rPr>
                <w:rFonts w:hint="default"/>
                <w:b/>
                <w:bCs/>
                <w:color w:val="auto"/>
                <w:spacing w:val="-3"/>
                <w:sz w:val="21"/>
                <w:szCs w:val="21"/>
              </w:rPr>
              <w:t>图</w:t>
            </w:r>
            <w:r>
              <w:rPr>
                <w:rFonts w:hint="eastAsia"/>
                <w:b/>
                <w:bCs/>
                <w:color w:val="auto"/>
                <w:spacing w:val="-3"/>
                <w:sz w:val="21"/>
                <w:szCs w:val="21"/>
                <w:lang w:val="en-US" w:eastAsia="zh-CN"/>
              </w:rPr>
              <w:t>7</w:t>
            </w:r>
            <w:r>
              <w:rPr>
                <w:rFonts w:hint="default"/>
                <w:b/>
                <w:bCs/>
                <w:color w:val="auto"/>
                <w:spacing w:val="-3"/>
                <w:sz w:val="21"/>
                <w:szCs w:val="21"/>
              </w:rPr>
              <w:t xml:space="preserve">  </w:t>
            </w:r>
            <w:r>
              <w:rPr>
                <w:rFonts w:hint="eastAsia"/>
                <w:b/>
                <w:bCs/>
                <w:color w:val="auto"/>
                <w:spacing w:val="-3"/>
                <w:sz w:val="21"/>
                <w:szCs w:val="21"/>
                <w:lang w:val="en-US" w:eastAsia="zh-CN"/>
              </w:rPr>
              <w:t>废钢加工生产线</w:t>
            </w:r>
            <w:r>
              <w:rPr>
                <w:rFonts w:hint="default"/>
                <w:b/>
                <w:bCs/>
                <w:color w:val="auto"/>
                <w:spacing w:val="-3"/>
                <w:sz w:val="21"/>
                <w:szCs w:val="21"/>
              </w:rPr>
              <w:t>工艺流程及产排污节点图</w:t>
            </w:r>
          </w:p>
          <w:p w14:paraId="3CC4651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4" w:firstLineChars="200"/>
              <w:textAlignment w:val="auto"/>
              <w:rPr>
                <w:rFonts w:hint="eastAsia" w:cs="Times New Roman"/>
                <w:b/>
                <w:bCs/>
                <w:color w:val="auto"/>
                <w:highlight w:val="none"/>
              </w:rPr>
            </w:pPr>
            <w:r>
              <w:rPr>
                <w:rFonts w:hint="default" w:ascii="Times New Roman" w:hAnsi="Times New Roman" w:cs="Times New Roman"/>
                <w:color w:val="auto"/>
                <w:spacing w:val="1"/>
                <w:sz w:val="24"/>
                <w:highlight w:val="none"/>
              </w:rPr>
              <w:t>本项目主要污染工艺及污染物排放情况见下表</w:t>
            </w:r>
            <w:r>
              <w:rPr>
                <w:rFonts w:hint="eastAsia" w:ascii="Times New Roman" w:hAnsi="Times New Roman" w:cs="Times New Roman"/>
                <w:color w:val="auto"/>
                <w:spacing w:val="1"/>
                <w:sz w:val="24"/>
                <w:highlight w:val="none"/>
              </w:rPr>
              <w:t>。</w:t>
            </w:r>
          </w:p>
          <w:p w14:paraId="6742DAD3">
            <w:pPr>
              <w:pStyle w:val="6"/>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firstLine="0" w:firstLineChars="0"/>
              <w:jc w:val="center"/>
              <w:textAlignment w:val="auto"/>
              <w:rPr>
                <w:rFonts w:hint="default" w:cs="Times New Roman"/>
                <w:b/>
                <w:bCs/>
                <w:color w:val="auto"/>
                <w:highlight w:val="none"/>
              </w:rPr>
            </w:pPr>
            <w:r>
              <w:rPr>
                <w:rFonts w:hint="eastAsia" w:cs="Times New Roman"/>
                <w:b/>
                <w:bCs/>
                <w:color w:val="auto"/>
                <w:highlight w:val="none"/>
              </w:rPr>
              <w:t>表2-</w:t>
            </w:r>
            <w:r>
              <w:rPr>
                <w:rFonts w:hint="eastAsia" w:cs="Times New Roman"/>
                <w:b/>
                <w:bCs/>
                <w:color w:val="auto"/>
                <w:highlight w:val="none"/>
                <w:lang w:val="en-US" w:eastAsia="zh-CN"/>
              </w:rPr>
              <w:t xml:space="preserve">14  </w:t>
            </w:r>
            <w:r>
              <w:rPr>
                <w:rFonts w:hint="eastAsia" w:cs="Times New Roman"/>
                <w:b/>
                <w:bCs/>
                <w:color w:val="auto"/>
                <w:highlight w:val="none"/>
              </w:rPr>
              <w:t>产污环节</w:t>
            </w:r>
            <w:r>
              <w:rPr>
                <w:rFonts w:hint="default" w:cs="Times New Roman"/>
                <w:b/>
                <w:bCs/>
                <w:color w:val="auto"/>
                <w:highlight w:val="none"/>
              </w:rPr>
              <w:t>一览表</w:t>
            </w:r>
          </w:p>
          <w:tbl>
            <w:tblPr>
              <w:tblStyle w:val="26"/>
              <w:tblW w:w="499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913"/>
              <w:gridCol w:w="2483"/>
              <w:gridCol w:w="4018"/>
            </w:tblGrid>
            <w:tr w14:paraId="45D5647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tcBorders>
                    <w:tl2br w:val="nil"/>
                    <w:tr2bl w:val="nil"/>
                  </w:tcBorders>
                  <w:noWrap w:val="0"/>
                  <w:vAlign w:val="center"/>
                </w:tcPr>
                <w:p w14:paraId="23CFBA68">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项目</w:t>
                  </w:r>
                </w:p>
              </w:tc>
              <w:tc>
                <w:tcPr>
                  <w:tcW w:w="1047" w:type="pct"/>
                  <w:tcBorders>
                    <w:tl2br w:val="nil"/>
                    <w:tr2bl w:val="nil"/>
                  </w:tcBorders>
                  <w:noWrap w:val="0"/>
                  <w:vAlign w:val="center"/>
                </w:tcPr>
                <w:p w14:paraId="7C266A2F">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排放工序</w:t>
                  </w:r>
                </w:p>
              </w:tc>
              <w:tc>
                <w:tcPr>
                  <w:tcW w:w="1359" w:type="pct"/>
                  <w:tcBorders>
                    <w:tl2br w:val="nil"/>
                    <w:tr2bl w:val="nil"/>
                  </w:tcBorders>
                  <w:noWrap w:val="0"/>
                  <w:vAlign w:val="center"/>
                </w:tcPr>
                <w:p w14:paraId="77C73F1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主要污染物</w:t>
                  </w:r>
                </w:p>
              </w:tc>
              <w:tc>
                <w:tcPr>
                  <w:tcW w:w="2199" w:type="pct"/>
                  <w:tcBorders>
                    <w:tl2br w:val="nil"/>
                    <w:tr2bl w:val="nil"/>
                  </w:tcBorders>
                  <w:noWrap w:val="0"/>
                  <w:vAlign w:val="center"/>
                </w:tcPr>
                <w:p w14:paraId="040C6ED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lang w:bidi="ar"/>
                    </w:rPr>
                    <w:t>处理措施</w:t>
                  </w:r>
                </w:p>
              </w:tc>
            </w:tr>
            <w:tr w14:paraId="26FF2DF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restart"/>
                  <w:tcBorders>
                    <w:tl2br w:val="nil"/>
                    <w:tr2bl w:val="nil"/>
                  </w:tcBorders>
                  <w:noWrap w:val="0"/>
                  <w:vAlign w:val="center"/>
                </w:tcPr>
                <w:p w14:paraId="3FB5677F">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废气</w:t>
                  </w:r>
                </w:p>
              </w:tc>
              <w:tc>
                <w:tcPr>
                  <w:tcW w:w="1047" w:type="pct"/>
                  <w:tcBorders>
                    <w:tl2br w:val="nil"/>
                    <w:tr2bl w:val="nil"/>
                  </w:tcBorders>
                  <w:noWrap w:val="0"/>
                  <w:vAlign w:val="center"/>
                </w:tcPr>
                <w:p w14:paraId="61229F8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废油液抽取</w:t>
                  </w:r>
                </w:p>
              </w:tc>
              <w:tc>
                <w:tcPr>
                  <w:tcW w:w="1359" w:type="pct"/>
                  <w:vMerge w:val="restart"/>
                  <w:tcBorders>
                    <w:tl2br w:val="nil"/>
                    <w:tr2bl w:val="nil"/>
                  </w:tcBorders>
                  <w:noWrap w:val="0"/>
                  <w:vAlign w:val="center"/>
                </w:tcPr>
                <w:p w14:paraId="0534249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以非甲烷总烃计</w:t>
                  </w:r>
                </w:p>
              </w:tc>
              <w:tc>
                <w:tcPr>
                  <w:tcW w:w="2199" w:type="pct"/>
                  <w:vMerge w:val="restart"/>
                  <w:tcBorders>
                    <w:tl2br w:val="nil"/>
                    <w:tr2bl w:val="nil"/>
                  </w:tcBorders>
                  <w:noWrap w:val="0"/>
                  <w:vAlign w:val="center"/>
                </w:tcPr>
                <w:p w14:paraId="779E21B7">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集气罩+</w:t>
                  </w:r>
                  <w:r>
                    <w:rPr>
                      <w:rFonts w:hint="eastAsia" w:ascii="Times New Roman" w:hAnsi="Times New Roman" w:eastAsia="宋体" w:cs="Times New Roman"/>
                      <w:color w:val="auto"/>
                      <w:sz w:val="21"/>
                      <w:szCs w:val="21"/>
                      <w:highlight w:val="none"/>
                      <w:lang w:val="en-US" w:eastAsia="zh-CN"/>
                    </w:rPr>
                    <w:t>二级</w:t>
                  </w:r>
                  <w:r>
                    <w:rPr>
                      <w:rFonts w:hint="default" w:ascii="Times New Roman" w:hAnsi="Times New Roman" w:eastAsia="宋体" w:cs="Times New Roman"/>
                      <w:color w:val="auto"/>
                      <w:sz w:val="21"/>
                      <w:szCs w:val="21"/>
                      <w:highlight w:val="none"/>
                    </w:rPr>
                    <w:t>活性炭装置+</w:t>
                  </w:r>
                  <w:r>
                    <w:rPr>
                      <w:rFonts w:hint="eastAsia" w:cs="Times New Roman"/>
                      <w:color w:val="auto"/>
                      <w:sz w:val="21"/>
                      <w:szCs w:val="21"/>
                      <w:highlight w:val="none"/>
                      <w:lang w:eastAsia="zh-CN"/>
                    </w:rPr>
                    <w:t>2</w:t>
                  </w:r>
                  <w:r>
                    <w:rPr>
                      <w:rFonts w:hint="eastAsia" w:cs="Times New Roman"/>
                      <w:color w:val="auto"/>
                      <w:sz w:val="21"/>
                      <w:szCs w:val="21"/>
                      <w:highlight w:val="none"/>
                      <w:lang w:val="en-US" w:eastAsia="zh-CN"/>
                    </w:rPr>
                    <w:t>4</w:t>
                  </w:r>
                  <w:r>
                    <w:rPr>
                      <w:rFonts w:hint="eastAsia" w:cs="Times New Roman"/>
                      <w:color w:val="auto"/>
                      <w:sz w:val="21"/>
                      <w:szCs w:val="21"/>
                      <w:highlight w:val="none"/>
                      <w:lang w:eastAsia="zh-CN"/>
                    </w:rPr>
                    <w:t>m</w:t>
                  </w:r>
                  <w:r>
                    <w:rPr>
                      <w:rFonts w:hint="default" w:ascii="Times New Roman" w:hAnsi="Times New Roman" w:eastAsia="宋体" w:cs="Times New Roman"/>
                      <w:color w:val="auto"/>
                      <w:sz w:val="21"/>
                      <w:szCs w:val="21"/>
                      <w:highlight w:val="none"/>
                    </w:rPr>
                    <w:t>高排气筒</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DA001</w:t>
                  </w:r>
                  <w:r>
                    <w:rPr>
                      <w:rFonts w:hint="default" w:ascii="Times New Roman" w:hAnsi="Times New Roman" w:eastAsia="宋体" w:cs="Times New Roman"/>
                      <w:color w:val="auto"/>
                      <w:sz w:val="21"/>
                      <w:szCs w:val="21"/>
                      <w:highlight w:val="none"/>
                      <w:lang w:eastAsia="zh-CN"/>
                    </w:rPr>
                    <w:t>）</w:t>
                  </w:r>
                </w:p>
              </w:tc>
            </w:tr>
            <w:tr w14:paraId="3E280F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21D1FD63">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c>
                <w:tcPr>
                  <w:tcW w:w="1047" w:type="pct"/>
                  <w:tcBorders>
                    <w:tl2br w:val="nil"/>
                    <w:tr2bl w:val="nil"/>
                  </w:tcBorders>
                  <w:noWrap w:val="0"/>
                  <w:vAlign w:val="center"/>
                </w:tcPr>
                <w:p w14:paraId="49050ECF">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制冷剂回收</w:t>
                  </w:r>
                </w:p>
              </w:tc>
              <w:tc>
                <w:tcPr>
                  <w:tcW w:w="1359" w:type="pct"/>
                  <w:vMerge w:val="continue"/>
                  <w:tcBorders>
                    <w:tl2br w:val="nil"/>
                    <w:tr2bl w:val="nil"/>
                  </w:tcBorders>
                  <w:noWrap w:val="0"/>
                  <w:vAlign w:val="center"/>
                </w:tcPr>
                <w:p w14:paraId="10284BDD">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c>
                <w:tcPr>
                  <w:tcW w:w="2199" w:type="pct"/>
                  <w:vMerge w:val="continue"/>
                  <w:tcBorders>
                    <w:tl2br w:val="nil"/>
                    <w:tr2bl w:val="nil"/>
                  </w:tcBorders>
                  <w:noWrap w:val="0"/>
                  <w:vAlign w:val="center"/>
                </w:tcPr>
                <w:p w14:paraId="5F47F05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3CEE47E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56422ECE">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c>
                <w:tcPr>
                  <w:tcW w:w="1047" w:type="pct"/>
                  <w:tcBorders>
                    <w:tl2br w:val="nil"/>
                    <w:tr2bl w:val="nil"/>
                  </w:tcBorders>
                  <w:noWrap w:val="0"/>
                  <w:vAlign w:val="center"/>
                </w:tcPr>
                <w:p w14:paraId="03913DA9">
                  <w:pPr>
                    <w:keepNext w:val="0"/>
                    <w:keepLines w:val="0"/>
                    <w:suppressLineNumbers w:val="0"/>
                    <w:snapToGrid w:val="0"/>
                    <w:spacing w:before="0" w:beforeAutospacing="0" w:after="0" w:afterAutospacing="0"/>
                    <w:ind w:left="0" w:leftChars="0" w:right="0" w:rightChars="0"/>
                    <w:jc w:val="center"/>
                    <w:rPr>
                      <w:rFonts w:hint="eastAsia" w:cs="Times New Roman"/>
                      <w:color w:val="auto"/>
                      <w:sz w:val="21"/>
                      <w:szCs w:val="21"/>
                      <w:highlight w:val="none"/>
                      <w:lang w:eastAsia="zh-CN" w:bidi="ar"/>
                    </w:rPr>
                  </w:pPr>
                  <w:r>
                    <w:rPr>
                      <w:rFonts w:hint="eastAsia" w:cs="Times New Roman"/>
                      <w:color w:val="auto"/>
                      <w:sz w:val="21"/>
                      <w:szCs w:val="21"/>
                      <w:highlight w:val="none"/>
                      <w:lang w:val="en-US" w:eastAsia="zh-CN" w:bidi="ar"/>
                    </w:rPr>
                    <w:t>危废库</w:t>
                  </w:r>
                  <w:r>
                    <w:rPr>
                      <w:rFonts w:hint="default" w:ascii="Times New Roman" w:hAnsi="Times New Roman" w:eastAsia="宋体" w:cs="Times New Roman"/>
                      <w:color w:val="auto"/>
                      <w:sz w:val="21"/>
                      <w:szCs w:val="21"/>
                      <w:highlight w:val="none"/>
                      <w:lang w:eastAsia="zh-CN" w:bidi="ar"/>
                    </w:rPr>
                    <w:t>废</w:t>
                  </w:r>
                  <w:r>
                    <w:rPr>
                      <w:rFonts w:hint="eastAsia" w:cs="Times New Roman"/>
                      <w:color w:val="auto"/>
                      <w:sz w:val="21"/>
                      <w:szCs w:val="21"/>
                      <w:highlight w:val="none"/>
                      <w:lang w:eastAsia="zh-CN" w:bidi="ar"/>
                    </w:rPr>
                    <w:t>油液</w:t>
                  </w:r>
                  <w:r>
                    <w:rPr>
                      <w:rFonts w:hint="default" w:ascii="Times New Roman" w:hAnsi="Times New Roman" w:eastAsia="宋体" w:cs="Times New Roman"/>
                      <w:color w:val="auto"/>
                      <w:sz w:val="21"/>
                      <w:szCs w:val="21"/>
                      <w:highlight w:val="none"/>
                      <w:lang w:eastAsia="zh-CN" w:bidi="ar"/>
                    </w:rPr>
                    <w:t>暂存废气</w:t>
                  </w:r>
                </w:p>
              </w:tc>
              <w:tc>
                <w:tcPr>
                  <w:tcW w:w="1359" w:type="pct"/>
                  <w:vMerge w:val="continue"/>
                  <w:tcBorders>
                    <w:tl2br w:val="nil"/>
                    <w:tr2bl w:val="nil"/>
                  </w:tcBorders>
                  <w:noWrap w:val="0"/>
                  <w:vAlign w:val="center"/>
                </w:tcPr>
                <w:p w14:paraId="6D26DE2D">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lang w:bidi="ar"/>
                    </w:rPr>
                  </w:pPr>
                </w:p>
              </w:tc>
              <w:tc>
                <w:tcPr>
                  <w:tcW w:w="2199" w:type="pct"/>
                  <w:vMerge w:val="continue"/>
                  <w:tcBorders>
                    <w:tl2br w:val="nil"/>
                    <w:tr2bl w:val="nil"/>
                  </w:tcBorders>
                  <w:noWrap w:val="0"/>
                  <w:vAlign w:val="center"/>
                </w:tcPr>
                <w:p w14:paraId="2722F466">
                  <w:pPr>
                    <w:keepNext w:val="0"/>
                    <w:keepLines w:val="0"/>
                    <w:suppressLineNumbers w:val="0"/>
                    <w:snapToGri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rPr>
                  </w:pPr>
                </w:p>
              </w:tc>
            </w:tr>
            <w:tr w14:paraId="53364F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4" w:type="pct"/>
                  <w:vMerge w:val="continue"/>
                  <w:tcBorders>
                    <w:tl2br w:val="nil"/>
                    <w:tr2bl w:val="nil"/>
                  </w:tcBorders>
                  <w:noWrap w:val="0"/>
                  <w:vAlign w:val="center"/>
                </w:tcPr>
                <w:p w14:paraId="5A8D35F8">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tcBorders>
                    <w:tl2br w:val="nil"/>
                    <w:tr2bl w:val="nil"/>
                  </w:tcBorders>
                  <w:noWrap w:val="0"/>
                  <w:vAlign w:val="center"/>
                </w:tcPr>
                <w:p w14:paraId="1478C009">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汽车切割、剪切</w:t>
                  </w:r>
                </w:p>
              </w:tc>
              <w:tc>
                <w:tcPr>
                  <w:tcW w:w="1359" w:type="pct"/>
                  <w:tcBorders>
                    <w:tl2br w:val="nil"/>
                    <w:tr2bl w:val="nil"/>
                  </w:tcBorders>
                  <w:noWrap w:val="0"/>
                  <w:vAlign w:val="center"/>
                </w:tcPr>
                <w:p w14:paraId="3A3A4230">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颗粒物</w:t>
                  </w:r>
                </w:p>
              </w:tc>
              <w:tc>
                <w:tcPr>
                  <w:tcW w:w="2199" w:type="pct"/>
                  <w:tcBorders>
                    <w:tl2br w:val="nil"/>
                    <w:tr2bl w:val="nil"/>
                  </w:tcBorders>
                  <w:noWrap w:val="0"/>
                  <w:vAlign w:val="center"/>
                </w:tcPr>
                <w:p w14:paraId="3E436843">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集气罩+布袋除尘器+</w:t>
                  </w:r>
                  <w:r>
                    <w:rPr>
                      <w:rFonts w:hint="eastAsia" w:cs="Times New Roman"/>
                      <w:color w:val="auto"/>
                      <w:sz w:val="21"/>
                      <w:szCs w:val="21"/>
                      <w:highlight w:val="none"/>
                      <w:lang w:eastAsia="zh-CN"/>
                    </w:rPr>
                    <w:t>2</w:t>
                  </w:r>
                  <w:r>
                    <w:rPr>
                      <w:rFonts w:hint="eastAsia" w:cs="Times New Roman"/>
                      <w:color w:val="auto"/>
                      <w:sz w:val="21"/>
                      <w:szCs w:val="21"/>
                      <w:highlight w:val="none"/>
                      <w:lang w:val="en-US" w:eastAsia="zh-CN"/>
                    </w:rPr>
                    <w:t>4</w:t>
                  </w:r>
                  <w:r>
                    <w:rPr>
                      <w:rFonts w:hint="eastAsia" w:cs="Times New Roman"/>
                      <w:color w:val="auto"/>
                      <w:sz w:val="21"/>
                      <w:szCs w:val="21"/>
                      <w:highlight w:val="none"/>
                      <w:lang w:eastAsia="zh-CN"/>
                    </w:rPr>
                    <w:t>m</w:t>
                  </w:r>
                  <w:r>
                    <w:rPr>
                      <w:rFonts w:hint="default" w:ascii="Times New Roman" w:hAnsi="Times New Roman" w:eastAsia="宋体" w:cs="Times New Roman"/>
                      <w:color w:val="auto"/>
                      <w:sz w:val="21"/>
                      <w:szCs w:val="21"/>
                      <w:highlight w:val="none"/>
                    </w:rPr>
                    <w:t>高排气筒</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DA002</w:t>
                  </w:r>
                  <w:r>
                    <w:rPr>
                      <w:rFonts w:hint="default" w:ascii="Times New Roman" w:hAnsi="Times New Roman" w:eastAsia="宋体" w:cs="Times New Roman"/>
                      <w:color w:val="auto"/>
                      <w:sz w:val="21"/>
                      <w:szCs w:val="21"/>
                      <w:highlight w:val="none"/>
                      <w:lang w:eastAsia="zh-CN"/>
                    </w:rPr>
                    <w:t>）</w:t>
                  </w:r>
                </w:p>
              </w:tc>
            </w:tr>
            <w:tr w14:paraId="100BB7E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5DCA0CE2">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tcBorders>
                    <w:tl2br w:val="nil"/>
                    <w:tr2bl w:val="nil"/>
                  </w:tcBorders>
                  <w:noWrap w:val="0"/>
                  <w:vAlign w:val="center"/>
                </w:tcPr>
                <w:p w14:paraId="6CCCA3B9">
                  <w:pPr>
                    <w:keepNext w:val="0"/>
                    <w:keepLines w:val="0"/>
                    <w:suppressLineNumbers w:val="0"/>
                    <w:snapToGrid w:val="0"/>
                    <w:spacing w:before="0" w:beforeAutospacing="0" w:after="0" w:afterAutospacing="0"/>
                    <w:ind w:left="0" w:right="0"/>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废钢铁剪切、破碎</w:t>
                  </w:r>
                </w:p>
              </w:tc>
              <w:tc>
                <w:tcPr>
                  <w:tcW w:w="1359" w:type="pct"/>
                  <w:tcBorders>
                    <w:tl2br w:val="nil"/>
                    <w:tr2bl w:val="nil"/>
                  </w:tcBorders>
                  <w:noWrap w:val="0"/>
                  <w:vAlign w:val="center"/>
                </w:tcPr>
                <w:p w14:paraId="6EAABA56">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r>
                    <w:rPr>
                      <w:rFonts w:hint="default" w:ascii="Times New Roman" w:hAnsi="Times New Roman" w:eastAsia="宋体" w:cs="Times New Roman"/>
                      <w:color w:val="auto"/>
                      <w:sz w:val="21"/>
                      <w:szCs w:val="21"/>
                      <w:highlight w:val="none"/>
                      <w:lang w:bidi="ar"/>
                    </w:rPr>
                    <w:t>颗粒物</w:t>
                  </w:r>
                </w:p>
              </w:tc>
              <w:tc>
                <w:tcPr>
                  <w:tcW w:w="2199" w:type="pct"/>
                  <w:tcBorders>
                    <w:tl2br w:val="nil"/>
                    <w:tr2bl w:val="nil"/>
                  </w:tcBorders>
                  <w:noWrap w:val="0"/>
                  <w:vAlign w:val="center"/>
                </w:tcPr>
                <w:p w14:paraId="4EAE0857">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集气罩+布袋除尘器+</w:t>
                  </w:r>
                  <w:r>
                    <w:rPr>
                      <w:rFonts w:hint="eastAsia" w:cs="Times New Roman"/>
                      <w:color w:val="auto"/>
                      <w:sz w:val="21"/>
                      <w:szCs w:val="21"/>
                      <w:highlight w:val="none"/>
                      <w:lang w:eastAsia="zh-CN"/>
                    </w:rPr>
                    <w:t>2</w:t>
                  </w:r>
                  <w:r>
                    <w:rPr>
                      <w:rFonts w:hint="eastAsia" w:cs="Times New Roman"/>
                      <w:color w:val="auto"/>
                      <w:sz w:val="21"/>
                      <w:szCs w:val="21"/>
                      <w:highlight w:val="none"/>
                      <w:lang w:val="en-US" w:eastAsia="zh-CN"/>
                    </w:rPr>
                    <w:t>4</w:t>
                  </w:r>
                  <w:r>
                    <w:rPr>
                      <w:rFonts w:hint="eastAsia" w:cs="Times New Roman"/>
                      <w:color w:val="auto"/>
                      <w:sz w:val="21"/>
                      <w:szCs w:val="21"/>
                      <w:highlight w:val="none"/>
                      <w:lang w:eastAsia="zh-CN"/>
                    </w:rPr>
                    <w:t>m</w:t>
                  </w:r>
                  <w:r>
                    <w:rPr>
                      <w:rFonts w:hint="default" w:ascii="Times New Roman" w:hAnsi="Times New Roman" w:eastAsia="宋体" w:cs="Times New Roman"/>
                      <w:color w:val="auto"/>
                      <w:sz w:val="21"/>
                      <w:szCs w:val="21"/>
                      <w:highlight w:val="none"/>
                    </w:rPr>
                    <w:t>高排气筒</w:t>
                  </w:r>
                  <w:r>
                    <w:rPr>
                      <w:rFonts w:hint="default"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DA00</w:t>
                  </w:r>
                  <w:r>
                    <w:rPr>
                      <w:rFonts w:hint="eastAsia" w:cs="Times New Roman"/>
                      <w:color w:val="auto"/>
                      <w:sz w:val="21"/>
                      <w:szCs w:val="21"/>
                      <w:highlight w:val="none"/>
                      <w:lang w:val="en-US" w:eastAsia="zh-CN"/>
                    </w:rPr>
                    <w:t>3</w:t>
                  </w:r>
                  <w:r>
                    <w:rPr>
                      <w:rFonts w:hint="default" w:ascii="Times New Roman" w:hAnsi="Times New Roman" w:eastAsia="宋体" w:cs="Times New Roman"/>
                      <w:color w:val="auto"/>
                      <w:sz w:val="21"/>
                      <w:szCs w:val="21"/>
                      <w:highlight w:val="none"/>
                      <w:lang w:eastAsia="zh-CN"/>
                    </w:rPr>
                    <w:t>）</w:t>
                  </w:r>
                </w:p>
              </w:tc>
            </w:tr>
            <w:tr w14:paraId="7EA0D8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restart"/>
                  <w:tcBorders>
                    <w:tl2br w:val="nil"/>
                    <w:tr2bl w:val="nil"/>
                  </w:tcBorders>
                  <w:noWrap w:val="0"/>
                  <w:vAlign w:val="center"/>
                </w:tcPr>
                <w:p w14:paraId="61FDCE9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废水</w:t>
                  </w:r>
                </w:p>
              </w:tc>
              <w:tc>
                <w:tcPr>
                  <w:tcW w:w="1047" w:type="pct"/>
                  <w:tcBorders>
                    <w:tl2br w:val="nil"/>
                    <w:tr2bl w:val="nil"/>
                  </w:tcBorders>
                  <w:noWrap w:val="0"/>
                  <w:vAlign w:val="center"/>
                </w:tcPr>
                <w:p w14:paraId="45E862A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地面</w:t>
                  </w:r>
                  <w:r>
                    <w:rPr>
                      <w:rFonts w:hint="eastAsia" w:cs="Times New Roman"/>
                      <w:color w:val="auto"/>
                      <w:sz w:val="21"/>
                      <w:szCs w:val="21"/>
                      <w:highlight w:val="none"/>
                      <w:lang w:val="en-US" w:eastAsia="zh-CN"/>
                    </w:rPr>
                    <w:t>清洗</w:t>
                  </w:r>
                  <w:r>
                    <w:rPr>
                      <w:rFonts w:hint="eastAsia" w:cs="Times New Roman"/>
                      <w:color w:val="auto"/>
                      <w:sz w:val="21"/>
                      <w:szCs w:val="21"/>
                      <w:highlight w:val="none"/>
                      <w:lang w:eastAsia="zh-CN"/>
                    </w:rPr>
                    <w:t>废</w:t>
                  </w:r>
                  <w:r>
                    <w:rPr>
                      <w:rFonts w:hint="default" w:ascii="Times New Roman" w:hAnsi="Times New Roman" w:eastAsia="宋体" w:cs="Times New Roman"/>
                      <w:color w:val="auto"/>
                      <w:sz w:val="21"/>
                      <w:szCs w:val="21"/>
                      <w:highlight w:val="none"/>
                    </w:rPr>
                    <w:t>水</w:t>
                  </w:r>
                </w:p>
              </w:tc>
              <w:tc>
                <w:tcPr>
                  <w:tcW w:w="1359" w:type="pct"/>
                  <w:tcBorders>
                    <w:tl2br w:val="nil"/>
                    <w:tr2bl w:val="nil"/>
                  </w:tcBorders>
                  <w:noWrap w:val="0"/>
                  <w:vAlign w:val="center"/>
                </w:tcPr>
                <w:p w14:paraId="453A3AC8">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eastAsia"/>
                      <w:color w:val="auto"/>
                      <w:sz w:val="21"/>
                      <w:szCs w:val="21"/>
                    </w:rPr>
                    <w:t>pH</w:t>
                  </w:r>
                  <w:r>
                    <w:rPr>
                      <w:rFonts w:hint="eastAsia"/>
                      <w:color w:val="auto"/>
                      <w:sz w:val="21"/>
                      <w:szCs w:val="21"/>
                      <w:lang w:val="en-US" w:eastAsia="zh-CN"/>
                    </w:rPr>
                    <w:t>、</w:t>
                  </w:r>
                  <w:r>
                    <w:rPr>
                      <w:rFonts w:hint="default" w:ascii="Times New Roman" w:hAnsi="Times New Roman" w:eastAsia="宋体" w:cs="Times New Roman"/>
                      <w:color w:val="auto"/>
                      <w:sz w:val="21"/>
                      <w:szCs w:val="21"/>
                      <w:highlight w:val="none"/>
                      <w:lang w:bidi="ar"/>
                    </w:rPr>
                    <w:t>COD、SS、石油类</w:t>
                  </w:r>
                </w:p>
              </w:tc>
              <w:tc>
                <w:tcPr>
                  <w:tcW w:w="2199" w:type="pct"/>
                  <w:vMerge w:val="restart"/>
                  <w:tcBorders>
                    <w:tl2br w:val="nil"/>
                    <w:tr2bl w:val="nil"/>
                  </w:tcBorders>
                  <w:noWrap w:val="0"/>
                  <w:vAlign w:val="center"/>
                </w:tcPr>
                <w:p w14:paraId="46BA6F1D">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bidi="ar"/>
                    </w:rPr>
                    <w:t>经厂区污水处理设施“</w:t>
                  </w:r>
                  <w:r>
                    <w:rPr>
                      <w:rFonts w:hint="default" w:ascii="Times New Roman" w:hAnsi="Times New Roman" w:eastAsia="宋体" w:cs="Times New Roman"/>
                      <w:color w:val="auto"/>
                      <w:sz w:val="21"/>
                      <w:szCs w:val="21"/>
                      <w:highlight w:val="none"/>
                    </w:rPr>
                    <w:t>均质+隔油+絮凝+沉淀</w:t>
                  </w:r>
                  <w:r>
                    <w:rPr>
                      <w:rFonts w:hint="default" w:ascii="Times New Roman" w:hAnsi="Times New Roman" w:eastAsia="宋体" w:cs="Times New Roman"/>
                      <w:color w:val="auto"/>
                      <w:sz w:val="21"/>
                      <w:szCs w:val="21"/>
                      <w:highlight w:val="none"/>
                      <w:lang w:bidi="ar"/>
                    </w:rPr>
                    <w:t>”处理后排入园区污水管网</w:t>
                  </w:r>
                  <w:r>
                    <w:rPr>
                      <w:rFonts w:hint="eastAsia" w:cs="Times New Roman"/>
                      <w:color w:val="auto"/>
                      <w:sz w:val="21"/>
                      <w:szCs w:val="21"/>
                      <w:highlight w:val="none"/>
                      <w:lang w:eastAsia="zh-CN" w:bidi="ar"/>
                    </w:rPr>
                    <w:t>，</w:t>
                  </w:r>
                  <w:r>
                    <w:rPr>
                      <w:rFonts w:hint="eastAsia" w:cs="宋体"/>
                      <w:color w:val="auto"/>
                      <w:kern w:val="2"/>
                      <w:sz w:val="21"/>
                      <w:szCs w:val="21"/>
                      <w:highlight w:val="none"/>
                      <w:lang w:val="en-US" w:eastAsia="zh-CN" w:bidi="ar-SA"/>
                    </w:rPr>
                    <w:t>由市政污水管网排入阜新市北控水务有限公司污水处理厂集中处理后排放</w:t>
                  </w:r>
                </w:p>
              </w:tc>
            </w:tr>
            <w:tr w14:paraId="54332C0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37492A29">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c>
                <w:tcPr>
                  <w:tcW w:w="1047" w:type="pct"/>
                  <w:tcBorders>
                    <w:tl2br w:val="nil"/>
                    <w:tr2bl w:val="nil"/>
                  </w:tcBorders>
                  <w:noWrap w:val="0"/>
                  <w:vAlign w:val="center"/>
                </w:tcPr>
                <w:p w14:paraId="7C122DDC">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初期雨水</w:t>
                  </w:r>
                </w:p>
              </w:tc>
              <w:tc>
                <w:tcPr>
                  <w:tcW w:w="1359" w:type="pct"/>
                  <w:tcBorders>
                    <w:tl2br w:val="nil"/>
                    <w:tr2bl w:val="nil"/>
                  </w:tcBorders>
                  <w:noWrap w:val="0"/>
                  <w:vAlign w:val="center"/>
                </w:tcPr>
                <w:p w14:paraId="3F9A38D8">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eastAsia"/>
                      <w:color w:val="auto"/>
                      <w:sz w:val="21"/>
                      <w:szCs w:val="21"/>
                    </w:rPr>
                    <w:t>pH</w:t>
                  </w:r>
                  <w:r>
                    <w:rPr>
                      <w:rFonts w:hint="eastAsia"/>
                      <w:color w:val="auto"/>
                      <w:sz w:val="21"/>
                      <w:szCs w:val="21"/>
                      <w:lang w:val="en-US" w:eastAsia="zh-CN"/>
                    </w:rPr>
                    <w:t>、</w:t>
                  </w:r>
                  <w:r>
                    <w:rPr>
                      <w:rFonts w:hint="default" w:ascii="Times New Roman" w:hAnsi="Times New Roman" w:eastAsia="宋体" w:cs="Times New Roman"/>
                      <w:color w:val="auto"/>
                      <w:sz w:val="21"/>
                      <w:szCs w:val="21"/>
                      <w:highlight w:val="none"/>
                      <w:lang w:bidi="ar"/>
                    </w:rPr>
                    <w:t>COD、SS、石油类</w:t>
                  </w:r>
                </w:p>
              </w:tc>
              <w:tc>
                <w:tcPr>
                  <w:tcW w:w="2199" w:type="pct"/>
                  <w:vMerge w:val="continue"/>
                  <w:tcBorders>
                    <w:tl2br w:val="nil"/>
                    <w:tr2bl w:val="nil"/>
                  </w:tcBorders>
                  <w:noWrap w:val="0"/>
                  <w:vAlign w:val="center"/>
                </w:tcPr>
                <w:p w14:paraId="5358F6E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r>
            <w:tr w14:paraId="3DA4D9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6747B04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c>
                <w:tcPr>
                  <w:tcW w:w="1047" w:type="pct"/>
                  <w:tcBorders>
                    <w:tl2br w:val="nil"/>
                    <w:tr2bl w:val="nil"/>
                  </w:tcBorders>
                  <w:noWrap w:val="0"/>
                  <w:vAlign w:val="center"/>
                </w:tcPr>
                <w:p w14:paraId="237F775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职工生活</w:t>
                  </w:r>
                </w:p>
              </w:tc>
              <w:tc>
                <w:tcPr>
                  <w:tcW w:w="1359" w:type="pct"/>
                  <w:tcBorders>
                    <w:tl2br w:val="nil"/>
                    <w:tr2bl w:val="nil"/>
                  </w:tcBorders>
                  <w:noWrap w:val="0"/>
                  <w:vAlign w:val="center"/>
                </w:tcPr>
                <w:p w14:paraId="06DAA6A6">
                  <w:pPr>
                    <w:keepNext w:val="0"/>
                    <w:keepLines w:val="0"/>
                    <w:suppressLineNumbers w:val="0"/>
                    <w:spacing w:before="0" w:beforeAutospacing="0" w:after="0" w:afterAutospacing="0"/>
                    <w:ind w:left="0" w:leftChars="0" w:right="0" w:firstLine="0" w:firstLineChars="0"/>
                    <w:rPr>
                      <w:rFonts w:hint="default" w:ascii="Times New Roman" w:hAnsi="Times New Roman" w:eastAsia="宋体" w:cs="Times New Roman"/>
                      <w:color w:val="auto"/>
                      <w:sz w:val="21"/>
                      <w:szCs w:val="21"/>
                      <w:highlight w:val="none"/>
                    </w:rPr>
                  </w:pPr>
                  <w:r>
                    <w:rPr>
                      <w:rFonts w:hint="eastAsia"/>
                      <w:color w:val="auto"/>
                      <w:sz w:val="21"/>
                      <w:szCs w:val="21"/>
                    </w:rPr>
                    <w:t>pH</w:t>
                  </w:r>
                  <w:r>
                    <w:rPr>
                      <w:rFonts w:hint="eastAsia"/>
                      <w:color w:val="auto"/>
                      <w:sz w:val="21"/>
                      <w:szCs w:val="21"/>
                      <w:lang w:val="en-US" w:eastAsia="zh-CN"/>
                    </w:rPr>
                    <w:t>、</w:t>
                  </w:r>
                  <w:r>
                    <w:rPr>
                      <w:rFonts w:hint="eastAsia"/>
                      <w:color w:val="auto"/>
                      <w:sz w:val="21"/>
                      <w:szCs w:val="21"/>
                    </w:rPr>
                    <w:t>CODcr</w:t>
                  </w:r>
                  <w:r>
                    <w:rPr>
                      <w:rFonts w:hint="eastAsia"/>
                      <w:color w:val="auto"/>
                      <w:sz w:val="21"/>
                      <w:szCs w:val="21"/>
                      <w:lang w:val="en-US" w:eastAsia="zh-CN"/>
                    </w:rPr>
                    <w:t>、</w:t>
                  </w:r>
                  <w:r>
                    <w:rPr>
                      <w:rFonts w:hint="eastAsia"/>
                      <w:color w:val="auto"/>
                      <w:sz w:val="21"/>
                      <w:szCs w:val="21"/>
                    </w:rPr>
                    <w:t>BOD5</w:t>
                  </w:r>
                  <w:r>
                    <w:rPr>
                      <w:rFonts w:hint="eastAsia"/>
                      <w:color w:val="auto"/>
                      <w:sz w:val="21"/>
                      <w:szCs w:val="21"/>
                      <w:lang w:val="en-US" w:eastAsia="zh-CN"/>
                    </w:rPr>
                    <w:t>、</w:t>
                  </w:r>
                  <w:r>
                    <w:rPr>
                      <w:rFonts w:hint="eastAsia"/>
                      <w:color w:val="auto"/>
                      <w:sz w:val="21"/>
                      <w:szCs w:val="21"/>
                    </w:rPr>
                    <w:t>SS</w:t>
                  </w:r>
                  <w:r>
                    <w:rPr>
                      <w:rFonts w:hint="eastAsia"/>
                      <w:color w:val="auto"/>
                      <w:sz w:val="21"/>
                      <w:szCs w:val="21"/>
                      <w:lang w:val="en-US" w:eastAsia="zh-CN"/>
                    </w:rPr>
                    <w:t>、氨氮、</w:t>
                  </w:r>
                  <w:r>
                    <w:rPr>
                      <w:rFonts w:hint="eastAsia"/>
                      <w:color w:val="auto"/>
                      <w:sz w:val="21"/>
                      <w:szCs w:val="21"/>
                    </w:rPr>
                    <w:t>总氮</w:t>
                  </w:r>
                  <w:r>
                    <w:rPr>
                      <w:rFonts w:hint="eastAsia"/>
                      <w:color w:val="auto"/>
                      <w:sz w:val="21"/>
                      <w:szCs w:val="21"/>
                      <w:lang w:val="en-US" w:eastAsia="zh-CN"/>
                    </w:rPr>
                    <w:t>、</w:t>
                  </w:r>
                  <w:r>
                    <w:rPr>
                      <w:rFonts w:hint="eastAsia"/>
                      <w:color w:val="auto"/>
                      <w:sz w:val="21"/>
                      <w:szCs w:val="21"/>
                      <w:lang w:eastAsia="zh-CN"/>
                    </w:rPr>
                    <w:t>总磷</w:t>
                  </w:r>
                  <w:r>
                    <w:rPr>
                      <w:rFonts w:hint="eastAsia"/>
                      <w:color w:val="auto"/>
                      <w:sz w:val="21"/>
                      <w:szCs w:val="21"/>
                    </w:rPr>
                    <w:t>（以P计）</w:t>
                  </w:r>
                </w:p>
              </w:tc>
              <w:tc>
                <w:tcPr>
                  <w:tcW w:w="2199" w:type="pct"/>
                  <w:vMerge w:val="restart"/>
                  <w:tcBorders>
                    <w:tl2br w:val="nil"/>
                    <w:tr2bl w:val="nil"/>
                  </w:tcBorders>
                  <w:noWrap w:val="0"/>
                  <w:vAlign w:val="center"/>
                </w:tcPr>
                <w:p w14:paraId="50A14446">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eastAsia="zh-CN" w:bidi="ar"/>
                    </w:rPr>
                  </w:pPr>
                  <w:r>
                    <w:rPr>
                      <w:rFonts w:hint="eastAsia" w:cs="Times New Roman"/>
                      <w:color w:val="auto"/>
                      <w:sz w:val="21"/>
                      <w:szCs w:val="21"/>
                      <w:highlight w:val="none"/>
                      <w:lang w:val="en-US" w:eastAsia="zh-CN" w:bidi="ar"/>
                    </w:rPr>
                    <w:t>食堂废水经隔油池处理后，与生活污水一同</w:t>
                  </w:r>
                  <w:r>
                    <w:rPr>
                      <w:rFonts w:hint="default" w:ascii="Times New Roman" w:hAnsi="Times New Roman" w:eastAsia="宋体" w:cs="Times New Roman"/>
                      <w:color w:val="auto"/>
                      <w:sz w:val="21"/>
                      <w:szCs w:val="21"/>
                      <w:highlight w:val="none"/>
                      <w:lang w:bidi="ar"/>
                    </w:rPr>
                    <w:t>经化粪池处理后排入园区污水管网</w:t>
                  </w:r>
                  <w:r>
                    <w:rPr>
                      <w:rFonts w:hint="eastAsia" w:cs="Times New Roman"/>
                      <w:color w:val="auto"/>
                      <w:sz w:val="21"/>
                      <w:szCs w:val="21"/>
                      <w:highlight w:val="none"/>
                      <w:lang w:eastAsia="zh-CN" w:bidi="ar"/>
                    </w:rPr>
                    <w:t>，</w:t>
                  </w:r>
                  <w:r>
                    <w:rPr>
                      <w:rFonts w:hint="eastAsia" w:cs="宋体"/>
                      <w:color w:val="auto"/>
                      <w:kern w:val="2"/>
                      <w:sz w:val="21"/>
                      <w:szCs w:val="21"/>
                      <w:highlight w:val="none"/>
                      <w:lang w:val="en-US" w:eastAsia="zh-CN" w:bidi="ar-SA"/>
                    </w:rPr>
                    <w:t>由市政污水管网排入阜新市北控水务有限公司污水处理厂集中处理后排放</w:t>
                  </w:r>
                </w:p>
              </w:tc>
            </w:tr>
            <w:tr w14:paraId="5A243C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6EA2EE6A">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c>
                <w:tcPr>
                  <w:tcW w:w="1047" w:type="pct"/>
                  <w:tcBorders>
                    <w:tl2br w:val="nil"/>
                    <w:tr2bl w:val="nil"/>
                  </w:tcBorders>
                  <w:noWrap w:val="0"/>
                  <w:vAlign w:val="center"/>
                </w:tcPr>
                <w:p w14:paraId="2C67B1E6">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食堂废水</w:t>
                  </w:r>
                </w:p>
              </w:tc>
              <w:tc>
                <w:tcPr>
                  <w:tcW w:w="1359" w:type="pct"/>
                  <w:tcBorders>
                    <w:tl2br w:val="nil"/>
                    <w:tr2bl w:val="nil"/>
                  </w:tcBorders>
                  <w:noWrap w:val="0"/>
                  <w:vAlign w:val="center"/>
                </w:tcPr>
                <w:p w14:paraId="51AEB65A">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bidi="ar"/>
                    </w:rPr>
                    <w:t>pH</w:t>
                  </w:r>
                  <w:r>
                    <w:rPr>
                      <w:rFonts w:hint="eastAsia"/>
                      <w:color w:val="auto"/>
                      <w:sz w:val="21"/>
                      <w:szCs w:val="21"/>
                      <w:lang w:val="en-US" w:eastAsia="zh-CN"/>
                    </w:rPr>
                    <w:t>、</w:t>
                  </w:r>
                  <w:r>
                    <w:rPr>
                      <w:rFonts w:hint="default" w:ascii="Times New Roman" w:hAnsi="Times New Roman" w:eastAsia="宋体" w:cs="Times New Roman"/>
                      <w:color w:val="auto"/>
                      <w:sz w:val="21"/>
                      <w:szCs w:val="21"/>
                      <w:highlight w:val="none"/>
                      <w:lang w:val="en-US" w:eastAsia="zh-CN" w:bidi="ar"/>
                    </w:rPr>
                    <w:t>CODcr</w:t>
                  </w:r>
                  <w:r>
                    <w:rPr>
                      <w:rFonts w:hint="eastAsia"/>
                      <w:color w:val="auto"/>
                      <w:sz w:val="21"/>
                      <w:szCs w:val="21"/>
                      <w:lang w:val="en-US" w:eastAsia="zh-CN"/>
                    </w:rPr>
                    <w:t>、</w:t>
                  </w:r>
                  <w:r>
                    <w:rPr>
                      <w:rFonts w:hint="default" w:ascii="Times New Roman" w:hAnsi="Times New Roman" w:eastAsia="宋体" w:cs="Times New Roman"/>
                      <w:color w:val="auto"/>
                      <w:sz w:val="21"/>
                      <w:szCs w:val="21"/>
                      <w:highlight w:val="none"/>
                      <w:lang w:val="en-US" w:eastAsia="zh-CN" w:bidi="ar"/>
                    </w:rPr>
                    <w:t>BOD5</w:t>
                  </w:r>
                  <w:r>
                    <w:rPr>
                      <w:rFonts w:hint="eastAsia"/>
                      <w:color w:val="auto"/>
                      <w:sz w:val="21"/>
                      <w:szCs w:val="21"/>
                      <w:lang w:val="en-US" w:eastAsia="zh-CN"/>
                    </w:rPr>
                    <w:t>、</w:t>
                  </w:r>
                  <w:r>
                    <w:rPr>
                      <w:rFonts w:hint="default" w:ascii="Times New Roman" w:hAnsi="Times New Roman" w:eastAsia="宋体" w:cs="Times New Roman"/>
                      <w:color w:val="auto"/>
                      <w:sz w:val="21"/>
                      <w:szCs w:val="21"/>
                      <w:highlight w:val="none"/>
                      <w:lang w:val="en-US" w:eastAsia="zh-CN" w:bidi="ar"/>
                    </w:rPr>
                    <w:t>SS</w:t>
                  </w:r>
                  <w:r>
                    <w:rPr>
                      <w:rFonts w:hint="eastAsia"/>
                      <w:color w:val="auto"/>
                      <w:sz w:val="21"/>
                      <w:szCs w:val="21"/>
                      <w:lang w:val="en-US" w:eastAsia="zh-CN"/>
                    </w:rPr>
                    <w:t>、</w:t>
                  </w:r>
                  <w:r>
                    <w:rPr>
                      <w:rFonts w:hint="default" w:ascii="Times New Roman" w:hAnsi="Times New Roman" w:eastAsia="宋体" w:cs="Times New Roman"/>
                      <w:color w:val="auto"/>
                      <w:sz w:val="21"/>
                      <w:szCs w:val="21"/>
                      <w:highlight w:val="none"/>
                      <w:lang w:val="en-US" w:eastAsia="zh-CN" w:bidi="ar"/>
                    </w:rPr>
                    <w:t>动植物油</w:t>
                  </w:r>
                </w:p>
              </w:tc>
              <w:tc>
                <w:tcPr>
                  <w:tcW w:w="2199" w:type="pct"/>
                  <w:vMerge w:val="continue"/>
                  <w:tcBorders>
                    <w:tl2br w:val="nil"/>
                    <w:tr2bl w:val="nil"/>
                  </w:tcBorders>
                  <w:noWrap w:val="0"/>
                  <w:vAlign w:val="center"/>
                </w:tcPr>
                <w:p w14:paraId="5E06E91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r>
            <w:tr w14:paraId="75CCBD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tcBorders>
                    <w:tl2br w:val="nil"/>
                    <w:tr2bl w:val="nil"/>
                  </w:tcBorders>
                  <w:noWrap w:val="0"/>
                  <w:vAlign w:val="center"/>
                </w:tcPr>
                <w:p w14:paraId="200847FD">
                  <w:pPr>
                    <w:keepNext w:val="0"/>
                    <w:keepLines w:val="0"/>
                    <w:suppressLineNumbers w:val="0"/>
                    <w:snapToGrid w:val="0"/>
                    <w:spacing w:before="0" w:beforeAutospacing="0" w:after="0" w:afterAutospacing="0"/>
                    <w:ind w:left="0" w:right="0"/>
                    <w:jc w:val="center"/>
                    <w:rPr>
                      <w:rFonts w:hint="eastAsia" w:ascii="Times New Roman" w:hAnsi="Times New Roman" w:eastAsia="宋体" w:cs="Times New Roman"/>
                      <w:color w:val="auto"/>
                      <w:sz w:val="21"/>
                      <w:szCs w:val="21"/>
                      <w:highlight w:val="none"/>
                      <w:lang w:eastAsia="zh-CN" w:bidi="ar"/>
                    </w:rPr>
                  </w:pPr>
                  <w:r>
                    <w:rPr>
                      <w:rFonts w:hint="eastAsia" w:cs="Times New Roman"/>
                      <w:color w:val="auto"/>
                      <w:sz w:val="21"/>
                      <w:szCs w:val="21"/>
                      <w:highlight w:val="none"/>
                      <w:lang w:eastAsia="zh-CN" w:bidi="ar"/>
                    </w:rPr>
                    <w:t>噪声</w:t>
                  </w:r>
                </w:p>
              </w:tc>
              <w:tc>
                <w:tcPr>
                  <w:tcW w:w="1047" w:type="pct"/>
                  <w:tcBorders>
                    <w:tl2br w:val="nil"/>
                    <w:tr2bl w:val="nil"/>
                  </w:tcBorders>
                  <w:noWrap w:val="0"/>
                  <w:vAlign w:val="center"/>
                </w:tcPr>
                <w:p w14:paraId="3B060543">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生产过程</w:t>
                  </w:r>
                </w:p>
              </w:tc>
              <w:tc>
                <w:tcPr>
                  <w:tcW w:w="1359" w:type="pct"/>
                  <w:tcBorders>
                    <w:tl2br w:val="nil"/>
                    <w:tr2bl w:val="nil"/>
                  </w:tcBorders>
                  <w:noWrap w:val="0"/>
                  <w:vAlign w:val="center"/>
                </w:tcPr>
                <w:p w14:paraId="714DD747">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bidi="ar"/>
                    </w:rPr>
                  </w:pPr>
                  <w:r>
                    <w:rPr>
                      <w:rFonts w:hint="eastAsia" w:cs="Times New Roman"/>
                      <w:color w:val="auto"/>
                      <w:sz w:val="21"/>
                      <w:szCs w:val="21"/>
                      <w:highlight w:val="none"/>
                      <w:lang w:val="en-US" w:eastAsia="zh-CN" w:bidi="ar"/>
                    </w:rPr>
                    <w:t>设备运行噪声</w:t>
                  </w:r>
                </w:p>
              </w:tc>
              <w:tc>
                <w:tcPr>
                  <w:tcW w:w="2199" w:type="pct"/>
                  <w:tcBorders>
                    <w:tl2br w:val="nil"/>
                    <w:tr2bl w:val="nil"/>
                  </w:tcBorders>
                  <w:noWrap w:val="0"/>
                  <w:vAlign w:val="center"/>
                </w:tcPr>
                <w:p w14:paraId="7AB4708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bidi="ar"/>
                    </w:rPr>
                  </w:pPr>
                  <w:r>
                    <w:rPr>
                      <w:rFonts w:hint="default" w:ascii="Times New Roman" w:hAnsi="Times New Roman" w:eastAsia="宋体" w:cs="Times New Roman"/>
                      <w:color w:val="auto"/>
                      <w:sz w:val="21"/>
                      <w:szCs w:val="21"/>
                      <w:highlight w:val="none"/>
                    </w:rPr>
                    <w:t>选购低噪声设备</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采取</w:t>
                  </w:r>
                  <w:r>
                    <w:rPr>
                      <w:rFonts w:hint="eastAsia" w:cs="Times New Roman"/>
                      <w:color w:val="auto"/>
                      <w:sz w:val="21"/>
                      <w:szCs w:val="21"/>
                      <w:highlight w:val="none"/>
                      <w:lang w:val="en-US" w:eastAsia="zh-CN"/>
                    </w:rPr>
                    <w:t>厂房</w:t>
                  </w:r>
                  <w:r>
                    <w:rPr>
                      <w:rFonts w:hint="default" w:ascii="Times New Roman" w:hAnsi="Times New Roman" w:eastAsia="宋体" w:cs="Times New Roman"/>
                      <w:color w:val="auto"/>
                      <w:sz w:val="21"/>
                      <w:szCs w:val="21"/>
                      <w:highlight w:val="none"/>
                    </w:rPr>
                    <w:t>隔声</w:t>
                  </w:r>
                  <w:r>
                    <w:rPr>
                      <w:rFonts w:hint="eastAsia" w:cs="Times New Roman"/>
                      <w:color w:val="auto"/>
                      <w:sz w:val="21"/>
                      <w:szCs w:val="21"/>
                      <w:highlight w:val="none"/>
                      <w:lang w:val="en-US" w:eastAsia="zh-CN"/>
                    </w:rPr>
                    <w:t>降噪</w:t>
                  </w:r>
                  <w:r>
                    <w:rPr>
                      <w:rFonts w:hint="default" w:ascii="Times New Roman" w:hAnsi="Times New Roman" w:eastAsia="宋体" w:cs="Times New Roman"/>
                      <w:color w:val="auto"/>
                      <w:sz w:val="21"/>
                      <w:szCs w:val="21"/>
                      <w:highlight w:val="none"/>
                    </w:rPr>
                    <w:t>等措施</w:t>
                  </w:r>
                </w:p>
              </w:tc>
            </w:tr>
            <w:tr w14:paraId="246A6E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restart"/>
                  <w:tcBorders>
                    <w:tl2br w:val="nil"/>
                    <w:tr2bl w:val="nil"/>
                  </w:tcBorders>
                  <w:noWrap w:val="0"/>
                  <w:vAlign w:val="center"/>
                </w:tcPr>
                <w:p w14:paraId="55094B7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bidi="ar"/>
                    </w:rPr>
                    <w:t>固废</w:t>
                  </w:r>
                </w:p>
              </w:tc>
              <w:tc>
                <w:tcPr>
                  <w:tcW w:w="1047" w:type="pct"/>
                  <w:vMerge w:val="restart"/>
                  <w:tcBorders>
                    <w:tl2br w:val="nil"/>
                    <w:tr2bl w:val="nil"/>
                  </w:tcBorders>
                  <w:noWrap w:val="0"/>
                  <w:vAlign w:val="center"/>
                </w:tcPr>
                <w:p w14:paraId="59E044AD">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bidi="ar"/>
                    </w:rPr>
                    <w:t>拆解</w:t>
                  </w:r>
                  <w:r>
                    <w:rPr>
                      <w:rFonts w:hint="default" w:ascii="Times New Roman" w:hAnsi="Times New Roman" w:eastAsia="宋体" w:cs="Times New Roman"/>
                      <w:color w:val="auto"/>
                      <w:sz w:val="21"/>
                      <w:szCs w:val="21"/>
                      <w:highlight w:val="none"/>
                      <w:lang w:bidi="ar"/>
                    </w:rPr>
                    <w:t>过程</w:t>
                  </w:r>
                  <w:r>
                    <w:rPr>
                      <w:rFonts w:hint="eastAsia" w:cs="Times New Roman"/>
                      <w:color w:val="auto"/>
                      <w:sz w:val="21"/>
                      <w:szCs w:val="21"/>
                      <w:highlight w:val="none"/>
                      <w:lang w:val="en-US" w:eastAsia="zh-CN" w:bidi="ar"/>
                    </w:rPr>
                    <w:t>的主要产品</w:t>
                  </w:r>
                </w:p>
              </w:tc>
              <w:tc>
                <w:tcPr>
                  <w:tcW w:w="1359" w:type="pct"/>
                  <w:tcBorders>
                    <w:tl2br w:val="nil"/>
                    <w:tr2bl w:val="nil"/>
                  </w:tcBorders>
                  <w:noWrap w:val="0"/>
                  <w:vAlign w:val="center"/>
                </w:tcPr>
                <w:p w14:paraId="57609CE5">
                  <w:pPr>
                    <w:pStyle w:val="79"/>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none" w:color="auto"/>
                    </w:rPr>
                    <w:t>钢铁</w:t>
                  </w:r>
                </w:p>
              </w:tc>
              <w:tc>
                <w:tcPr>
                  <w:tcW w:w="2199" w:type="pct"/>
                  <w:vMerge w:val="restart"/>
                  <w:tcBorders>
                    <w:tl2br w:val="nil"/>
                    <w:tr2bl w:val="nil"/>
                  </w:tcBorders>
                  <w:noWrap w:val="0"/>
                  <w:vAlign w:val="center"/>
                </w:tcPr>
                <w:p w14:paraId="506B62A9">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外售给物资回收公司</w:t>
                  </w:r>
                </w:p>
              </w:tc>
            </w:tr>
            <w:tr w14:paraId="661A64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7114BCD9">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6C171C51">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45B6AC1F">
                  <w:pPr>
                    <w:pStyle w:val="79"/>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none" w:color="auto"/>
                    </w:rPr>
                    <w:t>有色金属</w:t>
                  </w:r>
                </w:p>
              </w:tc>
              <w:tc>
                <w:tcPr>
                  <w:tcW w:w="2199" w:type="pct"/>
                  <w:vMerge w:val="continue"/>
                  <w:tcBorders>
                    <w:tl2br w:val="nil"/>
                    <w:tr2bl w:val="nil"/>
                  </w:tcBorders>
                  <w:noWrap w:val="0"/>
                  <w:vAlign w:val="center"/>
                </w:tcPr>
                <w:p w14:paraId="7558C923">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58AE8E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5FE88C33">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56DDAE7E">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27EAF05D">
                  <w:pPr>
                    <w:pStyle w:val="79"/>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none" w:color="auto"/>
                    </w:rPr>
                    <w:t>玻璃</w:t>
                  </w:r>
                </w:p>
              </w:tc>
              <w:tc>
                <w:tcPr>
                  <w:tcW w:w="2199" w:type="pct"/>
                  <w:vMerge w:val="continue"/>
                  <w:tcBorders>
                    <w:tl2br w:val="nil"/>
                    <w:tr2bl w:val="nil"/>
                  </w:tcBorders>
                  <w:noWrap w:val="0"/>
                  <w:vAlign w:val="center"/>
                </w:tcPr>
                <w:p w14:paraId="7595FE1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5D2D3B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1A394ED9">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5CEEA8A3">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521D1845">
                  <w:pPr>
                    <w:pStyle w:val="79"/>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none" w:color="auto"/>
                    </w:rPr>
                    <w:t>塑料</w:t>
                  </w:r>
                </w:p>
              </w:tc>
              <w:tc>
                <w:tcPr>
                  <w:tcW w:w="2199" w:type="pct"/>
                  <w:vMerge w:val="continue"/>
                  <w:tcBorders>
                    <w:tl2br w:val="nil"/>
                    <w:tr2bl w:val="nil"/>
                  </w:tcBorders>
                  <w:noWrap w:val="0"/>
                  <w:vAlign w:val="center"/>
                </w:tcPr>
                <w:p w14:paraId="1FD8F27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29BB0D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5C1011CD">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78A428A9">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126EBF1E">
                  <w:pPr>
                    <w:pStyle w:val="79"/>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none" w:color="auto"/>
                    </w:rPr>
                    <w:t>橡胶</w:t>
                  </w:r>
                </w:p>
              </w:tc>
              <w:tc>
                <w:tcPr>
                  <w:tcW w:w="2199" w:type="pct"/>
                  <w:vMerge w:val="continue"/>
                  <w:tcBorders>
                    <w:tl2br w:val="nil"/>
                    <w:tr2bl w:val="nil"/>
                  </w:tcBorders>
                  <w:noWrap w:val="0"/>
                  <w:vAlign w:val="center"/>
                </w:tcPr>
                <w:p w14:paraId="5634718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70E4272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6DC2591F">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184D3380">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4D2620EA">
                  <w:pPr>
                    <w:pStyle w:val="79"/>
                    <w:keepNext w:val="0"/>
                    <w:keepLines w:val="0"/>
                    <w:suppressLineNumbers w:val="0"/>
                    <w:spacing w:before="0" w:beforeAutospacing="0" w:after="0" w:afterAutospacing="0"/>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u w:val="none" w:color="auto"/>
                    </w:rPr>
                    <w:t>可用零部件</w:t>
                  </w:r>
                </w:p>
              </w:tc>
              <w:tc>
                <w:tcPr>
                  <w:tcW w:w="2199" w:type="pct"/>
                  <w:vMerge w:val="continue"/>
                  <w:tcBorders>
                    <w:tl2br w:val="nil"/>
                    <w:tr2bl w:val="nil"/>
                  </w:tcBorders>
                  <w:noWrap w:val="0"/>
                  <w:vAlign w:val="center"/>
                </w:tcPr>
                <w:p w14:paraId="31C0CA13">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7A8C3A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20AC4969">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restart"/>
                  <w:tcBorders>
                    <w:tl2br w:val="nil"/>
                    <w:tr2bl w:val="nil"/>
                  </w:tcBorders>
                  <w:noWrap w:val="0"/>
                  <w:vAlign w:val="center"/>
                </w:tcPr>
                <w:p w14:paraId="38C5FAD0">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危险废物</w:t>
                  </w:r>
                </w:p>
              </w:tc>
              <w:tc>
                <w:tcPr>
                  <w:tcW w:w="1359" w:type="pct"/>
                  <w:tcBorders>
                    <w:tl2br w:val="nil"/>
                    <w:tr2bl w:val="nil"/>
                  </w:tcBorders>
                  <w:shd w:val="clear" w:color="auto" w:fill="auto"/>
                  <w:noWrap w:val="0"/>
                  <w:vAlign w:val="center"/>
                </w:tcPr>
                <w:p w14:paraId="0FD3D88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含有机溶剂废物</w:t>
                  </w:r>
                  <w:r>
                    <w:rPr>
                      <w:rFonts w:hint="eastAsia" w:ascii="Times New Roman" w:hAnsi="Times New Roman" w:cs="Times New Roman"/>
                      <w:color w:val="auto"/>
                      <w:sz w:val="21"/>
                      <w:szCs w:val="21"/>
                      <w:highlight w:val="none"/>
                      <w:lang w:val="en-US" w:eastAsia="zh-CN"/>
                    </w:rPr>
                    <w:t>（废制冷剂、挡风玻璃洗涤液、防冻液等）</w:t>
                  </w:r>
                </w:p>
              </w:tc>
              <w:tc>
                <w:tcPr>
                  <w:tcW w:w="2199" w:type="pct"/>
                  <w:vMerge w:val="restart"/>
                  <w:tcBorders>
                    <w:tl2br w:val="nil"/>
                    <w:tr2bl w:val="nil"/>
                  </w:tcBorders>
                  <w:noWrap w:val="0"/>
                  <w:vAlign w:val="center"/>
                </w:tcPr>
                <w:p w14:paraId="3786F4E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eastAsia" w:cs="Times New Roman"/>
                      <w:color w:val="auto"/>
                      <w:kern w:val="2"/>
                      <w:sz w:val="21"/>
                      <w:szCs w:val="21"/>
                      <w:highlight w:val="none"/>
                      <w:lang w:val="en-US" w:eastAsia="zh-CN" w:bidi="ar"/>
                    </w:rPr>
                    <w:t>暂存于危废贮存库，</w:t>
                  </w:r>
                  <w:r>
                    <w:rPr>
                      <w:rFonts w:hint="default" w:ascii="Times New Roman" w:hAnsi="Times New Roman" w:eastAsia="宋体" w:cs="Times New Roman"/>
                      <w:color w:val="auto"/>
                      <w:kern w:val="2"/>
                      <w:sz w:val="21"/>
                      <w:szCs w:val="21"/>
                      <w:highlight w:val="none"/>
                      <w:lang w:val="en-US" w:eastAsia="zh-CN" w:bidi="ar"/>
                    </w:rPr>
                    <w:t>定期交由有资质单位处理</w:t>
                  </w:r>
                </w:p>
              </w:tc>
            </w:tr>
            <w:tr w14:paraId="2C6763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13CA73A6">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404A210F">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0045E3C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废矿物油与含油废物</w:t>
                  </w:r>
                </w:p>
              </w:tc>
              <w:tc>
                <w:tcPr>
                  <w:tcW w:w="2199" w:type="pct"/>
                  <w:vMerge w:val="continue"/>
                  <w:tcBorders>
                    <w:tl2br w:val="nil"/>
                    <w:tr2bl w:val="nil"/>
                  </w:tcBorders>
                  <w:noWrap w:val="0"/>
                  <w:vAlign w:val="center"/>
                </w:tcPr>
                <w:p w14:paraId="4E022AB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57AB12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25B2FFF1">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724C1D56">
                  <w:pPr>
                    <w:keepNext w:val="0"/>
                    <w:keepLines w:val="0"/>
                    <w:suppressLineNumbers w:val="0"/>
                    <w:snapToGrid w:val="0"/>
                    <w:spacing w:before="0" w:beforeAutospacing="0" w:after="0" w:afterAutospacing="0"/>
                    <w:ind w:left="0" w:right="0"/>
                    <w:rPr>
                      <w:rFonts w:hint="eastAsia" w:ascii="Times New Roman" w:hAnsi="Times New Roman" w:eastAsia="宋体" w:cs="Times New Roman"/>
                      <w:color w:val="auto"/>
                      <w:sz w:val="21"/>
                      <w:szCs w:val="21"/>
                      <w:highlight w:val="none"/>
                      <w:lang w:val="en-US" w:eastAsia="zh-CN"/>
                    </w:rPr>
                  </w:pPr>
                </w:p>
              </w:tc>
              <w:tc>
                <w:tcPr>
                  <w:tcW w:w="1359" w:type="pct"/>
                  <w:tcBorders>
                    <w:tl2br w:val="nil"/>
                    <w:tr2bl w:val="nil"/>
                  </w:tcBorders>
                  <w:shd w:val="clear" w:color="auto" w:fill="auto"/>
                  <w:noWrap w:val="0"/>
                  <w:vAlign w:val="center"/>
                </w:tcPr>
                <w:p w14:paraId="15944C5C">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废铅蓄电池</w:t>
                  </w:r>
                </w:p>
              </w:tc>
              <w:tc>
                <w:tcPr>
                  <w:tcW w:w="2199" w:type="pct"/>
                  <w:vMerge w:val="continue"/>
                  <w:tcBorders>
                    <w:tl2br w:val="nil"/>
                    <w:tr2bl w:val="nil"/>
                  </w:tcBorders>
                  <w:noWrap w:val="0"/>
                  <w:vAlign w:val="center"/>
                </w:tcPr>
                <w:p w14:paraId="04B12817">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26F989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4488C58F">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1CCB73EA">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2B535B5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废电路板及元器件</w:t>
                  </w:r>
                </w:p>
              </w:tc>
              <w:tc>
                <w:tcPr>
                  <w:tcW w:w="2199" w:type="pct"/>
                  <w:vMerge w:val="continue"/>
                  <w:tcBorders>
                    <w:tl2br w:val="nil"/>
                    <w:tr2bl w:val="nil"/>
                  </w:tcBorders>
                  <w:noWrap w:val="0"/>
                  <w:vAlign w:val="center"/>
                </w:tcPr>
                <w:p w14:paraId="081367B5">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0F9594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7EF0FA36">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0BD0324E">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7B352D1C">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废尾气催化剂</w:t>
                  </w:r>
                </w:p>
              </w:tc>
              <w:tc>
                <w:tcPr>
                  <w:tcW w:w="2199" w:type="pct"/>
                  <w:vMerge w:val="continue"/>
                  <w:tcBorders>
                    <w:tl2br w:val="nil"/>
                    <w:tr2bl w:val="nil"/>
                  </w:tcBorders>
                  <w:noWrap w:val="0"/>
                  <w:vAlign w:val="center"/>
                </w:tcPr>
                <w:p w14:paraId="1A66E059">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r>
            <w:tr w14:paraId="27BAC9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405312B9">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1D90093C">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35565A9A">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废机油滤清器</w:t>
                  </w:r>
                </w:p>
              </w:tc>
              <w:tc>
                <w:tcPr>
                  <w:tcW w:w="2199" w:type="pct"/>
                  <w:vMerge w:val="continue"/>
                  <w:tcBorders>
                    <w:tl2br w:val="nil"/>
                    <w:tr2bl w:val="nil"/>
                  </w:tcBorders>
                  <w:noWrap w:val="0"/>
                  <w:vAlign w:val="center"/>
                </w:tcPr>
                <w:p w14:paraId="6462383E">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r>
            <w:tr w14:paraId="3A2B0F6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286829BE">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2B4BB35B">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026B222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废油箱</w:t>
                  </w:r>
                </w:p>
              </w:tc>
              <w:tc>
                <w:tcPr>
                  <w:tcW w:w="2199" w:type="pct"/>
                  <w:vMerge w:val="continue"/>
                  <w:tcBorders>
                    <w:tl2br w:val="nil"/>
                    <w:tr2bl w:val="nil"/>
                  </w:tcBorders>
                  <w:noWrap w:val="0"/>
                  <w:vAlign w:val="center"/>
                </w:tcPr>
                <w:p w14:paraId="01A7EBB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bidi="ar"/>
                    </w:rPr>
                  </w:pPr>
                </w:p>
              </w:tc>
            </w:tr>
            <w:tr w14:paraId="4376CB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4" w:type="pct"/>
                  <w:vMerge w:val="continue"/>
                  <w:tcBorders>
                    <w:tl2br w:val="nil"/>
                    <w:tr2bl w:val="nil"/>
                  </w:tcBorders>
                  <w:noWrap w:val="0"/>
                  <w:vAlign w:val="center"/>
                </w:tcPr>
                <w:p w14:paraId="74F72C54">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3370BC03">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521329B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含油手套抹布</w:t>
                  </w:r>
                </w:p>
              </w:tc>
              <w:tc>
                <w:tcPr>
                  <w:tcW w:w="2199" w:type="pct"/>
                  <w:vMerge w:val="continue"/>
                  <w:tcBorders>
                    <w:tl2br w:val="nil"/>
                    <w:tr2bl w:val="nil"/>
                  </w:tcBorders>
                  <w:noWrap w:val="0"/>
                  <w:vAlign w:val="center"/>
                </w:tcPr>
                <w:p w14:paraId="79EEEB92">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0774E4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6DEF9871">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3D833E0B">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5523B97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废活性炭</w:t>
                  </w:r>
                </w:p>
              </w:tc>
              <w:tc>
                <w:tcPr>
                  <w:tcW w:w="2199" w:type="pct"/>
                  <w:vMerge w:val="continue"/>
                  <w:tcBorders>
                    <w:tl2br w:val="nil"/>
                    <w:tr2bl w:val="nil"/>
                  </w:tcBorders>
                  <w:noWrap w:val="0"/>
                  <w:vAlign w:val="center"/>
                </w:tcPr>
                <w:p w14:paraId="76BBF3C6">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5AFFE0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0F21FAD6">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34820176">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772DC6DC">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污水处理设施污泥</w:t>
                  </w:r>
                </w:p>
              </w:tc>
              <w:tc>
                <w:tcPr>
                  <w:tcW w:w="2199" w:type="pct"/>
                  <w:vMerge w:val="continue"/>
                  <w:tcBorders>
                    <w:tl2br w:val="nil"/>
                    <w:tr2bl w:val="nil"/>
                  </w:tcBorders>
                  <w:noWrap w:val="0"/>
                  <w:vAlign w:val="center"/>
                </w:tcPr>
                <w:p w14:paraId="29789F9E">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04A7F3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7948FC18">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48FEE6C1">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shd w:val="clear" w:color="auto" w:fill="auto"/>
                  <w:noWrap w:val="0"/>
                  <w:vAlign w:val="center"/>
                </w:tcPr>
                <w:p w14:paraId="3E2536A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废动力电池</w:t>
                  </w:r>
                </w:p>
              </w:tc>
              <w:tc>
                <w:tcPr>
                  <w:tcW w:w="2199" w:type="pct"/>
                  <w:vMerge w:val="continue"/>
                  <w:tcBorders>
                    <w:tl2br w:val="nil"/>
                    <w:tr2bl w:val="nil"/>
                  </w:tcBorders>
                  <w:noWrap w:val="0"/>
                  <w:vAlign w:val="center"/>
                </w:tcPr>
                <w:p w14:paraId="3FC32661">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689A8E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394" w:type="pct"/>
                  <w:vMerge w:val="continue"/>
                  <w:tcBorders>
                    <w:tl2br w:val="nil"/>
                    <w:tr2bl w:val="nil"/>
                  </w:tcBorders>
                  <w:noWrap w:val="0"/>
                  <w:vAlign w:val="center"/>
                </w:tcPr>
                <w:p w14:paraId="209CB5EA">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restart"/>
                  <w:tcBorders>
                    <w:tl2br w:val="nil"/>
                    <w:tr2bl w:val="nil"/>
                  </w:tcBorders>
                  <w:noWrap w:val="0"/>
                  <w:vAlign w:val="center"/>
                </w:tcPr>
                <w:p w14:paraId="7A59F6F0">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一般固体废物</w:t>
                  </w:r>
                </w:p>
              </w:tc>
              <w:tc>
                <w:tcPr>
                  <w:tcW w:w="1359" w:type="pct"/>
                  <w:tcBorders>
                    <w:tl2br w:val="nil"/>
                    <w:tr2bl w:val="nil"/>
                  </w:tcBorders>
                  <w:noWrap w:val="0"/>
                  <w:vAlign w:val="center"/>
                </w:tcPr>
                <w:p w14:paraId="131B615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废弃车用电子零部件</w:t>
                  </w:r>
                </w:p>
              </w:tc>
              <w:tc>
                <w:tcPr>
                  <w:tcW w:w="2199" w:type="pct"/>
                  <w:tcBorders>
                    <w:tl2br w:val="nil"/>
                    <w:tr2bl w:val="nil"/>
                  </w:tcBorders>
                  <w:noWrap w:val="0"/>
                  <w:vAlign w:val="center"/>
                </w:tcPr>
                <w:p w14:paraId="53AAA442">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交由有废弃电器电子产品处理资格企业、电子废的拆解利用处置单位名录内企业</w:t>
                  </w:r>
                </w:p>
              </w:tc>
            </w:tr>
            <w:tr w14:paraId="33F0D5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3C5CF6CA">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79AAD10F">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339217C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废安全气囊</w:t>
                  </w:r>
                </w:p>
              </w:tc>
              <w:tc>
                <w:tcPr>
                  <w:tcW w:w="2199" w:type="pct"/>
                  <w:vMerge w:val="restart"/>
                  <w:tcBorders>
                    <w:tl2br w:val="nil"/>
                    <w:tr2bl w:val="nil"/>
                  </w:tcBorders>
                  <w:noWrap w:val="0"/>
                  <w:vAlign w:val="center"/>
                </w:tcPr>
                <w:p w14:paraId="0A1F8C6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交由具有相应处理能力或经营范围的单位利用和处置</w:t>
                  </w:r>
                </w:p>
              </w:tc>
            </w:tr>
            <w:tr w14:paraId="6B24EC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14B2D82E">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2CD890EB">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443B0E4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废尼龙布、废海绵、废皮革</w:t>
                  </w:r>
                </w:p>
              </w:tc>
              <w:tc>
                <w:tcPr>
                  <w:tcW w:w="2199" w:type="pct"/>
                  <w:vMerge w:val="continue"/>
                  <w:tcBorders>
                    <w:tl2br w:val="nil"/>
                    <w:tr2bl w:val="nil"/>
                  </w:tcBorders>
                  <w:noWrap w:val="0"/>
                  <w:vAlign w:val="center"/>
                </w:tcPr>
                <w:p w14:paraId="203CA08D">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p>
              </w:tc>
            </w:tr>
            <w:tr w14:paraId="118617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 w:hRule="atLeast"/>
                <w:jc w:val="center"/>
              </w:trPr>
              <w:tc>
                <w:tcPr>
                  <w:tcW w:w="394" w:type="pct"/>
                  <w:vMerge w:val="continue"/>
                  <w:tcBorders>
                    <w:tl2br w:val="nil"/>
                    <w:tr2bl w:val="nil"/>
                  </w:tcBorders>
                  <w:noWrap w:val="0"/>
                  <w:vAlign w:val="center"/>
                </w:tcPr>
                <w:p w14:paraId="341836B8">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7F323050">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54224F1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废液化气罐</w:t>
                  </w:r>
                </w:p>
              </w:tc>
              <w:tc>
                <w:tcPr>
                  <w:tcW w:w="2199" w:type="pct"/>
                  <w:tcBorders>
                    <w:tl2br w:val="nil"/>
                    <w:tr2bl w:val="nil"/>
                  </w:tcBorders>
                  <w:noWrap w:val="0"/>
                  <w:vAlign w:val="center"/>
                </w:tcPr>
                <w:p w14:paraId="5E53C6FD">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kern w:val="2"/>
                      <w:sz w:val="21"/>
                      <w:szCs w:val="21"/>
                      <w:highlight w:val="none"/>
                      <w:lang w:val="en-US" w:eastAsia="zh-CN" w:bidi="ar"/>
                    </w:rPr>
                    <w:t>交由具有相应资质的单位利用和处置</w:t>
                  </w:r>
                </w:p>
              </w:tc>
            </w:tr>
            <w:tr w14:paraId="4FC4C16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1CC7EA6B">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2E46B647">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59" w:type="pct"/>
                  <w:tcBorders>
                    <w:tl2br w:val="nil"/>
                    <w:tr2bl w:val="nil"/>
                  </w:tcBorders>
                  <w:noWrap w:val="0"/>
                  <w:vAlign w:val="center"/>
                </w:tcPr>
                <w:p w14:paraId="7A41C2E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其他不可利用物</w:t>
                  </w:r>
                </w:p>
              </w:tc>
              <w:tc>
                <w:tcPr>
                  <w:tcW w:w="2199" w:type="pct"/>
                  <w:tcBorders>
                    <w:tl2br w:val="nil"/>
                    <w:tr2bl w:val="nil"/>
                  </w:tcBorders>
                  <w:noWrap w:val="0"/>
                  <w:vAlign w:val="center"/>
                </w:tcPr>
                <w:p w14:paraId="6B1C5D6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交由具有相应处理能力或经营范围的单位利用和处置。</w:t>
                  </w:r>
                </w:p>
              </w:tc>
            </w:tr>
            <w:tr w14:paraId="26B9350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07554BD0">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vMerge w:val="continue"/>
                  <w:tcBorders>
                    <w:tl2br w:val="nil"/>
                    <w:tr2bl w:val="nil"/>
                  </w:tcBorders>
                  <w:noWrap w:val="0"/>
                  <w:vAlign w:val="center"/>
                </w:tcPr>
                <w:p w14:paraId="690E259A">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lang w:val="en-US" w:eastAsia="zh-CN"/>
                    </w:rPr>
                  </w:pPr>
                </w:p>
              </w:tc>
              <w:tc>
                <w:tcPr>
                  <w:tcW w:w="1359" w:type="pct"/>
                  <w:tcBorders>
                    <w:tl2br w:val="nil"/>
                    <w:tr2bl w:val="nil"/>
                  </w:tcBorders>
                  <w:noWrap w:val="0"/>
                  <w:vAlign w:val="center"/>
                </w:tcPr>
                <w:p w14:paraId="548027C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隔油渣</w:t>
                  </w:r>
                </w:p>
              </w:tc>
              <w:tc>
                <w:tcPr>
                  <w:tcW w:w="2199" w:type="pct"/>
                  <w:vMerge w:val="restart"/>
                  <w:tcBorders>
                    <w:tl2br w:val="nil"/>
                    <w:tr2bl w:val="nil"/>
                  </w:tcBorders>
                  <w:noWrap w:val="0"/>
                  <w:vAlign w:val="center"/>
                </w:tcPr>
                <w:p w14:paraId="727CC74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环卫部门统一清运</w:t>
                  </w:r>
                </w:p>
              </w:tc>
            </w:tr>
            <w:tr w14:paraId="4646810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394" w:type="pct"/>
                  <w:vMerge w:val="continue"/>
                  <w:tcBorders>
                    <w:tl2br w:val="nil"/>
                    <w:tr2bl w:val="nil"/>
                  </w:tcBorders>
                  <w:noWrap w:val="0"/>
                  <w:vAlign w:val="center"/>
                </w:tcPr>
                <w:p w14:paraId="38DC14E0">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047" w:type="pct"/>
                  <w:tcBorders>
                    <w:tl2br w:val="nil"/>
                    <w:tr2bl w:val="nil"/>
                  </w:tcBorders>
                  <w:noWrap w:val="0"/>
                  <w:vAlign w:val="center"/>
                </w:tcPr>
                <w:p w14:paraId="46BCDE69">
                  <w:pPr>
                    <w:keepNext w:val="0"/>
                    <w:keepLines w:val="0"/>
                    <w:suppressLineNumbers w:val="0"/>
                    <w:snapToGrid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生活垃圾</w:t>
                  </w:r>
                </w:p>
              </w:tc>
              <w:tc>
                <w:tcPr>
                  <w:tcW w:w="1359" w:type="pct"/>
                  <w:tcBorders>
                    <w:tl2br w:val="nil"/>
                    <w:tr2bl w:val="nil"/>
                  </w:tcBorders>
                  <w:noWrap w:val="0"/>
                  <w:vAlign w:val="center"/>
                </w:tcPr>
                <w:p w14:paraId="7CB5B19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生活垃圾</w:t>
                  </w:r>
                </w:p>
              </w:tc>
              <w:tc>
                <w:tcPr>
                  <w:tcW w:w="2199" w:type="pct"/>
                  <w:vMerge w:val="continue"/>
                  <w:tcBorders>
                    <w:tl2br w:val="nil"/>
                    <w:tr2bl w:val="nil"/>
                  </w:tcBorders>
                  <w:noWrap w:val="0"/>
                  <w:vAlign w:val="center"/>
                </w:tcPr>
                <w:p w14:paraId="4852FCC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r>
          </w:tbl>
          <w:p w14:paraId="4528E41B">
            <w:pPr>
              <w:keepNext w:val="0"/>
              <w:keepLines w:val="0"/>
              <w:suppressLineNumbers w:val="0"/>
              <w:spacing w:before="0" w:beforeAutospacing="0" w:after="0" w:afterAutospacing="0"/>
              <w:ind w:left="0" w:right="0"/>
              <w:rPr>
                <w:rFonts w:hint="default"/>
                <w:color w:val="auto"/>
                <w:highlight w:val="none"/>
              </w:rPr>
            </w:pPr>
          </w:p>
        </w:tc>
      </w:tr>
      <w:tr w14:paraId="536E013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84" w:type="dxa"/>
            <w:noWrap w:val="0"/>
            <w:vAlign w:val="center"/>
          </w:tcPr>
          <w:p w14:paraId="48C99C23">
            <w:pPr>
              <w:pStyle w:val="22"/>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color w:val="auto"/>
                <w:sz w:val="24"/>
                <w:szCs w:val="24"/>
                <w:highlight w:val="none"/>
              </w:rPr>
              <w:t>与项目有关的原有环境污染问题</w:t>
            </w:r>
          </w:p>
        </w:tc>
        <w:tc>
          <w:tcPr>
            <w:tcW w:w="8476" w:type="dxa"/>
            <w:noWrap w:val="0"/>
            <w:vAlign w:val="center"/>
          </w:tcPr>
          <w:p w14:paraId="6D5B25D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60" w:firstLineChars="200"/>
              <w:jc w:val="left"/>
              <w:textAlignment w:val="auto"/>
              <w:rPr>
                <w:rFonts w:hint="eastAsia"/>
                <w:color w:val="auto"/>
                <w:spacing w:val="-5"/>
                <w:sz w:val="24"/>
                <w:szCs w:val="24"/>
                <w:highlight w:val="none"/>
                <w:lang w:val="en-US" w:eastAsia="zh-CN"/>
              </w:rPr>
            </w:pPr>
            <w:r>
              <w:rPr>
                <w:rFonts w:hint="eastAsia"/>
                <w:color w:val="auto"/>
                <w:spacing w:val="-5"/>
                <w:sz w:val="24"/>
                <w:szCs w:val="24"/>
                <w:highlight w:val="none"/>
                <w:lang w:val="en-US" w:eastAsia="zh-CN"/>
              </w:rPr>
              <w:t>本项目为新建项目，建设单位租用辽</w:t>
            </w:r>
            <w:r>
              <w:rPr>
                <w:rFonts w:hint="eastAsia" w:ascii="Times New Roman" w:hAnsi="Times New Roman" w:eastAsia="宋体" w:cs="宋体"/>
                <w:color w:val="auto"/>
                <w:spacing w:val="1"/>
                <w:sz w:val="24"/>
                <w:szCs w:val="24"/>
                <w:highlight w:val="none"/>
                <w:lang w:val="en-US" w:eastAsia="zh-CN"/>
              </w:rPr>
              <w:t>宁新能科技发展</w:t>
            </w:r>
            <w:r>
              <w:rPr>
                <w:rFonts w:hint="default" w:ascii="Times New Roman" w:hAnsi="Times New Roman" w:eastAsia="宋体" w:cs="宋体"/>
                <w:color w:val="auto"/>
                <w:spacing w:val="1"/>
                <w:sz w:val="24"/>
                <w:szCs w:val="24"/>
                <w:highlight w:val="none"/>
                <w:lang w:val="en-US" w:eastAsia="zh-CN"/>
              </w:rPr>
              <w:t>有限公司现有厂区</w:t>
            </w:r>
            <w:r>
              <w:rPr>
                <w:rFonts w:hint="eastAsia" w:ascii="Times New Roman" w:hAnsi="Times New Roman" w:eastAsia="宋体" w:cs="宋体"/>
                <w:color w:val="auto"/>
                <w:spacing w:val="1"/>
                <w:sz w:val="24"/>
                <w:szCs w:val="24"/>
                <w:highlight w:val="none"/>
                <w:lang w:val="en-US" w:eastAsia="zh-CN"/>
              </w:rPr>
              <w:t>及厂房</w:t>
            </w:r>
            <w:r>
              <w:rPr>
                <w:rFonts w:hint="eastAsia" w:cs="宋体"/>
                <w:color w:val="auto"/>
                <w:spacing w:val="1"/>
                <w:sz w:val="24"/>
                <w:szCs w:val="24"/>
                <w:highlight w:val="none"/>
                <w:lang w:val="en-US" w:eastAsia="zh-CN"/>
              </w:rPr>
              <w:t>进行建设，根据调查，</w:t>
            </w:r>
            <w:r>
              <w:rPr>
                <w:rFonts w:hint="eastAsia"/>
                <w:color w:val="auto"/>
                <w:spacing w:val="-5"/>
                <w:sz w:val="24"/>
                <w:szCs w:val="24"/>
                <w:highlight w:val="none"/>
                <w:lang w:val="en-US" w:eastAsia="zh-CN"/>
              </w:rPr>
              <w:t>辽</w:t>
            </w:r>
            <w:r>
              <w:rPr>
                <w:rFonts w:hint="eastAsia" w:ascii="Times New Roman" w:hAnsi="Times New Roman" w:eastAsia="宋体" w:cs="宋体"/>
                <w:color w:val="auto"/>
                <w:spacing w:val="1"/>
                <w:sz w:val="24"/>
                <w:szCs w:val="24"/>
                <w:highlight w:val="none"/>
                <w:lang w:val="en-US" w:eastAsia="zh-CN"/>
              </w:rPr>
              <w:t>宁新能科技发展</w:t>
            </w:r>
            <w:r>
              <w:rPr>
                <w:rFonts w:hint="default" w:ascii="Times New Roman" w:hAnsi="Times New Roman" w:eastAsia="宋体" w:cs="宋体"/>
                <w:color w:val="auto"/>
                <w:spacing w:val="1"/>
                <w:sz w:val="24"/>
                <w:szCs w:val="24"/>
                <w:highlight w:val="none"/>
                <w:lang w:val="en-US" w:eastAsia="zh-CN"/>
              </w:rPr>
              <w:t>有限公司</w:t>
            </w:r>
            <w:r>
              <w:rPr>
                <w:rFonts w:hint="eastAsia" w:cs="宋体"/>
                <w:color w:val="auto"/>
                <w:spacing w:val="1"/>
                <w:sz w:val="24"/>
                <w:szCs w:val="24"/>
                <w:highlight w:val="none"/>
                <w:lang w:val="en-US" w:eastAsia="zh-CN"/>
              </w:rPr>
              <w:t>主要从事生产销售新型绝缘子、防污型导线、电力配件及开关等，该公司无相关环保手续。</w:t>
            </w:r>
          </w:p>
          <w:p w14:paraId="3E257A4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60" w:firstLineChars="200"/>
              <w:jc w:val="left"/>
              <w:textAlignment w:val="auto"/>
              <w:rPr>
                <w:rFonts w:hint="eastAsia"/>
                <w:color w:val="auto"/>
                <w:spacing w:val="-5"/>
                <w:sz w:val="24"/>
                <w:szCs w:val="24"/>
                <w:highlight w:val="none"/>
                <w:lang w:val="en-US" w:eastAsia="zh-CN"/>
              </w:rPr>
            </w:pPr>
            <w:r>
              <w:rPr>
                <w:rFonts w:hint="eastAsia"/>
                <w:color w:val="auto"/>
                <w:spacing w:val="-5"/>
                <w:sz w:val="24"/>
                <w:szCs w:val="24"/>
                <w:highlight w:val="none"/>
                <w:lang w:val="en-US" w:eastAsia="zh-CN"/>
              </w:rPr>
              <w:t>现状生产车间内无原有企业生产设备，生产车间及厂区地面均已进行硬化防渗措施，不存在与项目有关的原有环境污染问题。现场照片如下：</w:t>
            </w:r>
          </w:p>
          <w:p w14:paraId="7FA614D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color w:val="auto"/>
                <w:spacing w:val="-5"/>
                <w:sz w:val="24"/>
                <w:szCs w:val="24"/>
                <w:highlight w:val="none"/>
                <w:lang w:val="en-US" w:eastAsia="zh-CN"/>
              </w:rPr>
            </w:pPr>
            <w:r>
              <w:rPr>
                <w:rFonts w:hint="eastAsia"/>
                <w:color w:val="auto"/>
                <w:spacing w:val="-5"/>
                <w:sz w:val="24"/>
                <w:szCs w:val="24"/>
                <w:highlight w:val="none"/>
                <w:lang w:val="en-US" w:eastAsia="zh-CN"/>
              </w:rPr>
              <w:pict>
                <v:shape id="_x0000_i1034" o:spt="75" alt="73a6cdbc1e2d7b8fbe6198c5f918e942" type="#_x0000_t75" style="height:294.2pt;width:392.4pt;" filled="f" o:preferrelative="t" stroked="f" coordsize="21600,21600">
                  <v:path/>
                  <v:fill on="f" focussize="0,0"/>
                  <v:stroke on="f"/>
                  <v:imagedata r:id="rId17" o:title="73a6cdbc1e2d7b8fbe6198c5f918e942"/>
                  <o:lock v:ext="edit" aspectratio="t"/>
                  <w10:wrap type="none"/>
                  <w10:anchorlock/>
                </v:shape>
              </w:pict>
            </w:r>
          </w:p>
          <w:p w14:paraId="351AE5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b/>
                <w:bCs/>
                <w:color w:val="auto"/>
                <w:sz w:val="21"/>
                <w:szCs w:val="21"/>
                <w:highlight w:val="none"/>
              </w:rPr>
            </w:pPr>
            <w:r>
              <w:rPr>
                <w:rFonts w:hint="default"/>
                <w:b/>
                <w:bCs/>
                <w:color w:val="auto"/>
                <w:sz w:val="21"/>
                <w:szCs w:val="21"/>
                <w:highlight w:val="none"/>
              </w:rPr>
              <w:t>图</w:t>
            </w:r>
            <w:r>
              <w:rPr>
                <w:rFonts w:hint="eastAsia"/>
                <w:b/>
                <w:bCs/>
                <w:color w:val="auto"/>
                <w:sz w:val="21"/>
                <w:szCs w:val="21"/>
                <w:highlight w:val="none"/>
                <w:lang w:val="en-US" w:eastAsia="zh-CN"/>
              </w:rPr>
              <w:t>8</w:t>
            </w:r>
            <w:r>
              <w:rPr>
                <w:rFonts w:hint="default"/>
                <w:b/>
                <w:bCs/>
                <w:color w:val="auto"/>
                <w:sz w:val="21"/>
                <w:szCs w:val="21"/>
                <w:highlight w:val="none"/>
              </w:rPr>
              <w:t xml:space="preserve">  </w:t>
            </w:r>
            <w:r>
              <w:rPr>
                <w:rFonts w:hint="eastAsia"/>
                <w:b/>
                <w:bCs/>
                <w:color w:val="auto"/>
                <w:sz w:val="21"/>
                <w:szCs w:val="21"/>
                <w:highlight w:val="none"/>
                <w:lang w:val="en-US" w:eastAsia="zh-CN"/>
              </w:rPr>
              <w:t>项目所在区域</w:t>
            </w:r>
            <w:r>
              <w:rPr>
                <w:rFonts w:hint="default"/>
                <w:b/>
                <w:bCs/>
                <w:color w:val="auto"/>
                <w:sz w:val="21"/>
                <w:szCs w:val="21"/>
                <w:highlight w:val="none"/>
              </w:rPr>
              <w:t>现状照片</w:t>
            </w:r>
          </w:p>
          <w:p w14:paraId="7E30742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1A6406B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1DF2A59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45E3C3E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6D49631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5BCE82E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3D52AF1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59A638B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5D1833C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rPr>
            </w:pPr>
          </w:p>
          <w:p w14:paraId="6ADB675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73C5E19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3A87F71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24B4CA4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4A1691E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0196E72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060FFCA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671C2BB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5BE933D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284A524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p w14:paraId="0C1BCA2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both"/>
              <w:textAlignment w:val="auto"/>
              <w:rPr>
                <w:rFonts w:hint="default"/>
                <w:b/>
                <w:bCs/>
                <w:color w:val="auto"/>
                <w:sz w:val="21"/>
                <w:szCs w:val="21"/>
                <w:highlight w:val="none"/>
                <w:lang w:val="en-US" w:eastAsia="zh-CN"/>
              </w:rPr>
            </w:pPr>
          </w:p>
        </w:tc>
      </w:tr>
    </w:tbl>
    <w:p w14:paraId="009D64F2">
      <w:pPr>
        <w:pStyle w:val="22"/>
        <w:jc w:val="center"/>
        <w:rPr>
          <w:rFonts w:ascii="Times New Roman" w:hAnsi="Times New Roman"/>
          <w:snapToGrid w:val="0"/>
          <w:color w:val="auto"/>
          <w:sz w:val="36"/>
          <w:szCs w:val="36"/>
          <w:highlight w:val="none"/>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p>
    <w:p w14:paraId="7CFC4E5D">
      <w:pPr>
        <w:pStyle w:val="22"/>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hint="eastAsia" w:ascii="黑体" w:hAnsi="黑体" w:eastAsia="黑体" w:cs="黑体"/>
          <w:snapToGrid w:val="0"/>
          <w:color w:val="auto"/>
          <w:sz w:val="30"/>
          <w:szCs w:val="30"/>
          <w:highlight w:val="none"/>
        </w:rPr>
      </w:pPr>
      <w:r>
        <w:rPr>
          <w:rFonts w:hint="eastAsia" w:ascii="黑体" w:hAnsi="黑体" w:eastAsia="黑体" w:cs="黑体"/>
          <w:snapToGrid w:val="0"/>
          <w:color w:val="auto"/>
          <w:sz w:val="30"/>
          <w:szCs w:val="30"/>
          <w:highlight w:val="none"/>
        </w:rPr>
        <w:t>三、区域环境质量现状、环境保护目标及评价标准</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9230"/>
      </w:tblGrid>
      <w:tr w14:paraId="7DEB74D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7" w:type="dxa"/>
            <w:noWrap w:val="0"/>
            <w:vAlign w:val="center"/>
          </w:tcPr>
          <w:p w14:paraId="3468E94D">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区域</w:t>
            </w:r>
          </w:p>
          <w:p w14:paraId="6065F866">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1D3BDA2A">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质量</w:t>
            </w:r>
          </w:p>
          <w:p w14:paraId="7AA58AAF">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szCs w:val="24"/>
                <w:highlight w:val="none"/>
              </w:rPr>
              <w:t>现状</w:t>
            </w:r>
          </w:p>
        </w:tc>
        <w:tc>
          <w:tcPr>
            <w:tcW w:w="8324" w:type="dxa"/>
            <w:noWrap w:val="0"/>
            <w:vAlign w:val="center"/>
          </w:tcPr>
          <w:p w14:paraId="3DAC6264">
            <w:pPr>
              <w:keepNext w:val="0"/>
              <w:keepLines w:val="0"/>
              <w:widowControl/>
              <w:suppressLineNumbers w:val="0"/>
              <w:spacing w:before="0" w:beforeAutospacing="0" w:after="0" w:afterAutospacing="0" w:line="360" w:lineRule="auto"/>
              <w:ind w:left="0" w:right="0" w:firstLine="482" w:firstLineChars="200"/>
              <w:rPr>
                <w:rFonts w:hint="default" w:ascii="Times New Roman" w:hAnsi="Times New Roman" w:cs="Times New Roman"/>
                <w:b/>
                <w:color w:val="auto"/>
                <w:kern w:val="0"/>
                <w:sz w:val="24"/>
                <w:szCs w:val="20"/>
                <w:highlight w:val="none"/>
              </w:rPr>
            </w:pPr>
            <w:r>
              <w:rPr>
                <w:rFonts w:hint="default" w:ascii="Times New Roman" w:hAnsi="Times New Roman" w:cs="Times New Roman"/>
                <w:b/>
                <w:color w:val="auto"/>
                <w:kern w:val="0"/>
                <w:sz w:val="24"/>
                <w:szCs w:val="20"/>
                <w:highlight w:val="none"/>
              </w:rPr>
              <w:t>1、环境空气</w:t>
            </w:r>
            <w:r>
              <w:rPr>
                <w:rFonts w:hint="eastAsia" w:ascii="Times New Roman" w:hAnsi="Times New Roman" w:cs="Times New Roman"/>
                <w:b/>
                <w:color w:val="auto"/>
                <w:kern w:val="0"/>
                <w:sz w:val="24"/>
                <w:szCs w:val="20"/>
                <w:highlight w:val="none"/>
              </w:rPr>
              <w:t>质量现状</w:t>
            </w:r>
          </w:p>
          <w:p w14:paraId="2511AF78">
            <w:pPr>
              <w:keepNext w:val="0"/>
              <w:keepLines w:val="0"/>
              <w:suppressLineNumbers w:val="0"/>
              <w:adjustRightInd w:val="0"/>
              <w:snapToGrid w:val="0"/>
              <w:spacing w:before="0" w:beforeAutospacing="0" w:after="0" w:afterAutospacing="0" w:line="360" w:lineRule="auto"/>
              <w:ind w:left="0" w:right="0" w:firstLine="484" w:firstLineChars="200"/>
              <w:rPr>
                <w:rFonts w:hint="eastAsia" w:ascii="Times New Roman" w:hAnsi="Times New Roman" w:cs="Times New Roman"/>
                <w:color w:val="auto"/>
                <w:spacing w:val="1"/>
                <w:sz w:val="24"/>
                <w:highlight w:val="none"/>
              </w:rPr>
            </w:pPr>
            <w:r>
              <w:rPr>
                <w:rFonts w:hint="eastAsia" w:ascii="Times New Roman" w:hAnsi="Times New Roman" w:cs="Times New Roman"/>
                <w:color w:val="auto"/>
                <w:spacing w:val="1"/>
                <w:sz w:val="24"/>
                <w:highlight w:val="none"/>
                <w:lang w:eastAsia="zh-CN"/>
              </w:rPr>
              <w:t>（</w:t>
            </w:r>
            <w:r>
              <w:rPr>
                <w:rFonts w:hint="eastAsia" w:ascii="Times New Roman" w:hAnsi="Times New Roman" w:cs="Times New Roman"/>
                <w:color w:val="auto"/>
                <w:spacing w:val="1"/>
                <w:sz w:val="24"/>
                <w:highlight w:val="none"/>
                <w:lang w:val="en-US" w:eastAsia="zh-CN"/>
              </w:rPr>
              <w:t>1</w:t>
            </w:r>
            <w:r>
              <w:rPr>
                <w:rFonts w:hint="eastAsia" w:ascii="Times New Roman" w:hAnsi="Times New Roman" w:cs="Times New Roman"/>
                <w:color w:val="auto"/>
                <w:spacing w:val="1"/>
                <w:sz w:val="24"/>
                <w:highlight w:val="none"/>
                <w:lang w:eastAsia="zh-CN"/>
              </w:rPr>
              <w:t>）</w:t>
            </w:r>
            <w:r>
              <w:rPr>
                <w:rFonts w:hint="eastAsia" w:ascii="Times New Roman" w:hAnsi="Times New Roman" w:cs="Times New Roman"/>
                <w:color w:val="auto"/>
                <w:spacing w:val="1"/>
                <w:sz w:val="24"/>
                <w:highlight w:val="none"/>
              </w:rPr>
              <w:t>基本污染物</w:t>
            </w:r>
          </w:p>
          <w:p w14:paraId="7E31558A">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b w:val="0"/>
                <w:bCs w:val="0"/>
                <w:color w:val="auto"/>
                <w:kern w:val="0"/>
                <w:sz w:val="24"/>
                <w:szCs w:val="20"/>
                <w:highlight w:val="none"/>
                <w:lang w:val="en-US" w:eastAsia="zh-CN" w:bidi="ar-SA"/>
              </w:rPr>
            </w:pPr>
            <w:r>
              <w:rPr>
                <w:rFonts w:hint="eastAsia" w:ascii="Times New Roman" w:hAnsi="Times New Roman" w:eastAsia="宋体" w:cs="Times New Roman"/>
                <w:b w:val="0"/>
                <w:bCs w:val="0"/>
                <w:color w:val="auto"/>
                <w:kern w:val="0"/>
                <w:sz w:val="24"/>
                <w:szCs w:val="20"/>
                <w:highlight w:val="none"/>
                <w:lang w:val="en-US" w:eastAsia="zh-CN" w:bidi="ar-SA"/>
              </w:rPr>
              <w:t>根据《环境影响评价技术导则大气环境》（HJ2.2-2018）要求，引用“国家或地方生态环境主管部门公开发布的城市环境空气质量达标情况，判断项目所在区域是否属于达标区。城市环境空气质量达标情况评价指标为SO</w:t>
            </w:r>
            <w:r>
              <w:rPr>
                <w:rFonts w:hint="eastAsia" w:ascii="Times New Roman" w:hAnsi="Times New Roman" w:eastAsia="宋体" w:cs="Times New Roman"/>
                <w:b w:val="0"/>
                <w:bCs w:val="0"/>
                <w:color w:val="auto"/>
                <w:kern w:val="0"/>
                <w:sz w:val="24"/>
                <w:szCs w:val="20"/>
                <w:highlight w:val="none"/>
                <w:vertAlign w:val="subscript"/>
                <w:lang w:val="en-US" w:eastAsia="zh-CN" w:bidi="ar-SA"/>
              </w:rPr>
              <w:t>2</w:t>
            </w:r>
            <w:r>
              <w:rPr>
                <w:rFonts w:hint="eastAsia" w:ascii="Times New Roman" w:hAnsi="Times New Roman" w:eastAsia="宋体" w:cs="Times New Roman"/>
                <w:b w:val="0"/>
                <w:bCs w:val="0"/>
                <w:color w:val="auto"/>
                <w:kern w:val="0"/>
                <w:sz w:val="24"/>
                <w:szCs w:val="20"/>
                <w:highlight w:val="none"/>
                <w:lang w:val="en-US" w:eastAsia="zh-CN" w:bidi="ar-SA"/>
              </w:rPr>
              <w:t>、NO</w:t>
            </w:r>
            <w:r>
              <w:rPr>
                <w:rFonts w:hint="eastAsia" w:ascii="Times New Roman" w:hAnsi="Times New Roman" w:eastAsia="宋体" w:cs="Times New Roman"/>
                <w:b w:val="0"/>
                <w:bCs w:val="0"/>
                <w:color w:val="auto"/>
                <w:kern w:val="0"/>
                <w:sz w:val="24"/>
                <w:szCs w:val="20"/>
                <w:highlight w:val="none"/>
                <w:vertAlign w:val="subscript"/>
                <w:lang w:val="en-US" w:eastAsia="zh-CN" w:bidi="ar-SA"/>
              </w:rPr>
              <w:t>2</w:t>
            </w:r>
            <w:r>
              <w:rPr>
                <w:rFonts w:hint="eastAsia" w:ascii="Times New Roman" w:hAnsi="Times New Roman" w:eastAsia="宋体" w:cs="Times New Roman"/>
                <w:b w:val="0"/>
                <w:bCs w:val="0"/>
                <w:color w:val="auto"/>
                <w:kern w:val="0"/>
                <w:sz w:val="24"/>
                <w:szCs w:val="20"/>
                <w:highlight w:val="none"/>
                <w:lang w:val="en-US" w:eastAsia="zh-CN" w:bidi="ar-SA"/>
              </w:rPr>
              <w:t>、PM</w:t>
            </w:r>
            <w:r>
              <w:rPr>
                <w:rFonts w:hint="eastAsia" w:ascii="Times New Roman" w:hAnsi="Times New Roman" w:eastAsia="宋体" w:cs="Times New Roman"/>
                <w:b w:val="0"/>
                <w:bCs w:val="0"/>
                <w:color w:val="auto"/>
                <w:kern w:val="0"/>
                <w:sz w:val="24"/>
                <w:szCs w:val="20"/>
                <w:highlight w:val="none"/>
                <w:vertAlign w:val="subscript"/>
                <w:lang w:val="en-US" w:eastAsia="zh-CN" w:bidi="ar-SA"/>
              </w:rPr>
              <w:t>10</w:t>
            </w:r>
            <w:r>
              <w:rPr>
                <w:rFonts w:hint="eastAsia" w:ascii="Times New Roman" w:hAnsi="Times New Roman" w:eastAsia="宋体" w:cs="Times New Roman"/>
                <w:b w:val="0"/>
                <w:bCs w:val="0"/>
                <w:color w:val="auto"/>
                <w:kern w:val="0"/>
                <w:sz w:val="24"/>
                <w:szCs w:val="20"/>
                <w:highlight w:val="none"/>
                <w:lang w:val="en-US" w:eastAsia="zh-CN" w:bidi="ar-SA"/>
              </w:rPr>
              <w:t>、PM</w:t>
            </w:r>
            <w:r>
              <w:rPr>
                <w:rFonts w:hint="eastAsia" w:ascii="Times New Roman" w:hAnsi="Times New Roman" w:eastAsia="宋体" w:cs="Times New Roman"/>
                <w:b w:val="0"/>
                <w:bCs w:val="0"/>
                <w:color w:val="auto"/>
                <w:kern w:val="0"/>
                <w:sz w:val="24"/>
                <w:szCs w:val="20"/>
                <w:highlight w:val="none"/>
                <w:vertAlign w:val="subscript"/>
                <w:lang w:val="en-US" w:eastAsia="zh-CN" w:bidi="ar-SA"/>
              </w:rPr>
              <w:t>2.5</w:t>
            </w:r>
            <w:r>
              <w:rPr>
                <w:rFonts w:hint="eastAsia" w:ascii="Times New Roman" w:hAnsi="Times New Roman" w:eastAsia="宋体" w:cs="Times New Roman"/>
                <w:b w:val="0"/>
                <w:bCs w:val="0"/>
                <w:color w:val="auto"/>
                <w:kern w:val="0"/>
                <w:sz w:val="24"/>
                <w:szCs w:val="20"/>
                <w:highlight w:val="none"/>
                <w:lang w:val="en-US" w:eastAsia="zh-CN" w:bidi="ar-SA"/>
              </w:rPr>
              <w:t>、CO和O</w:t>
            </w:r>
            <w:r>
              <w:rPr>
                <w:rFonts w:hint="eastAsia" w:ascii="Times New Roman" w:hAnsi="Times New Roman" w:eastAsia="宋体" w:cs="Times New Roman"/>
                <w:b w:val="0"/>
                <w:bCs w:val="0"/>
                <w:color w:val="auto"/>
                <w:kern w:val="0"/>
                <w:sz w:val="24"/>
                <w:szCs w:val="20"/>
                <w:highlight w:val="none"/>
                <w:vertAlign w:val="subscript"/>
                <w:lang w:val="en-US" w:eastAsia="zh-CN" w:bidi="ar-SA"/>
              </w:rPr>
              <w:t>3</w:t>
            </w:r>
            <w:r>
              <w:rPr>
                <w:rFonts w:hint="eastAsia" w:ascii="Times New Roman" w:hAnsi="Times New Roman" w:eastAsia="宋体" w:cs="Times New Roman"/>
                <w:b w:val="0"/>
                <w:bCs w:val="0"/>
                <w:color w:val="auto"/>
                <w:kern w:val="0"/>
                <w:sz w:val="24"/>
                <w:szCs w:val="20"/>
                <w:highlight w:val="none"/>
                <w:lang w:val="en-US" w:eastAsia="zh-CN" w:bidi="ar-SA"/>
              </w:rPr>
              <w:t>，六项污染物全部达标即为城市环境空气质量达标。”</w:t>
            </w:r>
          </w:p>
          <w:p w14:paraId="3AAF4C97">
            <w:pPr>
              <w:pStyle w:val="93"/>
              <w:keepNext w:val="0"/>
              <w:keepLines w:val="0"/>
              <w:suppressLineNumbers w:val="0"/>
              <w:spacing w:before="0" w:beforeAutospacing="0" w:after="0" w:afterAutospacing="0" w:line="360" w:lineRule="auto"/>
              <w:ind w:left="0" w:right="0" w:firstLine="480" w:firstLineChars="200"/>
              <w:jc w:val="both"/>
              <w:rPr>
                <w:rFonts w:hint="default" w:ascii="Times New Roman" w:hAnsi="Times New Roman"/>
                <w:color w:val="auto"/>
                <w:highlight w:val="none"/>
              </w:rPr>
            </w:pPr>
            <w:r>
              <w:rPr>
                <w:rFonts w:hint="eastAsia" w:ascii="Times New Roman" w:hAnsi="Times New Roman"/>
                <w:color w:val="auto"/>
                <w:highlight w:val="none"/>
              </w:rPr>
              <w:t>本</w:t>
            </w:r>
            <w:bookmarkStart w:id="2" w:name="OLE_LINK385"/>
            <w:bookmarkStart w:id="3" w:name="OLE_LINK384"/>
            <w:r>
              <w:rPr>
                <w:rFonts w:hint="eastAsia" w:ascii="Times New Roman" w:hAnsi="Times New Roman"/>
                <w:color w:val="auto"/>
                <w:highlight w:val="none"/>
              </w:rPr>
              <w:t>项目所在区域的环境空气质量现状采用辽宁省阜新</w:t>
            </w:r>
            <w:r>
              <w:rPr>
                <w:rFonts w:hint="eastAsia" w:ascii="Times New Roman" w:hAnsi="Times New Roman"/>
                <w:color w:val="auto"/>
                <w:highlight w:val="none"/>
                <w:lang w:val="en-US" w:eastAsia="zh-CN"/>
              </w:rPr>
              <w:t>市生态环境局发布的</w:t>
            </w:r>
            <w:r>
              <w:rPr>
                <w:rFonts w:hint="eastAsia" w:ascii="Times New Roman" w:hAnsi="Times New Roman"/>
                <w:color w:val="auto"/>
                <w:highlight w:val="none"/>
              </w:rPr>
              <w:t>《</w:t>
            </w:r>
            <w:r>
              <w:rPr>
                <w:rFonts w:hint="eastAsia" w:ascii="Times New Roman" w:hAnsi="Times New Roman"/>
                <w:color w:val="auto"/>
                <w:highlight w:val="none"/>
                <w:lang w:eastAsia="zh-CN"/>
              </w:rPr>
              <w:t>“</w:t>
            </w:r>
            <w:r>
              <w:rPr>
                <w:rFonts w:hint="eastAsia" w:ascii="Times New Roman" w:hAnsi="Times New Roman"/>
                <w:color w:val="auto"/>
                <w:highlight w:val="none"/>
                <w:lang w:val="en-US" w:eastAsia="zh-CN"/>
              </w:rPr>
              <w:t>十四五”</w:t>
            </w:r>
            <w:r>
              <w:rPr>
                <w:rFonts w:hint="eastAsia" w:ascii="Times New Roman" w:hAnsi="Times New Roman"/>
                <w:color w:val="auto"/>
                <w:highlight w:val="none"/>
              </w:rPr>
              <w:t>阜新市生态环境质量报告书》中的</w:t>
            </w:r>
            <w:bookmarkEnd w:id="2"/>
            <w:bookmarkEnd w:id="3"/>
            <w:r>
              <w:rPr>
                <w:rFonts w:hint="eastAsia" w:ascii="Times New Roman" w:hAnsi="Times New Roman"/>
                <w:color w:val="auto"/>
                <w:highlight w:val="none"/>
                <w:lang w:val="en-US" w:eastAsia="zh-CN"/>
              </w:rPr>
              <w:t>2025年环境空气监测结果</w:t>
            </w:r>
            <w:r>
              <w:rPr>
                <w:rFonts w:hint="eastAsia" w:ascii="Times New Roman" w:hAnsi="Times New Roman"/>
                <w:color w:val="auto"/>
                <w:highlight w:val="none"/>
                <w:lang w:eastAsia="zh-CN"/>
              </w:rPr>
              <w:t>，</w:t>
            </w:r>
            <w:r>
              <w:rPr>
                <w:rFonts w:hint="eastAsia" w:ascii="Times New Roman" w:hAnsi="Times New Roman"/>
                <w:color w:val="auto"/>
                <w:highlight w:val="none"/>
              </w:rPr>
              <w:t>环境空气质量现状见下表。</w:t>
            </w:r>
          </w:p>
          <w:p w14:paraId="1FB813CA">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21"/>
                <w:szCs w:val="21"/>
                <w:highlight w:val="none"/>
                <w:lang w:val="en-US" w:eastAsia="zh-CN"/>
              </w:rPr>
            </w:pPr>
            <w:r>
              <w:rPr>
                <w:rFonts w:hint="default" w:ascii="Times New Roman" w:hAnsi="Times New Roman" w:cs="Times New Roman"/>
                <w:b/>
                <w:color w:val="auto"/>
                <w:sz w:val="21"/>
                <w:szCs w:val="21"/>
                <w:highlight w:val="none"/>
              </w:rPr>
              <w:t xml:space="preserve">表3-1  </w:t>
            </w:r>
            <w:r>
              <w:rPr>
                <w:rFonts w:hint="eastAsia" w:cs="Times New Roman"/>
                <w:b/>
                <w:bCs/>
                <w:color w:val="auto"/>
                <w:sz w:val="21"/>
                <w:szCs w:val="21"/>
                <w:highlight w:val="none"/>
                <w:lang w:val="en-US" w:eastAsia="zh-CN"/>
              </w:rPr>
              <w:t>2025</w:t>
            </w:r>
            <w:r>
              <w:rPr>
                <w:rFonts w:hint="default" w:ascii="Times New Roman" w:hAnsi="Times New Roman" w:cs="Times New Roman"/>
                <w:b/>
                <w:bCs/>
                <w:color w:val="auto"/>
                <w:sz w:val="21"/>
                <w:szCs w:val="21"/>
                <w:highlight w:val="none"/>
                <w:lang w:val="en-US" w:eastAsia="zh-CN"/>
              </w:rPr>
              <w:t>年阜新市环境空气质量现状评价表</w:t>
            </w:r>
          </w:p>
          <w:tbl>
            <w:tblPr>
              <w:tblStyle w:val="27"/>
              <w:tblW w:w="4998"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97"/>
              <w:gridCol w:w="3490"/>
              <w:gridCol w:w="1495"/>
              <w:gridCol w:w="1419"/>
              <w:gridCol w:w="851"/>
              <w:gridCol w:w="838"/>
            </w:tblGrid>
            <w:tr w14:paraId="076897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99" w:type="pct"/>
                  <w:tcBorders>
                    <w:tl2br w:val="nil"/>
                    <w:tr2bl w:val="nil"/>
                  </w:tcBorders>
                  <w:noWrap w:val="0"/>
                  <w:vAlign w:val="center"/>
                </w:tcPr>
                <w:p w14:paraId="7B561D1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污染物</w:t>
                  </w:r>
                </w:p>
              </w:tc>
              <w:tc>
                <w:tcPr>
                  <w:tcW w:w="1940" w:type="pct"/>
                  <w:tcBorders>
                    <w:tl2br w:val="nil"/>
                    <w:tr2bl w:val="nil"/>
                  </w:tcBorders>
                  <w:noWrap w:val="0"/>
                  <w:vAlign w:val="center"/>
                </w:tcPr>
                <w:p w14:paraId="7A5E589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年评价指标</w:t>
                  </w:r>
                </w:p>
              </w:tc>
              <w:tc>
                <w:tcPr>
                  <w:tcW w:w="831" w:type="pct"/>
                  <w:tcBorders>
                    <w:tl2br w:val="nil"/>
                    <w:tr2bl w:val="nil"/>
                  </w:tcBorders>
                  <w:noWrap w:val="0"/>
                  <w:vAlign w:val="center"/>
                </w:tcPr>
                <w:p w14:paraId="37F63C16">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现状浓度（μg/m</w:t>
                  </w:r>
                  <w:r>
                    <w:rPr>
                      <w:rFonts w:hint="default" w:ascii="Times New Roman" w:hAnsi="Times New Roman" w:eastAsia="宋体" w:cs="Times New Roman"/>
                      <w:b w:val="0"/>
                      <w:bCs w:val="0"/>
                      <w:color w:val="auto"/>
                      <w:sz w:val="21"/>
                      <w:szCs w:val="21"/>
                      <w:highlight w:val="none"/>
                      <w:vertAlign w:val="superscript"/>
                    </w:rPr>
                    <w:t>3</w:t>
                  </w:r>
                  <w:r>
                    <w:rPr>
                      <w:rFonts w:hint="default" w:ascii="Times New Roman" w:hAnsi="Times New Roman" w:eastAsia="宋体" w:cs="Times New Roman"/>
                      <w:b w:val="0"/>
                      <w:bCs w:val="0"/>
                      <w:color w:val="auto"/>
                      <w:sz w:val="21"/>
                      <w:szCs w:val="21"/>
                      <w:highlight w:val="none"/>
                    </w:rPr>
                    <w:t>）</w:t>
                  </w:r>
                </w:p>
              </w:tc>
              <w:tc>
                <w:tcPr>
                  <w:tcW w:w="789" w:type="pct"/>
                  <w:tcBorders>
                    <w:tl2br w:val="nil"/>
                    <w:tr2bl w:val="nil"/>
                  </w:tcBorders>
                  <w:noWrap w:val="0"/>
                  <w:vAlign w:val="center"/>
                </w:tcPr>
                <w:p w14:paraId="6913EFA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rPr>
                  </w:pPr>
                  <w:r>
                    <w:rPr>
                      <w:rFonts w:hint="default" w:ascii="Times New Roman" w:hAnsi="Times New Roman" w:eastAsia="宋体" w:cs="Times New Roman"/>
                      <w:b w:val="0"/>
                      <w:bCs w:val="0"/>
                      <w:color w:val="auto"/>
                      <w:sz w:val="21"/>
                      <w:szCs w:val="21"/>
                      <w:highlight w:val="none"/>
                    </w:rPr>
                    <w:t>标准值（μg/m</w:t>
                  </w:r>
                  <w:r>
                    <w:rPr>
                      <w:rFonts w:hint="default" w:ascii="Times New Roman" w:hAnsi="Times New Roman" w:eastAsia="宋体" w:cs="Times New Roman"/>
                      <w:b w:val="0"/>
                      <w:bCs w:val="0"/>
                      <w:color w:val="auto"/>
                      <w:sz w:val="21"/>
                      <w:szCs w:val="21"/>
                      <w:highlight w:val="none"/>
                      <w:vertAlign w:val="superscript"/>
                    </w:rPr>
                    <w:t>3</w:t>
                  </w:r>
                  <w:r>
                    <w:rPr>
                      <w:rFonts w:hint="default" w:ascii="Times New Roman" w:hAnsi="Times New Roman" w:eastAsia="宋体" w:cs="Times New Roman"/>
                      <w:b w:val="0"/>
                      <w:bCs w:val="0"/>
                      <w:color w:val="auto"/>
                      <w:sz w:val="21"/>
                      <w:szCs w:val="21"/>
                      <w:highlight w:val="none"/>
                    </w:rPr>
                    <w:t>）</w:t>
                  </w:r>
                </w:p>
              </w:tc>
              <w:tc>
                <w:tcPr>
                  <w:tcW w:w="473" w:type="pct"/>
                  <w:tcBorders>
                    <w:tl2br w:val="nil"/>
                    <w:tr2bl w:val="nil"/>
                  </w:tcBorders>
                  <w:noWrap w:val="0"/>
                  <w:vAlign w:val="center"/>
                </w:tcPr>
                <w:p w14:paraId="70AC3DD8">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rPr>
                  </w:pPr>
                  <w:r>
                    <w:rPr>
                      <w:rFonts w:hint="eastAsia" w:ascii="Times New Roman" w:hAnsi="Times New Roman" w:eastAsia="宋体" w:cs="Times New Roman"/>
                      <w:b w:val="0"/>
                      <w:bCs w:val="0"/>
                      <w:color w:val="auto"/>
                      <w:sz w:val="21"/>
                      <w:szCs w:val="21"/>
                      <w:highlight w:val="none"/>
                      <w:lang w:eastAsia="zh-CN"/>
                    </w:rPr>
                    <w:t>占标</w:t>
                  </w:r>
                  <w:r>
                    <w:rPr>
                      <w:rFonts w:hint="default" w:ascii="Times New Roman" w:hAnsi="Times New Roman" w:eastAsia="宋体" w:cs="Times New Roman"/>
                      <w:b w:val="0"/>
                      <w:bCs w:val="0"/>
                      <w:color w:val="auto"/>
                      <w:sz w:val="21"/>
                      <w:szCs w:val="21"/>
                      <w:highlight w:val="none"/>
                    </w:rPr>
                    <w:t>率%</w:t>
                  </w:r>
                </w:p>
              </w:tc>
              <w:tc>
                <w:tcPr>
                  <w:tcW w:w="466" w:type="pct"/>
                  <w:tcBorders>
                    <w:tl2br w:val="nil"/>
                    <w:tr2bl w:val="nil"/>
                  </w:tcBorders>
                  <w:noWrap w:val="0"/>
                  <w:vAlign w:val="center"/>
                </w:tcPr>
                <w:p w14:paraId="03EF3A7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达标情况</w:t>
                  </w:r>
                </w:p>
              </w:tc>
            </w:tr>
            <w:tr w14:paraId="458C43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99" w:type="pct"/>
                  <w:tcBorders>
                    <w:tl2br w:val="nil"/>
                    <w:tr2bl w:val="nil"/>
                  </w:tcBorders>
                  <w:noWrap w:val="0"/>
                  <w:vAlign w:val="center"/>
                </w:tcPr>
                <w:p w14:paraId="202F7FB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SO</w:t>
                  </w:r>
                  <w:r>
                    <w:rPr>
                      <w:rFonts w:hint="default" w:ascii="Times New Roman" w:hAnsi="Times New Roman" w:eastAsia="宋体" w:cs="Times New Roman"/>
                      <w:b w:val="0"/>
                      <w:bCs w:val="0"/>
                      <w:color w:val="auto"/>
                      <w:sz w:val="21"/>
                      <w:szCs w:val="21"/>
                      <w:highlight w:val="none"/>
                      <w:vertAlign w:val="subscript"/>
                    </w:rPr>
                    <w:t>2</w:t>
                  </w:r>
                </w:p>
              </w:tc>
              <w:tc>
                <w:tcPr>
                  <w:tcW w:w="1940" w:type="pct"/>
                  <w:tcBorders>
                    <w:tl2br w:val="nil"/>
                    <w:tr2bl w:val="nil"/>
                  </w:tcBorders>
                  <w:noWrap w:val="0"/>
                  <w:vAlign w:val="center"/>
                </w:tcPr>
                <w:p w14:paraId="6D15DFD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年平均质量浓度</w:t>
                  </w:r>
                </w:p>
              </w:tc>
              <w:tc>
                <w:tcPr>
                  <w:tcW w:w="831" w:type="pct"/>
                  <w:tcBorders>
                    <w:tl2br w:val="nil"/>
                    <w:tr2bl w:val="nil"/>
                  </w:tcBorders>
                  <w:noWrap w:val="0"/>
                  <w:vAlign w:val="center"/>
                </w:tcPr>
                <w:p w14:paraId="5D7C93CD">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13</w:t>
                  </w:r>
                </w:p>
              </w:tc>
              <w:tc>
                <w:tcPr>
                  <w:tcW w:w="789" w:type="pct"/>
                  <w:tcBorders>
                    <w:tl2br w:val="nil"/>
                    <w:tr2bl w:val="nil"/>
                  </w:tcBorders>
                  <w:noWrap w:val="0"/>
                  <w:vAlign w:val="center"/>
                </w:tcPr>
                <w:p w14:paraId="7E229FB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60</w:t>
                  </w:r>
                </w:p>
              </w:tc>
              <w:tc>
                <w:tcPr>
                  <w:tcW w:w="473" w:type="pct"/>
                  <w:tcBorders>
                    <w:tl2br w:val="nil"/>
                    <w:tr2bl w:val="nil"/>
                  </w:tcBorders>
                  <w:noWrap w:val="0"/>
                  <w:vAlign w:val="center"/>
                </w:tcPr>
                <w:p w14:paraId="32590146">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21.67</w:t>
                  </w:r>
                </w:p>
              </w:tc>
              <w:tc>
                <w:tcPr>
                  <w:tcW w:w="466" w:type="pct"/>
                  <w:tcBorders>
                    <w:tl2br w:val="nil"/>
                    <w:tr2bl w:val="nil"/>
                  </w:tcBorders>
                  <w:noWrap w:val="0"/>
                  <w:vAlign w:val="center"/>
                </w:tcPr>
                <w:p w14:paraId="22FFC9C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w:t>
                  </w:r>
                </w:p>
              </w:tc>
            </w:tr>
            <w:tr w14:paraId="3C502B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99" w:type="pct"/>
                  <w:tcBorders>
                    <w:tl2br w:val="nil"/>
                    <w:tr2bl w:val="nil"/>
                  </w:tcBorders>
                  <w:noWrap w:val="0"/>
                  <w:vAlign w:val="center"/>
                </w:tcPr>
                <w:p w14:paraId="337433C6">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NO</w:t>
                  </w:r>
                  <w:r>
                    <w:rPr>
                      <w:rFonts w:hint="default" w:ascii="Times New Roman" w:hAnsi="Times New Roman" w:eastAsia="宋体" w:cs="Times New Roman"/>
                      <w:b w:val="0"/>
                      <w:bCs w:val="0"/>
                      <w:color w:val="auto"/>
                      <w:sz w:val="21"/>
                      <w:szCs w:val="21"/>
                      <w:highlight w:val="none"/>
                      <w:vertAlign w:val="subscript"/>
                    </w:rPr>
                    <w:t>2</w:t>
                  </w:r>
                </w:p>
              </w:tc>
              <w:tc>
                <w:tcPr>
                  <w:tcW w:w="1940" w:type="pct"/>
                  <w:tcBorders>
                    <w:tl2br w:val="nil"/>
                    <w:tr2bl w:val="nil"/>
                  </w:tcBorders>
                  <w:noWrap w:val="0"/>
                  <w:vAlign w:val="center"/>
                </w:tcPr>
                <w:p w14:paraId="01503ABD">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年平均质量浓度</w:t>
                  </w:r>
                </w:p>
              </w:tc>
              <w:tc>
                <w:tcPr>
                  <w:tcW w:w="831" w:type="pct"/>
                  <w:tcBorders>
                    <w:tl2br w:val="nil"/>
                    <w:tr2bl w:val="nil"/>
                  </w:tcBorders>
                  <w:noWrap w:val="0"/>
                  <w:vAlign w:val="center"/>
                </w:tcPr>
                <w:p w14:paraId="576DF301">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20</w:t>
                  </w:r>
                </w:p>
              </w:tc>
              <w:tc>
                <w:tcPr>
                  <w:tcW w:w="789" w:type="pct"/>
                  <w:tcBorders>
                    <w:tl2br w:val="nil"/>
                    <w:tr2bl w:val="nil"/>
                  </w:tcBorders>
                  <w:noWrap w:val="0"/>
                  <w:vAlign w:val="center"/>
                </w:tcPr>
                <w:p w14:paraId="6AE184F6">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40</w:t>
                  </w:r>
                </w:p>
              </w:tc>
              <w:tc>
                <w:tcPr>
                  <w:tcW w:w="473" w:type="pct"/>
                  <w:tcBorders>
                    <w:tl2br w:val="nil"/>
                    <w:tr2bl w:val="nil"/>
                  </w:tcBorders>
                  <w:noWrap w:val="0"/>
                  <w:vAlign w:val="center"/>
                </w:tcPr>
                <w:p w14:paraId="22AC3C3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50</w:t>
                  </w:r>
                </w:p>
              </w:tc>
              <w:tc>
                <w:tcPr>
                  <w:tcW w:w="466" w:type="pct"/>
                  <w:tcBorders>
                    <w:tl2br w:val="nil"/>
                    <w:tr2bl w:val="nil"/>
                  </w:tcBorders>
                  <w:noWrap w:val="0"/>
                  <w:vAlign w:val="center"/>
                </w:tcPr>
                <w:p w14:paraId="510E2ECE">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w:t>
                  </w:r>
                </w:p>
              </w:tc>
            </w:tr>
            <w:tr w14:paraId="29CC5A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99" w:type="pct"/>
                  <w:tcBorders>
                    <w:tl2br w:val="nil"/>
                    <w:tr2bl w:val="nil"/>
                  </w:tcBorders>
                  <w:noWrap w:val="0"/>
                  <w:vAlign w:val="center"/>
                </w:tcPr>
                <w:p w14:paraId="140BB84B">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PM</w:t>
                  </w:r>
                  <w:r>
                    <w:rPr>
                      <w:rFonts w:hint="default" w:ascii="Times New Roman" w:hAnsi="Times New Roman" w:eastAsia="宋体" w:cs="Times New Roman"/>
                      <w:b w:val="0"/>
                      <w:bCs w:val="0"/>
                      <w:color w:val="auto"/>
                      <w:sz w:val="21"/>
                      <w:szCs w:val="21"/>
                      <w:highlight w:val="none"/>
                      <w:vertAlign w:val="subscript"/>
                    </w:rPr>
                    <w:t>10</w:t>
                  </w:r>
                </w:p>
              </w:tc>
              <w:tc>
                <w:tcPr>
                  <w:tcW w:w="1940" w:type="pct"/>
                  <w:tcBorders>
                    <w:tl2br w:val="nil"/>
                    <w:tr2bl w:val="nil"/>
                  </w:tcBorders>
                  <w:noWrap w:val="0"/>
                  <w:vAlign w:val="center"/>
                </w:tcPr>
                <w:p w14:paraId="616ED9C5">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年平均质量浓度</w:t>
                  </w:r>
                </w:p>
              </w:tc>
              <w:tc>
                <w:tcPr>
                  <w:tcW w:w="831" w:type="pct"/>
                  <w:tcBorders>
                    <w:tl2br w:val="nil"/>
                    <w:tr2bl w:val="nil"/>
                  </w:tcBorders>
                  <w:noWrap w:val="0"/>
                  <w:vAlign w:val="center"/>
                </w:tcPr>
                <w:p w14:paraId="1575E40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53</w:t>
                  </w:r>
                </w:p>
              </w:tc>
              <w:tc>
                <w:tcPr>
                  <w:tcW w:w="789" w:type="pct"/>
                  <w:tcBorders>
                    <w:tl2br w:val="nil"/>
                    <w:tr2bl w:val="nil"/>
                  </w:tcBorders>
                  <w:noWrap w:val="0"/>
                  <w:vAlign w:val="center"/>
                </w:tcPr>
                <w:p w14:paraId="77AAED44">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60</w:t>
                  </w:r>
                </w:p>
              </w:tc>
              <w:tc>
                <w:tcPr>
                  <w:tcW w:w="473" w:type="pct"/>
                  <w:tcBorders>
                    <w:tl2br w:val="nil"/>
                    <w:tr2bl w:val="nil"/>
                  </w:tcBorders>
                  <w:noWrap w:val="0"/>
                  <w:vAlign w:val="center"/>
                </w:tcPr>
                <w:p w14:paraId="59623474">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88.33</w:t>
                  </w:r>
                </w:p>
              </w:tc>
              <w:tc>
                <w:tcPr>
                  <w:tcW w:w="466" w:type="pct"/>
                  <w:tcBorders>
                    <w:tl2br w:val="nil"/>
                    <w:tr2bl w:val="nil"/>
                  </w:tcBorders>
                  <w:noWrap w:val="0"/>
                  <w:vAlign w:val="center"/>
                </w:tcPr>
                <w:p w14:paraId="5A527C2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w:t>
                  </w:r>
                </w:p>
              </w:tc>
            </w:tr>
            <w:tr w14:paraId="7898039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99" w:type="pct"/>
                  <w:tcBorders>
                    <w:tl2br w:val="nil"/>
                    <w:tr2bl w:val="nil"/>
                  </w:tcBorders>
                  <w:noWrap w:val="0"/>
                  <w:vAlign w:val="center"/>
                </w:tcPr>
                <w:p w14:paraId="67691696">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PM</w:t>
                  </w:r>
                  <w:r>
                    <w:rPr>
                      <w:rFonts w:hint="default" w:ascii="Times New Roman" w:hAnsi="Times New Roman" w:eastAsia="宋体" w:cs="Times New Roman"/>
                      <w:b w:val="0"/>
                      <w:bCs w:val="0"/>
                      <w:color w:val="auto"/>
                      <w:sz w:val="21"/>
                      <w:szCs w:val="21"/>
                      <w:highlight w:val="none"/>
                      <w:vertAlign w:val="subscript"/>
                    </w:rPr>
                    <w:t>2.5</w:t>
                  </w:r>
                </w:p>
              </w:tc>
              <w:tc>
                <w:tcPr>
                  <w:tcW w:w="1940" w:type="pct"/>
                  <w:tcBorders>
                    <w:tl2br w:val="nil"/>
                    <w:tr2bl w:val="nil"/>
                  </w:tcBorders>
                  <w:noWrap w:val="0"/>
                  <w:vAlign w:val="center"/>
                </w:tcPr>
                <w:p w14:paraId="3A9AAA19">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年平均质量浓度</w:t>
                  </w:r>
                </w:p>
              </w:tc>
              <w:tc>
                <w:tcPr>
                  <w:tcW w:w="831" w:type="pct"/>
                  <w:tcBorders>
                    <w:tl2br w:val="nil"/>
                    <w:tr2bl w:val="nil"/>
                  </w:tcBorders>
                  <w:noWrap w:val="0"/>
                  <w:vAlign w:val="center"/>
                </w:tcPr>
                <w:p w14:paraId="08143AEF">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28</w:t>
                  </w:r>
                </w:p>
              </w:tc>
              <w:tc>
                <w:tcPr>
                  <w:tcW w:w="789" w:type="pct"/>
                  <w:tcBorders>
                    <w:tl2br w:val="nil"/>
                    <w:tr2bl w:val="nil"/>
                  </w:tcBorders>
                  <w:noWrap w:val="0"/>
                  <w:vAlign w:val="center"/>
                </w:tcPr>
                <w:p w14:paraId="08353A44">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30</w:t>
                  </w:r>
                </w:p>
              </w:tc>
              <w:tc>
                <w:tcPr>
                  <w:tcW w:w="473" w:type="pct"/>
                  <w:tcBorders>
                    <w:tl2br w:val="nil"/>
                    <w:tr2bl w:val="nil"/>
                  </w:tcBorders>
                  <w:noWrap w:val="0"/>
                  <w:vAlign w:val="center"/>
                </w:tcPr>
                <w:p w14:paraId="4DA4320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93.33</w:t>
                  </w:r>
                </w:p>
              </w:tc>
              <w:tc>
                <w:tcPr>
                  <w:tcW w:w="466" w:type="pct"/>
                  <w:tcBorders>
                    <w:tl2br w:val="nil"/>
                    <w:tr2bl w:val="nil"/>
                  </w:tcBorders>
                  <w:noWrap w:val="0"/>
                  <w:vAlign w:val="center"/>
                </w:tcPr>
                <w:p w14:paraId="0F9F0140">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w:t>
                  </w:r>
                </w:p>
              </w:tc>
            </w:tr>
            <w:tr w14:paraId="79D80B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99" w:type="pct"/>
                  <w:tcBorders>
                    <w:tl2br w:val="nil"/>
                    <w:tr2bl w:val="nil"/>
                  </w:tcBorders>
                  <w:noWrap w:val="0"/>
                  <w:vAlign w:val="center"/>
                </w:tcPr>
                <w:p w14:paraId="44706AA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CO</w:t>
                  </w:r>
                </w:p>
              </w:tc>
              <w:tc>
                <w:tcPr>
                  <w:tcW w:w="1940" w:type="pct"/>
                  <w:tcBorders>
                    <w:tl2br w:val="nil"/>
                    <w:tr2bl w:val="nil"/>
                  </w:tcBorders>
                  <w:noWrap w:val="0"/>
                  <w:vAlign w:val="center"/>
                </w:tcPr>
                <w:p w14:paraId="38D69100">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24</w:t>
                  </w:r>
                  <w:r>
                    <w:rPr>
                      <w:rFonts w:hint="eastAsia" w:ascii="Times New Roman" w:hAnsi="Times New Roman" w:eastAsia="宋体" w:cs="Times New Roman"/>
                      <w:b w:val="0"/>
                      <w:bCs w:val="0"/>
                      <w:color w:val="auto"/>
                      <w:sz w:val="21"/>
                      <w:szCs w:val="21"/>
                      <w:highlight w:val="none"/>
                    </w:rPr>
                    <w:t>小时平均第</w:t>
                  </w:r>
                  <w:r>
                    <w:rPr>
                      <w:rFonts w:hint="default" w:ascii="Times New Roman" w:hAnsi="Times New Roman" w:eastAsia="宋体" w:cs="Times New Roman"/>
                      <w:b w:val="0"/>
                      <w:bCs w:val="0"/>
                      <w:color w:val="auto"/>
                      <w:sz w:val="21"/>
                      <w:szCs w:val="21"/>
                      <w:highlight w:val="none"/>
                    </w:rPr>
                    <w:t>95</w:t>
                  </w:r>
                  <w:r>
                    <w:rPr>
                      <w:rFonts w:hint="eastAsia" w:ascii="Times New Roman" w:hAnsi="Times New Roman" w:eastAsia="宋体" w:cs="Times New Roman"/>
                      <w:b w:val="0"/>
                      <w:bCs w:val="0"/>
                      <w:color w:val="auto"/>
                      <w:sz w:val="21"/>
                      <w:szCs w:val="21"/>
                      <w:highlight w:val="none"/>
                    </w:rPr>
                    <w:t>百分位数</w:t>
                  </w:r>
                  <w:r>
                    <w:rPr>
                      <w:rFonts w:hint="eastAsia" w:ascii="Times New Roman" w:hAnsi="Times New Roman" w:eastAsia="宋体" w:cs="Times New Roman"/>
                      <w:b w:val="0"/>
                      <w:bCs w:val="0"/>
                      <w:color w:val="auto"/>
                      <w:sz w:val="21"/>
                      <w:szCs w:val="21"/>
                      <w:highlight w:val="none"/>
                      <w:lang w:eastAsia="zh-CN"/>
                    </w:rPr>
                    <w:t>浓度</w:t>
                  </w:r>
                </w:p>
              </w:tc>
              <w:tc>
                <w:tcPr>
                  <w:tcW w:w="831" w:type="pct"/>
                  <w:tcBorders>
                    <w:tl2br w:val="nil"/>
                    <w:tr2bl w:val="nil"/>
                  </w:tcBorders>
                  <w:noWrap w:val="0"/>
                  <w:vAlign w:val="center"/>
                </w:tcPr>
                <w:p w14:paraId="0227A85C">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1300</w:t>
                  </w:r>
                </w:p>
              </w:tc>
              <w:tc>
                <w:tcPr>
                  <w:tcW w:w="789" w:type="pct"/>
                  <w:tcBorders>
                    <w:tl2br w:val="nil"/>
                    <w:tr2bl w:val="nil"/>
                  </w:tcBorders>
                  <w:noWrap w:val="0"/>
                  <w:vAlign w:val="center"/>
                </w:tcPr>
                <w:p w14:paraId="22C434E7">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4000</w:t>
                  </w:r>
                </w:p>
              </w:tc>
              <w:tc>
                <w:tcPr>
                  <w:tcW w:w="473" w:type="pct"/>
                  <w:tcBorders>
                    <w:tl2br w:val="nil"/>
                    <w:tr2bl w:val="nil"/>
                  </w:tcBorders>
                  <w:noWrap w:val="0"/>
                  <w:vAlign w:val="center"/>
                </w:tcPr>
                <w:p w14:paraId="7F3F96F2">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32.5</w:t>
                  </w:r>
                </w:p>
              </w:tc>
              <w:tc>
                <w:tcPr>
                  <w:tcW w:w="466" w:type="pct"/>
                  <w:tcBorders>
                    <w:tl2br w:val="nil"/>
                    <w:tr2bl w:val="nil"/>
                  </w:tcBorders>
                  <w:noWrap w:val="0"/>
                  <w:vAlign w:val="center"/>
                </w:tcPr>
                <w:p w14:paraId="32E44EB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w:t>
                  </w:r>
                </w:p>
              </w:tc>
            </w:tr>
            <w:tr w14:paraId="7D6C657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499" w:type="pct"/>
                  <w:tcBorders>
                    <w:tl2br w:val="nil"/>
                    <w:tr2bl w:val="nil"/>
                  </w:tcBorders>
                  <w:noWrap w:val="0"/>
                  <w:vAlign w:val="center"/>
                </w:tcPr>
                <w:p w14:paraId="0737475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O</w:t>
                  </w:r>
                  <w:r>
                    <w:rPr>
                      <w:rFonts w:hint="default" w:ascii="Times New Roman" w:hAnsi="Times New Roman" w:eastAsia="宋体" w:cs="Times New Roman"/>
                      <w:b w:val="0"/>
                      <w:bCs w:val="0"/>
                      <w:color w:val="auto"/>
                      <w:sz w:val="21"/>
                      <w:szCs w:val="21"/>
                      <w:highlight w:val="none"/>
                      <w:vertAlign w:val="subscript"/>
                    </w:rPr>
                    <w:t>3</w:t>
                  </w:r>
                </w:p>
              </w:tc>
              <w:tc>
                <w:tcPr>
                  <w:tcW w:w="1940" w:type="pct"/>
                  <w:tcBorders>
                    <w:tl2br w:val="nil"/>
                    <w:tr2bl w:val="nil"/>
                  </w:tcBorders>
                  <w:noWrap w:val="0"/>
                  <w:vAlign w:val="center"/>
                </w:tcPr>
                <w:p w14:paraId="17200D6B">
                  <w:pPr>
                    <w:keepNext w:val="0"/>
                    <w:keepLines w:val="0"/>
                    <w:suppressLineNumbers w:val="0"/>
                    <w:spacing w:before="0" w:beforeAutospacing="0" w:after="0" w:afterAutospacing="0" w:line="240" w:lineRule="auto"/>
                    <w:ind w:left="0" w:right="0" w:firstLine="0" w:firstLineChars="0"/>
                    <w:jc w:val="center"/>
                    <w:rPr>
                      <w:rFonts w:hint="eastAsia"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8</w:t>
                  </w:r>
                  <w:r>
                    <w:rPr>
                      <w:rFonts w:hint="eastAsia" w:ascii="Times New Roman" w:hAnsi="Times New Roman" w:eastAsia="宋体" w:cs="Times New Roman"/>
                      <w:b w:val="0"/>
                      <w:bCs w:val="0"/>
                      <w:color w:val="auto"/>
                      <w:sz w:val="21"/>
                      <w:szCs w:val="21"/>
                      <w:highlight w:val="none"/>
                      <w:lang w:eastAsia="zh-CN"/>
                    </w:rPr>
                    <w:t>小时</w:t>
                  </w:r>
                  <w:r>
                    <w:rPr>
                      <w:rFonts w:hint="eastAsia" w:ascii="Times New Roman" w:hAnsi="Times New Roman" w:eastAsia="宋体" w:cs="Times New Roman"/>
                      <w:b w:val="0"/>
                      <w:bCs w:val="0"/>
                      <w:color w:val="auto"/>
                      <w:sz w:val="21"/>
                      <w:szCs w:val="21"/>
                      <w:highlight w:val="none"/>
                    </w:rPr>
                    <w:t>滑动平均值</w:t>
                  </w:r>
                  <w:r>
                    <w:rPr>
                      <w:rFonts w:hint="eastAsia" w:ascii="Times New Roman" w:hAnsi="Times New Roman" w:eastAsia="宋体" w:cs="Times New Roman"/>
                      <w:b w:val="0"/>
                      <w:bCs w:val="0"/>
                      <w:color w:val="auto"/>
                      <w:sz w:val="21"/>
                      <w:szCs w:val="21"/>
                      <w:highlight w:val="none"/>
                      <w:lang w:eastAsia="zh-CN"/>
                    </w:rPr>
                    <w:t>的</w:t>
                  </w:r>
                  <w:r>
                    <w:rPr>
                      <w:rFonts w:hint="eastAsia" w:ascii="Times New Roman" w:hAnsi="Times New Roman" w:eastAsia="宋体" w:cs="Times New Roman"/>
                      <w:b w:val="0"/>
                      <w:bCs w:val="0"/>
                      <w:color w:val="auto"/>
                      <w:sz w:val="21"/>
                      <w:szCs w:val="21"/>
                      <w:highlight w:val="none"/>
                    </w:rPr>
                    <w:t>第</w:t>
                  </w:r>
                  <w:r>
                    <w:rPr>
                      <w:rFonts w:hint="default" w:ascii="Times New Roman" w:hAnsi="Times New Roman" w:eastAsia="宋体" w:cs="Times New Roman"/>
                      <w:b w:val="0"/>
                      <w:bCs w:val="0"/>
                      <w:color w:val="auto"/>
                      <w:sz w:val="21"/>
                      <w:szCs w:val="21"/>
                      <w:highlight w:val="none"/>
                    </w:rPr>
                    <w:t>90</w:t>
                  </w:r>
                  <w:r>
                    <w:rPr>
                      <w:rFonts w:hint="eastAsia" w:ascii="Times New Roman" w:hAnsi="Times New Roman" w:eastAsia="宋体" w:cs="Times New Roman"/>
                      <w:b w:val="0"/>
                      <w:bCs w:val="0"/>
                      <w:color w:val="auto"/>
                      <w:sz w:val="21"/>
                      <w:szCs w:val="21"/>
                      <w:highlight w:val="none"/>
                    </w:rPr>
                    <w:t>百分位数</w:t>
                  </w:r>
                  <w:r>
                    <w:rPr>
                      <w:rFonts w:hint="eastAsia" w:ascii="Times New Roman" w:hAnsi="Times New Roman" w:eastAsia="宋体" w:cs="Times New Roman"/>
                      <w:b w:val="0"/>
                      <w:bCs w:val="0"/>
                      <w:color w:val="auto"/>
                      <w:sz w:val="21"/>
                      <w:szCs w:val="21"/>
                      <w:highlight w:val="none"/>
                      <w:lang w:eastAsia="zh-CN"/>
                    </w:rPr>
                    <w:t>浓度</w:t>
                  </w:r>
                </w:p>
              </w:tc>
              <w:tc>
                <w:tcPr>
                  <w:tcW w:w="831" w:type="pct"/>
                  <w:tcBorders>
                    <w:tl2br w:val="nil"/>
                    <w:tr2bl w:val="nil"/>
                  </w:tcBorders>
                  <w:noWrap w:val="0"/>
                  <w:vAlign w:val="center"/>
                </w:tcPr>
                <w:p w14:paraId="2459089F">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140</w:t>
                  </w:r>
                </w:p>
              </w:tc>
              <w:tc>
                <w:tcPr>
                  <w:tcW w:w="789" w:type="pct"/>
                  <w:tcBorders>
                    <w:tl2br w:val="nil"/>
                    <w:tr2bl w:val="nil"/>
                  </w:tcBorders>
                  <w:noWrap w:val="0"/>
                  <w:vAlign w:val="center"/>
                </w:tcPr>
                <w:p w14:paraId="2C15B033">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eastAsia="宋体" w:cs="Times New Roman"/>
                      <w:b w:val="0"/>
                      <w:bCs w:val="0"/>
                      <w:color w:val="auto"/>
                      <w:sz w:val="21"/>
                      <w:szCs w:val="21"/>
                      <w:highlight w:val="none"/>
                      <w:lang w:val="en-US" w:eastAsia="zh-CN"/>
                    </w:rPr>
                    <w:t>160</w:t>
                  </w:r>
                </w:p>
              </w:tc>
              <w:tc>
                <w:tcPr>
                  <w:tcW w:w="473" w:type="pct"/>
                  <w:tcBorders>
                    <w:tl2br w:val="nil"/>
                    <w:tr2bl w:val="nil"/>
                  </w:tcBorders>
                  <w:noWrap w:val="0"/>
                  <w:vAlign w:val="center"/>
                </w:tcPr>
                <w:p w14:paraId="20E4298A">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87.5</w:t>
                  </w:r>
                </w:p>
              </w:tc>
              <w:tc>
                <w:tcPr>
                  <w:tcW w:w="466" w:type="pct"/>
                  <w:tcBorders>
                    <w:tl2br w:val="nil"/>
                    <w:tr2bl w:val="nil"/>
                  </w:tcBorders>
                  <w:noWrap w:val="0"/>
                  <w:vAlign w:val="center"/>
                </w:tcPr>
                <w:p w14:paraId="55512300">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rPr>
                    <w:t>达标</w:t>
                  </w:r>
                </w:p>
              </w:tc>
            </w:tr>
          </w:tbl>
          <w:p w14:paraId="697966E1">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firstLine="482"/>
              <w:textAlignment w:val="auto"/>
              <w:rPr>
                <w:rFonts w:hint="eastAsia" w:ascii="Times New Roman" w:hAnsi="Times New Roman" w:cs="Times New Roman"/>
                <w:color w:val="auto"/>
                <w:kern w:val="0"/>
                <w:sz w:val="24"/>
                <w:highlight w:val="none"/>
              </w:rPr>
            </w:pPr>
            <w:r>
              <w:rPr>
                <w:rFonts w:hint="eastAsia" w:ascii="Times New Roman" w:hAnsi="Times New Roman" w:eastAsia="宋体" w:cs="Times New Roman"/>
                <w:color w:val="auto"/>
                <w:kern w:val="0"/>
                <w:sz w:val="24"/>
                <w:szCs w:val="24"/>
                <w:highlight w:val="none"/>
              </w:rPr>
              <w:t>由上表可知，</w:t>
            </w:r>
            <w:r>
              <w:rPr>
                <w:rFonts w:hint="eastAsia" w:ascii="Times New Roman" w:hAnsi="Times New Roman" w:eastAsia="宋体" w:cs="Times New Roman"/>
                <w:color w:val="auto"/>
                <w:kern w:val="0"/>
                <w:sz w:val="24"/>
                <w:szCs w:val="24"/>
                <w:highlight w:val="none"/>
                <w:lang w:val="en-US" w:eastAsia="zh-CN"/>
              </w:rPr>
              <w:t>本</w:t>
            </w:r>
            <w:r>
              <w:rPr>
                <w:rFonts w:hint="eastAsia" w:ascii="Times New Roman" w:hAnsi="Times New Roman" w:eastAsia="宋体" w:cs="Times New Roman"/>
                <w:color w:val="auto"/>
                <w:kern w:val="0"/>
                <w:sz w:val="24"/>
                <w:szCs w:val="24"/>
                <w:highlight w:val="none"/>
                <w:lang w:eastAsia="zh-CN"/>
              </w:rPr>
              <w:t>项目所在区域</w:t>
            </w:r>
            <w:r>
              <w:rPr>
                <w:rFonts w:hint="eastAsia" w:ascii="Times New Roman" w:hAnsi="Times New Roman" w:eastAsia="宋体" w:cs="Times New Roman"/>
                <w:color w:val="auto"/>
                <w:kern w:val="0"/>
                <w:sz w:val="24"/>
                <w:szCs w:val="24"/>
                <w:highlight w:val="none"/>
                <w:lang w:val="en-US" w:eastAsia="zh-CN"/>
              </w:rPr>
              <w:t>SO</w:t>
            </w:r>
            <w:r>
              <w:rPr>
                <w:rFonts w:hint="eastAsia" w:ascii="Times New Roman" w:hAnsi="Times New Roman" w:eastAsia="宋体" w:cs="Times New Roman"/>
                <w:color w:val="auto"/>
                <w:kern w:val="0"/>
                <w:sz w:val="24"/>
                <w:szCs w:val="24"/>
                <w:highlight w:val="none"/>
                <w:vertAlign w:val="subscript"/>
                <w:lang w:val="en-US" w:eastAsia="zh-CN"/>
              </w:rPr>
              <w:t>2</w:t>
            </w:r>
            <w:r>
              <w:rPr>
                <w:rFonts w:hint="eastAsia" w:ascii="Times New Roman" w:hAnsi="Times New Roman" w:eastAsia="宋体" w:cs="Times New Roman"/>
                <w:color w:val="auto"/>
                <w:kern w:val="0"/>
                <w:sz w:val="24"/>
                <w:szCs w:val="24"/>
                <w:highlight w:val="none"/>
                <w:lang w:val="en-US" w:eastAsia="zh-CN"/>
              </w:rPr>
              <w:t>、NO</w:t>
            </w:r>
            <w:r>
              <w:rPr>
                <w:rFonts w:hint="eastAsia" w:ascii="Times New Roman" w:hAnsi="Times New Roman" w:eastAsia="宋体" w:cs="Times New Roman"/>
                <w:color w:val="auto"/>
                <w:kern w:val="0"/>
                <w:sz w:val="24"/>
                <w:szCs w:val="24"/>
                <w:highlight w:val="none"/>
                <w:vertAlign w:val="subscript"/>
                <w:lang w:val="en-US" w:eastAsia="zh-CN"/>
              </w:rPr>
              <w:t>2</w:t>
            </w:r>
            <w:r>
              <w:rPr>
                <w:rFonts w:hint="eastAsia" w:ascii="Times New Roman" w:hAnsi="Times New Roman" w:eastAsia="宋体" w:cs="Times New Roman"/>
                <w:color w:val="auto"/>
                <w:kern w:val="0"/>
                <w:sz w:val="24"/>
                <w:szCs w:val="24"/>
                <w:highlight w:val="none"/>
                <w:lang w:val="en-US" w:eastAsia="zh-CN"/>
              </w:rPr>
              <w:t>、PM</w:t>
            </w:r>
            <w:r>
              <w:rPr>
                <w:rFonts w:hint="eastAsia" w:ascii="Times New Roman" w:hAnsi="Times New Roman" w:eastAsia="宋体" w:cs="Times New Roman"/>
                <w:color w:val="auto"/>
                <w:kern w:val="0"/>
                <w:sz w:val="24"/>
                <w:szCs w:val="24"/>
                <w:highlight w:val="none"/>
                <w:vertAlign w:val="subscript"/>
                <w:lang w:val="en-US" w:eastAsia="zh-CN"/>
              </w:rPr>
              <w:t>10</w:t>
            </w:r>
            <w:r>
              <w:rPr>
                <w:rFonts w:hint="eastAsia"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rPr>
              <w:t>PM</w:t>
            </w:r>
            <w:r>
              <w:rPr>
                <w:rFonts w:hint="eastAsia" w:ascii="Times New Roman" w:hAnsi="Times New Roman" w:eastAsia="宋体" w:cs="Times New Roman"/>
                <w:color w:val="auto"/>
                <w:kern w:val="0"/>
                <w:sz w:val="24"/>
                <w:szCs w:val="24"/>
                <w:highlight w:val="none"/>
                <w:vertAlign w:val="subscript"/>
              </w:rPr>
              <w:t>2.5</w:t>
            </w:r>
            <w:r>
              <w:rPr>
                <w:rFonts w:hint="eastAsia" w:ascii="Times New Roman" w:hAnsi="Times New Roman" w:eastAsia="宋体" w:cs="Times New Roman"/>
                <w:color w:val="auto"/>
                <w:kern w:val="0"/>
                <w:sz w:val="24"/>
                <w:szCs w:val="24"/>
                <w:highlight w:val="none"/>
                <w:lang w:val="en-US" w:eastAsia="zh-CN"/>
              </w:rPr>
              <w:t>、CO及O</w:t>
            </w:r>
            <w:r>
              <w:rPr>
                <w:rFonts w:hint="eastAsia" w:ascii="Times New Roman" w:hAnsi="Times New Roman" w:eastAsia="宋体" w:cs="Times New Roman"/>
                <w:color w:val="auto"/>
                <w:kern w:val="0"/>
                <w:sz w:val="24"/>
                <w:szCs w:val="24"/>
                <w:highlight w:val="none"/>
                <w:vertAlign w:val="subscript"/>
                <w:lang w:val="en-US" w:eastAsia="zh-CN"/>
              </w:rPr>
              <w:t>3</w:t>
            </w:r>
            <w:r>
              <w:rPr>
                <w:rFonts w:hint="eastAsia" w:ascii="Times New Roman" w:hAnsi="Times New Roman" w:eastAsia="宋体" w:cs="Times New Roman"/>
                <w:color w:val="auto"/>
                <w:kern w:val="0"/>
                <w:sz w:val="24"/>
                <w:szCs w:val="24"/>
                <w:highlight w:val="none"/>
                <w:vertAlign w:val="baseline"/>
                <w:lang w:val="en-US" w:eastAsia="zh-CN"/>
              </w:rPr>
              <w:t>年平均质量浓</w:t>
            </w:r>
            <w:r>
              <w:rPr>
                <w:rFonts w:hint="eastAsia" w:ascii="Times New Roman" w:hAnsi="Times New Roman" w:eastAsia="宋体" w:cs="Times New Roman"/>
                <w:color w:val="auto"/>
                <w:kern w:val="0"/>
                <w:sz w:val="24"/>
                <w:szCs w:val="24"/>
                <w:highlight w:val="none"/>
                <w:lang w:val="en-US" w:eastAsia="zh-CN"/>
              </w:rPr>
              <w:t>度及相应百分位数满足</w:t>
            </w:r>
            <w:r>
              <w:rPr>
                <w:rFonts w:hint="default" w:ascii="Times New Roman" w:hAnsi="Times New Roman" w:eastAsia="宋体" w:cs="Times New Roman"/>
                <w:color w:val="auto"/>
                <w:sz w:val="24"/>
                <w:szCs w:val="24"/>
                <w:highlight w:val="none"/>
                <w:lang w:eastAsia="zh-CN"/>
              </w:rPr>
              <w:t>《环境空气质量标准》（GB3095-2026）</w:t>
            </w:r>
            <w:r>
              <w:rPr>
                <w:rFonts w:hint="default" w:ascii="Times New Roman" w:hAnsi="Times New Roman" w:eastAsia="宋体" w:cs="Times New Roman"/>
                <w:color w:val="auto"/>
                <w:sz w:val="24"/>
                <w:szCs w:val="24"/>
                <w:highlight w:val="none"/>
                <w:lang w:val="en-US" w:eastAsia="zh-CN"/>
              </w:rPr>
              <w:t>过渡阶段浓度限值中的</w:t>
            </w:r>
            <w:r>
              <w:rPr>
                <w:rFonts w:hint="default" w:ascii="Times New Roman" w:hAnsi="Times New Roman" w:eastAsia="宋体" w:cs="Times New Roman"/>
                <w:color w:val="auto"/>
                <w:sz w:val="24"/>
                <w:szCs w:val="24"/>
                <w:highlight w:val="none"/>
                <w:lang w:eastAsia="zh-CN"/>
              </w:rPr>
              <w:t>二级标准</w:t>
            </w:r>
            <w:r>
              <w:rPr>
                <w:rFonts w:hint="default" w:ascii="Times New Roman" w:hAnsi="Times New Roman" w:eastAsia="宋体" w:cs="Times New Roman"/>
                <w:color w:val="auto"/>
                <w:sz w:val="24"/>
                <w:szCs w:val="24"/>
                <w:highlight w:val="none"/>
              </w:rPr>
              <w:t>要求，</w:t>
            </w:r>
            <w:r>
              <w:rPr>
                <w:rFonts w:hint="eastAsia" w:hAnsi="宋体"/>
                <w:color w:val="auto"/>
                <w:sz w:val="24"/>
                <w:highlight w:val="none"/>
              </w:rPr>
              <w:t>故本项目评价区域为达标区。</w:t>
            </w:r>
          </w:p>
          <w:p w14:paraId="4C433F10">
            <w:pPr>
              <w:keepNext w:val="0"/>
              <w:keepLines w:val="0"/>
              <w:numPr>
                <w:ilvl w:val="0"/>
                <w:numId w:val="3"/>
              </w:numPr>
              <w:suppressLineNumbers w:val="0"/>
              <w:spacing w:before="0" w:beforeAutospacing="0" w:after="0" w:afterAutospacing="0" w:line="360" w:lineRule="auto"/>
              <w:ind w:left="0" w:leftChars="0" w:right="0" w:firstLine="480" w:firstLineChars="200"/>
              <w:rPr>
                <w:rFonts w:hint="eastAsia" w:ascii="Times New Roman" w:hAnsi="Times New Roman" w:cs="Times New Roman"/>
                <w:color w:val="auto"/>
                <w:kern w:val="0"/>
                <w:sz w:val="24"/>
                <w:highlight w:val="none"/>
                <w:lang w:val="en-US" w:eastAsia="zh-CN"/>
              </w:rPr>
            </w:pPr>
            <w:r>
              <w:rPr>
                <w:rFonts w:hint="eastAsia" w:ascii="Times New Roman" w:hAnsi="Times New Roman" w:cs="Times New Roman"/>
                <w:color w:val="auto"/>
                <w:kern w:val="0"/>
                <w:sz w:val="24"/>
                <w:highlight w:val="none"/>
                <w:lang w:val="en-US" w:eastAsia="zh-CN"/>
              </w:rPr>
              <w:t>特征污染物</w:t>
            </w:r>
          </w:p>
          <w:p w14:paraId="5E51F432">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根据《建设项目环境影响报告表编制技术指南（污染影响类）》，排放国家、地方环境空气质量标准中有标准限值要求的特征污染物时，引用建设项目周边5千米范围内近3年的现有监测数据，无相关数据的选择当季主导风向下风向1个点位补充不少于3天的监测数据。</w:t>
            </w:r>
          </w:p>
          <w:p w14:paraId="34310C76">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本项目排放特征污染物为非甲烷总烃和颗粒物，引用</w:t>
            </w:r>
            <w:r>
              <w:rPr>
                <w:rFonts w:hint="default" w:ascii="Times New Roman" w:hAnsi="Times New Roman" w:eastAsia="宋体" w:cs="Times New Roman"/>
                <w:color w:val="auto"/>
                <w:kern w:val="2"/>
                <w:sz w:val="24"/>
                <w:szCs w:val="24"/>
                <w:highlight w:val="none"/>
                <w:lang w:val="zh-CN" w:eastAsia="zh-CN" w:bidi="ar-SA"/>
              </w:rPr>
              <w:t>《</w:t>
            </w:r>
            <w:r>
              <w:rPr>
                <w:rFonts w:hint="eastAsia" w:ascii="Times New Roman" w:hAnsi="Times New Roman" w:eastAsia="宋体" w:cs="Times New Roman"/>
                <w:color w:val="auto"/>
                <w:kern w:val="2"/>
                <w:sz w:val="24"/>
                <w:szCs w:val="24"/>
                <w:highlight w:val="none"/>
                <w:lang w:val="en-US" w:eastAsia="zh-CN" w:bidi="ar-SA"/>
              </w:rPr>
              <w:t>天津天士力（辽宁）制药有限责任公司改扩建</w:t>
            </w:r>
            <w:r>
              <w:rPr>
                <w:rFonts w:hint="eastAsia" w:ascii="Times New Roman" w:hAnsi="Times New Roman" w:eastAsia="宋体" w:cs="Times New Roman"/>
                <w:color w:val="auto"/>
                <w:kern w:val="2"/>
                <w:sz w:val="24"/>
                <w:szCs w:val="24"/>
                <w:highlight w:val="none"/>
                <w:lang w:val="zh-CN" w:eastAsia="zh-CN" w:bidi="ar-SA"/>
              </w:rPr>
              <w:t>项目</w:t>
            </w:r>
            <w:r>
              <w:rPr>
                <w:rFonts w:hint="default" w:ascii="Times New Roman" w:hAnsi="Times New Roman" w:eastAsia="宋体" w:cs="Times New Roman"/>
                <w:color w:val="auto"/>
                <w:kern w:val="2"/>
                <w:sz w:val="24"/>
                <w:szCs w:val="24"/>
                <w:highlight w:val="none"/>
                <w:lang w:val="zh-CN" w:eastAsia="zh-CN" w:bidi="ar-SA"/>
              </w:rPr>
              <w:t>》</w:t>
            </w:r>
            <w:r>
              <w:rPr>
                <w:rFonts w:hint="eastAsia" w:ascii="Times New Roman" w:hAnsi="Times New Roman" w:eastAsia="宋体" w:cs="Times New Roman"/>
                <w:color w:val="auto"/>
                <w:kern w:val="2"/>
                <w:sz w:val="24"/>
                <w:szCs w:val="24"/>
                <w:highlight w:val="none"/>
                <w:lang w:val="zh-CN" w:eastAsia="zh-CN" w:bidi="ar-SA"/>
              </w:rPr>
              <w:t>监测报告</w:t>
            </w:r>
            <w:r>
              <w:rPr>
                <w:rFonts w:hint="default" w:ascii="Times New Roman" w:hAnsi="Times New Roman" w:eastAsia="宋体" w:cs="Times New Roman"/>
                <w:color w:val="auto"/>
                <w:kern w:val="2"/>
                <w:sz w:val="24"/>
                <w:szCs w:val="24"/>
                <w:highlight w:val="none"/>
                <w:lang w:val="zh-CN" w:eastAsia="zh-CN" w:bidi="ar-SA"/>
              </w:rPr>
              <w:t>中</w:t>
            </w:r>
            <w:r>
              <w:rPr>
                <w:rFonts w:hint="eastAsia" w:ascii="Times New Roman" w:hAnsi="Times New Roman" w:eastAsia="宋体" w:cs="Times New Roman"/>
                <w:color w:val="auto"/>
                <w:kern w:val="2"/>
                <w:sz w:val="24"/>
                <w:szCs w:val="24"/>
                <w:highlight w:val="none"/>
                <w:lang w:val="en-US" w:eastAsia="zh-CN" w:bidi="ar-SA"/>
              </w:rPr>
              <w:t>2024年4月27日-29日</w:t>
            </w:r>
            <w:r>
              <w:rPr>
                <w:rFonts w:hint="default" w:ascii="Times New Roman" w:hAnsi="Times New Roman" w:eastAsia="宋体" w:cs="Times New Roman"/>
                <w:color w:val="auto"/>
                <w:kern w:val="2"/>
                <w:sz w:val="24"/>
                <w:szCs w:val="24"/>
                <w:highlight w:val="none"/>
                <w:lang w:val="en-US" w:eastAsia="zh-CN" w:bidi="ar-SA"/>
              </w:rPr>
              <w:t>环境空气质量现状监测结果</w:t>
            </w:r>
            <w:r>
              <w:rPr>
                <w:rFonts w:hint="eastAsia" w:ascii="Times New Roman" w:hAnsi="Times New Roman" w:eastAsia="宋体" w:cs="Times New Roman"/>
                <w:color w:val="auto"/>
                <w:kern w:val="2"/>
                <w:sz w:val="24"/>
                <w:szCs w:val="24"/>
                <w:highlight w:val="none"/>
                <w:lang w:val="en-US" w:eastAsia="zh-CN" w:bidi="ar-SA"/>
              </w:rPr>
              <w:t>，引用监测点位位于本项目</w:t>
            </w:r>
            <w:r>
              <w:rPr>
                <w:rFonts w:hint="eastAsia" w:cs="Times New Roman"/>
                <w:color w:val="auto"/>
                <w:kern w:val="2"/>
                <w:sz w:val="24"/>
                <w:szCs w:val="24"/>
                <w:highlight w:val="none"/>
                <w:lang w:val="en-US" w:eastAsia="zh-CN" w:bidi="ar-SA"/>
              </w:rPr>
              <w:t>东南</w:t>
            </w:r>
            <w:r>
              <w:rPr>
                <w:rFonts w:hint="eastAsia" w:ascii="Times New Roman" w:hAnsi="Times New Roman" w:eastAsia="宋体" w:cs="Times New Roman"/>
                <w:color w:val="auto"/>
                <w:kern w:val="2"/>
                <w:sz w:val="24"/>
                <w:szCs w:val="24"/>
                <w:highlight w:val="none"/>
                <w:lang w:val="en-US" w:eastAsia="zh-CN" w:bidi="ar-SA"/>
              </w:rPr>
              <w:t>侧</w:t>
            </w:r>
            <w:r>
              <w:rPr>
                <w:rFonts w:hint="eastAsia" w:cs="Times New Roman"/>
                <w:color w:val="auto"/>
                <w:kern w:val="2"/>
                <w:sz w:val="24"/>
                <w:szCs w:val="24"/>
                <w:highlight w:val="none"/>
                <w:lang w:val="en-US" w:eastAsia="zh-CN" w:bidi="ar-SA"/>
              </w:rPr>
              <w:t>2.28</w:t>
            </w:r>
            <w:r>
              <w:rPr>
                <w:rFonts w:hint="eastAsia" w:ascii="Times New Roman" w:hAnsi="Times New Roman" w:eastAsia="宋体" w:cs="Times New Roman"/>
                <w:color w:val="auto"/>
                <w:kern w:val="2"/>
                <w:sz w:val="24"/>
                <w:szCs w:val="24"/>
                <w:highlight w:val="none"/>
                <w:lang w:val="en-US" w:eastAsia="zh-CN" w:bidi="ar-SA"/>
              </w:rPr>
              <w:t>km。引用数据为建设项目周边5千米范围内近3年的现有监测数据，符合《建设项目环境影响报告表编制技术指南（试行）》中“排放国家、地方环境空气质量标准中有标准限值要求的特征污染物时，引用建设项目周边5千米范围内近3年的现有监测数据”要求，引用数据可行。</w:t>
            </w:r>
          </w:p>
          <w:p w14:paraId="071C978C">
            <w:pPr>
              <w:pStyle w:val="45"/>
              <w:keepNext w:val="0"/>
              <w:keepLines w:val="0"/>
              <w:suppressLineNumbers w:val="0"/>
              <w:spacing w:before="0" w:beforeAutospacing="0" w:after="0" w:afterAutospacing="0" w:line="360" w:lineRule="auto"/>
              <w:ind w:left="0" w:right="0" w:firstLine="480"/>
              <w:jc w:val="left"/>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①监测因子和监测点位</w:t>
            </w:r>
          </w:p>
          <w:p w14:paraId="66C4F4BA">
            <w:pPr>
              <w:keepNext w:val="0"/>
              <w:keepLines w:val="0"/>
              <w:suppressLineNumbers w:val="0"/>
              <w:spacing w:before="0" w:beforeAutospacing="0" w:after="0" w:afterAutospacing="0"/>
              <w:ind w:left="0" w:right="0" w:firstLine="422" w:firstLineChars="20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rPr>
              <w:t>表3-</w:t>
            </w:r>
            <w:r>
              <w:rPr>
                <w:rFonts w:hint="eastAsia" w:ascii="Times New Roman" w:hAnsi="Times New Roman" w:eastAsia="宋体" w:cs="Times New Roman"/>
                <w:b/>
                <w:color w:val="auto"/>
                <w:sz w:val="21"/>
                <w:szCs w:val="21"/>
                <w:highlight w:val="none"/>
                <w:lang w:val="en-US" w:eastAsia="zh-CN"/>
              </w:rPr>
              <w:t>2  本项目引用监测点位基本信息一览表</w:t>
            </w:r>
          </w:p>
          <w:tbl>
            <w:tblPr>
              <w:tblStyle w:val="27"/>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613"/>
              <w:gridCol w:w="1871"/>
              <w:gridCol w:w="1646"/>
              <w:gridCol w:w="1529"/>
              <w:gridCol w:w="1119"/>
              <w:gridCol w:w="1212"/>
            </w:tblGrid>
            <w:tr w14:paraId="7CC23A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97" w:type="pct"/>
                  <w:vMerge w:val="restart"/>
                  <w:tcBorders>
                    <w:tl2br w:val="nil"/>
                    <w:tr2bl w:val="nil"/>
                  </w:tcBorders>
                  <w:noWrap w:val="0"/>
                  <w:vAlign w:val="center"/>
                </w:tcPr>
                <w:p w14:paraId="337DBB8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引用监测点位名称</w:t>
                  </w:r>
                </w:p>
              </w:tc>
              <w:tc>
                <w:tcPr>
                  <w:tcW w:w="1955" w:type="pct"/>
                  <w:gridSpan w:val="2"/>
                  <w:tcBorders>
                    <w:tl2br w:val="nil"/>
                    <w:tr2bl w:val="nil"/>
                  </w:tcBorders>
                  <w:noWrap w:val="0"/>
                  <w:vAlign w:val="center"/>
                </w:tcPr>
                <w:p w14:paraId="35B2E0B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点位坐标</w:t>
                  </w:r>
                </w:p>
              </w:tc>
              <w:tc>
                <w:tcPr>
                  <w:tcW w:w="850" w:type="pct"/>
                  <w:vMerge w:val="restart"/>
                  <w:tcBorders>
                    <w:tl2br w:val="nil"/>
                    <w:tr2bl w:val="nil"/>
                  </w:tcBorders>
                  <w:noWrap w:val="0"/>
                  <w:vAlign w:val="center"/>
                </w:tcPr>
                <w:p w14:paraId="290B30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监测因子</w:t>
                  </w:r>
                </w:p>
              </w:tc>
              <w:tc>
                <w:tcPr>
                  <w:tcW w:w="622" w:type="pct"/>
                  <w:vMerge w:val="restart"/>
                  <w:tcBorders>
                    <w:tl2br w:val="nil"/>
                    <w:tr2bl w:val="nil"/>
                  </w:tcBorders>
                  <w:noWrap w:val="0"/>
                  <w:vAlign w:val="center"/>
                </w:tcPr>
                <w:p w14:paraId="4590CD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相对厂址方位</w:t>
                  </w:r>
                </w:p>
              </w:tc>
              <w:tc>
                <w:tcPr>
                  <w:tcW w:w="674" w:type="pct"/>
                  <w:vMerge w:val="restart"/>
                  <w:tcBorders>
                    <w:tl2br w:val="nil"/>
                    <w:tr2bl w:val="nil"/>
                  </w:tcBorders>
                  <w:noWrap w:val="0"/>
                  <w:vAlign w:val="center"/>
                </w:tcPr>
                <w:p w14:paraId="245609B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相对本项目距离m</w:t>
                  </w:r>
                </w:p>
              </w:tc>
            </w:tr>
            <w:tr w14:paraId="2F8B64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897" w:type="pct"/>
                  <w:vMerge w:val="continue"/>
                  <w:tcBorders>
                    <w:tl2br w:val="nil"/>
                    <w:tr2bl w:val="nil"/>
                  </w:tcBorders>
                  <w:noWrap w:val="0"/>
                  <w:vAlign w:val="center"/>
                </w:tcPr>
                <w:p w14:paraId="1430582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sz w:val="21"/>
                      <w:szCs w:val="21"/>
                      <w:highlight w:val="none"/>
                      <w:vertAlign w:val="baseline"/>
                      <w:lang w:val="en-US" w:eastAsia="zh-CN"/>
                    </w:rPr>
                  </w:pPr>
                </w:p>
              </w:tc>
              <w:tc>
                <w:tcPr>
                  <w:tcW w:w="1040" w:type="pct"/>
                  <w:tcBorders>
                    <w:tl2br w:val="nil"/>
                    <w:tr2bl w:val="nil"/>
                  </w:tcBorders>
                  <w:noWrap w:val="0"/>
                  <w:vAlign w:val="center"/>
                </w:tcPr>
                <w:p w14:paraId="17B99F6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经度</w:t>
                  </w:r>
                </w:p>
              </w:tc>
              <w:tc>
                <w:tcPr>
                  <w:tcW w:w="915" w:type="pct"/>
                  <w:tcBorders>
                    <w:tl2br w:val="nil"/>
                    <w:tr2bl w:val="nil"/>
                  </w:tcBorders>
                  <w:noWrap w:val="0"/>
                  <w:vAlign w:val="center"/>
                </w:tcPr>
                <w:p w14:paraId="22E6413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纬度</w:t>
                  </w:r>
                </w:p>
              </w:tc>
              <w:tc>
                <w:tcPr>
                  <w:tcW w:w="850" w:type="pct"/>
                  <w:vMerge w:val="continue"/>
                  <w:tcBorders>
                    <w:tl2br w:val="nil"/>
                    <w:tr2bl w:val="nil"/>
                  </w:tcBorders>
                  <w:noWrap w:val="0"/>
                  <w:vAlign w:val="center"/>
                </w:tcPr>
                <w:p w14:paraId="7BED1A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cs="Times New Roman"/>
                      <w:b w:val="0"/>
                      <w:bCs w:val="0"/>
                      <w:color w:val="auto"/>
                      <w:sz w:val="21"/>
                      <w:szCs w:val="21"/>
                      <w:highlight w:val="none"/>
                      <w:vertAlign w:val="baseline"/>
                      <w:lang w:val="en-US" w:eastAsia="zh-CN"/>
                    </w:rPr>
                  </w:pPr>
                </w:p>
              </w:tc>
              <w:tc>
                <w:tcPr>
                  <w:tcW w:w="622" w:type="pct"/>
                  <w:vMerge w:val="continue"/>
                  <w:tcBorders>
                    <w:tl2br w:val="nil"/>
                    <w:tr2bl w:val="nil"/>
                  </w:tcBorders>
                  <w:noWrap w:val="0"/>
                  <w:vAlign w:val="center"/>
                </w:tcPr>
                <w:p w14:paraId="75A3C8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cs="Times New Roman"/>
                      <w:b w:val="0"/>
                      <w:bCs w:val="0"/>
                      <w:color w:val="auto"/>
                      <w:sz w:val="21"/>
                      <w:szCs w:val="21"/>
                      <w:highlight w:val="none"/>
                      <w:vertAlign w:val="baseline"/>
                      <w:lang w:val="en-US" w:eastAsia="zh-CN"/>
                    </w:rPr>
                  </w:pPr>
                </w:p>
              </w:tc>
              <w:tc>
                <w:tcPr>
                  <w:tcW w:w="674" w:type="pct"/>
                  <w:vMerge w:val="continue"/>
                  <w:tcBorders>
                    <w:tl2br w:val="nil"/>
                    <w:tr2bl w:val="nil"/>
                  </w:tcBorders>
                  <w:noWrap w:val="0"/>
                  <w:vAlign w:val="center"/>
                </w:tcPr>
                <w:p w14:paraId="0D124EF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cs="Times New Roman"/>
                      <w:b w:val="0"/>
                      <w:bCs w:val="0"/>
                      <w:color w:val="auto"/>
                      <w:sz w:val="21"/>
                      <w:szCs w:val="21"/>
                      <w:highlight w:val="none"/>
                      <w:vertAlign w:val="baseline"/>
                      <w:lang w:val="en-US" w:eastAsia="zh-CN"/>
                    </w:rPr>
                  </w:pPr>
                </w:p>
              </w:tc>
            </w:tr>
            <w:tr w14:paraId="75E489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897" w:type="pct"/>
                  <w:tcBorders>
                    <w:tl2br w:val="nil"/>
                    <w:tr2bl w:val="nil"/>
                  </w:tcBorders>
                  <w:noWrap w:val="0"/>
                  <w:vAlign w:val="center"/>
                </w:tcPr>
                <w:p w14:paraId="0D3F28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color w:val="auto"/>
                      <w:sz w:val="21"/>
                      <w:szCs w:val="21"/>
                      <w:highlight w:val="none"/>
                      <w:lang w:val="en-US" w:eastAsia="zh-CN"/>
                    </w:rPr>
                  </w:pPr>
                  <w:r>
                    <w:rPr>
                      <w:rFonts w:hint="eastAsia"/>
                      <w:b w:val="0"/>
                      <w:bCs w:val="0"/>
                      <w:color w:val="auto"/>
                      <w:sz w:val="21"/>
                      <w:szCs w:val="21"/>
                      <w:highlight w:val="none"/>
                      <w:lang w:val="en-US" w:eastAsia="zh-CN"/>
                    </w:rPr>
                    <w:t>阳光水岸西区</w:t>
                  </w:r>
                </w:p>
              </w:tc>
              <w:tc>
                <w:tcPr>
                  <w:tcW w:w="1040" w:type="pct"/>
                  <w:tcBorders>
                    <w:tl2br w:val="nil"/>
                    <w:tr2bl w:val="nil"/>
                  </w:tcBorders>
                  <w:noWrap w:val="0"/>
                  <w:vAlign w:val="center"/>
                </w:tcPr>
                <w:p w14:paraId="1A034B3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121°36′45.016″</w:t>
                  </w:r>
                </w:p>
              </w:tc>
              <w:tc>
                <w:tcPr>
                  <w:tcW w:w="915" w:type="pct"/>
                  <w:tcBorders>
                    <w:tl2br w:val="nil"/>
                    <w:tr2bl w:val="nil"/>
                  </w:tcBorders>
                  <w:noWrap w:val="0"/>
                  <w:vAlign w:val="center"/>
                </w:tcPr>
                <w:p w14:paraId="3783DC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color w:val="auto"/>
                      <w:sz w:val="21"/>
                      <w:szCs w:val="21"/>
                      <w:highlight w:val="none"/>
                      <w:lang w:val="en-US" w:eastAsia="zh-CN"/>
                    </w:rPr>
                  </w:pPr>
                  <w:r>
                    <w:rPr>
                      <w:rFonts w:hint="default" w:ascii="Times New Roman" w:hAnsi="Times New Roman" w:eastAsia="宋体" w:cs="Times New Roman"/>
                      <w:b w:val="0"/>
                      <w:bCs w:val="0"/>
                      <w:color w:val="auto"/>
                      <w:sz w:val="21"/>
                      <w:szCs w:val="21"/>
                      <w:highlight w:val="none"/>
                      <w:lang w:val="en-US" w:eastAsia="zh-CN"/>
                    </w:rPr>
                    <w:t>42°0′19.310″</w:t>
                  </w:r>
                </w:p>
              </w:tc>
              <w:tc>
                <w:tcPr>
                  <w:tcW w:w="850" w:type="pct"/>
                  <w:tcBorders>
                    <w:tl2br w:val="nil"/>
                    <w:tr2bl w:val="nil"/>
                  </w:tcBorders>
                  <w:noWrap w:val="0"/>
                  <w:vAlign w:val="center"/>
                </w:tcPr>
                <w:p w14:paraId="22810932">
                  <w:pPr>
                    <w:keepNext w:val="0"/>
                    <w:keepLines w:val="0"/>
                    <w:pageBreakBefore w:val="0"/>
                    <w:suppressLineNumbers w:val="0"/>
                    <w:kinsoku/>
                    <w:wordWrap/>
                    <w:topLinePunct w:val="0"/>
                    <w:bidi w:val="0"/>
                    <w:spacing w:before="0" w:beforeAutospacing="0" w:after="0" w:afterAutospacing="0" w:line="240" w:lineRule="auto"/>
                    <w:ind w:left="0" w:right="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TSP、</w:t>
                  </w:r>
                </w:p>
                <w:p w14:paraId="15104F4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z w:val="21"/>
                      <w:szCs w:val="21"/>
                      <w:highlight w:val="none"/>
                      <w:u w:val="none"/>
                      <w:lang w:val="en-US" w:eastAsia="zh-CN"/>
                    </w:rPr>
                  </w:pPr>
                  <w:r>
                    <w:rPr>
                      <w:rFonts w:hint="eastAsia" w:ascii="Times New Roman" w:hAnsi="Times New Roman" w:eastAsia="宋体" w:cs="Times New Roman"/>
                      <w:color w:val="auto"/>
                      <w:sz w:val="21"/>
                      <w:szCs w:val="21"/>
                      <w:highlight w:val="none"/>
                      <w:lang w:val="en-US" w:eastAsia="zh-CN"/>
                    </w:rPr>
                    <w:t>非甲烷总烃</w:t>
                  </w:r>
                </w:p>
              </w:tc>
              <w:tc>
                <w:tcPr>
                  <w:tcW w:w="622" w:type="pct"/>
                  <w:tcBorders>
                    <w:tl2br w:val="nil"/>
                    <w:tr2bl w:val="nil"/>
                  </w:tcBorders>
                  <w:noWrap w:val="0"/>
                  <w:vAlign w:val="center"/>
                </w:tcPr>
                <w:p w14:paraId="5E867ED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SE</w:t>
                  </w:r>
                </w:p>
              </w:tc>
              <w:tc>
                <w:tcPr>
                  <w:tcW w:w="674" w:type="pct"/>
                  <w:tcBorders>
                    <w:tl2br w:val="nil"/>
                    <w:tr2bl w:val="nil"/>
                  </w:tcBorders>
                  <w:noWrap w:val="0"/>
                  <w:vAlign w:val="center"/>
                </w:tcPr>
                <w:p w14:paraId="2A8986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z w:val="21"/>
                      <w:szCs w:val="21"/>
                      <w:highlight w:val="none"/>
                      <w:u w:val="none"/>
                      <w:lang w:val="en-US" w:eastAsia="zh-CN"/>
                    </w:rPr>
                  </w:pPr>
                  <w:r>
                    <w:rPr>
                      <w:rFonts w:hint="eastAsia" w:ascii="Times New Roman" w:hAnsi="Times New Roman" w:eastAsia="宋体" w:cs="Times New Roman"/>
                      <w:b w:val="0"/>
                      <w:bCs w:val="0"/>
                      <w:i w:val="0"/>
                      <w:color w:val="auto"/>
                      <w:sz w:val="21"/>
                      <w:szCs w:val="21"/>
                      <w:highlight w:val="none"/>
                      <w:u w:val="none"/>
                      <w:lang w:val="en-US" w:eastAsia="zh-CN"/>
                    </w:rPr>
                    <w:t>2240</w:t>
                  </w:r>
                </w:p>
              </w:tc>
            </w:tr>
          </w:tbl>
          <w:p w14:paraId="3127D3B3">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②监测时间及频次</w:t>
            </w:r>
          </w:p>
          <w:p w14:paraId="26A5CE75">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2024年4月27日-29日，</w:t>
            </w:r>
            <w:r>
              <w:rPr>
                <w:rFonts w:hint="default" w:ascii="Times New Roman" w:hAnsi="Times New Roman" w:eastAsia="宋体" w:cs="Times New Roman"/>
                <w:color w:val="auto"/>
                <w:kern w:val="2"/>
                <w:sz w:val="24"/>
                <w:szCs w:val="24"/>
                <w:highlight w:val="none"/>
                <w:lang w:val="en-US" w:eastAsia="zh-CN" w:bidi="ar-SA"/>
              </w:rPr>
              <w:t>非甲烷总烃监测1h平均值，每天4次</w:t>
            </w:r>
            <w:r>
              <w:rPr>
                <w:rFonts w:hint="eastAsia" w:ascii="Times New Roman" w:hAnsi="Times New Roman" w:eastAsia="宋体" w:cs="Times New Roman"/>
                <w:color w:val="auto"/>
                <w:kern w:val="2"/>
                <w:sz w:val="24"/>
                <w:szCs w:val="24"/>
                <w:highlight w:val="none"/>
                <w:lang w:val="en-US" w:eastAsia="zh-CN" w:bidi="ar-SA"/>
              </w:rPr>
              <w:t>；TSP</w:t>
            </w:r>
            <w:r>
              <w:rPr>
                <w:rFonts w:hint="default" w:ascii="Times New Roman" w:hAnsi="Times New Roman" w:eastAsia="宋体" w:cs="Times New Roman"/>
                <w:color w:val="auto"/>
                <w:kern w:val="2"/>
                <w:sz w:val="24"/>
                <w:szCs w:val="24"/>
                <w:highlight w:val="none"/>
                <w:lang w:val="en-US" w:eastAsia="zh-CN" w:bidi="ar-SA"/>
              </w:rPr>
              <w:t>监测日均值</w:t>
            </w:r>
          </w:p>
          <w:p w14:paraId="07C8A44F">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③监测结果</w:t>
            </w:r>
          </w:p>
          <w:p w14:paraId="07C5E308">
            <w:pPr>
              <w:keepNext w:val="0"/>
              <w:keepLines w:val="0"/>
              <w:suppressLineNumbers w:val="0"/>
              <w:spacing w:before="0" w:beforeAutospacing="0" w:after="0" w:afterAutospacing="0"/>
              <w:ind w:left="0" w:right="0" w:firstLine="422" w:firstLineChars="200"/>
              <w:jc w:val="center"/>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表3-</w:t>
            </w:r>
            <w:r>
              <w:rPr>
                <w:rFonts w:hint="eastAsia" w:ascii="Times New Roman" w:hAnsi="Times New Roman" w:eastAsia="宋体" w:cs="Times New Roman"/>
                <w:b/>
                <w:color w:val="auto"/>
                <w:sz w:val="21"/>
                <w:szCs w:val="21"/>
                <w:highlight w:val="none"/>
                <w:lang w:val="en-US" w:eastAsia="zh-CN"/>
              </w:rPr>
              <w:t xml:space="preserve">3  </w:t>
            </w:r>
            <w:r>
              <w:rPr>
                <w:rFonts w:hint="default" w:ascii="Times New Roman" w:hAnsi="Times New Roman" w:eastAsia="宋体" w:cs="Times New Roman"/>
                <w:b/>
                <w:color w:val="auto"/>
                <w:sz w:val="21"/>
                <w:szCs w:val="21"/>
                <w:highlight w:val="none"/>
              </w:rPr>
              <w:t>特征污染物环境质量现状监测结果表</w:t>
            </w:r>
          </w:p>
          <w:tbl>
            <w:tblPr>
              <w:tblStyle w:val="27"/>
              <w:tblW w:w="499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2292"/>
              <w:gridCol w:w="1629"/>
              <w:gridCol w:w="998"/>
              <w:gridCol w:w="1194"/>
              <w:gridCol w:w="1370"/>
              <w:gridCol w:w="1502"/>
            </w:tblGrid>
            <w:tr w14:paraId="022821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275" w:type="pct"/>
                  <w:tcBorders>
                    <w:tl2br w:val="nil"/>
                    <w:tr2bl w:val="nil"/>
                  </w:tcBorders>
                  <w:noWrap w:val="0"/>
                  <w:vAlign w:val="center"/>
                </w:tcPr>
                <w:p w14:paraId="4C2107EB">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采样日期</w:t>
                  </w:r>
                </w:p>
              </w:tc>
              <w:tc>
                <w:tcPr>
                  <w:tcW w:w="906" w:type="pct"/>
                  <w:tcBorders>
                    <w:tl2br w:val="nil"/>
                    <w:tr2bl w:val="nil"/>
                  </w:tcBorders>
                  <w:noWrap w:val="0"/>
                  <w:vAlign w:val="center"/>
                </w:tcPr>
                <w:p w14:paraId="1BB2624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outlineLvl w:val="9"/>
                    <w:rPr>
                      <w:rFonts w:hint="eastAsia"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污染物</w:t>
                  </w:r>
                </w:p>
              </w:tc>
              <w:tc>
                <w:tcPr>
                  <w:tcW w:w="1219" w:type="pct"/>
                  <w:gridSpan w:val="2"/>
                  <w:tcBorders>
                    <w:tl2br w:val="nil"/>
                    <w:tr2bl w:val="nil"/>
                  </w:tcBorders>
                  <w:noWrap w:val="0"/>
                  <w:vAlign w:val="center"/>
                </w:tcPr>
                <w:p w14:paraId="5DCCDC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cs="Times New Roman"/>
                      <w:b w:val="0"/>
                      <w:bCs w:val="0"/>
                      <w:color w:val="auto"/>
                      <w:sz w:val="21"/>
                      <w:szCs w:val="21"/>
                      <w:highlight w:val="none"/>
                      <w:vertAlign w:val="baseline"/>
                      <w:lang w:val="en-US" w:eastAsia="zh-CN"/>
                    </w:rPr>
                    <w:t>检测结果</w:t>
                  </w:r>
                </w:p>
              </w:tc>
              <w:tc>
                <w:tcPr>
                  <w:tcW w:w="762" w:type="pct"/>
                  <w:tcBorders>
                    <w:tl2br w:val="nil"/>
                    <w:tr2bl w:val="nil"/>
                  </w:tcBorders>
                  <w:noWrap w:val="0"/>
                  <w:vAlign w:val="center"/>
                </w:tcPr>
                <w:p w14:paraId="12F2D7D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评价标准</w:t>
                  </w:r>
                </w:p>
              </w:tc>
              <w:tc>
                <w:tcPr>
                  <w:tcW w:w="835" w:type="pct"/>
                  <w:tcBorders>
                    <w:tl2br w:val="nil"/>
                    <w:tr2bl w:val="nil"/>
                  </w:tcBorders>
                  <w:noWrap w:val="0"/>
                  <w:vAlign w:val="center"/>
                </w:tcPr>
                <w:p w14:paraId="553063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cs="Times New Roman"/>
                      <w:b w:val="0"/>
                      <w:bCs w:val="0"/>
                      <w:color w:val="auto"/>
                      <w:sz w:val="21"/>
                      <w:szCs w:val="21"/>
                      <w:highlight w:val="none"/>
                      <w:vertAlign w:val="baseline"/>
                      <w:lang w:val="en-US" w:eastAsia="zh-CN"/>
                    </w:rPr>
                  </w:pPr>
                  <w:r>
                    <w:rPr>
                      <w:rFonts w:hint="eastAsia" w:ascii="Times New Roman" w:hAnsi="Times New Roman" w:cs="Times New Roman"/>
                      <w:b w:val="0"/>
                      <w:bCs w:val="0"/>
                      <w:color w:val="auto"/>
                      <w:sz w:val="21"/>
                      <w:szCs w:val="21"/>
                      <w:highlight w:val="none"/>
                      <w:vertAlign w:val="baseline"/>
                      <w:lang w:val="en-US" w:eastAsia="zh-CN"/>
                    </w:rPr>
                    <w:t>标准</w:t>
                  </w:r>
                </w:p>
              </w:tc>
            </w:tr>
            <w:tr w14:paraId="686E653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78" w:hRule="atLeast"/>
                <w:jc w:val="center"/>
              </w:trPr>
              <w:tc>
                <w:tcPr>
                  <w:tcW w:w="1275" w:type="pct"/>
                  <w:vMerge w:val="restart"/>
                  <w:tcBorders>
                    <w:tl2br w:val="nil"/>
                    <w:tr2bl w:val="nil"/>
                  </w:tcBorders>
                  <w:noWrap w:val="0"/>
                  <w:vAlign w:val="center"/>
                </w:tcPr>
                <w:p w14:paraId="05C21F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s="Times New Roman"/>
                      <w:color w:val="auto"/>
                      <w:sz w:val="21"/>
                      <w:szCs w:val="21"/>
                      <w:highlight w:val="none"/>
                      <w:lang w:val="en-US" w:eastAsia="zh-CN"/>
                    </w:rPr>
                  </w:pPr>
                  <w:r>
                    <w:rPr>
                      <w:rFonts w:hint="eastAsia"/>
                      <w:b w:val="0"/>
                      <w:bCs w:val="0"/>
                      <w:color w:val="auto"/>
                      <w:sz w:val="21"/>
                      <w:szCs w:val="21"/>
                      <w:highlight w:val="none"/>
                      <w:lang w:val="en-US" w:eastAsia="zh-CN"/>
                    </w:rPr>
                    <w:t>2024年04月27日—2024年04月29日</w:t>
                  </w:r>
                </w:p>
              </w:tc>
              <w:tc>
                <w:tcPr>
                  <w:tcW w:w="906" w:type="pct"/>
                  <w:tcBorders>
                    <w:tl2br w:val="nil"/>
                    <w:tr2bl w:val="nil"/>
                  </w:tcBorders>
                  <w:noWrap w:val="0"/>
                  <w:vAlign w:val="center"/>
                </w:tcPr>
                <w:p w14:paraId="34DF03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bCs/>
                      <w:i w:val="0"/>
                      <w:color w:val="auto"/>
                      <w:sz w:val="21"/>
                      <w:szCs w:val="21"/>
                      <w:highlight w:val="none"/>
                      <w:u w:val="none"/>
                      <w:lang w:val="en-US" w:eastAsia="zh-CN"/>
                    </w:rPr>
                  </w:pPr>
                  <w:r>
                    <w:rPr>
                      <w:rFonts w:hint="eastAsia" w:ascii="Times New Roman" w:hAnsi="Times New Roman" w:eastAsia="宋体" w:cs="Times New Roman"/>
                      <w:color w:val="auto"/>
                      <w:sz w:val="21"/>
                      <w:szCs w:val="21"/>
                      <w:highlight w:val="none"/>
                      <w:lang w:val="en-US" w:eastAsia="zh-CN"/>
                    </w:rPr>
                    <w:t>非甲烷总烃</w:t>
                  </w:r>
                </w:p>
              </w:tc>
              <w:tc>
                <w:tcPr>
                  <w:tcW w:w="555" w:type="pct"/>
                  <w:tcBorders>
                    <w:tl2br w:val="nil"/>
                    <w:tr2bl w:val="nil"/>
                  </w:tcBorders>
                  <w:noWrap w:val="0"/>
                  <w:vAlign w:val="center"/>
                </w:tcPr>
                <w:p w14:paraId="6AAD2B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s="Times New Roman"/>
                      <w:b w:val="0"/>
                      <w:bCs w:val="0"/>
                      <w:i w:val="0"/>
                      <w:color w:val="auto"/>
                      <w:sz w:val="21"/>
                      <w:szCs w:val="21"/>
                      <w:highlight w:val="none"/>
                      <w:u w:val="none"/>
                      <w:lang w:val="en-US" w:eastAsia="zh-CN"/>
                    </w:rPr>
                  </w:pPr>
                  <w:r>
                    <w:rPr>
                      <w:rFonts w:hint="eastAsia" w:ascii="Times New Roman" w:hAnsi="Times New Roman" w:eastAsia="宋体" w:cs="Times New Roman"/>
                      <w:b w:val="0"/>
                      <w:bCs w:val="0"/>
                      <w:i w:val="0"/>
                      <w:color w:val="auto"/>
                      <w:sz w:val="21"/>
                      <w:szCs w:val="21"/>
                      <w:highlight w:val="none"/>
                      <w:u w:val="none"/>
                      <w:lang w:val="en-US" w:eastAsia="zh-CN"/>
                    </w:rPr>
                    <w:t>1h</w:t>
                  </w:r>
                </w:p>
              </w:tc>
              <w:tc>
                <w:tcPr>
                  <w:tcW w:w="664" w:type="pct"/>
                  <w:tcBorders>
                    <w:tl2br w:val="nil"/>
                    <w:tr2bl w:val="nil"/>
                  </w:tcBorders>
                  <w:noWrap w:val="0"/>
                  <w:vAlign w:val="center"/>
                </w:tcPr>
                <w:p w14:paraId="79B9A64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z w:val="21"/>
                      <w:szCs w:val="21"/>
                      <w:highlight w:val="none"/>
                      <w:u w:val="none"/>
                      <w:lang w:val="en-US" w:eastAsia="zh-CN"/>
                    </w:rPr>
                  </w:pPr>
                  <w:r>
                    <w:rPr>
                      <w:rFonts w:hint="eastAsia" w:ascii="Times New Roman" w:hAnsi="Times New Roman" w:eastAsia="宋体" w:cs="Times New Roman"/>
                      <w:b w:val="0"/>
                      <w:bCs w:val="0"/>
                      <w:i w:val="0"/>
                      <w:color w:val="auto"/>
                      <w:sz w:val="21"/>
                      <w:szCs w:val="21"/>
                      <w:highlight w:val="none"/>
                      <w:u w:val="none"/>
                      <w:lang w:val="en-US" w:eastAsia="zh-CN"/>
                    </w:rPr>
                    <w:t>80-450</w:t>
                  </w:r>
                </w:p>
              </w:tc>
              <w:tc>
                <w:tcPr>
                  <w:tcW w:w="762" w:type="pct"/>
                  <w:tcBorders>
                    <w:tl2br w:val="nil"/>
                    <w:tr2bl w:val="nil"/>
                  </w:tcBorders>
                  <w:noWrap w:val="0"/>
                  <w:vAlign w:val="center"/>
                </w:tcPr>
                <w:p w14:paraId="426D255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z w:val="21"/>
                      <w:szCs w:val="21"/>
                      <w:highlight w:val="none"/>
                      <w:u w:val="none"/>
                      <w:lang w:val="en-US" w:eastAsia="zh-CN"/>
                    </w:rPr>
                  </w:pPr>
                  <w:r>
                    <w:rPr>
                      <w:rFonts w:hint="eastAsia" w:ascii="Times New Roman" w:hAnsi="Times New Roman" w:eastAsia="宋体" w:cs="Times New Roman"/>
                      <w:b w:val="0"/>
                      <w:bCs w:val="0"/>
                      <w:i w:val="0"/>
                      <w:color w:val="auto"/>
                      <w:sz w:val="21"/>
                      <w:szCs w:val="21"/>
                      <w:highlight w:val="none"/>
                      <w:u w:val="none"/>
                      <w:lang w:val="en-US" w:eastAsia="zh-CN"/>
                    </w:rPr>
                    <w:t>2000</w:t>
                  </w:r>
                </w:p>
              </w:tc>
              <w:tc>
                <w:tcPr>
                  <w:tcW w:w="835" w:type="pct"/>
                  <w:tcBorders>
                    <w:tl2br w:val="nil"/>
                    <w:tr2bl w:val="nil"/>
                  </w:tcBorders>
                  <w:noWrap w:val="0"/>
                  <w:vAlign w:val="center"/>
                </w:tcPr>
                <w:p w14:paraId="427D65F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s="Times New Roman"/>
                      <w:b/>
                      <w:bCs/>
                      <w:i w:val="0"/>
                      <w:color w:val="auto"/>
                      <w:sz w:val="21"/>
                      <w:szCs w:val="21"/>
                      <w:highlight w:val="none"/>
                      <w:u w:val="none"/>
                      <w:lang w:val="en-US" w:eastAsia="zh-CN"/>
                    </w:rPr>
                  </w:pPr>
                  <w:r>
                    <w:rPr>
                      <w:rFonts w:hint="default" w:ascii="Times New Roman" w:hAnsi="Times New Roman" w:eastAsia="宋体" w:cs="Times New Roman"/>
                      <w:color w:val="auto"/>
                      <w:sz w:val="24"/>
                      <w:szCs w:val="24"/>
                      <w:highlight w:val="none"/>
                    </w:rPr>
                    <w:t>μ</w:t>
                  </w:r>
                  <w:r>
                    <w:rPr>
                      <w:rFonts w:hint="default" w:ascii="Times New Roman" w:hAnsi="Times New Roman" w:eastAsia="宋体" w:cs="Times New Roman"/>
                      <w:color w:val="auto"/>
                      <w:sz w:val="24"/>
                      <w:szCs w:val="24"/>
                      <w:highlight w:val="none"/>
                      <w:shd w:val="clear" w:color="auto" w:fill="auto"/>
                      <w:lang w:val="en-US" w:eastAsia="zh-CN"/>
                    </w:rPr>
                    <w:t>g/m</w:t>
                  </w:r>
                  <w:r>
                    <w:rPr>
                      <w:rFonts w:hint="default" w:ascii="Times New Roman" w:hAnsi="Times New Roman" w:eastAsia="宋体" w:cs="Times New Roman"/>
                      <w:color w:val="auto"/>
                      <w:sz w:val="24"/>
                      <w:szCs w:val="24"/>
                      <w:highlight w:val="none"/>
                      <w:shd w:val="clear" w:color="auto" w:fill="auto"/>
                      <w:vertAlign w:val="superscript"/>
                      <w:lang w:val="en-US" w:eastAsia="zh-CN"/>
                    </w:rPr>
                    <w:t>3</w:t>
                  </w:r>
                </w:p>
              </w:tc>
            </w:tr>
            <w:tr w14:paraId="73BAF9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275" w:type="pct"/>
                  <w:vMerge w:val="continue"/>
                  <w:tcBorders>
                    <w:tl2br w:val="nil"/>
                    <w:tr2bl w:val="nil"/>
                  </w:tcBorders>
                  <w:noWrap w:val="0"/>
                  <w:vAlign w:val="center"/>
                </w:tcPr>
                <w:p w14:paraId="1465A51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s="Times New Roman"/>
                      <w:color w:val="auto"/>
                      <w:sz w:val="21"/>
                      <w:szCs w:val="21"/>
                      <w:highlight w:val="none"/>
                      <w:lang w:val="en-US" w:eastAsia="zh-CN"/>
                    </w:rPr>
                  </w:pPr>
                </w:p>
              </w:tc>
              <w:tc>
                <w:tcPr>
                  <w:tcW w:w="906" w:type="pct"/>
                  <w:tcBorders>
                    <w:tl2br w:val="nil"/>
                    <w:tr2bl w:val="nil"/>
                  </w:tcBorders>
                  <w:noWrap w:val="0"/>
                  <w:vAlign w:val="center"/>
                </w:tcPr>
                <w:p w14:paraId="1EA8F88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bCs/>
                      <w:i w:val="0"/>
                      <w:color w:val="auto"/>
                      <w:sz w:val="21"/>
                      <w:szCs w:val="21"/>
                      <w:highlight w:val="none"/>
                      <w:u w:val="none"/>
                      <w:lang w:val="en-US" w:eastAsia="zh-CN"/>
                    </w:rPr>
                  </w:pPr>
                  <w:r>
                    <w:rPr>
                      <w:rFonts w:hint="eastAsia" w:ascii="Times New Roman" w:hAnsi="Times New Roman" w:eastAsia="宋体" w:cs="Times New Roman"/>
                      <w:color w:val="auto"/>
                      <w:sz w:val="21"/>
                      <w:szCs w:val="21"/>
                      <w:highlight w:val="none"/>
                      <w:lang w:val="en-US" w:eastAsia="zh-CN"/>
                    </w:rPr>
                    <w:t>TSP</w:t>
                  </w:r>
                </w:p>
              </w:tc>
              <w:tc>
                <w:tcPr>
                  <w:tcW w:w="555" w:type="pct"/>
                  <w:tcBorders>
                    <w:tl2br w:val="nil"/>
                    <w:tr2bl w:val="nil"/>
                  </w:tcBorders>
                  <w:noWrap w:val="0"/>
                  <w:vAlign w:val="center"/>
                </w:tcPr>
                <w:p w14:paraId="7874FB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s="Times New Roman"/>
                      <w:b w:val="0"/>
                      <w:bCs w:val="0"/>
                      <w:i w:val="0"/>
                      <w:color w:val="auto"/>
                      <w:sz w:val="21"/>
                      <w:szCs w:val="21"/>
                      <w:highlight w:val="none"/>
                      <w:u w:val="none"/>
                      <w:lang w:eastAsia="zh-CN"/>
                    </w:rPr>
                  </w:pPr>
                  <w:r>
                    <w:rPr>
                      <w:rFonts w:hint="eastAsia" w:ascii="Times New Roman" w:hAnsi="Times New Roman" w:eastAsia="宋体" w:cs="Times New Roman"/>
                      <w:b w:val="0"/>
                      <w:bCs w:val="0"/>
                      <w:i w:val="0"/>
                      <w:color w:val="auto"/>
                      <w:sz w:val="21"/>
                      <w:szCs w:val="21"/>
                      <w:highlight w:val="none"/>
                      <w:u w:val="none"/>
                      <w:lang w:eastAsia="zh-CN"/>
                    </w:rPr>
                    <w:t>日均值</w:t>
                  </w:r>
                </w:p>
              </w:tc>
              <w:tc>
                <w:tcPr>
                  <w:tcW w:w="664" w:type="pct"/>
                  <w:tcBorders>
                    <w:tl2br w:val="nil"/>
                    <w:tr2bl w:val="nil"/>
                  </w:tcBorders>
                  <w:noWrap w:val="0"/>
                  <w:vAlign w:val="center"/>
                </w:tcPr>
                <w:p w14:paraId="148F53B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color w:val="auto"/>
                      <w:kern w:val="2"/>
                      <w:sz w:val="21"/>
                      <w:szCs w:val="21"/>
                      <w:highlight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104-128</w:t>
                  </w:r>
                </w:p>
              </w:tc>
              <w:tc>
                <w:tcPr>
                  <w:tcW w:w="762" w:type="pct"/>
                  <w:tcBorders>
                    <w:tl2br w:val="nil"/>
                    <w:tr2bl w:val="nil"/>
                  </w:tcBorders>
                  <w:noWrap w:val="0"/>
                  <w:vAlign w:val="center"/>
                </w:tcPr>
                <w:p w14:paraId="703CEC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sz w:val="21"/>
                      <w:szCs w:val="21"/>
                      <w:highlight w:val="none"/>
                      <w:u w:val="none"/>
                      <w:lang w:val="en-US" w:eastAsia="zh-CN"/>
                    </w:rPr>
                  </w:pPr>
                  <w:r>
                    <w:rPr>
                      <w:rFonts w:hint="eastAsia" w:ascii="Times New Roman" w:hAnsi="Times New Roman" w:eastAsia="宋体" w:cs="Times New Roman"/>
                      <w:b w:val="0"/>
                      <w:bCs w:val="0"/>
                      <w:i w:val="0"/>
                      <w:color w:val="auto"/>
                      <w:sz w:val="21"/>
                      <w:szCs w:val="21"/>
                      <w:highlight w:val="none"/>
                      <w:u w:val="none"/>
                      <w:lang w:val="en-US" w:eastAsia="zh-CN"/>
                    </w:rPr>
                    <w:t>300</w:t>
                  </w:r>
                </w:p>
              </w:tc>
              <w:tc>
                <w:tcPr>
                  <w:tcW w:w="835" w:type="pct"/>
                  <w:tcBorders>
                    <w:tl2br w:val="nil"/>
                    <w:tr2bl w:val="nil"/>
                  </w:tcBorders>
                  <w:noWrap w:val="0"/>
                  <w:vAlign w:val="center"/>
                </w:tcPr>
                <w:p w14:paraId="5C31FFE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olor w:val="auto"/>
                      <w:sz w:val="21"/>
                      <w:szCs w:val="21"/>
                      <w:highlight w:val="none"/>
                    </w:rPr>
                  </w:pPr>
                  <w:r>
                    <w:rPr>
                      <w:rFonts w:hint="default" w:ascii="Times New Roman" w:hAnsi="Times New Roman" w:eastAsia="宋体" w:cs="Times New Roman"/>
                      <w:color w:val="auto"/>
                      <w:sz w:val="21"/>
                      <w:szCs w:val="21"/>
                      <w:highlight w:val="none"/>
                    </w:rPr>
                    <w:t>μ</w:t>
                  </w:r>
                  <w:r>
                    <w:rPr>
                      <w:rFonts w:hint="eastAsia" w:ascii="Times New Roman" w:hAnsi="Times New Roman" w:eastAsia="宋体"/>
                      <w:color w:val="auto"/>
                      <w:sz w:val="21"/>
                      <w:szCs w:val="21"/>
                      <w:highlight w:val="none"/>
                    </w:rPr>
                    <w:t>g/m</w:t>
                  </w:r>
                  <w:r>
                    <w:rPr>
                      <w:rFonts w:hint="eastAsia" w:ascii="Times New Roman" w:hAnsi="Times New Roman" w:eastAsia="宋体"/>
                      <w:color w:val="auto"/>
                      <w:sz w:val="21"/>
                      <w:szCs w:val="21"/>
                      <w:highlight w:val="none"/>
                      <w:vertAlign w:val="superscript"/>
                    </w:rPr>
                    <w:t>3</w:t>
                  </w:r>
                </w:p>
              </w:tc>
            </w:tr>
          </w:tbl>
          <w:p w14:paraId="6FFAD087">
            <w:pPr>
              <w:keepNext w:val="0"/>
              <w:keepLines w:val="0"/>
              <w:numPr>
                <w:ilvl w:val="0"/>
                <w:numId w:val="0"/>
              </w:numPr>
              <w:suppressLineNumbers w:val="0"/>
              <w:adjustRightInd w:val="0"/>
              <w:snapToGrid w:val="0"/>
              <w:spacing w:before="0" w:beforeAutospacing="0" w:after="0" w:afterAutospacing="0"/>
              <w:ind w:left="0" w:right="0" w:firstLine="480" w:firstLineChars="200"/>
              <w:jc w:val="left"/>
              <w:rPr>
                <w:rFonts w:hint="eastAsia" w:ascii="宋体" w:hAnsi="宋体" w:cs="宋体"/>
                <w:b w:val="0"/>
                <w:bCs w:val="0"/>
                <w:color w:val="auto"/>
                <w:kern w:val="0"/>
                <w:sz w:val="24"/>
                <w:szCs w:val="24"/>
                <w:highlight w:val="none"/>
                <w:lang w:val="en-US" w:eastAsia="zh-CN"/>
              </w:rPr>
            </w:pPr>
            <w:r>
              <w:rPr>
                <w:rFonts w:hint="eastAsia" w:ascii="宋体" w:hAnsi="宋体" w:cs="宋体"/>
                <w:color w:val="auto"/>
                <w:sz w:val="24"/>
                <w:highlight w:val="none"/>
              </w:rPr>
              <w:t>④</w:t>
            </w:r>
            <w:r>
              <w:rPr>
                <w:rFonts w:hint="eastAsia" w:ascii="宋体" w:hAnsi="宋体" w:cs="宋体"/>
                <w:b w:val="0"/>
                <w:bCs w:val="0"/>
                <w:color w:val="auto"/>
                <w:kern w:val="0"/>
                <w:sz w:val="24"/>
                <w:szCs w:val="24"/>
                <w:highlight w:val="none"/>
                <w:lang w:val="en-US" w:eastAsia="zh-CN"/>
              </w:rPr>
              <w:t>监测结果分析</w:t>
            </w:r>
          </w:p>
          <w:p w14:paraId="54C374F1">
            <w:pPr>
              <w:keepNext w:val="0"/>
              <w:keepLines w:val="0"/>
              <w:suppressLineNumbers w:val="0"/>
              <w:spacing w:before="0" w:beforeAutospacing="0" w:after="0" w:afterAutospacing="0"/>
              <w:ind w:left="0" w:right="0"/>
              <w:jc w:val="center"/>
              <w:rPr>
                <w:rFonts w:hint="default"/>
                <w:b/>
                <w:bCs/>
                <w:color w:val="auto"/>
                <w:kern w:val="0"/>
                <w:szCs w:val="21"/>
                <w:highlight w:val="none"/>
              </w:rPr>
            </w:pPr>
            <w:r>
              <w:rPr>
                <w:rFonts w:hint="default"/>
                <w:b/>
                <w:bCs/>
                <w:color w:val="auto"/>
                <w:kern w:val="0"/>
                <w:szCs w:val="21"/>
                <w:highlight w:val="none"/>
              </w:rPr>
              <w:t>表3-</w:t>
            </w:r>
            <w:r>
              <w:rPr>
                <w:rFonts w:hint="eastAsia"/>
                <w:b/>
                <w:bCs/>
                <w:color w:val="auto"/>
                <w:kern w:val="0"/>
                <w:szCs w:val="21"/>
                <w:highlight w:val="none"/>
                <w:lang w:val="en-US" w:eastAsia="zh-CN"/>
              </w:rPr>
              <w:t>4</w:t>
            </w:r>
            <w:r>
              <w:rPr>
                <w:rFonts w:hint="default"/>
                <w:b/>
                <w:bCs/>
                <w:color w:val="auto"/>
                <w:kern w:val="0"/>
                <w:szCs w:val="21"/>
                <w:highlight w:val="none"/>
              </w:rPr>
              <w:t xml:space="preserve"> </w:t>
            </w:r>
            <w:r>
              <w:rPr>
                <w:rFonts w:hint="eastAsia"/>
                <w:b/>
                <w:bCs/>
                <w:color w:val="auto"/>
                <w:kern w:val="0"/>
                <w:szCs w:val="21"/>
                <w:highlight w:val="none"/>
                <w:lang w:val="en-US" w:eastAsia="zh-CN"/>
              </w:rPr>
              <w:t xml:space="preserve"> </w:t>
            </w:r>
            <w:r>
              <w:rPr>
                <w:rFonts w:hint="default"/>
                <w:b/>
                <w:bCs/>
                <w:color w:val="auto"/>
                <w:kern w:val="0"/>
                <w:szCs w:val="21"/>
                <w:highlight w:val="none"/>
              </w:rPr>
              <w:t>环境空气质量现状评价结果一览表</w:t>
            </w:r>
          </w:p>
          <w:tbl>
            <w:tblPr>
              <w:tblStyle w:val="26"/>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141"/>
              <w:gridCol w:w="769"/>
              <w:gridCol w:w="1831"/>
              <w:gridCol w:w="1659"/>
              <w:gridCol w:w="1326"/>
              <w:gridCol w:w="1326"/>
              <w:gridCol w:w="942"/>
            </w:tblGrid>
            <w:tr w14:paraId="0C523B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3" w:hRule="atLeast"/>
                <w:tblHeader/>
                <w:jc w:val="center"/>
              </w:trPr>
              <w:tc>
                <w:tcPr>
                  <w:tcW w:w="0" w:type="auto"/>
                  <w:gridSpan w:val="2"/>
                  <w:tcBorders>
                    <w:tl2br w:val="nil"/>
                    <w:tr2bl w:val="nil"/>
                  </w:tcBorders>
                  <w:noWrap w:val="0"/>
                  <w:vAlign w:val="center"/>
                </w:tcPr>
                <w:p w14:paraId="7BF10A34">
                  <w:pPr>
                    <w:keepNext w:val="0"/>
                    <w:keepLines w:val="0"/>
                    <w:suppressLineNumbers w:val="0"/>
                    <w:spacing w:before="0" w:beforeAutospacing="0" w:after="0" w:afterAutospacing="0"/>
                    <w:ind w:left="0" w:right="0"/>
                    <w:jc w:val="center"/>
                    <w:rPr>
                      <w:rFonts w:hint="default"/>
                      <w:color w:val="auto"/>
                      <w:szCs w:val="21"/>
                      <w:highlight w:val="none"/>
                    </w:rPr>
                  </w:pPr>
                  <w:r>
                    <w:rPr>
                      <w:rFonts w:hint="default"/>
                      <w:color w:val="auto"/>
                      <w:szCs w:val="21"/>
                      <w:highlight w:val="none"/>
                    </w:rPr>
                    <w:t>监测因子</w:t>
                  </w:r>
                </w:p>
              </w:tc>
              <w:tc>
                <w:tcPr>
                  <w:tcW w:w="0" w:type="auto"/>
                  <w:tcBorders>
                    <w:tl2br w:val="nil"/>
                    <w:tr2bl w:val="nil"/>
                  </w:tcBorders>
                  <w:noWrap w:val="0"/>
                  <w:vAlign w:val="center"/>
                </w:tcPr>
                <w:p w14:paraId="53925A1C">
                  <w:pPr>
                    <w:keepNext w:val="0"/>
                    <w:keepLines w:val="0"/>
                    <w:suppressLineNumbers w:val="0"/>
                    <w:spacing w:before="0" w:beforeAutospacing="0" w:after="0" w:afterAutospacing="0"/>
                    <w:ind w:left="0" w:right="0"/>
                    <w:jc w:val="center"/>
                    <w:rPr>
                      <w:rFonts w:hint="eastAsia" w:eastAsia="宋体"/>
                      <w:color w:val="auto"/>
                      <w:szCs w:val="21"/>
                      <w:highlight w:val="none"/>
                      <w:lang w:eastAsia="zh-CN"/>
                    </w:rPr>
                  </w:pPr>
                  <w:r>
                    <w:rPr>
                      <w:rFonts w:hint="default"/>
                      <w:color w:val="auto"/>
                      <w:szCs w:val="21"/>
                      <w:highlight w:val="none"/>
                    </w:rPr>
                    <w:t>浓度范围</w:t>
                  </w:r>
                  <w:r>
                    <w:rPr>
                      <w:rFonts w:hint="eastAsia"/>
                      <w:color w:val="auto"/>
                      <w:szCs w:val="21"/>
                      <w:highlight w:val="none"/>
                      <w:lang w:eastAsia="zh-CN"/>
                    </w:rPr>
                    <w:t>（</w:t>
                  </w:r>
                  <w:r>
                    <w:rPr>
                      <w:rFonts w:hint="default" w:ascii="Times New Roman" w:hAnsi="Times New Roman" w:eastAsia="宋体" w:cs="Times New Roman"/>
                      <w:color w:val="auto"/>
                      <w:sz w:val="21"/>
                      <w:szCs w:val="21"/>
                      <w:highlight w:val="none"/>
                    </w:rPr>
                    <w:t>μ</w:t>
                  </w:r>
                  <w:r>
                    <w:rPr>
                      <w:rFonts w:hint="eastAsia" w:ascii="Times New Roman" w:hAnsi="Times New Roman" w:eastAsia="宋体"/>
                      <w:color w:val="auto"/>
                      <w:sz w:val="21"/>
                      <w:szCs w:val="21"/>
                      <w:highlight w:val="none"/>
                    </w:rPr>
                    <w:t>g</w:t>
                  </w:r>
                  <w:r>
                    <w:rPr>
                      <w:rFonts w:hint="default"/>
                      <w:color w:val="auto"/>
                      <w:szCs w:val="21"/>
                      <w:highlight w:val="none"/>
                    </w:rPr>
                    <w:t>/m</w:t>
                  </w:r>
                  <w:r>
                    <w:rPr>
                      <w:rFonts w:hint="default"/>
                      <w:color w:val="auto"/>
                      <w:szCs w:val="21"/>
                      <w:highlight w:val="none"/>
                      <w:vertAlign w:val="superscript"/>
                    </w:rPr>
                    <w:t>3</w:t>
                  </w:r>
                  <w:r>
                    <w:rPr>
                      <w:rFonts w:hint="eastAsia"/>
                      <w:color w:val="auto"/>
                      <w:szCs w:val="21"/>
                      <w:highlight w:val="none"/>
                      <w:lang w:eastAsia="zh-CN"/>
                    </w:rPr>
                    <w:t>）</w:t>
                  </w:r>
                </w:p>
              </w:tc>
              <w:tc>
                <w:tcPr>
                  <w:tcW w:w="0" w:type="auto"/>
                  <w:tcBorders>
                    <w:tl2br w:val="nil"/>
                    <w:tr2bl w:val="nil"/>
                  </w:tcBorders>
                  <w:noWrap w:val="0"/>
                  <w:vAlign w:val="center"/>
                </w:tcPr>
                <w:p w14:paraId="246BD76F">
                  <w:pPr>
                    <w:keepNext w:val="0"/>
                    <w:keepLines w:val="0"/>
                    <w:suppressLineNumbers w:val="0"/>
                    <w:spacing w:before="0" w:beforeAutospacing="0" w:after="0" w:afterAutospacing="0"/>
                    <w:ind w:left="0" w:right="0"/>
                    <w:jc w:val="center"/>
                    <w:rPr>
                      <w:rFonts w:hint="eastAsia" w:eastAsia="宋体"/>
                      <w:color w:val="auto"/>
                      <w:szCs w:val="21"/>
                      <w:highlight w:val="none"/>
                      <w:lang w:eastAsia="zh-CN"/>
                    </w:rPr>
                  </w:pPr>
                  <w:r>
                    <w:rPr>
                      <w:rFonts w:hint="default"/>
                      <w:color w:val="auto"/>
                      <w:szCs w:val="21"/>
                      <w:highlight w:val="none"/>
                    </w:rPr>
                    <w:t>标准值</w:t>
                  </w:r>
                  <w:r>
                    <w:rPr>
                      <w:rFonts w:hint="eastAsia"/>
                      <w:color w:val="auto"/>
                      <w:szCs w:val="21"/>
                      <w:highlight w:val="none"/>
                      <w:lang w:eastAsia="zh-CN"/>
                    </w:rPr>
                    <w:t>（</w:t>
                  </w:r>
                  <w:r>
                    <w:rPr>
                      <w:rFonts w:hint="default" w:ascii="Times New Roman" w:hAnsi="Times New Roman" w:eastAsia="宋体" w:cs="Times New Roman"/>
                      <w:color w:val="auto"/>
                      <w:sz w:val="21"/>
                      <w:szCs w:val="21"/>
                      <w:highlight w:val="none"/>
                    </w:rPr>
                    <w:t>μ</w:t>
                  </w:r>
                  <w:r>
                    <w:rPr>
                      <w:rFonts w:hint="eastAsia" w:ascii="Times New Roman" w:hAnsi="Times New Roman" w:eastAsia="宋体"/>
                      <w:color w:val="auto"/>
                      <w:sz w:val="21"/>
                      <w:szCs w:val="21"/>
                      <w:highlight w:val="none"/>
                    </w:rPr>
                    <w:t>g</w:t>
                  </w:r>
                  <w:r>
                    <w:rPr>
                      <w:rFonts w:hint="default"/>
                      <w:color w:val="auto"/>
                      <w:szCs w:val="21"/>
                      <w:highlight w:val="none"/>
                    </w:rPr>
                    <w:t>/m</w:t>
                  </w:r>
                  <w:r>
                    <w:rPr>
                      <w:rFonts w:hint="default"/>
                      <w:color w:val="auto"/>
                      <w:szCs w:val="21"/>
                      <w:highlight w:val="none"/>
                      <w:vertAlign w:val="superscript"/>
                    </w:rPr>
                    <w:t>3</w:t>
                  </w:r>
                  <w:r>
                    <w:rPr>
                      <w:rFonts w:hint="eastAsia"/>
                      <w:color w:val="auto"/>
                      <w:szCs w:val="21"/>
                      <w:highlight w:val="none"/>
                      <w:lang w:eastAsia="zh-CN"/>
                    </w:rPr>
                    <w:t>）</w:t>
                  </w:r>
                </w:p>
              </w:tc>
              <w:tc>
                <w:tcPr>
                  <w:tcW w:w="0" w:type="auto"/>
                  <w:tcBorders>
                    <w:tl2br w:val="nil"/>
                    <w:tr2bl w:val="nil"/>
                  </w:tcBorders>
                  <w:noWrap w:val="0"/>
                  <w:vAlign w:val="center"/>
                </w:tcPr>
                <w:p w14:paraId="03EEFD2F">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占</w:t>
                  </w:r>
                  <w:r>
                    <w:rPr>
                      <w:rFonts w:hint="default"/>
                      <w:color w:val="auto"/>
                      <w:szCs w:val="21"/>
                      <w:highlight w:val="none"/>
                    </w:rPr>
                    <w:t>标率（%）</w:t>
                  </w:r>
                </w:p>
              </w:tc>
              <w:tc>
                <w:tcPr>
                  <w:tcW w:w="0" w:type="auto"/>
                  <w:tcBorders>
                    <w:tl2br w:val="nil"/>
                    <w:tr2bl w:val="nil"/>
                  </w:tcBorders>
                  <w:noWrap w:val="0"/>
                  <w:vAlign w:val="center"/>
                </w:tcPr>
                <w:p w14:paraId="6F594867">
                  <w:pPr>
                    <w:keepNext w:val="0"/>
                    <w:keepLines w:val="0"/>
                    <w:suppressLineNumbers w:val="0"/>
                    <w:spacing w:before="0" w:beforeAutospacing="0" w:after="0" w:afterAutospacing="0"/>
                    <w:ind w:left="0" w:right="0"/>
                    <w:jc w:val="center"/>
                    <w:rPr>
                      <w:rFonts w:hint="default"/>
                      <w:color w:val="auto"/>
                      <w:szCs w:val="21"/>
                      <w:highlight w:val="none"/>
                    </w:rPr>
                  </w:pPr>
                  <w:r>
                    <w:rPr>
                      <w:rFonts w:hint="default"/>
                      <w:color w:val="auto"/>
                      <w:szCs w:val="21"/>
                      <w:highlight w:val="none"/>
                    </w:rPr>
                    <w:t>超标率（%）</w:t>
                  </w:r>
                </w:p>
              </w:tc>
              <w:tc>
                <w:tcPr>
                  <w:tcW w:w="0" w:type="auto"/>
                  <w:tcBorders>
                    <w:tl2br w:val="nil"/>
                    <w:tr2bl w:val="nil"/>
                  </w:tcBorders>
                  <w:noWrap w:val="0"/>
                  <w:vAlign w:val="center"/>
                </w:tcPr>
                <w:p w14:paraId="4E56D5A1">
                  <w:pPr>
                    <w:keepNext w:val="0"/>
                    <w:keepLines w:val="0"/>
                    <w:suppressLineNumbers w:val="0"/>
                    <w:spacing w:before="0" w:beforeAutospacing="0" w:after="0" w:afterAutospacing="0"/>
                    <w:ind w:left="0" w:right="0"/>
                    <w:jc w:val="center"/>
                    <w:rPr>
                      <w:rFonts w:hint="default"/>
                      <w:color w:val="auto"/>
                      <w:szCs w:val="21"/>
                      <w:highlight w:val="none"/>
                    </w:rPr>
                  </w:pPr>
                  <w:r>
                    <w:rPr>
                      <w:rFonts w:hint="default"/>
                      <w:color w:val="auto"/>
                      <w:szCs w:val="21"/>
                      <w:highlight w:val="none"/>
                    </w:rPr>
                    <w:t>达标情况</w:t>
                  </w:r>
                </w:p>
              </w:tc>
            </w:tr>
            <w:tr w14:paraId="0AFB15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0" w:type="auto"/>
                  <w:tcBorders>
                    <w:tl2br w:val="nil"/>
                    <w:tr2bl w:val="nil"/>
                  </w:tcBorders>
                  <w:noWrap w:val="0"/>
                  <w:vAlign w:val="center"/>
                </w:tcPr>
                <w:p w14:paraId="1CCCE193">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非甲烷总烃</w:t>
                  </w:r>
                </w:p>
              </w:tc>
              <w:tc>
                <w:tcPr>
                  <w:tcW w:w="0" w:type="auto"/>
                  <w:tcBorders>
                    <w:tl2br w:val="nil"/>
                    <w:tr2bl w:val="nil"/>
                  </w:tcBorders>
                  <w:noWrap w:val="0"/>
                  <w:vAlign w:val="center"/>
                </w:tcPr>
                <w:p w14:paraId="0AEB0888">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小时值</w:t>
                  </w:r>
                </w:p>
              </w:tc>
              <w:tc>
                <w:tcPr>
                  <w:tcW w:w="0" w:type="auto"/>
                  <w:tcBorders>
                    <w:tl2br w:val="nil"/>
                    <w:tr2bl w:val="nil"/>
                  </w:tcBorders>
                  <w:noWrap w:val="0"/>
                  <w:vAlign w:val="center"/>
                </w:tcPr>
                <w:p w14:paraId="2B17AFD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default" w:ascii="Times New Roman" w:hAnsi="Times New Roman" w:eastAsia="宋体" w:cs="Times New Roman"/>
                      <w:b w:val="0"/>
                      <w:bCs w:val="0"/>
                      <w:i w:val="0"/>
                      <w:color w:val="auto"/>
                      <w:kern w:val="2"/>
                      <w:sz w:val="21"/>
                      <w:szCs w:val="21"/>
                      <w:highlight w:val="none"/>
                      <w:u w:val="none"/>
                      <w:lang w:val="en-US" w:eastAsia="zh-CN" w:bidi="ar-SA"/>
                    </w:rPr>
                  </w:pPr>
                  <w:r>
                    <w:rPr>
                      <w:rFonts w:hint="eastAsia" w:ascii="Times New Roman" w:hAnsi="Times New Roman" w:eastAsia="宋体" w:cs="Times New Roman"/>
                      <w:b w:val="0"/>
                      <w:bCs w:val="0"/>
                      <w:i w:val="0"/>
                      <w:color w:val="auto"/>
                      <w:sz w:val="21"/>
                      <w:szCs w:val="21"/>
                      <w:highlight w:val="none"/>
                      <w:u w:val="none"/>
                      <w:lang w:val="en-US" w:eastAsia="zh-CN"/>
                    </w:rPr>
                    <w:t>80-450</w:t>
                  </w:r>
                </w:p>
              </w:tc>
              <w:tc>
                <w:tcPr>
                  <w:tcW w:w="0" w:type="auto"/>
                  <w:tcBorders>
                    <w:tl2br w:val="nil"/>
                    <w:tr2bl w:val="nil"/>
                  </w:tcBorders>
                  <w:noWrap w:val="0"/>
                  <w:vAlign w:val="center"/>
                </w:tcPr>
                <w:p w14:paraId="7FF7E659">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2</w:t>
                  </w:r>
                  <w:r>
                    <w:rPr>
                      <w:rFonts w:hint="default"/>
                      <w:color w:val="auto"/>
                      <w:szCs w:val="21"/>
                      <w:highlight w:val="none"/>
                    </w:rPr>
                    <w:t>000</w:t>
                  </w:r>
                </w:p>
              </w:tc>
              <w:tc>
                <w:tcPr>
                  <w:tcW w:w="0" w:type="auto"/>
                  <w:tcBorders>
                    <w:tl2br w:val="nil"/>
                    <w:tr2bl w:val="nil"/>
                  </w:tcBorders>
                  <w:noWrap w:val="0"/>
                  <w:vAlign w:val="center"/>
                </w:tcPr>
                <w:p w14:paraId="5F97E672">
                  <w:pPr>
                    <w:keepNext w:val="0"/>
                    <w:keepLines w:val="0"/>
                    <w:suppressLineNumbers w:val="0"/>
                    <w:spacing w:before="0" w:beforeAutospacing="0" w:after="0" w:afterAutospacing="0"/>
                    <w:ind w:left="0" w:right="0"/>
                    <w:jc w:val="center"/>
                    <w:rPr>
                      <w:rFonts w:hint="default" w:eastAsia="宋体"/>
                      <w:color w:val="auto"/>
                      <w:kern w:val="0"/>
                      <w:szCs w:val="21"/>
                      <w:highlight w:val="none"/>
                      <w:lang w:val="en-US" w:eastAsia="zh-CN" w:bidi="ar"/>
                    </w:rPr>
                  </w:pPr>
                  <w:r>
                    <w:rPr>
                      <w:rFonts w:hint="eastAsia" w:eastAsia="宋体"/>
                      <w:color w:val="auto"/>
                      <w:kern w:val="0"/>
                      <w:szCs w:val="21"/>
                      <w:highlight w:val="none"/>
                      <w:lang w:val="en-US" w:eastAsia="zh-CN" w:bidi="ar"/>
                    </w:rPr>
                    <w:t>4-22.5</w:t>
                  </w:r>
                </w:p>
              </w:tc>
              <w:tc>
                <w:tcPr>
                  <w:tcW w:w="0" w:type="auto"/>
                  <w:tcBorders>
                    <w:tl2br w:val="nil"/>
                    <w:tr2bl w:val="nil"/>
                  </w:tcBorders>
                  <w:noWrap w:val="0"/>
                  <w:vAlign w:val="center"/>
                </w:tcPr>
                <w:p w14:paraId="32FC52B9">
                  <w:pPr>
                    <w:keepNext w:val="0"/>
                    <w:keepLines w:val="0"/>
                    <w:suppressLineNumbers w:val="0"/>
                    <w:spacing w:before="0" w:beforeAutospacing="0" w:after="0" w:afterAutospacing="0"/>
                    <w:ind w:left="0" w:right="0"/>
                    <w:jc w:val="center"/>
                    <w:rPr>
                      <w:rFonts w:hint="default"/>
                      <w:color w:val="auto"/>
                      <w:szCs w:val="21"/>
                      <w:highlight w:val="none"/>
                    </w:rPr>
                  </w:pPr>
                  <w:r>
                    <w:rPr>
                      <w:rFonts w:hint="eastAsia"/>
                      <w:color w:val="auto"/>
                      <w:szCs w:val="21"/>
                      <w:highlight w:val="none"/>
                    </w:rPr>
                    <w:t>0</w:t>
                  </w:r>
                </w:p>
              </w:tc>
              <w:tc>
                <w:tcPr>
                  <w:tcW w:w="0" w:type="auto"/>
                  <w:tcBorders>
                    <w:tl2br w:val="nil"/>
                    <w:tr2bl w:val="nil"/>
                  </w:tcBorders>
                  <w:noWrap w:val="0"/>
                  <w:vAlign w:val="center"/>
                </w:tcPr>
                <w:p w14:paraId="6AC83118">
                  <w:pPr>
                    <w:keepNext w:val="0"/>
                    <w:keepLines w:val="0"/>
                    <w:suppressLineNumbers w:val="0"/>
                    <w:spacing w:before="0" w:beforeAutospacing="0" w:after="0" w:afterAutospacing="0"/>
                    <w:ind w:left="0" w:right="0"/>
                    <w:jc w:val="center"/>
                    <w:rPr>
                      <w:rFonts w:hint="default"/>
                      <w:color w:val="auto"/>
                      <w:szCs w:val="21"/>
                      <w:highlight w:val="none"/>
                    </w:rPr>
                  </w:pPr>
                  <w:r>
                    <w:rPr>
                      <w:rFonts w:hint="default"/>
                      <w:color w:val="auto"/>
                      <w:szCs w:val="21"/>
                      <w:highlight w:val="none"/>
                    </w:rPr>
                    <w:t>达标</w:t>
                  </w:r>
                </w:p>
              </w:tc>
            </w:tr>
            <w:tr w14:paraId="432071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0" w:hRule="atLeast"/>
                <w:jc w:val="center"/>
              </w:trPr>
              <w:tc>
                <w:tcPr>
                  <w:tcW w:w="0" w:type="auto"/>
                  <w:tcBorders>
                    <w:tl2br w:val="nil"/>
                    <w:tr2bl w:val="nil"/>
                  </w:tcBorders>
                  <w:noWrap w:val="0"/>
                  <w:vAlign w:val="center"/>
                </w:tcPr>
                <w:p w14:paraId="59E763B4">
                  <w:pPr>
                    <w:keepNext w:val="0"/>
                    <w:keepLines w:val="0"/>
                    <w:suppressLineNumbers w:val="0"/>
                    <w:spacing w:before="0" w:beforeAutospacing="0" w:after="0" w:afterAutospacing="0"/>
                    <w:ind w:left="0" w:right="0"/>
                    <w:jc w:val="center"/>
                    <w:rPr>
                      <w:rFonts w:hint="eastAsia" w:eastAsia="宋体"/>
                      <w:color w:val="auto"/>
                      <w:szCs w:val="21"/>
                      <w:highlight w:val="none"/>
                      <w:lang w:eastAsia="zh-CN"/>
                    </w:rPr>
                  </w:pPr>
                  <w:r>
                    <w:rPr>
                      <w:rFonts w:hint="eastAsia" w:ascii="Times New Roman" w:hAnsi="Times New Roman" w:eastAsia="宋体" w:cs="Times New Roman"/>
                      <w:color w:val="auto"/>
                      <w:sz w:val="21"/>
                      <w:szCs w:val="21"/>
                      <w:highlight w:val="none"/>
                      <w:lang w:val="en-US" w:eastAsia="zh-CN"/>
                    </w:rPr>
                    <w:t>TSP</w:t>
                  </w:r>
                </w:p>
              </w:tc>
              <w:tc>
                <w:tcPr>
                  <w:tcW w:w="0" w:type="auto"/>
                  <w:tcBorders>
                    <w:tl2br w:val="nil"/>
                    <w:tr2bl w:val="nil"/>
                  </w:tcBorders>
                  <w:noWrap w:val="0"/>
                  <w:vAlign w:val="center"/>
                </w:tcPr>
                <w:p w14:paraId="08A33DBE">
                  <w:pPr>
                    <w:keepNext w:val="0"/>
                    <w:keepLines w:val="0"/>
                    <w:suppressLineNumbers w:val="0"/>
                    <w:spacing w:before="0" w:beforeAutospacing="0" w:after="0" w:afterAutospacing="0"/>
                    <w:ind w:left="0" w:right="0"/>
                    <w:jc w:val="center"/>
                    <w:rPr>
                      <w:rFonts w:hint="eastAsia" w:eastAsia="宋体"/>
                      <w:color w:val="auto"/>
                      <w:szCs w:val="21"/>
                      <w:highlight w:val="none"/>
                      <w:lang w:eastAsia="zh-CN"/>
                    </w:rPr>
                  </w:pPr>
                  <w:r>
                    <w:rPr>
                      <w:rFonts w:hint="eastAsia" w:ascii="Times New Roman" w:hAnsi="Times New Roman" w:eastAsia="宋体" w:cs="Times New Roman"/>
                      <w:b w:val="0"/>
                      <w:bCs w:val="0"/>
                      <w:i w:val="0"/>
                      <w:color w:val="auto"/>
                      <w:sz w:val="21"/>
                      <w:szCs w:val="21"/>
                      <w:highlight w:val="none"/>
                      <w:u w:val="none"/>
                      <w:lang w:eastAsia="zh-CN"/>
                    </w:rPr>
                    <w:t>日均值</w:t>
                  </w:r>
                </w:p>
              </w:tc>
              <w:tc>
                <w:tcPr>
                  <w:tcW w:w="0" w:type="auto"/>
                  <w:tcBorders>
                    <w:tl2br w:val="nil"/>
                    <w:tr2bl w:val="nil"/>
                  </w:tcBorders>
                  <w:noWrap w:val="0"/>
                  <w:vAlign w:val="center"/>
                </w:tcPr>
                <w:p w14:paraId="2FC19C3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center"/>
                    <w:rPr>
                      <w:rFonts w:hint="eastAsia" w:ascii="Times New Roman" w:hAnsi="Times New Roman" w:eastAsia="宋体" w:cs="Times New Roman"/>
                      <w:b w:val="0"/>
                      <w:bCs w:val="0"/>
                      <w:i w:val="0"/>
                      <w:color w:val="auto"/>
                      <w:kern w:val="2"/>
                      <w:sz w:val="21"/>
                      <w:szCs w:val="21"/>
                      <w:highlight w:val="none"/>
                      <w:u w:val="none"/>
                      <w:lang w:val="en-US" w:eastAsia="zh-CN" w:bidi="ar-SA"/>
                    </w:rPr>
                  </w:pPr>
                  <w:r>
                    <w:rPr>
                      <w:rFonts w:hint="eastAsia" w:ascii="Times New Roman" w:hAnsi="Times New Roman" w:eastAsia="宋体" w:cs="Times New Roman"/>
                      <w:b w:val="0"/>
                      <w:bCs w:val="0"/>
                      <w:color w:val="auto"/>
                      <w:kern w:val="2"/>
                      <w:sz w:val="21"/>
                      <w:szCs w:val="21"/>
                      <w:highlight w:val="none"/>
                      <w:lang w:val="en-US" w:eastAsia="zh-CN" w:bidi="ar-SA"/>
                    </w:rPr>
                    <w:t>104-128</w:t>
                  </w:r>
                </w:p>
              </w:tc>
              <w:tc>
                <w:tcPr>
                  <w:tcW w:w="0" w:type="auto"/>
                  <w:tcBorders>
                    <w:tl2br w:val="nil"/>
                    <w:tr2bl w:val="nil"/>
                  </w:tcBorders>
                  <w:noWrap w:val="0"/>
                  <w:vAlign w:val="center"/>
                </w:tcPr>
                <w:p w14:paraId="70807512">
                  <w:pPr>
                    <w:keepNext w:val="0"/>
                    <w:keepLines w:val="0"/>
                    <w:suppressLineNumbers w:val="0"/>
                    <w:spacing w:before="0" w:beforeAutospacing="0" w:after="0" w:afterAutospacing="0"/>
                    <w:ind w:left="0" w:right="0"/>
                    <w:jc w:val="center"/>
                    <w:rPr>
                      <w:rFonts w:hint="default"/>
                      <w:color w:val="auto"/>
                      <w:szCs w:val="21"/>
                      <w:highlight w:val="none"/>
                      <w:lang w:val="en-US"/>
                    </w:rPr>
                  </w:pPr>
                  <w:r>
                    <w:rPr>
                      <w:rFonts w:hint="eastAsia" w:ascii="Times New Roman" w:hAnsi="Times New Roman" w:eastAsia="宋体" w:cs="Times New Roman"/>
                      <w:b w:val="0"/>
                      <w:bCs w:val="0"/>
                      <w:i w:val="0"/>
                      <w:color w:val="auto"/>
                      <w:sz w:val="21"/>
                      <w:szCs w:val="21"/>
                      <w:highlight w:val="none"/>
                      <w:u w:val="none"/>
                      <w:lang w:val="en-US" w:eastAsia="zh-CN"/>
                    </w:rPr>
                    <w:t>300</w:t>
                  </w:r>
                </w:p>
              </w:tc>
              <w:tc>
                <w:tcPr>
                  <w:tcW w:w="0" w:type="auto"/>
                  <w:tcBorders>
                    <w:tl2br w:val="nil"/>
                    <w:tr2bl w:val="nil"/>
                  </w:tcBorders>
                  <w:noWrap w:val="0"/>
                  <w:vAlign w:val="center"/>
                </w:tcPr>
                <w:p w14:paraId="68643A98">
                  <w:pPr>
                    <w:keepNext w:val="0"/>
                    <w:keepLines w:val="0"/>
                    <w:suppressLineNumbers w:val="0"/>
                    <w:spacing w:before="0" w:beforeAutospacing="0" w:after="0" w:afterAutospacing="0"/>
                    <w:ind w:left="0" w:right="0"/>
                    <w:jc w:val="center"/>
                    <w:rPr>
                      <w:rFonts w:hint="default"/>
                      <w:color w:val="auto"/>
                      <w:kern w:val="0"/>
                      <w:szCs w:val="21"/>
                      <w:highlight w:val="none"/>
                      <w:lang w:val="en-US" w:eastAsia="zh-CN" w:bidi="ar"/>
                    </w:rPr>
                  </w:pPr>
                  <w:r>
                    <w:rPr>
                      <w:rFonts w:hint="eastAsia"/>
                      <w:color w:val="auto"/>
                      <w:kern w:val="0"/>
                      <w:szCs w:val="21"/>
                      <w:highlight w:val="none"/>
                      <w:lang w:val="en-US" w:eastAsia="zh-CN" w:bidi="ar"/>
                    </w:rPr>
                    <w:t>34.7-42.7</w:t>
                  </w:r>
                </w:p>
              </w:tc>
              <w:tc>
                <w:tcPr>
                  <w:tcW w:w="0" w:type="auto"/>
                  <w:tcBorders>
                    <w:tl2br w:val="nil"/>
                    <w:tr2bl w:val="nil"/>
                  </w:tcBorders>
                  <w:noWrap w:val="0"/>
                  <w:vAlign w:val="center"/>
                </w:tcPr>
                <w:p w14:paraId="3C495254">
                  <w:pPr>
                    <w:keepNext w:val="0"/>
                    <w:keepLines w:val="0"/>
                    <w:suppressLineNumbers w:val="0"/>
                    <w:spacing w:before="0" w:beforeAutospacing="0" w:after="0" w:afterAutospacing="0"/>
                    <w:ind w:left="0" w:right="0"/>
                    <w:jc w:val="center"/>
                    <w:rPr>
                      <w:rFonts w:hint="eastAsia" w:eastAsia="宋体"/>
                      <w:color w:val="auto"/>
                      <w:szCs w:val="21"/>
                      <w:highlight w:val="none"/>
                      <w:lang w:val="en-US" w:eastAsia="zh-CN"/>
                    </w:rPr>
                  </w:pPr>
                  <w:r>
                    <w:rPr>
                      <w:rFonts w:hint="eastAsia"/>
                      <w:color w:val="auto"/>
                      <w:szCs w:val="21"/>
                      <w:highlight w:val="none"/>
                      <w:lang w:val="en-US" w:eastAsia="zh-CN"/>
                    </w:rPr>
                    <w:t>0</w:t>
                  </w:r>
                </w:p>
              </w:tc>
              <w:tc>
                <w:tcPr>
                  <w:tcW w:w="0" w:type="auto"/>
                  <w:tcBorders>
                    <w:tl2br w:val="nil"/>
                    <w:tr2bl w:val="nil"/>
                  </w:tcBorders>
                  <w:noWrap w:val="0"/>
                  <w:vAlign w:val="center"/>
                </w:tcPr>
                <w:p w14:paraId="58F9FB90">
                  <w:pPr>
                    <w:keepNext w:val="0"/>
                    <w:keepLines w:val="0"/>
                    <w:suppressLineNumbers w:val="0"/>
                    <w:spacing w:before="0" w:beforeAutospacing="0" w:after="0" w:afterAutospacing="0"/>
                    <w:ind w:left="0" w:right="0"/>
                    <w:jc w:val="center"/>
                    <w:rPr>
                      <w:rFonts w:hint="default"/>
                      <w:color w:val="auto"/>
                      <w:szCs w:val="21"/>
                      <w:highlight w:val="none"/>
                    </w:rPr>
                  </w:pPr>
                  <w:r>
                    <w:rPr>
                      <w:rFonts w:hint="default"/>
                      <w:color w:val="auto"/>
                      <w:szCs w:val="21"/>
                      <w:highlight w:val="none"/>
                    </w:rPr>
                    <w:t>达标</w:t>
                  </w:r>
                </w:p>
              </w:tc>
            </w:tr>
          </w:tbl>
          <w:p w14:paraId="64288266">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32"/>
                <w:highlight w:val="none"/>
                <w:lang w:val="en-US" w:eastAsia="zh-CN"/>
              </w:rPr>
            </w:pPr>
            <w:r>
              <w:rPr>
                <w:rFonts w:hint="eastAsia" w:ascii="Times New Roman" w:hAnsi="Times New Roman" w:cs="Times New Roman"/>
                <w:color w:val="auto"/>
                <w:sz w:val="24"/>
                <w:szCs w:val="24"/>
                <w:highlight w:val="none"/>
                <w:lang w:val="zh-CN"/>
              </w:rPr>
              <w:t>由</w:t>
            </w:r>
            <w:r>
              <w:rPr>
                <w:rFonts w:hint="default" w:ascii="Times New Roman" w:hAnsi="Times New Roman" w:cs="Times New Roman"/>
                <w:color w:val="auto"/>
                <w:sz w:val="24"/>
                <w:szCs w:val="24"/>
                <w:highlight w:val="none"/>
                <w:lang w:val="zh-CN"/>
              </w:rPr>
              <w:t>引用监测数据可知，</w:t>
            </w:r>
            <w:r>
              <w:rPr>
                <w:rFonts w:hint="eastAsia" w:ascii="Times New Roman" w:hAnsi="Times New Roman" w:eastAsia="宋体" w:cs="Times New Roman"/>
                <w:color w:val="auto"/>
                <w:sz w:val="24"/>
                <w:szCs w:val="24"/>
                <w:highlight w:val="none"/>
                <w:shd w:val="clear" w:color="auto" w:fill="auto"/>
                <w:lang w:val="en-US" w:eastAsia="zh-CN"/>
              </w:rPr>
              <w:t>本项目区域内TSP</w:t>
            </w:r>
            <w:r>
              <w:rPr>
                <w:rFonts w:hint="eastAsia" w:ascii="Times New Roman" w:hAnsi="Times New Roman" w:cs="Times New Roman"/>
                <w:b w:val="0"/>
                <w:bCs w:val="0"/>
                <w:color w:val="auto"/>
                <w:sz w:val="24"/>
                <w:szCs w:val="24"/>
                <w:highlight w:val="none"/>
                <w:lang w:val="en-US" w:eastAsia="zh-CN"/>
              </w:rPr>
              <w:t>浓度监测值满足</w:t>
            </w:r>
            <w:r>
              <w:rPr>
                <w:rFonts w:hint="default" w:ascii="Times New Roman" w:hAnsi="Times New Roman" w:cs="Times New Roman"/>
                <w:b w:val="0"/>
                <w:bCs w:val="0"/>
                <w:color w:val="auto"/>
                <w:sz w:val="24"/>
                <w:szCs w:val="24"/>
                <w:highlight w:val="none"/>
              </w:rPr>
              <w:t>《</w:t>
            </w:r>
            <w:r>
              <w:rPr>
                <w:rFonts w:hint="default" w:ascii="Times New Roman" w:hAnsi="Times New Roman" w:cs="Times New Roman"/>
                <w:b w:val="0"/>
                <w:bCs w:val="0"/>
                <w:color w:val="auto"/>
                <w:sz w:val="24"/>
                <w:szCs w:val="24"/>
                <w:highlight w:val="none"/>
                <w:lang w:eastAsia="zh-CN"/>
              </w:rPr>
              <w:t>环境空气质量标准</w:t>
            </w:r>
            <w:r>
              <w:rPr>
                <w:rFonts w:hint="default" w:ascii="Times New Roman" w:hAnsi="Times New Roman" w:cs="Times New Roman"/>
                <w:b w:val="0"/>
                <w:bCs w:val="0"/>
                <w:color w:val="auto"/>
                <w:sz w:val="24"/>
                <w:szCs w:val="24"/>
                <w:highlight w:val="none"/>
              </w:rPr>
              <w:t>》（</w:t>
            </w:r>
            <w:r>
              <w:rPr>
                <w:rFonts w:hint="default" w:ascii="Times New Roman" w:hAnsi="Times New Roman" w:cs="Times New Roman"/>
                <w:b w:val="0"/>
                <w:bCs w:val="0"/>
                <w:color w:val="auto"/>
                <w:sz w:val="24"/>
                <w:szCs w:val="24"/>
                <w:highlight w:val="none"/>
                <w:lang w:val="en-US" w:eastAsia="zh-CN"/>
              </w:rPr>
              <w:t>GB3095-2012</w:t>
            </w:r>
            <w:r>
              <w:rPr>
                <w:rFonts w:hint="default" w:ascii="Times New Roman" w:hAnsi="Times New Roman" w:cs="Times New Roman"/>
                <w:b w:val="0"/>
                <w:bCs w:val="0"/>
                <w:color w:val="auto"/>
                <w:sz w:val="24"/>
                <w:szCs w:val="24"/>
                <w:highlight w:val="none"/>
              </w:rPr>
              <w:t>）</w:t>
            </w:r>
            <w:r>
              <w:rPr>
                <w:rFonts w:hint="eastAsia" w:ascii="Times New Roman" w:hAnsi="Times New Roman" w:cs="Times New Roman"/>
                <w:b w:val="0"/>
                <w:bCs w:val="0"/>
                <w:color w:val="auto"/>
                <w:sz w:val="24"/>
                <w:szCs w:val="24"/>
                <w:highlight w:val="none"/>
                <w:lang w:eastAsia="zh-CN"/>
              </w:rPr>
              <w:t>表</w:t>
            </w:r>
            <w:r>
              <w:rPr>
                <w:rFonts w:hint="eastAsia" w:ascii="Times New Roman" w:hAnsi="Times New Roman" w:cs="Times New Roman"/>
                <w:b w:val="0"/>
                <w:bCs w:val="0"/>
                <w:color w:val="auto"/>
                <w:sz w:val="24"/>
                <w:szCs w:val="24"/>
                <w:highlight w:val="none"/>
                <w:lang w:val="en-US" w:eastAsia="zh-CN"/>
              </w:rPr>
              <w:t>2中</w:t>
            </w:r>
            <w:r>
              <w:rPr>
                <w:rFonts w:hint="eastAsia" w:ascii="Times New Roman" w:hAnsi="Times New Roman" w:eastAsia="宋体" w:cs="Times New Roman"/>
                <w:color w:val="auto"/>
                <w:sz w:val="24"/>
                <w:szCs w:val="24"/>
                <w:highlight w:val="none"/>
                <w:shd w:val="clear" w:color="auto" w:fill="auto"/>
                <w:lang w:val="en-US" w:eastAsia="zh-CN"/>
              </w:rPr>
              <w:t>TSP日</w:t>
            </w:r>
            <w:r>
              <w:rPr>
                <w:rFonts w:hint="eastAsia"/>
                <w:color w:val="auto"/>
                <w:sz w:val="24"/>
                <w:szCs w:val="24"/>
                <w:highlight w:val="none"/>
              </w:rPr>
              <w:t>均</w:t>
            </w:r>
            <w:r>
              <w:rPr>
                <w:rFonts w:hint="eastAsia"/>
                <w:color w:val="auto"/>
                <w:sz w:val="24"/>
                <w:szCs w:val="24"/>
                <w:highlight w:val="none"/>
                <w:lang w:eastAsia="zh-CN"/>
              </w:rPr>
              <w:t>值</w:t>
            </w:r>
            <w:r>
              <w:rPr>
                <w:rFonts w:hint="eastAsia" w:ascii="Times New Roman" w:hAnsi="Times New Roman" w:eastAsia="宋体" w:cs="Times New Roman"/>
                <w:color w:val="auto"/>
                <w:sz w:val="24"/>
                <w:szCs w:val="24"/>
                <w:highlight w:val="none"/>
                <w:shd w:val="clear" w:color="auto" w:fill="auto"/>
                <w:lang w:val="en-US" w:eastAsia="zh-CN"/>
              </w:rPr>
              <w:t>300</w:t>
            </w:r>
            <w:r>
              <w:rPr>
                <w:rFonts w:hint="default" w:ascii="Times New Roman" w:hAnsi="Times New Roman" w:eastAsia="宋体" w:cs="Times New Roman"/>
                <w:color w:val="auto"/>
                <w:sz w:val="21"/>
                <w:szCs w:val="21"/>
                <w:highlight w:val="none"/>
              </w:rPr>
              <w:t>μ</w:t>
            </w:r>
            <w:r>
              <w:rPr>
                <w:rFonts w:hint="default" w:ascii="Times New Roman" w:hAnsi="Times New Roman" w:eastAsia="宋体" w:cs="Times New Roman"/>
                <w:color w:val="auto"/>
                <w:sz w:val="24"/>
                <w:szCs w:val="24"/>
                <w:highlight w:val="none"/>
                <w:shd w:val="clear" w:color="auto" w:fill="auto"/>
                <w:lang w:val="en-US" w:eastAsia="zh-CN"/>
              </w:rPr>
              <w:t>g/m</w:t>
            </w:r>
            <w:r>
              <w:rPr>
                <w:rFonts w:hint="default" w:ascii="Times New Roman" w:hAnsi="Times New Roman" w:eastAsia="宋体" w:cs="Times New Roman"/>
                <w:color w:val="auto"/>
                <w:sz w:val="24"/>
                <w:szCs w:val="24"/>
                <w:highlight w:val="none"/>
                <w:shd w:val="clear" w:color="auto" w:fill="auto"/>
                <w:vertAlign w:val="superscript"/>
                <w:lang w:val="en-US" w:eastAsia="zh-CN"/>
              </w:rPr>
              <w:t>3</w:t>
            </w:r>
            <w:r>
              <w:rPr>
                <w:rFonts w:hint="eastAsia" w:ascii="Times New Roman" w:hAnsi="Times New Roman" w:eastAsia="宋体" w:cs="Times New Roman"/>
                <w:color w:val="auto"/>
                <w:sz w:val="24"/>
                <w:szCs w:val="24"/>
                <w:highlight w:val="none"/>
                <w:shd w:val="clear" w:color="auto" w:fill="auto"/>
                <w:vertAlign w:val="baseline"/>
                <w:lang w:val="en-US" w:eastAsia="zh-CN"/>
              </w:rPr>
              <w:t>，</w:t>
            </w:r>
            <w:r>
              <w:rPr>
                <w:rFonts w:hint="default" w:ascii="Times New Roman" w:hAnsi="Times New Roman" w:eastAsia="宋体" w:cs="Times New Roman"/>
                <w:color w:val="auto"/>
                <w:sz w:val="24"/>
                <w:szCs w:val="24"/>
                <w:highlight w:val="none"/>
                <w:lang w:val="en-US" w:eastAsia="zh-CN"/>
              </w:rPr>
              <w:t>非甲烷总烃</w:t>
            </w:r>
            <w:r>
              <w:rPr>
                <w:rFonts w:hint="eastAsia" w:ascii="Times New Roman" w:hAnsi="Times New Roman" w:eastAsia="宋体" w:cs="Times New Roman"/>
                <w:color w:val="auto"/>
                <w:sz w:val="24"/>
                <w:szCs w:val="24"/>
                <w:highlight w:val="none"/>
                <w:shd w:val="clear" w:color="auto" w:fill="auto"/>
                <w:lang w:val="en-US" w:eastAsia="zh-CN"/>
              </w:rPr>
              <w:t>浓度监测值满足《大气污染物综合排放标准详解》中建议执行的浓度限值要求，即非甲烷总烃</w:t>
            </w:r>
            <w:r>
              <w:rPr>
                <w:rFonts w:hint="default" w:ascii="Times New Roman" w:hAnsi="Times New Roman" w:eastAsia="宋体" w:cs="Times New Roman"/>
                <w:color w:val="auto"/>
                <w:sz w:val="24"/>
                <w:szCs w:val="24"/>
                <w:highlight w:val="none"/>
                <w:shd w:val="clear" w:color="auto" w:fill="auto"/>
                <w:lang w:val="en-US" w:eastAsia="zh-CN"/>
              </w:rPr>
              <w:t>2</w:t>
            </w:r>
            <w:r>
              <w:rPr>
                <w:rFonts w:hint="eastAsia" w:ascii="Times New Roman" w:hAnsi="Times New Roman" w:eastAsia="宋体" w:cs="Times New Roman"/>
                <w:color w:val="auto"/>
                <w:sz w:val="24"/>
                <w:szCs w:val="24"/>
                <w:highlight w:val="none"/>
                <w:shd w:val="clear" w:color="auto" w:fill="auto"/>
                <w:lang w:val="en-US" w:eastAsia="zh-CN"/>
              </w:rPr>
              <w:t>00</w:t>
            </w:r>
            <w:r>
              <w:rPr>
                <w:rFonts w:hint="default" w:ascii="Times New Roman" w:hAnsi="Times New Roman" w:eastAsia="宋体" w:cs="Times New Roman"/>
                <w:color w:val="auto"/>
                <w:sz w:val="24"/>
                <w:szCs w:val="24"/>
                <w:highlight w:val="none"/>
                <w:shd w:val="clear" w:color="auto" w:fill="auto"/>
                <w:lang w:val="en-US" w:eastAsia="zh-CN"/>
              </w:rPr>
              <w:t>0</w:t>
            </w:r>
            <w:r>
              <w:rPr>
                <w:rFonts w:hint="default" w:ascii="Times New Roman" w:hAnsi="Times New Roman" w:eastAsia="宋体" w:cs="Times New Roman"/>
                <w:color w:val="auto"/>
                <w:sz w:val="24"/>
                <w:szCs w:val="24"/>
                <w:highlight w:val="none"/>
              </w:rPr>
              <w:t>μ</w:t>
            </w:r>
            <w:r>
              <w:rPr>
                <w:rFonts w:hint="default" w:ascii="Times New Roman" w:hAnsi="Times New Roman" w:eastAsia="宋体" w:cs="Times New Roman"/>
                <w:color w:val="auto"/>
                <w:sz w:val="24"/>
                <w:szCs w:val="24"/>
                <w:highlight w:val="none"/>
                <w:shd w:val="clear" w:color="auto" w:fill="auto"/>
                <w:lang w:val="en-US" w:eastAsia="zh-CN"/>
              </w:rPr>
              <w:t>g/m</w:t>
            </w:r>
            <w:r>
              <w:rPr>
                <w:rFonts w:hint="default" w:ascii="Times New Roman" w:hAnsi="Times New Roman" w:eastAsia="宋体" w:cs="Times New Roman"/>
                <w:color w:val="auto"/>
                <w:sz w:val="24"/>
                <w:szCs w:val="24"/>
                <w:highlight w:val="none"/>
                <w:shd w:val="clear" w:color="auto" w:fill="auto"/>
                <w:vertAlign w:val="superscript"/>
                <w:lang w:val="en-US" w:eastAsia="zh-CN"/>
              </w:rPr>
              <w:t>3</w:t>
            </w:r>
            <w:r>
              <w:rPr>
                <w:rFonts w:hint="eastAsia" w:ascii="Times New Roman" w:hAnsi="Times New Roman" w:eastAsia="宋体" w:cs="Times New Roman"/>
                <w:color w:val="auto"/>
                <w:sz w:val="24"/>
                <w:szCs w:val="24"/>
                <w:highlight w:val="none"/>
                <w:shd w:val="clear" w:color="auto" w:fill="auto"/>
                <w:lang w:val="en-US" w:eastAsia="zh-CN"/>
              </w:rPr>
              <w:t>。</w:t>
            </w:r>
          </w:p>
          <w:p w14:paraId="2FCB3DE9">
            <w:pPr>
              <w:keepNext w:val="0"/>
              <w:keepLines w:val="0"/>
              <w:widowControl/>
              <w:numPr>
                <w:ilvl w:val="0"/>
                <w:numId w:val="4"/>
              </w:numPr>
              <w:suppressLineNumbers w:val="0"/>
              <w:spacing w:before="0" w:beforeAutospacing="0" w:after="0" w:afterAutospacing="0" w:line="360" w:lineRule="auto"/>
              <w:ind w:left="0" w:right="0" w:firstLine="482" w:firstLineChars="200"/>
              <w:rPr>
                <w:rFonts w:hint="eastAsia" w:ascii="Times New Roman" w:hAnsi="Times New Roman" w:cs="Times New Roman"/>
                <w:b/>
                <w:color w:val="auto"/>
                <w:kern w:val="0"/>
                <w:sz w:val="24"/>
                <w:szCs w:val="20"/>
                <w:highlight w:val="none"/>
                <w:lang w:val="en-US" w:eastAsia="zh-CN"/>
              </w:rPr>
            </w:pPr>
            <w:r>
              <w:rPr>
                <w:rFonts w:hint="eastAsia" w:ascii="Times New Roman" w:hAnsi="Times New Roman" w:cs="Times New Roman"/>
                <w:b/>
                <w:color w:val="auto"/>
                <w:kern w:val="0"/>
                <w:sz w:val="24"/>
                <w:szCs w:val="20"/>
                <w:highlight w:val="none"/>
                <w:lang w:val="en-US" w:eastAsia="zh-CN"/>
              </w:rPr>
              <w:t>声环境质量现状</w:t>
            </w:r>
          </w:p>
          <w:p w14:paraId="4511B09A">
            <w:pPr>
              <w:pStyle w:val="4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ind w:left="0" w:right="0" w:firstLine="480" w:firstLineChars="200"/>
              <w:textAlignment w:val="auto"/>
              <w:rPr>
                <w:rFonts w:hint="default" w:cs="Times New Roman"/>
                <w:color w:val="auto"/>
                <w:highlight w:val="none"/>
                <w:lang w:val="en-US" w:eastAsia="zh-CN"/>
              </w:rPr>
            </w:pPr>
            <w:r>
              <w:rPr>
                <w:rFonts w:hint="default" w:ascii="Times New Roman" w:hAnsi="Times New Roman" w:eastAsia="宋体" w:cs="Times New Roman"/>
                <w:color w:val="auto"/>
                <w:kern w:val="2"/>
                <w:sz w:val="24"/>
                <w:szCs w:val="24"/>
                <w:highlight w:val="none"/>
                <w:lang w:val="en-US" w:eastAsia="zh-CN" w:bidi="ar-SA"/>
              </w:rPr>
              <w:t>本项目厂界外周边50m范围内不存在声环境保护目标，根据《建设项目环境影响报告表编制技术指南</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污染影响类</w:t>
            </w:r>
            <w:r>
              <w:rPr>
                <w:rFonts w:hint="eastAsia" w:ascii="Times New Roman" w:hAnsi="Times New Roman" w:eastAsia="宋体" w:cs="Times New Roman"/>
                <w:color w:val="auto"/>
                <w:kern w:val="2"/>
                <w:sz w:val="24"/>
                <w:szCs w:val="24"/>
                <w:highlight w:val="none"/>
                <w:lang w:val="en-US" w:eastAsia="zh-CN" w:bidi="ar-SA"/>
              </w:rPr>
              <w:t>）（试行）》</w:t>
            </w:r>
            <w:r>
              <w:rPr>
                <w:rFonts w:hint="default" w:ascii="Times New Roman" w:hAnsi="Times New Roman" w:eastAsia="宋体" w:cs="Times New Roman"/>
                <w:color w:val="auto"/>
                <w:kern w:val="2"/>
                <w:sz w:val="24"/>
                <w:szCs w:val="24"/>
                <w:highlight w:val="none"/>
                <w:lang w:val="en-US" w:eastAsia="zh-CN" w:bidi="ar-SA"/>
              </w:rPr>
              <w:t>中相关要求，可不进行声环境质量现状监测</w:t>
            </w:r>
            <w:r>
              <w:rPr>
                <w:rFonts w:hint="default" w:cs="Times New Roman"/>
                <w:color w:val="auto"/>
                <w:highlight w:val="none"/>
                <w:lang w:val="en-US" w:eastAsia="zh-CN"/>
              </w:rPr>
              <w:t>。</w:t>
            </w:r>
          </w:p>
          <w:p w14:paraId="15BFABB2">
            <w:pPr>
              <w:keepNext w:val="0"/>
              <w:keepLines w:val="0"/>
              <w:widowControl/>
              <w:suppressLineNumbers w:val="0"/>
              <w:spacing w:before="0" w:beforeAutospacing="0" w:after="0" w:afterAutospacing="0" w:line="360" w:lineRule="auto"/>
              <w:ind w:left="0" w:right="0" w:firstLine="482" w:firstLineChars="200"/>
              <w:rPr>
                <w:rFonts w:hint="default" w:ascii="Times New Roman" w:hAnsi="Times New Roman" w:eastAsia="宋体" w:cs="Times New Roman"/>
                <w:b/>
                <w:color w:val="auto"/>
                <w:kern w:val="0"/>
                <w:sz w:val="24"/>
                <w:szCs w:val="20"/>
                <w:highlight w:val="none"/>
                <w:lang w:val="en-US" w:eastAsia="zh-CN"/>
              </w:rPr>
            </w:pPr>
            <w:r>
              <w:rPr>
                <w:rFonts w:hint="eastAsia" w:ascii="Times New Roman" w:hAnsi="Times New Roman" w:cs="Times New Roman"/>
                <w:b/>
                <w:color w:val="auto"/>
                <w:kern w:val="0"/>
                <w:sz w:val="24"/>
                <w:szCs w:val="20"/>
                <w:highlight w:val="none"/>
                <w:lang w:val="en-US" w:eastAsia="zh-CN"/>
              </w:rPr>
              <w:t>3、地表水环境质量现状</w:t>
            </w:r>
          </w:p>
          <w:p w14:paraId="2720E2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根据辽宁省阜新市生态环境局发布的《“十四五”阜新市生态环境质量报告书》，</w:t>
            </w:r>
            <w:r>
              <w:rPr>
                <w:rFonts w:hint="default" w:ascii="Times New Roman" w:hAnsi="Times New Roman" w:eastAsia="宋体" w:cs="Times New Roman"/>
                <w:color w:val="auto"/>
                <w:sz w:val="24"/>
                <w:szCs w:val="24"/>
                <w:highlight w:val="none"/>
                <w:lang w:val="en-US" w:eastAsia="zh-CN"/>
              </w:rPr>
              <w:t>2025年细河高台子断面年均水质为</w:t>
            </w:r>
            <w:r>
              <w:rPr>
                <w:rFonts w:hint="eastAsia" w:cs="Times New Roman"/>
                <w:color w:val="auto"/>
                <w:sz w:val="24"/>
                <w:szCs w:val="24"/>
                <w:highlight w:val="none"/>
                <w:lang w:val="en-US" w:eastAsia="zh-CN"/>
              </w:rPr>
              <w:t>Ⅲ</w:t>
            </w:r>
            <w:r>
              <w:rPr>
                <w:rFonts w:hint="default" w:ascii="Times New Roman" w:hAnsi="Times New Roman" w:eastAsia="宋体" w:cs="Times New Roman"/>
                <w:color w:val="auto"/>
                <w:sz w:val="24"/>
                <w:szCs w:val="24"/>
                <w:highlight w:val="none"/>
                <w:lang w:val="en-US" w:eastAsia="zh-CN"/>
              </w:rPr>
              <w:t>类，水质状况为良好。各月水质在II~V类之间，其中有1个月水质为</w:t>
            </w:r>
            <w:r>
              <w:rPr>
                <w:rFonts w:hint="eastAsia" w:cs="Times New Roman"/>
                <w:color w:val="auto"/>
                <w:sz w:val="24"/>
                <w:szCs w:val="24"/>
                <w:highlight w:val="none"/>
                <w:lang w:val="en-US" w:eastAsia="zh-CN"/>
              </w:rPr>
              <w:t>Ⅱ类</w:t>
            </w:r>
            <w:r>
              <w:rPr>
                <w:rFonts w:hint="default" w:ascii="Times New Roman" w:hAnsi="Times New Roman" w:eastAsia="宋体" w:cs="Times New Roman"/>
                <w:color w:val="auto"/>
                <w:sz w:val="24"/>
                <w:szCs w:val="24"/>
                <w:highlight w:val="none"/>
                <w:lang w:val="en-US" w:eastAsia="zh-CN"/>
              </w:rPr>
              <w:t>、7个月为I类、3个月为</w:t>
            </w:r>
            <w:r>
              <w:rPr>
                <w:rFonts w:hint="eastAsia" w:cs="Times New Roman"/>
                <w:color w:val="auto"/>
                <w:sz w:val="24"/>
                <w:szCs w:val="24"/>
                <w:highlight w:val="none"/>
                <w:lang w:val="en-US" w:eastAsia="zh-CN"/>
              </w:rPr>
              <w:t>Ⅳ类</w:t>
            </w:r>
            <w:r>
              <w:rPr>
                <w:rFonts w:hint="default" w:ascii="Times New Roman" w:hAnsi="Times New Roman" w:eastAsia="宋体" w:cs="Times New Roman"/>
                <w:color w:val="auto"/>
                <w:sz w:val="24"/>
                <w:szCs w:val="24"/>
                <w:highlight w:val="none"/>
                <w:lang w:val="en-US" w:eastAsia="zh-CN"/>
              </w:rPr>
              <w:t>、1个月为V类</w:t>
            </w:r>
            <w:r>
              <w:rPr>
                <w:rFonts w:hint="eastAsia" w:cs="Times New Roman"/>
                <w:color w:val="auto"/>
                <w:sz w:val="24"/>
                <w:szCs w:val="24"/>
                <w:highlight w:val="none"/>
                <w:lang w:val="en-US" w:eastAsia="zh-CN"/>
              </w:rPr>
              <w:t>，主要污染物指标为化学需氧量、氨氮和氟化物。</w:t>
            </w:r>
          </w:p>
          <w:p w14:paraId="4C3A71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Times New Roman" w:hAnsi="Times New Roman" w:eastAsia="宋体" w:cs="Times New Roman"/>
                <w:color w:val="auto"/>
                <w:sz w:val="24"/>
                <w:szCs w:val="24"/>
                <w:highlight w:val="none"/>
                <w:lang w:val="en-US" w:eastAsia="zh-CN"/>
              </w:rPr>
            </w:pPr>
            <w:r>
              <w:rPr>
                <w:rFonts w:hint="default"/>
                <w:color w:val="auto"/>
              </w:rPr>
              <w:pict>
                <v:shape id="_x0000_i1035" o:spt="75" type="#_x0000_t75" style="height:301.85pt;width:422.1pt;" filled="f" stroked="f" coordsize="21600,21600">
                  <v:path/>
                  <v:fill on="f" focussize="0,0"/>
                  <v:stroke on="f"/>
                  <v:imagedata r:id="rId18" o:title=""/>
                  <o:lock v:ext="edit" aspectratio="t"/>
                  <w10:wrap type="none"/>
                  <w10:anchorlock/>
                </v:shape>
              </w:pict>
            </w:r>
          </w:p>
          <w:p w14:paraId="6F12E08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cs="Times New Roman"/>
                <w:b/>
                <w:color w:val="auto"/>
                <w:kern w:val="0"/>
                <w:sz w:val="21"/>
                <w:szCs w:val="21"/>
                <w:highlight w:val="none"/>
                <w:lang w:val="en-US" w:eastAsia="zh-CN"/>
              </w:rPr>
            </w:pPr>
            <w:r>
              <w:rPr>
                <w:rFonts w:hint="eastAsia" w:cs="Times New Roman"/>
                <w:b/>
                <w:color w:val="auto"/>
                <w:kern w:val="0"/>
                <w:sz w:val="21"/>
                <w:szCs w:val="21"/>
                <w:highlight w:val="none"/>
                <w:lang w:val="en-US" w:eastAsia="zh-CN"/>
              </w:rPr>
              <w:t>图9  2025年细河高台子断面水质类别及主要指标浓度月变化</w:t>
            </w:r>
          </w:p>
          <w:p w14:paraId="3B861532">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cs="Times New Roman"/>
                <w:b/>
                <w:color w:val="auto"/>
                <w:kern w:val="0"/>
                <w:sz w:val="24"/>
                <w:szCs w:val="20"/>
                <w:highlight w:val="none"/>
              </w:rPr>
            </w:pPr>
            <w:r>
              <w:rPr>
                <w:rFonts w:hint="eastAsia" w:ascii="Times New Roman" w:hAnsi="Times New Roman" w:cs="Times New Roman"/>
                <w:b/>
                <w:color w:val="auto"/>
                <w:kern w:val="0"/>
                <w:sz w:val="24"/>
                <w:szCs w:val="20"/>
                <w:highlight w:val="none"/>
                <w:lang w:val="en-US" w:eastAsia="zh-CN"/>
              </w:rPr>
              <w:t>4、</w:t>
            </w:r>
            <w:r>
              <w:rPr>
                <w:rFonts w:hint="eastAsia" w:ascii="Times New Roman" w:hAnsi="Times New Roman" w:cs="Times New Roman"/>
                <w:b/>
                <w:color w:val="auto"/>
                <w:kern w:val="0"/>
                <w:sz w:val="24"/>
                <w:szCs w:val="20"/>
                <w:highlight w:val="none"/>
              </w:rPr>
              <w:t>地下水、土壤环境质量现状</w:t>
            </w:r>
          </w:p>
          <w:p w14:paraId="231A2E16">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rPr>
              <w:t>根据《建设项目环境影响报告表编制技术指南</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rPr>
              <w:t>污染影响类</w:t>
            </w:r>
            <w:r>
              <w:rPr>
                <w:rFonts w:hint="eastAsia" w:ascii="Times New Roman" w:hAnsi="Times New Roman" w:cs="Times New Roman"/>
                <w:color w:val="auto"/>
                <w:sz w:val="24"/>
                <w:highlight w:val="none"/>
                <w:lang w:eastAsia="zh-CN"/>
              </w:rPr>
              <w:t>）（试行）》</w:t>
            </w:r>
            <w:r>
              <w:rPr>
                <w:rFonts w:hint="eastAsia" w:ascii="Times New Roman" w:hAnsi="Times New Roman" w:cs="Times New Roman"/>
                <w:color w:val="auto"/>
                <w:sz w:val="24"/>
                <w:highlight w:val="none"/>
              </w:rPr>
              <w:t>中相关要求，</w:t>
            </w:r>
            <w:r>
              <w:rPr>
                <w:rFonts w:hint="default" w:ascii="Times New Roman" w:hAnsi="Times New Roman" w:eastAsia="宋体" w:cs="Times New Roman"/>
                <w:color w:val="auto"/>
                <w:sz w:val="24"/>
                <w:highlight w:val="none"/>
                <w:lang w:val="en-US" w:eastAsia="zh-CN"/>
              </w:rPr>
              <w:t>本项目</w:t>
            </w:r>
            <w:r>
              <w:rPr>
                <w:rFonts w:hint="eastAsia" w:cs="Times New Roman"/>
                <w:color w:val="auto"/>
                <w:sz w:val="24"/>
                <w:highlight w:val="none"/>
                <w:lang w:val="en-US" w:eastAsia="zh-CN"/>
              </w:rPr>
              <w:t>所在</w:t>
            </w:r>
            <w:r>
              <w:rPr>
                <w:rFonts w:hint="default" w:ascii="Times New Roman" w:hAnsi="Times New Roman" w:eastAsia="宋体" w:cs="Times New Roman"/>
                <w:color w:val="auto"/>
                <w:sz w:val="24"/>
                <w:highlight w:val="none"/>
                <w:lang w:val="en-US" w:eastAsia="zh-CN"/>
              </w:rPr>
              <w:t>厂区实施分区防渗，无土壤、地下水环境污染途径，因此不开展地下水、土壤环境质量现状调查。</w:t>
            </w:r>
          </w:p>
          <w:p w14:paraId="597BCE09">
            <w:pPr>
              <w:keepNext w:val="0"/>
              <w:keepLines w:val="0"/>
              <w:widowControl/>
              <w:suppressLineNumbers w:val="0"/>
              <w:spacing w:before="0" w:beforeAutospacing="0" w:after="0" w:afterAutospacing="0" w:line="360" w:lineRule="auto"/>
              <w:ind w:left="0" w:right="0" w:firstLine="482" w:firstLineChars="200"/>
              <w:rPr>
                <w:rFonts w:hint="default" w:ascii="Times New Roman" w:hAnsi="Times New Roman" w:eastAsia="宋体" w:cs="Times New Roman"/>
                <w:b/>
                <w:color w:val="auto"/>
                <w:kern w:val="0"/>
                <w:sz w:val="24"/>
                <w:szCs w:val="20"/>
                <w:highlight w:val="none"/>
                <w:lang w:val="en-US" w:eastAsia="zh-CN"/>
              </w:rPr>
            </w:pPr>
            <w:r>
              <w:rPr>
                <w:rFonts w:hint="eastAsia" w:ascii="Times New Roman" w:hAnsi="Times New Roman" w:cs="Times New Roman"/>
                <w:b/>
                <w:color w:val="auto"/>
                <w:kern w:val="0"/>
                <w:sz w:val="24"/>
                <w:szCs w:val="20"/>
                <w:highlight w:val="none"/>
                <w:lang w:val="en-US" w:eastAsia="zh-CN"/>
              </w:rPr>
              <w:t>5</w:t>
            </w:r>
            <w:r>
              <w:rPr>
                <w:rFonts w:hint="eastAsia" w:ascii="Times New Roman" w:hAnsi="Times New Roman" w:cs="Times New Roman"/>
                <w:b/>
                <w:color w:val="auto"/>
                <w:kern w:val="0"/>
                <w:sz w:val="24"/>
                <w:szCs w:val="20"/>
                <w:highlight w:val="none"/>
              </w:rPr>
              <w:t>、生态环境</w:t>
            </w:r>
            <w:r>
              <w:rPr>
                <w:rFonts w:hint="eastAsia" w:ascii="Times New Roman" w:hAnsi="Times New Roman" w:cs="Times New Roman"/>
                <w:b/>
                <w:color w:val="auto"/>
                <w:kern w:val="0"/>
                <w:sz w:val="24"/>
                <w:szCs w:val="20"/>
                <w:highlight w:val="none"/>
                <w:lang w:val="en-US" w:eastAsia="zh-CN"/>
              </w:rPr>
              <w:t>质量现状</w:t>
            </w:r>
          </w:p>
          <w:p w14:paraId="7B4EB2D9">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本项目辽宁省阜新市高新技术产业开发区</w:t>
            </w:r>
            <w:r>
              <w:rPr>
                <w:rFonts w:hint="eastAsia" w:ascii="Times New Roman" w:hAnsi="Times New Roman" w:cs="Times New Roman"/>
                <w:color w:val="auto"/>
                <w:sz w:val="24"/>
                <w:highlight w:val="none"/>
                <w:lang w:val="en-US" w:eastAsia="zh-CN"/>
              </w:rPr>
              <w:t>华通路16号</w:t>
            </w:r>
            <w:r>
              <w:rPr>
                <w:rFonts w:hint="eastAsia" w:ascii="Times New Roman" w:hAnsi="Times New Roman" w:eastAsia="宋体" w:cs="Times New Roman"/>
                <w:color w:val="auto"/>
                <w:sz w:val="24"/>
                <w:highlight w:val="none"/>
              </w:rPr>
              <w:t>，用地性质为工业用地，</w:t>
            </w:r>
            <w:r>
              <w:rPr>
                <w:rFonts w:hint="eastAsia" w:ascii="Times New Roman" w:hAnsi="Times New Roman" w:eastAsia="宋体" w:cs="Times New Roman"/>
                <w:color w:val="auto"/>
                <w:sz w:val="24"/>
                <w:highlight w:val="none"/>
                <w:lang w:val="en-US" w:eastAsia="zh-CN"/>
              </w:rPr>
              <w:t>项目</w:t>
            </w:r>
            <w:r>
              <w:rPr>
                <w:rFonts w:hint="eastAsia" w:ascii="Times New Roman" w:hAnsi="Times New Roman" w:eastAsia="宋体" w:cs="Times New Roman"/>
                <w:color w:val="auto"/>
                <w:sz w:val="24"/>
                <w:highlight w:val="none"/>
              </w:rPr>
              <w:t>位于产业园区，用地范围内不含有生态环境保护目标</w:t>
            </w:r>
            <w:r>
              <w:rPr>
                <w:rFonts w:hint="eastAsia" w:ascii="Times New Roman" w:hAnsi="Times New Roman" w:eastAsia="宋体" w:cs="Times New Roman"/>
                <w:color w:val="auto"/>
                <w:sz w:val="24"/>
                <w:highlight w:val="none"/>
                <w:lang w:eastAsia="zh-CN"/>
              </w:rPr>
              <w:t>，</w:t>
            </w:r>
            <w:r>
              <w:rPr>
                <w:rFonts w:hint="eastAsia" w:ascii="Times New Roman" w:hAnsi="Times New Roman" w:eastAsia="宋体" w:cs="Times New Roman"/>
                <w:color w:val="auto"/>
                <w:sz w:val="24"/>
                <w:highlight w:val="none"/>
                <w:lang w:val="en-US" w:eastAsia="zh-CN"/>
              </w:rPr>
              <w:t>因此</w:t>
            </w:r>
            <w:r>
              <w:rPr>
                <w:rFonts w:hint="eastAsia" w:ascii="Times New Roman" w:hAnsi="Times New Roman" w:eastAsia="宋体" w:cs="Times New Roman"/>
                <w:color w:val="auto"/>
                <w:sz w:val="24"/>
                <w:highlight w:val="none"/>
              </w:rPr>
              <w:t>无需开展生态环境质量现状调查。</w:t>
            </w:r>
          </w:p>
          <w:p w14:paraId="35D780E3">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eastAsia="宋体" w:cs="Times New Roman"/>
                <w:b/>
                <w:color w:val="auto"/>
                <w:kern w:val="0"/>
                <w:sz w:val="24"/>
                <w:szCs w:val="20"/>
                <w:highlight w:val="none"/>
                <w:lang w:val="en-US" w:eastAsia="zh-CN"/>
              </w:rPr>
            </w:pPr>
            <w:r>
              <w:rPr>
                <w:rFonts w:hint="eastAsia" w:ascii="Times New Roman" w:hAnsi="Times New Roman" w:eastAsia="宋体" w:cs="Times New Roman"/>
                <w:b/>
                <w:color w:val="auto"/>
                <w:kern w:val="0"/>
                <w:sz w:val="24"/>
                <w:szCs w:val="20"/>
                <w:highlight w:val="none"/>
                <w:lang w:val="en-US" w:eastAsia="zh-CN"/>
              </w:rPr>
              <w:t>6、电磁辐射</w:t>
            </w:r>
          </w:p>
          <w:p w14:paraId="6ABBAACE">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color w:val="auto"/>
                <w:highlight w:val="none"/>
              </w:rPr>
            </w:pPr>
            <w:r>
              <w:rPr>
                <w:rFonts w:hint="eastAsia" w:ascii="Times New Roman" w:hAnsi="Times New Roman" w:eastAsia="宋体" w:cs="Times New Roman"/>
                <w:b w:val="0"/>
                <w:bCs w:val="0"/>
                <w:color w:val="auto"/>
                <w:kern w:val="2"/>
                <w:sz w:val="24"/>
                <w:szCs w:val="24"/>
                <w:highlight w:val="none"/>
                <w:lang w:val="en-US" w:eastAsia="zh-CN" w:bidi="ar-SA"/>
              </w:rPr>
              <w:t>本项目不属于新建或改建、扩建广播电台、差转台、电视塔台、卫星地球上行站、雷达等电磁辐射类项目，无需对电磁辐射现状开展监测与评价。</w:t>
            </w:r>
          </w:p>
        </w:tc>
      </w:tr>
      <w:tr w14:paraId="211C78F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737" w:type="dxa"/>
            <w:noWrap w:val="0"/>
            <w:vAlign w:val="center"/>
          </w:tcPr>
          <w:p w14:paraId="55A6EC57">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环境</w:t>
            </w:r>
          </w:p>
          <w:p w14:paraId="5FC93A4A">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保护</w:t>
            </w:r>
          </w:p>
          <w:p w14:paraId="2E024EA0">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 w:val="24"/>
                <w:szCs w:val="24"/>
                <w:highlight w:val="none"/>
              </w:rPr>
              <w:t>目标</w:t>
            </w:r>
          </w:p>
        </w:tc>
        <w:tc>
          <w:tcPr>
            <w:tcW w:w="8324" w:type="dxa"/>
            <w:noWrap w:val="0"/>
            <w:vAlign w:val="top"/>
          </w:tcPr>
          <w:p w14:paraId="386B993F">
            <w:pPr>
              <w:keepNext w:val="0"/>
              <w:keepLines w:val="0"/>
              <w:widowControl/>
              <w:suppressLineNumbers w:val="0"/>
              <w:spacing w:before="0" w:beforeAutospacing="0" w:after="0" w:afterAutospacing="0" w:line="360" w:lineRule="auto"/>
              <w:ind w:left="0" w:right="0" w:firstLine="482" w:firstLineChars="200"/>
              <w:rPr>
                <w:rFonts w:hint="default" w:ascii="Times New Roman" w:hAnsi="Times New Roman" w:eastAsia="宋体" w:cs="Times New Roman"/>
                <w:b/>
                <w:color w:val="auto"/>
                <w:kern w:val="0"/>
                <w:sz w:val="24"/>
                <w:szCs w:val="20"/>
                <w:highlight w:val="none"/>
                <w:lang w:val="en-US" w:eastAsia="zh-CN"/>
              </w:rPr>
            </w:pPr>
            <w:r>
              <w:rPr>
                <w:rFonts w:hint="eastAsia" w:ascii="Times New Roman" w:hAnsi="Times New Roman" w:cs="Times New Roman"/>
                <w:b/>
                <w:color w:val="auto"/>
                <w:kern w:val="0"/>
                <w:sz w:val="24"/>
                <w:szCs w:val="20"/>
                <w:highlight w:val="none"/>
              </w:rPr>
              <w:t>1、</w:t>
            </w:r>
            <w:r>
              <w:rPr>
                <w:rFonts w:hint="eastAsia" w:ascii="Times New Roman" w:hAnsi="Times New Roman" w:cs="Times New Roman"/>
                <w:b/>
                <w:color w:val="auto"/>
                <w:kern w:val="0"/>
                <w:sz w:val="24"/>
                <w:szCs w:val="20"/>
                <w:highlight w:val="none"/>
                <w:lang w:val="en-US" w:eastAsia="zh-CN"/>
              </w:rPr>
              <w:t>大气环境保护目标</w:t>
            </w:r>
          </w:p>
          <w:p w14:paraId="4E148493">
            <w:pPr>
              <w:keepNext w:val="0"/>
              <w:keepLines w:val="0"/>
              <w:widowControl/>
              <w:suppressLineNumbers w:val="0"/>
              <w:adjustRightInd w:val="0"/>
              <w:snapToGrid w:val="0"/>
              <w:spacing w:before="0" w:beforeAutospacing="0" w:after="0" w:afterAutospacing="0" w:line="360" w:lineRule="auto"/>
              <w:ind w:left="0" w:right="0" w:firstLine="480" w:firstLineChars="200"/>
              <w:jc w:val="left"/>
              <w:rPr>
                <w:rFonts w:hint="default" w:ascii="Times New Roman" w:hAnsi="Times New Roman" w:cs="Times New Roman"/>
                <w:color w:val="auto"/>
                <w:sz w:val="24"/>
                <w:szCs w:val="32"/>
                <w:highlight w:val="none"/>
                <w:lang w:val="en-US"/>
              </w:rPr>
            </w:pPr>
            <w:r>
              <w:rPr>
                <w:rFonts w:hint="default" w:ascii="Times New Roman" w:hAnsi="Times New Roman" w:cs="Times New Roman"/>
                <w:color w:val="auto"/>
                <w:sz w:val="24"/>
                <w:szCs w:val="32"/>
                <w:highlight w:val="none"/>
              </w:rPr>
              <w:t>项目厂界外500m范围内</w:t>
            </w:r>
            <w:r>
              <w:rPr>
                <w:rFonts w:hint="eastAsia" w:ascii="Times New Roman" w:hAnsi="Times New Roman" w:cs="Times New Roman"/>
                <w:color w:val="auto"/>
                <w:sz w:val="24"/>
                <w:szCs w:val="32"/>
                <w:highlight w:val="none"/>
              </w:rPr>
              <w:t>大气环境保护目标为</w:t>
            </w:r>
            <w:r>
              <w:rPr>
                <w:rFonts w:hint="eastAsia" w:cs="Times New Roman"/>
                <w:color w:val="auto"/>
                <w:sz w:val="24"/>
                <w:szCs w:val="32"/>
                <w:highlight w:val="none"/>
                <w:lang w:val="en-US" w:eastAsia="zh-CN"/>
              </w:rPr>
              <w:t>小哈拉哈村；小哈拉哈村距项目厂界约480m</w:t>
            </w:r>
            <w:r>
              <w:rPr>
                <w:rFonts w:hint="eastAsia" w:cs="宋体"/>
                <w:color w:val="auto"/>
                <w:spacing w:val="1"/>
                <w:sz w:val="24"/>
                <w:szCs w:val="24"/>
                <w:highlight w:val="none"/>
                <w:lang w:val="en-US" w:eastAsia="zh-CN"/>
              </w:rPr>
              <w:t>。</w:t>
            </w:r>
          </w:p>
          <w:p w14:paraId="06B31DE4">
            <w:pPr>
              <w:pStyle w:val="44"/>
              <w:keepNext w:val="0"/>
              <w:keepLines w:val="0"/>
              <w:numPr>
                <w:ilvl w:val="0"/>
                <w:numId w:val="0"/>
              </w:numPr>
              <w:suppressLineNumbers w:val="0"/>
              <w:spacing w:before="0" w:beforeAutospacing="0" w:after="0" w:afterAutospacing="0"/>
              <w:ind w:left="420" w:leftChars="200" w:right="0"/>
              <w:rPr>
                <w:rFonts w:hint="eastAsia"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2、声环境保护目标</w:t>
            </w:r>
          </w:p>
          <w:p w14:paraId="5F87513E">
            <w:pPr>
              <w:pStyle w:val="44"/>
              <w:keepNext w:val="0"/>
              <w:keepLines w:val="0"/>
              <w:numPr>
                <w:ilvl w:val="0"/>
                <w:numId w:val="0"/>
              </w:numPr>
              <w:suppressLineNumbers w:val="0"/>
              <w:spacing w:before="0" w:beforeAutospacing="0" w:after="0" w:afterAutospacing="0"/>
              <w:ind w:left="420" w:leftChars="200" w:right="0"/>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项目厂界外50m范围内无声环境保护目标。</w:t>
            </w:r>
          </w:p>
          <w:p w14:paraId="19DDF8C0">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cs="Times New Roman"/>
                <w:b/>
                <w:color w:val="auto"/>
                <w:kern w:val="0"/>
                <w:sz w:val="24"/>
                <w:szCs w:val="20"/>
                <w:highlight w:val="none"/>
              </w:rPr>
            </w:pPr>
            <w:r>
              <w:rPr>
                <w:rFonts w:hint="eastAsia" w:cs="Times New Roman"/>
                <w:b/>
                <w:color w:val="auto"/>
                <w:kern w:val="0"/>
                <w:sz w:val="24"/>
                <w:szCs w:val="20"/>
                <w:highlight w:val="none"/>
                <w:lang w:val="en-US" w:eastAsia="zh-CN"/>
              </w:rPr>
              <w:t>4</w:t>
            </w:r>
            <w:r>
              <w:rPr>
                <w:rFonts w:hint="eastAsia" w:ascii="Times New Roman" w:hAnsi="Times New Roman" w:cs="Times New Roman"/>
                <w:b/>
                <w:color w:val="auto"/>
                <w:kern w:val="0"/>
                <w:sz w:val="24"/>
                <w:szCs w:val="20"/>
                <w:highlight w:val="none"/>
              </w:rPr>
              <w:t>、</w:t>
            </w:r>
            <w:r>
              <w:rPr>
                <w:rFonts w:hint="eastAsia" w:ascii="Times New Roman" w:hAnsi="Times New Roman" w:cs="Times New Roman"/>
                <w:b/>
                <w:color w:val="auto"/>
                <w:kern w:val="0"/>
                <w:sz w:val="24"/>
                <w:szCs w:val="20"/>
                <w:highlight w:val="none"/>
                <w:lang w:val="en-US" w:eastAsia="zh-CN"/>
              </w:rPr>
              <w:t>地表水</w:t>
            </w:r>
            <w:r>
              <w:rPr>
                <w:rFonts w:hint="eastAsia" w:ascii="Times New Roman" w:hAnsi="Times New Roman" w:cs="Times New Roman"/>
                <w:b/>
                <w:color w:val="auto"/>
                <w:kern w:val="0"/>
                <w:sz w:val="24"/>
                <w:szCs w:val="20"/>
                <w:highlight w:val="none"/>
              </w:rPr>
              <w:t>环境</w:t>
            </w:r>
          </w:p>
          <w:p w14:paraId="1A071DC4">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highlight w:val="none"/>
                <w:lang w:val="en-US" w:eastAsia="zh-CN"/>
              </w:rPr>
              <w:t>项目</w:t>
            </w:r>
            <w:r>
              <w:rPr>
                <w:rFonts w:hint="eastAsia" w:cs="Times New Roman"/>
                <w:color w:val="auto"/>
                <w:sz w:val="24"/>
                <w:highlight w:val="none"/>
                <w:lang w:val="en-US" w:eastAsia="zh-CN"/>
              </w:rPr>
              <w:t>南</w:t>
            </w:r>
            <w:r>
              <w:rPr>
                <w:rFonts w:hint="default" w:ascii="Times New Roman" w:hAnsi="Times New Roman" w:eastAsia="宋体" w:cs="Times New Roman"/>
                <w:color w:val="auto"/>
                <w:sz w:val="24"/>
                <w:highlight w:val="none"/>
                <w:lang w:val="en-US" w:eastAsia="zh-CN"/>
              </w:rPr>
              <w:t>侧距厂界</w:t>
            </w:r>
            <w:r>
              <w:rPr>
                <w:rFonts w:hint="eastAsia" w:cs="Times New Roman"/>
                <w:color w:val="auto"/>
                <w:sz w:val="24"/>
                <w:highlight w:val="none"/>
                <w:lang w:val="en-US" w:eastAsia="zh-CN"/>
              </w:rPr>
              <w:t>3.45km</w:t>
            </w:r>
            <w:r>
              <w:rPr>
                <w:rFonts w:hint="default" w:ascii="Times New Roman" w:hAnsi="Times New Roman" w:eastAsia="宋体" w:cs="Times New Roman"/>
                <w:color w:val="auto"/>
                <w:sz w:val="24"/>
                <w:highlight w:val="none"/>
                <w:lang w:val="en-US" w:eastAsia="zh-CN"/>
              </w:rPr>
              <w:t>处</w:t>
            </w:r>
            <w:r>
              <w:rPr>
                <w:rFonts w:hint="eastAsia" w:cs="Times New Roman"/>
                <w:color w:val="auto"/>
                <w:sz w:val="24"/>
                <w:highlight w:val="none"/>
                <w:lang w:val="en-US" w:eastAsia="zh-CN"/>
              </w:rPr>
              <w:t>的</w:t>
            </w:r>
            <w:r>
              <w:rPr>
                <w:rFonts w:hint="default" w:ascii="Times New Roman" w:hAnsi="Times New Roman" w:eastAsia="宋体" w:cs="Times New Roman"/>
                <w:color w:val="auto"/>
                <w:sz w:val="24"/>
                <w:highlight w:val="none"/>
                <w:lang w:val="en-US" w:eastAsia="zh-CN"/>
              </w:rPr>
              <w:t>细河</w:t>
            </w:r>
            <w:r>
              <w:rPr>
                <w:rFonts w:hint="eastAsia" w:ascii="Times New Roman" w:hAnsi="Times New Roman" w:cs="Times New Roman"/>
                <w:color w:val="auto"/>
                <w:sz w:val="24"/>
                <w:highlight w:val="none"/>
              </w:rPr>
              <w:t>。</w:t>
            </w:r>
          </w:p>
          <w:p w14:paraId="59D58ED4">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cs="Times New Roman"/>
                <w:b/>
                <w:color w:val="auto"/>
                <w:kern w:val="0"/>
                <w:sz w:val="24"/>
                <w:szCs w:val="20"/>
                <w:highlight w:val="none"/>
              </w:rPr>
            </w:pPr>
            <w:r>
              <w:rPr>
                <w:rFonts w:hint="eastAsia" w:cs="Times New Roman"/>
                <w:b/>
                <w:color w:val="auto"/>
                <w:kern w:val="0"/>
                <w:sz w:val="24"/>
                <w:szCs w:val="20"/>
                <w:highlight w:val="none"/>
                <w:lang w:val="en-US" w:eastAsia="zh-CN"/>
              </w:rPr>
              <w:t>5</w:t>
            </w:r>
            <w:r>
              <w:rPr>
                <w:rFonts w:hint="eastAsia" w:ascii="Times New Roman" w:hAnsi="Times New Roman" w:cs="Times New Roman"/>
                <w:b/>
                <w:color w:val="auto"/>
                <w:kern w:val="0"/>
                <w:sz w:val="24"/>
                <w:szCs w:val="20"/>
                <w:highlight w:val="none"/>
              </w:rPr>
              <w:t>、地下水环境</w:t>
            </w:r>
          </w:p>
          <w:p w14:paraId="0383514E">
            <w:pPr>
              <w:keepNext w:val="0"/>
              <w:keepLines w:val="0"/>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rPr>
            </w:pPr>
            <w:r>
              <w:rPr>
                <w:rFonts w:hint="eastAsia" w:ascii="Times New Roman" w:hAnsi="Times New Roman" w:cs="Times New Roman"/>
                <w:color w:val="auto"/>
                <w:sz w:val="24"/>
                <w:highlight w:val="none"/>
                <w:lang w:val="en-US" w:eastAsia="zh-CN"/>
              </w:rPr>
              <w:t>项目</w:t>
            </w:r>
            <w:r>
              <w:rPr>
                <w:rFonts w:hint="eastAsia" w:ascii="Times New Roman" w:hAnsi="Times New Roman" w:cs="Times New Roman"/>
                <w:color w:val="auto"/>
                <w:sz w:val="24"/>
                <w:highlight w:val="none"/>
              </w:rPr>
              <w:t>厂界外500</w:t>
            </w:r>
            <w:r>
              <w:rPr>
                <w:rFonts w:hint="eastAsia" w:ascii="Times New Roman" w:hAnsi="Times New Roman" w:cs="Times New Roman"/>
                <w:color w:val="auto"/>
                <w:sz w:val="24"/>
                <w:highlight w:val="none"/>
                <w:lang w:val="en-US" w:eastAsia="zh-CN"/>
              </w:rPr>
              <w:t>m</w:t>
            </w:r>
            <w:r>
              <w:rPr>
                <w:rFonts w:hint="eastAsia" w:ascii="Times New Roman" w:hAnsi="Times New Roman" w:cs="Times New Roman"/>
                <w:color w:val="auto"/>
                <w:sz w:val="24"/>
                <w:highlight w:val="none"/>
              </w:rPr>
              <w:t>范围内无地下水集中式饮用水水源和热水、矿泉水、温泉等特殊地下水资源等保护目标。</w:t>
            </w:r>
          </w:p>
          <w:p w14:paraId="7D8F9A54">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cs="Times New Roman"/>
                <w:b/>
                <w:color w:val="auto"/>
                <w:kern w:val="0"/>
                <w:sz w:val="24"/>
                <w:szCs w:val="20"/>
                <w:highlight w:val="none"/>
              </w:rPr>
            </w:pPr>
            <w:r>
              <w:rPr>
                <w:rFonts w:hint="eastAsia" w:cs="Times New Roman"/>
                <w:b/>
                <w:color w:val="auto"/>
                <w:kern w:val="0"/>
                <w:sz w:val="24"/>
                <w:szCs w:val="20"/>
                <w:highlight w:val="none"/>
                <w:lang w:val="en-US" w:eastAsia="zh-CN"/>
              </w:rPr>
              <w:t>6</w:t>
            </w:r>
            <w:r>
              <w:rPr>
                <w:rFonts w:hint="eastAsia" w:ascii="Times New Roman" w:hAnsi="Times New Roman" w:cs="Times New Roman"/>
                <w:b/>
                <w:color w:val="auto"/>
                <w:kern w:val="0"/>
                <w:sz w:val="24"/>
                <w:szCs w:val="20"/>
                <w:highlight w:val="none"/>
              </w:rPr>
              <w:t>、生态环境</w:t>
            </w:r>
          </w:p>
          <w:p w14:paraId="1321F2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left"/>
              <w:textAlignment w:val="auto"/>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项目</w:t>
            </w:r>
            <w:r>
              <w:rPr>
                <w:rFonts w:hint="eastAsia" w:ascii="Times New Roman" w:hAnsi="Times New Roman" w:cs="Times New Roman"/>
                <w:color w:val="auto"/>
                <w:sz w:val="24"/>
                <w:szCs w:val="24"/>
                <w:highlight w:val="none"/>
                <w:lang w:val="en-US" w:eastAsia="zh-CN"/>
              </w:rPr>
              <w:t>用地</w:t>
            </w:r>
            <w:r>
              <w:rPr>
                <w:rFonts w:hint="eastAsia" w:ascii="Times New Roman" w:hAnsi="Times New Roman" w:cs="Times New Roman"/>
                <w:color w:val="auto"/>
                <w:sz w:val="24"/>
                <w:szCs w:val="24"/>
                <w:highlight w:val="none"/>
              </w:rPr>
              <w:t>范围内</w:t>
            </w:r>
            <w:r>
              <w:rPr>
                <w:rFonts w:hint="eastAsia" w:ascii="Times New Roman" w:hAnsi="Times New Roman" w:cs="Times New Roman"/>
                <w:color w:val="auto"/>
                <w:sz w:val="24"/>
                <w:szCs w:val="24"/>
                <w:highlight w:val="none"/>
                <w:lang w:val="en-US" w:eastAsia="zh-CN"/>
              </w:rPr>
              <w:t>无</w:t>
            </w:r>
            <w:r>
              <w:rPr>
                <w:rFonts w:hint="eastAsia" w:ascii="Times New Roman" w:hAnsi="Times New Roman" w:cs="Times New Roman"/>
                <w:color w:val="auto"/>
                <w:sz w:val="24"/>
                <w:szCs w:val="24"/>
                <w:highlight w:val="none"/>
              </w:rPr>
              <w:t>生态环境保护目标。</w:t>
            </w:r>
          </w:p>
          <w:p w14:paraId="3E56DC3D">
            <w:pPr>
              <w:pStyle w:val="6"/>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left"/>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具体环境保护目标见下表。</w:t>
            </w:r>
          </w:p>
          <w:p w14:paraId="3FF6937D">
            <w:pPr>
              <w:keepNext w:val="0"/>
              <w:keepLines w:val="0"/>
              <w:suppressLineNumbers w:val="0"/>
              <w:snapToGrid w:val="0"/>
              <w:spacing w:before="0" w:beforeAutospacing="0" w:after="0" w:afterAutospacing="0" w:line="360" w:lineRule="auto"/>
              <w:ind w:left="0" w:right="0"/>
              <w:jc w:val="center"/>
              <w:rPr>
                <w:rFonts w:hint="default" w:ascii="Times New Roman" w:hAnsi="Times New Roman" w:cs="Times New Roman"/>
                <w:b/>
                <w:bCs/>
                <w:color w:val="auto"/>
                <w:highlight w:val="none"/>
              </w:rPr>
            </w:pPr>
            <w:r>
              <w:rPr>
                <w:rFonts w:hint="default" w:ascii="Times New Roman" w:hAnsi="Times New Roman" w:cs="Times New Roman"/>
                <w:b/>
                <w:bCs/>
                <w:color w:val="auto"/>
                <w:highlight w:val="none"/>
              </w:rPr>
              <w:t>表3-</w:t>
            </w:r>
            <w:r>
              <w:rPr>
                <w:rFonts w:hint="eastAsia" w:cs="Times New Roman"/>
                <w:b/>
                <w:bCs/>
                <w:color w:val="auto"/>
                <w:highlight w:val="none"/>
                <w:lang w:val="en-US" w:eastAsia="zh-CN"/>
              </w:rPr>
              <w:t>5</w:t>
            </w:r>
            <w:r>
              <w:rPr>
                <w:rFonts w:hint="default" w:ascii="Times New Roman" w:hAnsi="Times New Roman" w:cs="Times New Roman"/>
                <w:b/>
                <w:bCs/>
                <w:color w:val="auto"/>
                <w:highlight w:val="none"/>
              </w:rPr>
              <w:t xml:space="preserve">  环境保护目标一览表</w:t>
            </w:r>
          </w:p>
          <w:tbl>
            <w:tblPr>
              <w:tblStyle w:val="26"/>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28" w:type="dxa"/>
                <w:bottom w:w="0" w:type="dxa"/>
                <w:right w:w="28" w:type="dxa"/>
              </w:tblCellMar>
            </w:tblPr>
            <w:tblGrid>
              <w:gridCol w:w="723"/>
              <w:gridCol w:w="869"/>
              <w:gridCol w:w="2899"/>
              <w:gridCol w:w="565"/>
              <w:gridCol w:w="998"/>
              <w:gridCol w:w="802"/>
              <w:gridCol w:w="867"/>
              <w:gridCol w:w="1266"/>
            </w:tblGrid>
            <w:tr w14:paraId="1E4DB1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57" w:hRule="atLeast"/>
                <w:jc w:val="center"/>
              </w:trPr>
              <w:tc>
                <w:tcPr>
                  <w:tcW w:w="402" w:type="pct"/>
                  <w:tcBorders>
                    <w:tl2br w:val="nil"/>
                    <w:tr2bl w:val="nil"/>
                  </w:tcBorders>
                  <w:noWrap w:val="0"/>
                  <w:vAlign w:val="center"/>
                </w:tcPr>
                <w:p w14:paraId="041D7CD0">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w:t>
                  </w:r>
                </w:p>
                <w:p w14:paraId="41C4BFF8">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要素</w:t>
                  </w:r>
                </w:p>
              </w:tc>
              <w:tc>
                <w:tcPr>
                  <w:tcW w:w="483" w:type="pct"/>
                  <w:tcBorders>
                    <w:tl2br w:val="nil"/>
                    <w:tr2bl w:val="nil"/>
                  </w:tcBorders>
                  <w:noWrap w:val="0"/>
                  <w:vAlign w:val="center"/>
                </w:tcPr>
                <w:p w14:paraId="72695AE4">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保护目标名称</w:t>
                  </w:r>
                </w:p>
              </w:tc>
              <w:tc>
                <w:tcPr>
                  <w:tcW w:w="1612" w:type="pct"/>
                  <w:tcBorders>
                    <w:tl2br w:val="nil"/>
                    <w:tr2bl w:val="nil"/>
                  </w:tcBorders>
                  <w:noWrap w:val="0"/>
                  <w:vAlign w:val="center"/>
                </w:tcPr>
                <w:p w14:paraId="11BD5C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eastAsia"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经纬度</w:t>
                  </w:r>
                </w:p>
              </w:tc>
              <w:tc>
                <w:tcPr>
                  <w:tcW w:w="314" w:type="pct"/>
                  <w:tcBorders>
                    <w:tl2br w:val="nil"/>
                    <w:tr2bl w:val="nil"/>
                  </w:tcBorders>
                  <w:noWrap w:val="0"/>
                  <w:vAlign w:val="center"/>
                </w:tcPr>
                <w:p w14:paraId="1B43BC15">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方位</w:t>
                  </w:r>
                </w:p>
              </w:tc>
              <w:tc>
                <w:tcPr>
                  <w:tcW w:w="555" w:type="pct"/>
                  <w:tcBorders>
                    <w:tl2br w:val="nil"/>
                    <w:tr2bl w:val="nil"/>
                  </w:tcBorders>
                  <w:noWrap w:val="0"/>
                  <w:vAlign w:val="center"/>
                </w:tcPr>
                <w:p w14:paraId="2F7F1180">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rPr>
                    <w:t>最近距离</w:t>
                  </w:r>
                  <w:r>
                    <w:rPr>
                      <w:rFonts w:hint="default" w:ascii="Times New Roman" w:hAnsi="Times New Roman" w:eastAsia="宋体" w:cs="Times New Roman"/>
                      <w:b/>
                      <w:color w:val="auto"/>
                      <w:sz w:val="21"/>
                      <w:szCs w:val="21"/>
                      <w:highlight w:val="none"/>
                      <w:lang w:eastAsia="zh-CN"/>
                    </w:rPr>
                    <w:t>（</w:t>
                  </w:r>
                  <w:r>
                    <w:rPr>
                      <w:rFonts w:hint="default" w:ascii="Times New Roman" w:hAnsi="Times New Roman" w:eastAsia="宋体" w:cs="Times New Roman"/>
                      <w:b/>
                      <w:color w:val="auto"/>
                      <w:sz w:val="21"/>
                      <w:szCs w:val="21"/>
                      <w:highlight w:val="none"/>
                      <w:lang w:val="en-US" w:eastAsia="zh-CN"/>
                    </w:rPr>
                    <w:t>m</w:t>
                  </w:r>
                  <w:r>
                    <w:rPr>
                      <w:rFonts w:hint="default" w:ascii="Times New Roman" w:hAnsi="Times New Roman" w:eastAsia="宋体" w:cs="Times New Roman"/>
                      <w:b/>
                      <w:color w:val="auto"/>
                      <w:sz w:val="21"/>
                      <w:szCs w:val="21"/>
                      <w:highlight w:val="none"/>
                      <w:lang w:eastAsia="zh-CN"/>
                    </w:rPr>
                    <w:t>）</w:t>
                  </w:r>
                </w:p>
              </w:tc>
              <w:tc>
                <w:tcPr>
                  <w:tcW w:w="446" w:type="pct"/>
                  <w:tcBorders>
                    <w:tl2br w:val="nil"/>
                    <w:tr2bl w:val="nil"/>
                  </w:tcBorders>
                  <w:noWrap w:val="0"/>
                  <w:vAlign w:val="center"/>
                </w:tcPr>
                <w:p w14:paraId="55CB96CC">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功能</w:t>
                  </w:r>
                </w:p>
              </w:tc>
              <w:tc>
                <w:tcPr>
                  <w:tcW w:w="481" w:type="pct"/>
                  <w:tcBorders>
                    <w:tl2br w:val="nil"/>
                    <w:tr2bl w:val="nil"/>
                  </w:tcBorders>
                  <w:noWrap w:val="0"/>
                  <w:vAlign w:val="center"/>
                </w:tcPr>
                <w:p w14:paraId="14ED75BA">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保护</w:t>
                  </w:r>
                </w:p>
                <w:p w14:paraId="312E5755">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b/>
                      <w:color w:val="auto"/>
                      <w:sz w:val="21"/>
                      <w:szCs w:val="21"/>
                      <w:highlight w:val="none"/>
                    </w:rPr>
                    <w:t>规模</w:t>
                  </w:r>
                </w:p>
              </w:tc>
              <w:tc>
                <w:tcPr>
                  <w:tcW w:w="704" w:type="pct"/>
                  <w:tcBorders>
                    <w:tl2br w:val="nil"/>
                    <w:tr2bl w:val="nil"/>
                  </w:tcBorders>
                  <w:noWrap w:val="0"/>
                  <w:vAlign w:val="center"/>
                </w:tcPr>
                <w:p w14:paraId="7D231C8C">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b/>
                      <w:color w:val="auto"/>
                      <w:sz w:val="21"/>
                      <w:szCs w:val="21"/>
                      <w:highlight w:val="none"/>
                    </w:rPr>
                  </w:pPr>
                  <w:r>
                    <w:rPr>
                      <w:rFonts w:hint="default" w:ascii="Times New Roman" w:hAnsi="Times New Roman" w:eastAsia="宋体" w:cs="Times New Roman"/>
                      <w:b/>
                      <w:color w:val="auto"/>
                      <w:sz w:val="21"/>
                      <w:szCs w:val="21"/>
                      <w:highlight w:val="none"/>
                    </w:rPr>
                    <w:t>环境保护要素及级别</w:t>
                  </w:r>
                </w:p>
              </w:tc>
            </w:tr>
            <w:tr w14:paraId="6C44AB1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57" w:hRule="atLeast"/>
                <w:jc w:val="center"/>
              </w:trPr>
              <w:tc>
                <w:tcPr>
                  <w:tcW w:w="402" w:type="pct"/>
                  <w:tcBorders>
                    <w:tl2br w:val="nil"/>
                    <w:tr2bl w:val="nil"/>
                  </w:tcBorders>
                  <w:noWrap w:val="0"/>
                  <w:vAlign w:val="center"/>
                </w:tcPr>
                <w:p w14:paraId="6CD18E2B">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环境</w:t>
                  </w:r>
                </w:p>
                <w:p w14:paraId="65825ED9">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空气</w:t>
                  </w:r>
                </w:p>
              </w:tc>
              <w:tc>
                <w:tcPr>
                  <w:tcW w:w="483" w:type="pct"/>
                  <w:tcBorders>
                    <w:tl2br w:val="nil"/>
                    <w:tr2bl w:val="nil"/>
                  </w:tcBorders>
                  <w:noWrap w:val="0"/>
                  <w:vAlign w:val="center"/>
                </w:tcPr>
                <w:p w14:paraId="3D1C3C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小哈拉哈村</w:t>
                  </w:r>
                </w:p>
              </w:tc>
              <w:tc>
                <w:tcPr>
                  <w:tcW w:w="1612" w:type="pct"/>
                  <w:tcBorders>
                    <w:tl2br w:val="nil"/>
                    <w:tr2bl w:val="nil"/>
                  </w:tcBorders>
                  <w:noWrap w:val="0"/>
                  <w:vAlign w:val="center"/>
                </w:tcPr>
                <w:p w14:paraId="720AC0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E</w:t>
                  </w:r>
                  <w:r>
                    <w:rPr>
                      <w:rFonts w:hint="default" w:cs="Times New Roman"/>
                      <w:color w:val="auto"/>
                      <w:sz w:val="21"/>
                      <w:szCs w:val="21"/>
                      <w:highlight w:val="none"/>
                      <w:lang w:val="en-US" w:eastAsia="zh-CN"/>
                    </w:rPr>
                    <w:t>121°34′33.854″</w:t>
                  </w:r>
                  <w:r>
                    <w:rPr>
                      <w:rFonts w:hint="eastAsia" w:cs="Times New Roman"/>
                      <w:color w:val="auto"/>
                      <w:sz w:val="21"/>
                      <w:szCs w:val="21"/>
                      <w:highlight w:val="none"/>
                      <w:lang w:val="en-US" w:eastAsia="zh-CN"/>
                    </w:rPr>
                    <w:t>,N</w:t>
                  </w:r>
                  <w:r>
                    <w:rPr>
                      <w:rFonts w:hint="default" w:cs="Times New Roman"/>
                      <w:color w:val="auto"/>
                      <w:sz w:val="21"/>
                      <w:szCs w:val="21"/>
                      <w:highlight w:val="none"/>
                      <w:lang w:val="en-US" w:eastAsia="zh-CN"/>
                    </w:rPr>
                    <w:t>42°1′11.568″</w:t>
                  </w:r>
                </w:p>
              </w:tc>
              <w:tc>
                <w:tcPr>
                  <w:tcW w:w="314" w:type="pct"/>
                  <w:tcBorders>
                    <w:tl2br w:val="nil"/>
                    <w:tr2bl w:val="nil"/>
                  </w:tcBorders>
                  <w:noWrap w:val="0"/>
                  <w:vAlign w:val="center"/>
                </w:tcPr>
                <w:p w14:paraId="4C374D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西</w:t>
                  </w:r>
                  <w:r>
                    <w:rPr>
                      <w:rFonts w:hint="eastAsia" w:cs="Times New Roman"/>
                      <w:color w:val="auto"/>
                      <w:sz w:val="21"/>
                      <w:szCs w:val="21"/>
                      <w:highlight w:val="none"/>
                      <w:lang w:val="en-US" w:eastAsia="zh-CN"/>
                    </w:rPr>
                    <w:t>北</w:t>
                  </w:r>
                </w:p>
              </w:tc>
              <w:tc>
                <w:tcPr>
                  <w:tcW w:w="555" w:type="pct"/>
                  <w:tcBorders>
                    <w:tl2br w:val="nil"/>
                    <w:tr2bl w:val="nil"/>
                  </w:tcBorders>
                  <w:noWrap w:val="0"/>
                  <w:vAlign w:val="center"/>
                </w:tcPr>
                <w:p w14:paraId="729D52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480</w:t>
                  </w:r>
                </w:p>
              </w:tc>
              <w:tc>
                <w:tcPr>
                  <w:tcW w:w="446" w:type="pct"/>
                  <w:tcBorders>
                    <w:tl2br w:val="nil"/>
                    <w:tr2bl w:val="nil"/>
                  </w:tcBorders>
                  <w:noWrap w:val="0"/>
                  <w:vAlign w:val="center"/>
                </w:tcPr>
                <w:p w14:paraId="384980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居住</w:t>
                  </w:r>
                </w:p>
              </w:tc>
              <w:tc>
                <w:tcPr>
                  <w:tcW w:w="481" w:type="pct"/>
                  <w:tcBorders>
                    <w:tl2br w:val="nil"/>
                    <w:tr2bl w:val="nil"/>
                  </w:tcBorders>
                  <w:noWrap w:val="0"/>
                  <w:vAlign w:val="center"/>
                </w:tcPr>
                <w:p w14:paraId="73EFCE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500</w:t>
                  </w:r>
                  <w:r>
                    <w:rPr>
                      <w:rFonts w:hint="default" w:cs="Times New Roman"/>
                      <w:color w:val="auto"/>
                      <w:sz w:val="21"/>
                      <w:szCs w:val="21"/>
                      <w:highlight w:val="none"/>
                      <w:lang w:val="en-US" w:eastAsia="zh-CN"/>
                    </w:rPr>
                    <w:t>人</w:t>
                  </w:r>
                </w:p>
              </w:tc>
              <w:tc>
                <w:tcPr>
                  <w:tcW w:w="704" w:type="pct"/>
                  <w:tcBorders>
                    <w:tl2br w:val="nil"/>
                    <w:tr2bl w:val="nil"/>
                  </w:tcBorders>
                  <w:noWrap w:val="0"/>
                  <w:vAlign w:val="center"/>
                </w:tcPr>
                <w:p w14:paraId="1B484C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cs="Times New Roman"/>
                      <w:color w:val="auto"/>
                      <w:sz w:val="21"/>
                      <w:szCs w:val="21"/>
                      <w:highlight w:val="none"/>
                      <w:lang w:val="en-US" w:eastAsia="zh-CN"/>
                    </w:rPr>
                  </w:pPr>
                  <w:r>
                    <w:rPr>
                      <w:rFonts w:hint="default" w:cs="Times New Roman"/>
                      <w:color w:val="auto"/>
                      <w:sz w:val="21"/>
                      <w:szCs w:val="21"/>
                      <w:highlight w:val="none"/>
                      <w:lang w:val="en-US" w:eastAsia="zh-CN"/>
                    </w:rPr>
                    <w:t>二类环境空气功能区</w:t>
                  </w:r>
                </w:p>
              </w:tc>
            </w:tr>
            <w:tr w14:paraId="6B0BC7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57" w:hRule="atLeast"/>
                <w:jc w:val="center"/>
              </w:trPr>
              <w:tc>
                <w:tcPr>
                  <w:tcW w:w="402" w:type="pct"/>
                  <w:tcBorders>
                    <w:tl2br w:val="nil"/>
                    <w:tr2bl w:val="nil"/>
                  </w:tcBorders>
                  <w:noWrap w:val="0"/>
                  <w:vAlign w:val="center"/>
                </w:tcPr>
                <w:p w14:paraId="011C84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地表水</w:t>
                  </w:r>
                </w:p>
              </w:tc>
              <w:tc>
                <w:tcPr>
                  <w:tcW w:w="483" w:type="pct"/>
                  <w:tcBorders>
                    <w:tl2br w:val="nil"/>
                    <w:tr2bl w:val="nil"/>
                  </w:tcBorders>
                  <w:noWrap w:val="0"/>
                  <w:vAlign w:val="center"/>
                </w:tcPr>
                <w:p w14:paraId="7376A7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rPr>
                    <w:t>细河</w:t>
                  </w:r>
                </w:p>
              </w:tc>
              <w:tc>
                <w:tcPr>
                  <w:tcW w:w="3409" w:type="pct"/>
                  <w:gridSpan w:val="5"/>
                  <w:tcBorders>
                    <w:tl2br w:val="nil"/>
                    <w:tr2bl w:val="nil"/>
                  </w:tcBorders>
                  <w:noWrap w:val="0"/>
                  <w:vAlign w:val="center"/>
                </w:tcPr>
                <w:p w14:paraId="5D05479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rightChars="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厂区南侧</w:t>
                  </w:r>
                  <w:r>
                    <w:rPr>
                      <w:rFonts w:hint="eastAsia" w:cs="Times New Roman"/>
                      <w:color w:val="auto"/>
                      <w:sz w:val="21"/>
                      <w:szCs w:val="21"/>
                      <w:highlight w:val="none"/>
                      <w:lang w:val="en-US" w:eastAsia="zh-CN"/>
                    </w:rPr>
                    <w:t>3.45km</w:t>
                  </w:r>
                </w:p>
              </w:tc>
              <w:tc>
                <w:tcPr>
                  <w:tcW w:w="704" w:type="pct"/>
                  <w:tcBorders>
                    <w:tl2br w:val="nil"/>
                    <w:tr2bl w:val="nil"/>
                  </w:tcBorders>
                  <w:noWrap w:val="0"/>
                  <w:vAlign w:val="center"/>
                </w:tcPr>
                <w:p w14:paraId="49EE152C">
                  <w:pPr>
                    <w:keepNext w:val="0"/>
                    <w:keepLines w:val="0"/>
                    <w:pageBreakBefore w:val="0"/>
                    <w:widowControl w:val="0"/>
                    <w:suppressLineNumbers w:val="0"/>
                    <w:tabs>
                      <w:tab w:val="left" w:pos="4425"/>
                    </w:tabs>
                    <w:kinsoku/>
                    <w:wordWrap/>
                    <w:overflowPunct/>
                    <w:topLinePunct w:val="0"/>
                    <w:autoSpaceDE/>
                    <w:autoSpaceDN/>
                    <w:bidi w:val="0"/>
                    <w:adjustRightInd/>
                    <w:snapToGrid/>
                    <w:spacing w:before="0" w:beforeAutospacing="0" w:after="0" w:afterAutospacing="0"/>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Times New Roman" w:cs="Times New Roman"/>
                      <w:color w:val="auto"/>
                      <w:spacing w:val="7"/>
                      <w:sz w:val="21"/>
                      <w:szCs w:val="21"/>
                      <w:highlight w:val="none"/>
                    </w:rPr>
                    <w:t>Ⅳ</w:t>
                  </w:r>
                  <w:r>
                    <w:rPr>
                      <w:rFonts w:hint="default"/>
                      <w:color w:val="auto"/>
                      <w:spacing w:val="7"/>
                      <w:sz w:val="21"/>
                      <w:szCs w:val="21"/>
                      <w:highlight w:val="none"/>
                    </w:rPr>
                    <w:t>类</w:t>
                  </w:r>
                </w:p>
              </w:tc>
            </w:tr>
          </w:tbl>
          <w:p w14:paraId="1F74F4CF">
            <w:pPr>
              <w:pStyle w:val="9"/>
              <w:keepNext w:val="0"/>
              <w:keepLines w:val="0"/>
              <w:suppressLineNumbers w:val="0"/>
              <w:spacing w:beforeAutospacing="0" w:afterAutospacing="0"/>
              <w:ind w:left="0"/>
              <w:rPr>
                <w:rFonts w:hint="default" w:ascii="Times New Roman" w:hAnsi="Times New Roman" w:cs="Times New Roman"/>
                <w:color w:val="auto"/>
                <w:highlight w:val="none"/>
                <w:lang w:val="en-US" w:eastAsia="zh-CN"/>
              </w:rPr>
            </w:pPr>
          </w:p>
        </w:tc>
      </w:tr>
      <w:tr w14:paraId="2BA77C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0" w:hRule="atLeast"/>
          <w:jc w:val="center"/>
        </w:trPr>
        <w:tc>
          <w:tcPr>
            <w:tcW w:w="737" w:type="dxa"/>
            <w:noWrap w:val="0"/>
            <w:tcMar>
              <w:left w:w="28" w:type="dxa"/>
              <w:right w:w="28" w:type="dxa"/>
            </w:tcMar>
            <w:vAlign w:val="center"/>
          </w:tcPr>
          <w:p w14:paraId="0BFAD06E">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Cs w:val="21"/>
                <w:highlight w:val="none"/>
              </w:rPr>
            </w:pPr>
            <w:r>
              <w:rPr>
                <w:rFonts w:hint="default" w:ascii="Times New Roman" w:hAnsi="Times New Roman" w:eastAsia="宋体" w:cs="Times New Roman"/>
                <w:color w:val="auto"/>
                <w:kern w:val="0"/>
                <w:sz w:val="24"/>
                <w:szCs w:val="24"/>
                <w:highlight w:val="none"/>
              </w:rPr>
              <w:t>污染物排放控制标准</w:t>
            </w:r>
          </w:p>
        </w:tc>
        <w:tc>
          <w:tcPr>
            <w:tcW w:w="8324" w:type="dxa"/>
            <w:noWrap w:val="0"/>
            <w:vAlign w:val="center"/>
          </w:tcPr>
          <w:p w14:paraId="424D7214">
            <w:pPr>
              <w:keepNext w:val="0"/>
              <w:keepLines w:val="0"/>
              <w:widowControl/>
              <w:suppressLineNumbers w:val="0"/>
              <w:spacing w:before="0" w:beforeAutospacing="0" w:after="0" w:afterAutospacing="0" w:line="360" w:lineRule="auto"/>
              <w:ind w:left="0" w:right="0" w:firstLine="482" w:firstLineChars="200"/>
              <w:rPr>
                <w:rFonts w:hint="default" w:ascii="Times New Roman" w:hAnsi="Times New Roman" w:eastAsia="宋体" w:cs="Times New Roman"/>
                <w:b/>
                <w:color w:val="auto"/>
                <w:kern w:val="0"/>
                <w:sz w:val="24"/>
                <w:szCs w:val="20"/>
                <w:highlight w:val="none"/>
                <w:lang w:val="en-US" w:eastAsia="zh-CN"/>
              </w:rPr>
            </w:pPr>
            <w:r>
              <w:rPr>
                <w:rFonts w:hint="default" w:ascii="Times New Roman" w:hAnsi="Times New Roman" w:eastAsia="宋体" w:cs="Times New Roman"/>
                <w:b/>
                <w:color w:val="auto"/>
                <w:kern w:val="0"/>
                <w:sz w:val="24"/>
                <w:szCs w:val="20"/>
                <w:highlight w:val="none"/>
                <w:lang w:val="en-US" w:eastAsia="zh-CN"/>
              </w:rPr>
              <w:t>1、废气</w:t>
            </w:r>
          </w:p>
          <w:p w14:paraId="18F072E0">
            <w:pPr>
              <w:keepNext w:val="0"/>
              <w:keepLines w:val="0"/>
              <w:widowControl/>
              <w:suppressLineNumbers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auto"/>
                <w:kern w:val="0"/>
                <w:sz w:val="24"/>
                <w:highlight w:val="none"/>
                <w:lang w:bidi="ar"/>
              </w:rPr>
            </w:pPr>
            <w:r>
              <w:rPr>
                <w:rFonts w:hint="default" w:ascii="Times New Roman" w:hAnsi="Times New Roman" w:eastAsia="宋体" w:cs="Times New Roman"/>
                <w:b/>
                <w:bCs/>
                <w:color w:val="auto"/>
                <w:kern w:val="0"/>
                <w:sz w:val="24"/>
                <w:highlight w:val="none"/>
                <w:lang w:eastAsia="zh-CN" w:bidi="ar"/>
              </w:rPr>
              <w:t>（</w:t>
            </w:r>
            <w:r>
              <w:rPr>
                <w:rFonts w:hint="default" w:ascii="Times New Roman" w:hAnsi="Times New Roman" w:eastAsia="宋体" w:cs="Times New Roman"/>
                <w:b/>
                <w:bCs/>
                <w:color w:val="auto"/>
                <w:kern w:val="0"/>
                <w:sz w:val="24"/>
                <w:highlight w:val="none"/>
                <w:lang w:val="en-US" w:eastAsia="zh-CN" w:bidi="ar"/>
              </w:rPr>
              <w:t>1</w:t>
            </w:r>
            <w:r>
              <w:rPr>
                <w:rFonts w:hint="default" w:ascii="Times New Roman" w:hAnsi="Times New Roman" w:eastAsia="宋体" w:cs="Times New Roman"/>
                <w:b/>
                <w:bCs/>
                <w:color w:val="auto"/>
                <w:kern w:val="0"/>
                <w:sz w:val="24"/>
                <w:highlight w:val="none"/>
                <w:lang w:eastAsia="zh-CN" w:bidi="ar"/>
              </w:rPr>
              <w:t>）</w:t>
            </w:r>
            <w:r>
              <w:rPr>
                <w:rFonts w:hint="default" w:ascii="Times New Roman" w:hAnsi="Times New Roman" w:eastAsia="宋体" w:cs="Times New Roman"/>
                <w:b/>
                <w:bCs/>
                <w:color w:val="auto"/>
                <w:kern w:val="0"/>
                <w:sz w:val="24"/>
                <w:highlight w:val="none"/>
                <w:lang w:bidi="ar"/>
              </w:rPr>
              <w:t>施工期：</w:t>
            </w:r>
          </w:p>
          <w:p w14:paraId="0DD93D69">
            <w:pPr>
              <w:keepNext w:val="0"/>
              <w:keepLines w:val="0"/>
              <w:widowControl/>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施工期扬尘排放标准执行《施工及堆料场地扬尘排放标</w:t>
            </w:r>
            <w:r>
              <w:rPr>
                <w:rFonts w:hint="default" w:ascii="Times New Roman" w:hAnsi="Times New Roman" w:eastAsia="宋体" w:cs="Times New Roman"/>
                <w:color w:val="auto"/>
                <w:kern w:val="0"/>
                <w:sz w:val="24"/>
                <w:highlight w:val="none"/>
                <w:lang w:eastAsia="zh-CN" w:bidi="ar"/>
              </w:rPr>
              <w:t>准</w:t>
            </w:r>
            <w:r>
              <w:rPr>
                <w:rFonts w:hint="default" w:ascii="Times New Roman" w:hAnsi="Times New Roman" w:eastAsia="宋体" w:cs="Times New Roman"/>
                <w:color w:val="auto"/>
                <w:highlight w:val="none"/>
                <w:lang w:eastAsia="zh-CN"/>
              </w:rPr>
              <w:t>》</w:t>
            </w:r>
            <w:r>
              <w:rPr>
                <w:rFonts w:hint="default" w:ascii="Times New Roman" w:hAnsi="Times New Roman" w:eastAsia="宋体" w:cs="Times New Roman"/>
                <w:color w:val="auto"/>
                <w:kern w:val="0"/>
                <w:sz w:val="24"/>
                <w:highlight w:val="none"/>
                <w:lang w:bidi="ar"/>
              </w:rPr>
              <w:t>（DB21/2642-2016）中表1扬尘排放浓度限值</w:t>
            </w:r>
            <w:r>
              <w:rPr>
                <w:rFonts w:hint="default" w:ascii="Times New Roman" w:hAnsi="Times New Roman" w:eastAsia="宋体" w:cs="Times New Roman"/>
                <w:color w:val="auto"/>
                <w:sz w:val="24"/>
                <w:highlight w:val="none"/>
                <w:lang w:bidi="ar"/>
              </w:rPr>
              <w:t>。</w:t>
            </w:r>
          </w:p>
          <w:p w14:paraId="2421DF2B">
            <w:pPr>
              <w:pStyle w:val="94"/>
              <w:keepNext w:val="0"/>
              <w:keepLines w:val="0"/>
              <w:widowControl/>
              <w:suppressLineNumbers w:val="0"/>
              <w:spacing w:before="0" w:beforeAutospacing="0" w:after="0" w:afterAutospacing="0"/>
              <w:ind w:left="0" w:right="0"/>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表3-</w:t>
            </w:r>
            <w:r>
              <w:rPr>
                <w:rFonts w:hint="eastAsia" w:cs="Times New Roman"/>
                <w:b/>
                <w:bCs/>
                <w:color w:val="auto"/>
                <w:highlight w:val="none"/>
                <w:lang w:val="en-US" w:eastAsia="zh-CN"/>
              </w:rPr>
              <w:t>6</w:t>
            </w:r>
            <w:r>
              <w:rPr>
                <w:rFonts w:hint="default" w:ascii="Times New Roman" w:hAnsi="Times New Roman" w:eastAsia="宋体" w:cs="Times New Roman"/>
                <w:b/>
                <w:bCs/>
                <w:color w:val="auto"/>
                <w:highlight w:val="none"/>
              </w:rPr>
              <w:t xml:space="preserve">  施工及堆料场地扬尘排放标准限值</w:t>
            </w:r>
          </w:p>
          <w:tbl>
            <w:tblPr>
              <w:tblStyle w:val="26"/>
              <w:tblW w:w="4997"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996"/>
              <w:gridCol w:w="2505"/>
              <w:gridCol w:w="4488"/>
            </w:tblGrid>
            <w:tr w14:paraId="3B4F12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283" w:hRule="exact"/>
                <w:jc w:val="center"/>
              </w:trPr>
              <w:tc>
                <w:tcPr>
                  <w:tcW w:w="1110" w:type="pct"/>
                  <w:tcBorders>
                    <w:tl2br w:val="nil"/>
                    <w:tr2bl w:val="nil"/>
                  </w:tcBorders>
                  <w:noWrap w:val="0"/>
                  <w:vAlign w:val="center"/>
                </w:tcPr>
                <w:p w14:paraId="45C65073">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z w:val="21"/>
                      <w:highlight w:val="none"/>
                      <w:lang w:eastAsia="zh-CN"/>
                    </w:rPr>
                  </w:pPr>
                  <w:r>
                    <w:rPr>
                      <w:rFonts w:hint="default" w:ascii="Times New Roman" w:hAnsi="Times New Roman" w:eastAsia="宋体" w:cs="Times New Roman"/>
                      <w:b/>
                      <w:bCs/>
                      <w:color w:val="auto"/>
                      <w:sz w:val="21"/>
                      <w:highlight w:val="none"/>
                      <w:lang w:eastAsia="zh-CN"/>
                    </w:rPr>
                    <w:t>项目</w:t>
                  </w:r>
                </w:p>
              </w:tc>
              <w:tc>
                <w:tcPr>
                  <w:tcW w:w="1393" w:type="pct"/>
                  <w:tcBorders>
                    <w:tl2br w:val="nil"/>
                    <w:tr2bl w:val="nil"/>
                  </w:tcBorders>
                  <w:noWrap w:val="0"/>
                  <w:vAlign w:val="center"/>
                </w:tcPr>
                <w:p w14:paraId="1E0E2808">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z w:val="21"/>
                      <w:highlight w:val="none"/>
                      <w:lang w:eastAsia="zh-CN"/>
                    </w:rPr>
                  </w:pPr>
                  <w:r>
                    <w:rPr>
                      <w:rFonts w:hint="default" w:ascii="Times New Roman" w:hAnsi="Times New Roman" w:eastAsia="宋体" w:cs="Times New Roman"/>
                      <w:b/>
                      <w:bCs/>
                      <w:color w:val="auto"/>
                      <w:sz w:val="21"/>
                      <w:highlight w:val="none"/>
                      <w:lang w:eastAsia="zh-CN"/>
                    </w:rPr>
                    <w:t>区域</w:t>
                  </w:r>
                </w:p>
              </w:tc>
              <w:tc>
                <w:tcPr>
                  <w:tcW w:w="2496" w:type="pct"/>
                  <w:tcBorders>
                    <w:tl2br w:val="nil"/>
                    <w:tr2bl w:val="nil"/>
                  </w:tcBorders>
                  <w:noWrap w:val="0"/>
                  <w:vAlign w:val="center"/>
                </w:tcPr>
                <w:p w14:paraId="78700E2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z w:val="21"/>
                      <w:highlight w:val="none"/>
                      <w:lang w:eastAsia="zh-CN"/>
                    </w:rPr>
                  </w:pPr>
                  <w:r>
                    <w:rPr>
                      <w:rFonts w:hint="default" w:ascii="Times New Roman" w:hAnsi="Times New Roman" w:eastAsia="宋体" w:cs="Times New Roman"/>
                      <w:b/>
                      <w:bCs/>
                      <w:color w:val="auto"/>
                      <w:sz w:val="21"/>
                      <w:highlight w:val="none"/>
                      <w:lang w:eastAsia="zh-CN"/>
                    </w:rPr>
                    <w:t>浓度限值（连续5min平均浓度）</w:t>
                  </w:r>
                </w:p>
              </w:tc>
            </w:tr>
            <w:tr w14:paraId="624E0D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110" w:type="pct"/>
                  <w:tcBorders>
                    <w:tl2br w:val="nil"/>
                    <w:tr2bl w:val="nil"/>
                  </w:tcBorders>
                  <w:noWrap w:val="0"/>
                  <w:vAlign w:val="center"/>
                </w:tcPr>
                <w:p w14:paraId="7D8DB7DF">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val="0"/>
                      <w:bCs w:val="0"/>
                      <w:color w:val="auto"/>
                      <w:sz w:val="21"/>
                      <w:highlight w:val="none"/>
                      <w:lang w:eastAsia="zh-CN"/>
                    </w:rPr>
                  </w:pPr>
                  <w:r>
                    <w:rPr>
                      <w:rFonts w:hint="default" w:ascii="Times New Roman" w:hAnsi="Times New Roman" w:eastAsia="宋体" w:cs="Times New Roman"/>
                      <w:b w:val="0"/>
                      <w:bCs w:val="0"/>
                      <w:color w:val="auto"/>
                      <w:sz w:val="21"/>
                      <w:highlight w:val="none"/>
                      <w:lang w:eastAsia="zh-CN"/>
                    </w:rPr>
                    <w:t>颗粒物</w:t>
                  </w:r>
                </w:p>
              </w:tc>
              <w:tc>
                <w:tcPr>
                  <w:tcW w:w="1393" w:type="pct"/>
                  <w:tcBorders>
                    <w:tl2br w:val="nil"/>
                    <w:tr2bl w:val="nil"/>
                  </w:tcBorders>
                  <w:noWrap w:val="0"/>
                  <w:vAlign w:val="center"/>
                </w:tcPr>
                <w:p w14:paraId="400D514B">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val="0"/>
                      <w:bCs w:val="0"/>
                      <w:color w:val="auto"/>
                      <w:sz w:val="21"/>
                      <w:highlight w:val="none"/>
                      <w:lang w:eastAsia="zh-CN"/>
                    </w:rPr>
                  </w:pPr>
                  <w:r>
                    <w:rPr>
                      <w:rFonts w:hint="default" w:ascii="Times New Roman" w:hAnsi="Times New Roman" w:eastAsia="宋体" w:cs="Times New Roman"/>
                      <w:b w:val="0"/>
                      <w:bCs w:val="0"/>
                      <w:color w:val="auto"/>
                      <w:sz w:val="21"/>
                      <w:highlight w:val="none"/>
                      <w:lang w:eastAsia="zh-CN"/>
                    </w:rPr>
                    <w:t>城镇建成区</w:t>
                  </w:r>
                </w:p>
              </w:tc>
              <w:tc>
                <w:tcPr>
                  <w:tcW w:w="2496" w:type="pct"/>
                  <w:tcBorders>
                    <w:tl2br w:val="nil"/>
                    <w:tr2bl w:val="nil"/>
                  </w:tcBorders>
                  <w:noWrap w:val="0"/>
                  <w:vAlign w:val="center"/>
                </w:tcPr>
                <w:p w14:paraId="47A36DD4">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val="0"/>
                      <w:bCs w:val="0"/>
                      <w:color w:val="auto"/>
                      <w:sz w:val="21"/>
                      <w:highlight w:val="none"/>
                      <w:lang w:eastAsia="zh-CN"/>
                    </w:rPr>
                  </w:pPr>
                  <w:r>
                    <w:rPr>
                      <w:rFonts w:hint="default" w:ascii="Times New Roman" w:hAnsi="Times New Roman" w:eastAsia="宋体" w:cs="Times New Roman"/>
                      <w:b w:val="0"/>
                      <w:bCs w:val="0"/>
                      <w:color w:val="auto"/>
                      <w:sz w:val="21"/>
                      <w:highlight w:val="none"/>
                      <w:lang w:val="en-US" w:eastAsia="zh-CN"/>
                    </w:rPr>
                    <w:t>0.8</w:t>
                  </w:r>
                  <w:r>
                    <w:rPr>
                      <w:rFonts w:hint="default" w:ascii="Times New Roman" w:hAnsi="Times New Roman" w:eastAsia="宋体" w:cs="Times New Roman"/>
                      <w:b w:val="0"/>
                      <w:bCs w:val="0"/>
                      <w:color w:val="auto"/>
                      <w:sz w:val="21"/>
                      <w:highlight w:val="none"/>
                      <w:lang w:eastAsia="zh-CN"/>
                    </w:rPr>
                    <w:t>mg/m</w:t>
                  </w:r>
                  <w:r>
                    <w:rPr>
                      <w:rFonts w:hint="default" w:ascii="Times New Roman" w:hAnsi="Times New Roman" w:eastAsia="宋体" w:cs="Times New Roman"/>
                      <w:b w:val="0"/>
                      <w:bCs w:val="0"/>
                      <w:color w:val="auto"/>
                      <w:sz w:val="21"/>
                      <w:highlight w:val="none"/>
                      <w:vertAlign w:val="superscript"/>
                      <w:lang w:eastAsia="zh-CN"/>
                    </w:rPr>
                    <w:t>3</w:t>
                  </w:r>
                </w:p>
              </w:tc>
            </w:tr>
          </w:tbl>
          <w:p w14:paraId="6549BA12">
            <w:pPr>
              <w:keepNext w:val="0"/>
              <w:keepLines w:val="0"/>
              <w:widowControl/>
              <w:suppressLineNumbers w:val="0"/>
              <w:spacing w:before="0" w:beforeAutospacing="0" w:after="0" w:afterAutospacing="0" w:line="360" w:lineRule="auto"/>
              <w:ind w:left="0" w:right="0" w:firstLine="482" w:firstLineChars="200"/>
              <w:jc w:val="left"/>
              <w:rPr>
                <w:rFonts w:hint="default" w:ascii="Times New Roman" w:hAnsi="Times New Roman" w:eastAsia="宋体" w:cs="Times New Roman"/>
                <w:b/>
                <w:bCs/>
                <w:color w:val="auto"/>
                <w:kern w:val="0"/>
                <w:sz w:val="24"/>
                <w:highlight w:val="none"/>
                <w:lang w:bidi="ar"/>
              </w:rPr>
            </w:pPr>
            <w:r>
              <w:rPr>
                <w:rFonts w:hint="default" w:ascii="Times New Roman" w:hAnsi="Times New Roman" w:eastAsia="宋体" w:cs="Times New Roman"/>
                <w:b/>
                <w:bCs/>
                <w:color w:val="auto"/>
                <w:kern w:val="0"/>
                <w:sz w:val="24"/>
                <w:highlight w:val="none"/>
                <w:lang w:eastAsia="zh-CN" w:bidi="ar"/>
              </w:rPr>
              <w:t>（</w:t>
            </w:r>
            <w:r>
              <w:rPr>
                <w:rFonts w:hint="default" w:ascii="Times New Roman" w:hAnsi="Times New Roman" w:eastAsia="宋体" w:cs="Times New Roman"/>
                <w:b/>
                <w:bCs/>
                <w:color w:val="auto"/>
                <w:kern w:val="0"/>
                <w:sz w:val="24"/>
                <w:highlight w:val="none"/>
                <w:lang w:val="en-US" w:eastAsia="zh-CN" w:bidi="ar"/>
              </w:rPr>
              <w:t>2</w:t>
            </w:r>
            <w:r>
              <w:rPr>
                <w:rFonts w:hint="default" w:ascii="Times New Roman" w:hAnsi="Times New Roman" w:eastAsia="宋体" w:cs="Times New Roman"/>
                <w:b/>
                <w:bCs/>
                <w:color w:val="auto"/>
                <w:kern w:val="0"/>
                <w:sz w:val="24"/>
                <w:highlight w:val="none"/>
                <w:lang w:eastAsia="zh-CN" w:bidi="ar"/>
              </w:rPr>
              <w:t>）</w:t>
            </w:r>
            <w:r>
              <w:rPr>
                <w:rFonts w:hint="eastAsia" w:cs="Times New Roman"/>
                <w:b/>
                <w:bCs/>
                <w:color w:val="auto"/>
                <w:kern w:val="0"/>
                <w:sz w:val="24"/>
                <w:highlight w:val="none"/>
                <w:lang w:val="en-US" w:eastAsia="zh-CN" w:bidi="ar"/>
              </w:rPr>
              <w:t>运营</w:t>
            </w:r>
            <w:r>
              <w:rPr>
                <w:rFonts w:hint="default" w:ascii="Times New Roman" w:hAnsi="Times New Roman" w:eastAsia="宋体" w:cs="Times New Roman"/>
                <w:b/>
                <w:bCs/>
                <w:color w:val="auto"/>
                <w:kern w:val="0"/>
                <w:sz w:val="24"/>
                <w:highlight w:val="none"/>
                <w:lang w:bidi="ar"/>
              </w:rPr>
              <w:t>期：</w:t>
            </w:r>
          </w:p>
          <w:p w14:paraId="0BBAB08E">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color w:val="auto"/>
                <w:kern w:val="0"/>
                <w:szCs w:val="21"/>
                <w:highlight w:val="none"/>
                <w:lang w:bidi="ar"/>
              </w:rPr>
            </w:pPr>
            <w:r>
              <w:rPr>
                <w:rFonts w:hint="default" w:ascii="Times New Roman" w:hAnsi="Times New Roman" w:eastAsia="宋体" w:cs="Times New Roman"/>
                <w:color w:val="auto"/>
                <w:sz w:val="24"/>
                <w:highlight w:val="none"/>
                <w:lang w:bidi="ar"/>
              </w:rPr>
              <w:t>本项目产生的有机废气</w:t>
            </w:r>
            <w:r>
              <w:rPr>
                <w:rFonts w:hint="eastAsia" w:cs="Times New Roman"/>
                <w:color w:val="auto"/>
                <w:sz w:val="24"/>
                <w:highlight w:val="none"/>
                <w:lang w:val="en-US" w:eastAsia="zh-CN" w:bidi="ar"/>
              </w:rPr>
              <w:t>和颗粒物</w:t>
            </w:r>
            <w:r>
              <w:rPr>
                <w:rFonts w:hint="default" w:ascii="Times New Roman" w:hAnsi="Times New Roman" w:eastAsia="宋体" w:cs="Times New Roman"/>
                <w:color w:val="auto"/>
                <w:sz w:val="24"/>
                <w:highlight w:val="none"/>
                <w:lang w:bidi="ar"/>
              </w:rPr>
              <w:t>执行《大气</w:t>
            </w:r>
            <w:r>
              <w:rPr>
                <w:rFonts w:hint="eastAsia" w:cs="Times New Roman"/>
                <w:color w:val="auto"/>
                <w:sz w:val="24"/>
                <w:highlight w:val="none"/>
                <w:lang w:val="en-US" w:eastAsia="zh-CN" w:bidi="ar"/>
              </w:rPr>
              <w:t>污染物</w:t>
            </w:r>
            <w:r>
              <w:rPr>
                <w:rFonts w:hint="default" w:ascii="Times New Roman" w:hAnsi="Times New Roman" w:eastAsia="宋体" w:cs="Times New Roman"/>
                <w:color w:val="auto"/>
                <w:sz w:val="24"/>
                <w:highlight w:val="none"/>
                <w:lang w:bidi="ar"/>
              </w:rPr>
              <w:t>综合排放标准》（GB16297-1996）表2新污染源大气污染物排放限值二级标准。有机废气厂区内无组织排放监控点浓度执行《挥发性有机物无组织排放控制标准》（GB37822-2019）中监控点处1h平均浓度值，</w:t>
            </w:r>
            <w:r>
              <w:rPr>
                <w:rFonts w:hint="eastAsia" w:cs="Times New Roman"/>
                <w:color w:val="auto"/>
                <w:sz w:val="24"/>
                <w:highlight w:val="none"/>
                <w:lang w:val="en-US" w:eastAsia="zh-CN" w:bidi="ar"/>
              </w:rPr>
              <w:t>详见下表</w:t>
            </w:r>
            <w:r>
              <w:rPr>
                <w:rFonts w:hint="default" w:ascii="Times New Roman" w:hAnsi="Times New Roman" w:eastAsia="宋体" w:cs="Times New Roman"/>
                <w:color w:val="auto"/>
                <w:sz w:val="24"/>
                <w:highlight w:val="none"/>
                <w:lang w:bidi="ar"/>
              </w:rPr>
              <w:t>。</w:t>
            </w:r>
          </w:p>
          <w:p w14:paraId="504DFEC0">
            <w:pPr>
              <w:keepNext w:val="0"/>
              <w:keepLines w:val="0"/>
              <w:suppressLineNumbers w:val="0"/>
              <w:spacing w:before="0" w:beforeAutospacing="0" w:after="0" w:afterAutospacing="0" w:line="320" w:lineRule="exact"/>
              <w:ind w:left="0" w:right="0"/>
              <w:jc w:val="center"/>
              <w:rPr>
                <w:rFonts w:hint="default" w:ascii="Times New Roman" w:hAnsi="Times New Roman" w:eastAsia="宋体" w:cs="Times New Roman"/>
                <w:b/>
                <w:color w:val="auto"/>
                <w:szCs w:val="21"/>
                <w:highlight w:val="none"/>
                <w:vertAlign w:val="superscript"/>
              </w:rPr>
            </w:pPr>
            <w:r>
              <w:rPr>
                <w:rFonts w:hint="default" w:ascii="Times New Roman" w:hAnsi="Times New Roman" w:eastAsia="宋体" w:cs="Times New Roman"/>
                <w:b/>
                <w:color w:val="auto"/>
                <w:kern w:val="0"/>
                <w:szCs w:val="21"/>
                <w:highlight w:val="none"/>
                <w:lang w:bidi="ar"/>
              </w:rPr>
              <w:t>表3-</w:t>
            </w:r>
            <w:r>
              <w:rPr>
                <w:rFonts w:hint="eastAsia" w:cs="Times New Roman"/>
                <w:b/>
                <w:color w:val="auto"/>
                <w:kern w:val="0"/>
                <w:szCs w:val="21"/>
                <w:highlight w:val="none"/>
                <w:lang w:val="en-US" w:eastAsia="zh-CN" w:bidi="ar"/>
              </w:rPr>
              <w:t>7</w:t>
            </w:r>
            <w:r>
              <w:rPr>
                <w:rFonts w:hint="default" w:ascii="Times New Roman" w:hAnsi="Times New Roman" w:eastAsia="宋体" w:cs="Times New Roman"/>
                <w:b/>
                <w:color w:val="auto"/>
                <w:kern w:val="0"/>
                <w:szCs w:val="21"/>
                <w:highlight w:val="none"/>
                <w:lang w:bidi="ar"/>
              </w:rPr>
              <w:t xml:space="preserve"> </w:t>
            </w:r>
            <w:r>
              <w:rPr>
                <w:rFonts w:hint="default" w:ascii="Times New Roman" w:hAnsi="Times New Roman" w:eastAsia="宋体" w:cs="Times New Roman"/>
                <w:b/>
                <w:color w:val="auto"/>
                <w:kern w:val="0"/>
                <w:szCs w:val="21"/>
                <w:highlight w:val="none"/>
                <w:lang w:val="en-US" w:eastAsia="zh-CN" w:bidi="ar"/>
              </w:rPr>
              <w:t xml:space="preserve"> </w:t>
            </w:r>
            <w:r>
              <w:rPr>
                <w:rFonts w:hint="default" w:ascii="Times New Roman" w:hAnsi="Times New Roman" w:eastAsia="宋体" w:cs="Times New Roman"/>
                <w:b/>
                <w:color w:val="auto"/>
                <w:kern w:val="0"/>
                <w:szCs w:val="21"/>
                <w:highlight w:val="none"/>
                <w:lang w:bidi="ar"/>
              </w:rPr>
              <w:t>废气</w:t>
            </w:r>
            <w:r>
              <w:rPr>
                <w:rFonts w:hint="eastAsia" w:cs="Times New Roman"/>
                <w:b/>
                <w:color w:val="auto"/>
                <w:kern w:val="0"/>
                <w:szCs w:val="21"/>
                <w:highlight w:val="none"/>
                <w:lang w:val="en-US" w:eastAsia="zh-CN" w:bidi="ar"/>
              </w:rPr>
              <w:t>污染物</w:t>
            </w:r>
            <w:r>
              <w:rPr>
                <w:rFonts w:hint="default" w:ascii="Times New Roman" w:hAnsi="Times New Roman" w:eastAsia="宋体" w:cs="Times New Roman"/>
                <w:b/>
                <w:color w:val="auto"/>
                <w:kern w:val="0"/>
                <w:szCs w:val="21"/>
                <w:highlight w:val="none"/>
                <w:lang w:bidi="ar"/>
              </w:rPr>
              <w:t>排放执行标准</w:t>
            </w:r>
          </w:p>
          <w:tbl>
            <w:tblPr>
              <w:tblStyle w:val="26"/>
              <w:tblW w:w="8994" w:type="dxa"/>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81"/>
              <w:gridCol w:w="1657"/>
              <w:gridCol w:w="1551"/>
              <w:gridCol w:w="880"/>
              <w:gridCol w:w="1637"/>
              <w:gridCol w:w="2288"/>
            </w:tblGrid>
            <w:tr w14:paraId="500C02E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546" w:type="pct"/>
                  <w:tcBorders>
                    <w:tl2br w:val="nil"/>
                    <w:tr2bl w:val="nil"/>
                  </w:tcBorders>
                  <w:noWrap w:val="0"/>
                  <w:vAlign w:val="center"/>
                </w:tcPr>
                <w:p w14:paraId="721057E2">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污染物</w:t>
                  </w:r>
                </w:p>
              </w:tc>
              <w:tc>
                <w:tcPr>
                  <w:tcW w:w="921" w:type="pct"/>
                  <w:tcBorders>
                    <w:tl2br w:val="nil"/>
                    <w:tr2bl w:val="nil"/>
                  </w:tcBorders>
                  <w:noWrap w:val="0"/>
                  <w:vAlign w:val="center"/>
                </w:tcPr>
                <w:p w14:paraId="4182DEFE">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最高允许排放浓度（mg/m</w:t>
                  </w:r>
                  <w:r>
                    <w:rPr>
                      <w:rFonts w:hint="default" w:ascii="Times New Roman" w:hAnsi="Times New Roman" w:eastAsia="宋体" w:cs="Times New Roman"/>
                      <w:b/>
                      <w:color w:val="auto"/>
                      <w:kern w:val="2"/>
                      <w:sz w:val="21"/>
                      <w:szCs w:val="21"/>
                      <w:highlight w:val="none"/>
                      <w:vertAlign w:val="superscript"/>
                    </w:rPr>
                    <w:t>3</w:t>
                  </w:r>
                  <w:r>
                    <w:rPr>
                      <w:rFonts w:hint="default" w:ascii="Times New Roman" w:hAnsi="Times New Roman" w:eastAsia="宋体" w:cs="Times New Roman"/>
                      <w:b/>
                      <w:color w:val="auto"/>
                      <w:kern w:val="2"/>
                      <w:sz w:val="21"/>
                      <w:szCs w:val="21"/>
                      <w:highlight w:val="none"/>
                    </w:rPr>
                    <w:t>）</w:t>
                  </w:r>
                </w:p>
              </w:tc>
              <w:tc>
                <w:tcPr>
                  <w:tcW w:w="862" w:type="pct"/>
                  <w:tcBorders>
                    <w:tl2br w:val="nil"/>
                    <w:tr2bl w:val="nil"/>
                  </w:tcBorders>
                  <w:noWrap w:val="0"/>
                  <w:vAlign w:val="center"/>
                </w:tcPr>
                <w:p w14:paraId="21759ABD">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最高允许排放速率（kg/h）</w:t>
                  </w:r>
                </w:p>
              </w:tc>
              <w:tc>
                <w:tcPr>
                  <w:tcW w:w="489" w:type="pct"/>
                  <w:tcBorders>
                    <w:tl2br w:val="nil"/>
                    <w:tr2bl w:val="nil"/>
                  </w:tcBorders>
                  <w:noWrap w:val="0"/>
                  <w:vAlign w:val="center"/>
                </w:tcPr>
                <w:p w14:paraId="25DE3D74">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排气筒</w:t>
                  </w:r>
                </w:p>
                <w:p w14:paraId="552680E1">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（m）</w:t>
                  </w:r>
                </w:p>
              </w:tc>
              <w:tc>
                <w:tcPr>
                  <w:tcW w:w="910" w:type="pct"/>
                  <w:tcBorders>
                    <w:tl2br w:val="nil"/>
                    <w:tr2bl w:val="nil"/>
                  </w:tcBorders>
                  <w:noWrap w:val="0"/>
                  <w:vAlign w:val="center"/>
                </w:tcPr>
                <w:p w14:paraId="0E7FD26E">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无组织排放监控浓度限值</w:t>
                  </w:r>
                </w:p>
              </w:tc>
              <w:tc>
                <w:tcPr>
                  <w:tcW w:w="1270" w:type="pct"/>
                  <w:tcBorders>
                    <w:tl2br w:val="nil"/>
                    <w:tr2bl w:val="nil"/>
                  </w:tcBorders>
                  <w:noWrap w:val="0"/>
                  <w:vAlign w:val="center"/>
                </w:tcPr>
                <w:p w14:paraId="5C4EF090">
                  <w:pPr>
                    <w:pStyle w:val="95"/>
                    <w:widowControl/>
                    <w:jc w:val="center"/>
                    <w:rPr>
                      <w:rFonts w:hint="default" w:ascii="Times New Roman" w:hAnsi="Times New Roman" w:eastAsia="宋体" w:cs="Times New Roman"/>
                      <w:b/>
                      <w:color w:val="auto"/>
                      <w:kern w:val="2"/>
                      <w:sz w:val="21"/>
                      <w:szCs w:val="21"/>
                      <w:highlight w:val="none"/>
                    </w:rPr>
                  </w:pPr>
                  <w:r>
                    <w:rPr>
                      <w:rFonts w:hint="default" w:ascii="Times New Roman" w:hAnsi="Times New Roman" w:eastAsia="宋体" w:cs="Times New Roman"/>
                      <w:b/>
                      <w:color w:val="auto"/>
                      <w:kern w:val="2"/>
                      <w:sz w:val="21"/>
                      <w:szCs w:val="21"/>
                      <w:highlight w:val="none"/>
                    </w:rPr>
                    <w:t>执行标准</w:t>
                  </w:r>
                </w:p>
              </w:tc>
            </w:tr>
            <w:tr w14:paraId="5FBE78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97" w:hRule="atLeast"/>
              </w:trPr>
              <w:tc>
                <w:tcPr>
                  <w:tcW w:w="546" w:type="pct"/>
                  <w:tcBorders>
                    <w:tl2br w:val="nil"/>
                    <w:tr2bl w:val="nil"/>
                  </w:tcBorders>
                  <w:noWrap w:val="0"/>
                  <w:vAlign w:val="center"/>
                </w:tcPr>
                <w:p w14:paraId="757949F0">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非甲烷总烃</w:t>
                  </w:r>
                </w:p>
              </w:tc>
              <w:tc>
                <w:tcPr>
                  <w:tcW w:w="921" w:type="pct"/>
                  <w:tcBorders>
                    <w:tl2br w:val="nil"/>
                    <w:tr2bl w:val="nil"/>
                  </w:tcBorders>
                  <w:noWrap w:val="0"/>
                  <w:vAlign w:val="center"/>
                </w:tcPr>
                <w:p w14:paraId="69C237BF">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120</w:t>
                  </w:r>
                </w:p>
              </w:tc>
              <w:tc>
                <w:tcPr>
                  <w:tcW w:w="862" w:type="pct"/>
                  <w:tcBorders>
                    <w:tl2br w:val="nil"/>
                    <w:tr2bl w:val="nil"/>
                  </w:tcBorders>
                  <w:noWrap w:val="0"/>
                  <w:vAlign w:val="center"/>
                </w:tcPr>
                <w:p w14:paraId="1A20E344">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24.4</w:t>
                  </w:r>
                </w:p>
              </w:tc>
              <w:tc>
                <w:tcPr>
                  <w:tcW w:w="489" w:type="pct"/>
                  <w:tcBorders>
                    <w:tl2br w:val="nil"/>
                    <w:tr2bl w:val="nil"/>
                  </w:tcBorders>
                  <w:noWrap w:val="0"/>
                  <w:vAlign w:val="center"/>
                </w:tcPr>
                <w:p w14:paraId="325E6570">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24</w:t>
                  </w:r>
                </w:p>
              </w:tc>
              <w:tc>
                <w:tcPr>
                  <w:tcW w:w="910" w:type="pct"/>
                  <w:tcBorders>
                    <w:tl2br w:val="nil"/>
                    <w:tr2bl w:val="nil"/>
                  </w:tcBorders>
                  <w:noWrap w:val="0"/>
                  <w:vAlign w:val="center"/>
                </w:tcPr>
                <w:p w14:paraId="38FF3DB1">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4.0</w:t>
                  </w:r>
                </w:p>
              </w:tc>
              <w:tc>
                <w:tcPr>
                  <w:tcW w:w="1270" w:type="pct"/>
                  <w:vMerge w:val="restart"/>
                  <w:tcBorders>
                    <w:tl2br w:val="nil"/>
                    <w:tr2bl w:val="nil"/>
                  </w:tcBorders>
                  <w:noWrap w:val="0"/>
                  <w:vAlign w:val="center"/>
                </w:tcPr>
                <w:p w14:paraId="20244927">
                  <w:pPr>
                    <w:pStyle w:val="95"/>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《大气</w:t>
                  </w:r>
                  <w:r>
                    <w:rPr>
                      <w:rFonts w:hint="eastAsia" w:cs="Times New Roman"/>
                      <w:color w:val="auto"/>
                      <w:kern w:val="2"/>
                      <w:sz w:val="21"/>
                      <w:szCs w:val="21"/>
                      <w:highlight w:val="none"/>
                      <w:lang w:val="en-US" w:eastAsia="zh-CN"/>
                    </w:rPr>
                    <w:t>污染物</w:t>
                  </w:r>
                  <w:r>
                    <w:rPr>
                      <w:rFonts w:hint="default" w:ascii="Times New Roman" w:hAnsi="Times New Roman" w:eastAsia="宋体" w:cs="Times New Roman"/>
                      <w:color w:val="auto"/>
                      <w:kern w:val="2"/>
                      <w:sz w:val="21"/>
                      <w:szCs w:val="21"/>
                      <w:highlight w:val="none"/>
                    </w:rPr>
                    <w:t>综合排放标准》（GB16297-1996）表2中二级标准</w:t>
                  </w:r>
                </w:p>
              </w:tc>
            </w:tr>
            <w:tr w14:paraId="4F82EC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546" w:type="pct"/>
                  <w:tcBorders>
                    <w:tl2br w:val="nil"/>
                    <w:tr2bl w:val="nil"/>
                  </w:tcBorders>
                  <w:noWrap w:val="0"/>
                  <w:vAlign w:val="center"/>
                </w:tcPr>
                <w:p w14:paraId="2B5B414E">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颗粒物</w:t>
                  </w:r>
                </w:p>
              </w:tc>
              <w:tc>
                <w:tcPr>
                  <w:tcW w:w="921" w:type="pct"/>
                  <w:tcBorders>
                    <w:tl2br w:val="nil"/>
                    <w:tr2bl w:val="nil"/>
                  </w:tcBorders>
                  <w:noWrap w:val="0"/>
                  <w:vAlign w:val="center"/>
                </w:tcPr>
                <w:p w14:paraId="34B07C82">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120</w:t>
                  </w:r>
                </w:p>
              </w:tc>
              <w:tc>
                <w:tcPr>
                  <w:tcW w:w="862" w:type="pct"/>
                  <w:tcBorders>
                    <w:tl2br w:val="nil"/>
                    <w:tr2bl w:val="nil"/>
                  </w:tcBorders>
                  <w:noWrap w:val="0"/>
                  <w:vAlign w:val="center"/>
                </w:tcPr>
                <w:p w14:paraId="66F30988">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13.94</w:t>
                  </w:r>
                </w:p>
              </w:tc>
              <w:tc>
                <w:tcPr>
                  <w:tcW w:w="489" w:type="pct"/>
                  <w:tcBorders>
                    <w:tl2br w:val="nil"/>
                    <w:tr2bl w:val="nil"/>
                  </w:tcBorders>
                  <w:noWrap w:val="0"/>
                  <w:vAlign w:val="center"/>
                </w:tcPr>
                <w:p w14:paraId="247D45CF">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24</w:t>
                  </w:r>
                </w:p>
              </w:tc>
              <w:tc>
                <w:tcPr>
                  <w:tcW w:w="910" w:type="pct"/>
                  <w:tcBorders>
                    <w:tl2br w:val="nil"/>
                    <w:tr2bl w:val="nil"/>
                  </w:tcBorders>
                  <w:noWrap w:val="0"/>
                  <w:vAlign w:val="center"/>
                </w:tcPr>
                <w:p w14:paraId="22724C44">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1.0</w:t>
                  </w:r>
                </w:p>
              </w:tc>
              <w:tc>
                <w:tcPr>
                  <w:tcW w:w="1270" w:type="pct"/>
                  <w:vMerge w:val="continue"/>
                  <w:tcBorders>
                    <w:tl2br w:val="nil"/>
                    <w:tr2bl w:val="nil"/>
                  </w:tcBorders>
                  <w:noWrap w:val="0"/>
                  <w:vAlign w:val="center"/>
                </w:tcPr>
                <w:p w14:paraId="2DA764C9">
                  <w:pPr>
                    <w:pStyle w:val="95"/>
                    <w:widowControl/>
                    <w:spacing w:line="240" w:lineRule="auto"/>
                    <w:jc w:val="center"/>
                    <w:rPr>
                      <w:rFonts w:hint="default" w:ascii="Times New Roman" w:hAnsi="Times New Roman" w:eastAsia="宋体" w:cs="Times New Roman"/>
                      <w:color w:val="auto"/>
                      <w:kern w:val="2"/>
                      <w:sz w:val="21"/>
                      <w:szCs w:val="21"/>
                      <w:highlight w:val="none"/>
                    </w:rPr>
                  </w:pPr>
                </w:p>
              </w:tc>
            </w:tr>
            <w:tr w14:paraId="2A27727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546" w:type="pct"/>
                  <w:vMerge w:val="restart"/>
                  <w:tcBorders>
                    <w:tl2br w:val="nil"/>
                    <w:tr2bl w:val="nil"/>
                  </w:tcBorders>
                  <w:noWrap w:val="0"/>
                  <w:vAlign w:val="center"/>
                </w:tcPr>
                <w:p w14:paraId="101AD18C">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非甲烷总烃</w:t>
                  </w:r>
                </w:p>
              </w:tc>
              <w:tc>
                <w:tcPr>
                  <w:tcW w:w="921" w:type="pct"/>
                  <w:tcBorders>
                    <w:tl2br w:val="nil"/>
                    <w:tr2bl w:val="nil"/>
                  </w:tcBorders>
                  <w:noWrap w:val="0"/>
                  <w:vAlign w:val="center"/>
                </w:tcPr>
                <w:p w14:paraId="32FF2C2E">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862" w:type="pct"/>
                  <w:tcBorders>
                    <w:tl2br w:val="nil"/>
                    <w:tr2bl w:val="nil"/>
                  </w:tcBorders>
                  <w:noWrap w:val="0"/>
                  <w:vAlign w:val="center"/>
                </w:tcPr>
                <w:p w14:paraId="795B3B44">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489" w:type="pct"/>
                  <w:tcBorders>
                    <w:tl2br w:val="nil"/>
                    <w:tr2bl w:val="nil"/>
                  </w:tcBorders>
                  <w:noWrap w:val="0"/>
                  <w:vAlign w:val="center"/>
                </w:tcPr>
                <w:p w14:paraId="76B24E98">
                  <w:pPr>
                    <w:pStyle w:val="95"/>
                    <w:widowControl/>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w:t>
                  </w:r>
                </w:p>
              </w:tc>
              <w:tc>
                <w:tcPr>
                  <w:tcW w:w="910" w:type="pct"/>
                  <w:tcBorders>
                    <w:tl2br w:val="nil"/>
                    <w:tr2bl w:val="nil"/>
                  </w:tcBorders>
                  <w:noWrap w:val="0"/>
                  <w:vAlign w:val="center"/>
                </w:tcPr>
                <w:p w14:paraId="7C55FFFC">
                  <w:pPr>
                    <w:pStyle w:val="95"/>
                    <w:widowControl/>
                    <w:jc w:val="center"/>
                    <w:rPr>
                      <w:rFonts w:hint="default" w:ascii="Times New Roman" w:hAnsi="Times New Roman" w:eastAsia="宋体" w:cs="Times New Roman"/>
                      <w:color w:val="auto"/>
                      <w:kern w:val="2"/>
                      <w:sz w:val="21"/>
                      <w:szCs w:val="21"/>
                      <w:highlight w:val="none"/>
                      <w:lang w:eastAsia="zh-CN"/>
                    </w:rPr>
                  </w:pPr>
                  <w:r>
                    <w:rPr>
                      <w:rFonts w:hint="default" w:ascii="Times New Roman" w:hAnsi="Times New Roman" w:eastAsia="宋体" w:cs="Times New Roman"/>
                      <w:color w:val="auto"/>
                      <w:kern w:val="2"/>
                      <w:sz w:val="21"/>
                      <w:szCs w:val="21"/>
                      <w:highlight w:val="none"/>
                      <w:lang w:val="en-US" w:eastAsia="zh-CN"/>
                    </w:rPr>
                    <w:t>6（监控点处1h平均浓度值）</w:t>
                  </w:r>
                </w:p>
              </w:tc>
              <w:tc>
                <w:tcPr>
                  <w:tcW w:w="1270" w:type="pct"/>
                  <w:vMerge w:val="restart"/>
                  <w:tcBorders>
                    <w:tl2br w:val="nil"/>
                    <w:tr2bl w:val="nil"/>
                  </w:tcBorders>
                  <w:noWrap w:val="0"/>
                  <w:vAlign w:val="center"/>
                </w:tcPr>
                <w:p w14:paraId="7E2E5AAA">
                  <w:pPr>
                    <w:pStyle w:val="95"/>
                    <w:widowControl/>
                    <w:spacing w:line="240" w:lineRule="auto"/>
                    <w:jc w:val="center"/>
                    <w:rPr>
                      <w:rFonts w:hint="default" w:ascii="Times New Roman" w:hAnsi="Times New Roman" w:eastAsia="宋体" w:cs="Times New Roman"/>
                      <w:color w:val="auto"/>
                      <w:kern w:val="2"/>
                      <w:sz w:val="21"/>
                      <w:szCs w:val="21"/>
                      <w:highlight w:val="none"/>
                    </w:rPr>
                  </w:pPr>
                  <w:r>
                    <w:rPr>
                      <w:rFonts w:hint="default" w:ascii="Times New Roman" w:hAnsi="Times New Roman" w:eastAsia="宋体" w:cs="Times New Roman"/>
                      <w:color w:val="auto"/>
                      <w:kern w:val="2"/>
                      <w:sz w:val="21"/>
                      <w:szCs w:val="21"/>
                      <w:highlight w:val="none"/>
                    </w:rPr>
                    <w:t>《挥发性有机物无组织排放控制标准》（GB37822-2019）</w:t>
                  </w:r>
                </w:p>
              </w:tc>
            </w:tr>
            <w:tr w14:paraId="579F9D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546" w:type="pct"/>
                  <w:vMerge w:val="continue"/>
                  <w:tcBorders>
                    <w:tl2br w:val="nil"/>
                    <w:tr2bl w:val="nil"/>
                  </w:tcBorders>
                  <w:noWrap w:val="0"/>
                  <w:vAlign w:val="center"/>
                </w:tcPr>
                <w:p w14:paraId="5C44EEB7">
                  <w:pPr>
                    <w:pStyle w:val="95"/>
                    <w:widowControl/>
                    <w:jc w:val="center"/>
                    <w:rPr>
                      <w:rFonts w:hint="default" w:ascii="Times New Roman" w:hAnsi="Times New Roman" w:eastAsia="宋体" w:cs="Times New Roman"/>
                      <w:color w:val="auto"/>
                      <w:kern w:val="2"/>
                      <w:sz w:val="21"/>
                      <w:szCs w:val="21"/>
                      <w:highlight w:val="none"/>
                    </w:rPr>
                  </w:pPr>
                </w:p>
              </w:tc>
              <w:tc>
                <w:tcPr>
                  <w:tcW w:w="921" w:type="pct"/>
                  <w:tcBorders>
                    <w:tl2br w:val="nil"/>
                    <w:tr2bl w:val="nil"/>
                  </w:tcBorders>
                  <w:noWrap w:val="0"/>
                  <w:vAlign w:val="center"/>
                </w:tcPr>
                <w:p w14:paraId="27CBF2A3">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w:t>
                  </w:r>
                </w:p>
              </w:tc>
              <w:tc>
                <w:tcPr>
                  <w:tcW w:w="862" w:type="pct"/>
                  <w:tcBorders>
                    <w:tl2br w:val="nil"/>
                    <w:tr2bl w:val="nil"/>
                  </w:tcBorders>
                  <w:noWrap w:val="0"/>
                  <w:vAlign w:val="center"/>
                </w:tcPr>
                <w:p w14:paraId="7548DAD2">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w:t>
                  </w:r>
                </w:p>
              </w:tc>
              <w:tc>
                <w:tcPr>
                  <w:tcW w:w="489" w:type="pct"/>
                  <w:tcBorders>
                    <w:tl2br w:val="nil"/>
                    <w:tr2bl w:val="nil"/>
                  </w:tcBorders>
                  <w:noWrap w:val="0"/>
                  <w:vAlign w:val="center"/>
                </w:tcPr>
                <w:p w14:paraId="0800036B">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w:t>
                  </w:r>
                </w:p>
              </w:tc>
              <w:tc>
                <w:tcPr>
                  <w:tcW w:w="910" w:type="pct"/>
                  <w:tcBorders>
                    <w:tl2br w:val="nil"/>
                    <w:tr2bl w:val="nil"/>
                  </w:tcBorders>
                  <w:noWrap w:val="0"/>
                  <w:vAlign w:val="center"/>
                </w:tcPr>
                <w:p w14:paraId="177EC5F2">
                  <w:pPr>
                    <w:pStyle w:val="95"/>
                    <w:widowControl/>
                    <w:jc w:val="center"/>
                    <w:rPr>
                      <w:rFonts w:hint="default" w:ascii="Times New Roman" w:hAnsi="Times New Roman" w:eastAsia="宋体" w:cs="Times New Roman"/>
                      <w:color w:val="auto"/>
                      <w:kern w:val="2"/>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rPr>
                    <w:t>20（监控点处任意一处浓度值）</w:t>
                  </w:r>
                </w:p>
              </w:tc>
              <w:tc>
                <w:tcPr>
                  <w:tcW w:w="1270" w:type="pct"/>
                  <w:vMerge w:val="continue"/>
                  <w:tcBorders>
                    <w:tl2br w:val="nil"/>
                    <w:tr2bl w:val="nil"/>
                  </w:tcBorders>
                  <w:noWrap w:val="0"/>
                  <w:vAlign w:val="center"/>
                </w:tcPr>
                <w:p w14:paraId="7A6680BD">
                  <w:pPr>
                    <w:pStyle w:val="95"/>
                    <w:widowControl/>
                    <w:spacing w:line="240" w:lineRule="auto"/>
                    <w:jc w:val="center"/>
                    <w:rPr>
                      <w:rFonts w:hint="default" w:ascii="Times New Roman" w:hAnsi="Times New Roman" w:eastAsia="宋体" w:cs="Times New Roman"/>
                      <w:color w:val="auto"/>
                      <w:kern w:val="2"/>
                      <w:sz w:val="21"/>
                      <w:szCs w:val="21"/>
                      <w:highlight w:val="none"/>
                    </w:rPr>
                  </w:pPr>
                </w:p>
              </w:tc>
            </w:tr>
            <w:tr w14:paraId="5C55AC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83" w:hRule="atLeast"/>
              </w:trPr>
              <w:tc>
                <w:tcPr>
                  <w:tcW w:w="5000" w:type="pct"/>
                  <w:gridSpan w:val="6"/>
                  <w:tcBorders>
                    <w:tl2br w:val="nil"/>
                    <w:tr2bl w:val="nil"/>
                  </w:tcBorders>
                  <w:noWrap w:val="0"/>
                  <w:vAlign w:val="center"/>
                </w:tcPr>
                <w:p w14:paraId="73E377D2">
                  <w:pPr>
                    <w:pStyle w:val="95"/>
                    <w:widowControl/>
                    <w:spacing w:line="240" w:lineRule="auto"/>
                    <w:jc w:val="both"/>
                    <w:rPr>
                      <w:rFonts w:hint="eastAsia" w:cs="Times New Roman"/>
                      <w:color w:val="auto"/>
                      <w:kern w:val="2"/>
                      <w:sz w:val="21"/>
                      <w:szCs w:val="21"/>
                      <w:highlight w:val="none"/>
                      <w:lang w:val="en-US" w:eastAsia="zh-CN"/>
                    </w:rPr>
                  </w:pPr>
                  <w:r>
                    <w:rPr>
                      <w:rFonts w:hint="eastAsia" w:cs="Times New Roman"/>
                      <w:color w:val="auto"/>
                      <w:kern w:val="2"/>
                      <w:sz w:val="21"/>
                      <w:szCs w:val="21"/>
                      <w:highlight w:val="none"/>
                      <w:lang w:val="en-US" w:eastAsia="zh-CN"/>
                    </w:rPr>
                    <w:t>注：根据</w:t>
                  </w:r>
                  <w:r>
                    <w:rPr>
                      <w:rFonts w:hint="default" w:ascii="Times New Roman" w:hAnsi="Times New Roman" w:eastAsia="宋体" w:cs="Times New Roman"/>
                      <w:color w:val="auto"/>
                      <w:kern w:val="2"/>
                      <w:sz w:val="21"/>
                      <w:szCs w:val="21"/>
                      <w:highlight w:val="none"/>
                    </w:rPr>
                    <w:t>《大气</w:t>
                  </w:r>
                  <w:r>
                    <w:rPr>
                      <w:rFonts w:hint="eastAsia" w:cs="Times New Roman"/>
                      <w:color w:val="auto"/>
                      <w:kern w:val="2"/>
                      <w:sz w:val="21"/>
                      <w:szCs w:val="21"/>
                      <w:highlight w:val="none"/>
                      <w:lang w:val="en-US" w:eastAsia="zh-CN"/>
                    </w:rPr>
                    <w:t>污染物</w:t>
                  </w:r>
                  <w:r>
                    <w:rPr>
                      <w:rFonts w:hint="default" w:ascii="Times New Roman" w:hAnsi="Times New Roman" w:eastAsia="宋体" w:cs="Times New Roman"/>
                      <w:color w:val="auto"/>
                      <w:kern w:val="2"/>
                      <w:sz w:val="21"/>
                      <w:szCs w:val="21"/>
                      <w:highlight w:val="none"/>
                    </w:rPr>
                    <w:t>综合排放标准》（GB16297-1996）</w:t>
                  </w:r>
                  <w:r>
                    <w:rPr>
                      <w:rFonts w:hint="eastAsia" w:cs="Times New Roman"/>
                      <w:color w:val="auto"/>
                      <w:kern w:val="2"/>
                      <w:sz w:val="21"/>
                      <w:szCs w:val="21"/>
                      <w:highlight w:val="none"/>
                      <w:lang w:eastAsia="zh-CN"/>
                    </w:rPr>
                    <w:t>，</w:t>
                  </w:r>
                  <w:r>
                    <w:rPr>
                      <w:rFonts w:hint="eastAsia" w:cs="Times New Roman"/>
                      <w:color w:val="auto"/>
                      <w:kern w:val="2"/>
                      <w:sz w:val="21"/>
                      <w:szCs w:val="21"/>
                      <w:highlight w:val="none"/>
                      <w:lang w:val="en-US" w:eastAsia="zh-CN"/>
                    </w:rPr>
                    <w:t>排气筒高度应高于周围200m范围内最高建筑5m以上，本项目排气筒设置高度为24m，范围内最高建筑为本项目生产车间，高度为19m，排气筒高度满足高于5m以上的要求。</w:t>
                  </w:r>
                </w:p>
                <w:p w14:paraId="601130BE">
                  <w:pPr>
                    <w:keepNext w:val="0"/>
                    <w:keepLines w:val="0"/>
                    <w:suppressLineNumbers w:val="0"/>
                    <w:spacing w:before="0" w:beforeAutospacing="0" w:after="0" w:afterAutospacing="0"/>
                    <w:ind w:left="0" w:right="0"/>
                    <w:rPr>
                      <w:rFonts w:hint="default"/>
                      <w:color w:val="auto"/>
                      <w:lang w:val="en-US" w:eastAsia="zh-CN"/>
                    </w:rPr>
                  </w:pPr>
                  <w:r>
                    <w:rPr>
                      <w:rFonts w:hint="eastAsia" w:cs="Times New Roman"/>
                      <w:color w:val="auto"/>
                      <w:kern w:val="2"/>
                      <w:sz w:val="21"/>
                      <w:szCs w:val="21"/>
                      <w:highlight w:val="none"/>
                      <w:lang w:val="en-US" w:eastAsia="zh-CN"/>
                    </w:rPr>
                    <w:t>本项目排气筒设置高度为24m，</w:t>
                  </w:r>
                  <w:r>
                    <w:rPr>
                      <w:rFonts w:hint="default" w:ascii="Times New Roman" w:hAnsi="Times New Roman" w:cs="Times New Roman"/>
                      <w:color w:val="auto"/>
                      <w:kern w:val="2"/>
                      <w:sz w:val="21"/>
                      <w:szCs w:val="21"/>
                      <w:highlight w:val="none"/>
                      <w:lang w:val="en-US" w:eastAsia="zh-CN"/>
                    </w:rPr>
                    <w:t>根据</w:t>
                  </w:r>
                  <w:r>
                    <w:rPr>
                      <w:rFonts w:hint="default" w:ascii="Times New Roman" w:hAnsi="Times New Roman" w:eastAsia="宋体" w:cs="Times New Roman"/>
                      <w:color w:val="auto"/>
                      <w:kern w:val="2"/>
                      <w:sz w:val="21"/>
                      <w:szCs w:val="21"/>
                      <w:highlight w:val="none"/>
                    </w:rPr>
                    <w:t>《大气</w:t>
                  </w:r>
                  <w:r>
                    <w:rPr>
                      <w:rFonts w:hint="default" w:ascii="Times New Roman" w:hAnsi="Times New Roman" w:cs="Times New Roman"/>
                      <w:color w:val="auto"/>
                      <w:kern w:val="2"/>
                      <w:sz w:val="21"/>
                      <w:szCs w:val="21"/>
                      <w:highlight w:val="none"/>
                      <w:lang w:val="en-US" w:eastAsia="zh-CN"/>
                    </w:rPr>
                    <w:t>污染物</w:t>
                  </w:r>
                  <w:r>
                    <w:rPr>
                      <w:rFonts w:hint="default" w:ascii="Times New Roman" w:hAnsi="Times New Roman" w:eastAsia="宋体" w:cs="Times New Roman"/>
                      <w:color w:val="auto"/>
                      <w:kern w:val="2"/>
                      <w:sz w:val="21"/>
                      <w:szCs w:val="21"/>
                      <w:highlight w:val="none"/>
                    </w:rPr>
                    <w:t>综合排放标准》（GB16297-1996）</w:t>
                  </w:r>
                  <w:r>
                    <w:rPr>
                      <w:rFonts w:hint="default" w:ascii="Times New Roman" w:hAnsi="Times New Roman" w:cs="Times New Roman"/>
                      <w:color w:val="auto"/>
                      <w:kern w:val="2"/>
                      <w:sz w:val="21"/>
                      <w:szCs w:val="21"/>
                      <w:highlight w:val="none"/>
                      <w:lang w:eastAsia="zh-CN"/>
                    </w:rPr>
                    <w:t>，</w:t>
                  </w:r>
                  <w:r>
                    <w:rPr>
                      <w:rFonts w:hint="default" w:ascii="Times New Roman" w:hAnsi="Times New Roman" w:cs="Times New Roman"/>
                      <w:color w:val="auto"/>
                      <w:kern w:val="2"/>
                      <w:sz w:val="21"/>
                      <w:szCs w:val="21"/>
                      <w:highlight w:val="none"/>
                      <w:lang w:val="en-US" w:eastAsia="zh-CN"/>
                    </w:rPr>
                    <w:t>应用内插法计算排放速率，则颗粒物排放速率=5.9+（23-2.9）*（2</w:t>
                  </w:r>
                  <w:r>
                    <w:rPr>
                      <w:rFonts w:hint="eastAsia" w:cs="Times New Roman"/>
                      <w:color w:val="auto"/>
                      <w:kern w:val="2"/>
                      <w:sz w:val="21"/>
                      <w:szCs w:val="21"/>
                      <w:highlight w:val="none"/>
                      <w:lang w:val="en-US" w:eastAsia="zh-CN"/>
                    </w:rPr>
                    <w:t>4</w:t>
                  </w:r>
                  <w:r>
                    <w:rPr>
                      <w:rFonts w:hint="default" w:ascii="Times New Roman" w:hAnsi="Times New Roman" w:cs="Times New Roman"/>
                      <w:color w:val="auto"/>
                      <w:kern w:val="2"/>
                      <w:sz w:val="21"/>
                      <w:szCs w:val="21"/>
                      <w:highlight w:val="none"/>
                      <w:lang w:val="en-US" w:eastAsia="zh-CN"/>
                    </w:rPr>
                    <w:t>-20）/（30-20）=</w:t>
                  </w:r>
                  <w:r>
                    <w:rPr>
                      <w:rFonts w:hint="eastAsia" w:cs="Times New Roman"/>
                      <w:color w:val="auto"/>
                      <w:kern w:val="2"/>
                      <w:sz w:val="21"/>
                      <w:szCs w:val="21"/>
                      <w:highlight w:val="none"/>
                      <w:lang w:val="en-US" w:eastAsia="zh-CN"/>
                    </w:rPr>
                    <w:t>13.94</w:t>
                  </w:r>
                  <w:r>
                    <w:rPr>
                      <w:rFonts w:hint="default" w:ascii="Times New Roman" w:hAnsi="Times New Roman" w:cs="Times New Roman"/>
                      <w:color w:val="auto"/>
                      <w:kern w:val="2"/>
                      <w:sz w:val="21"/>
                      <w:szCs w:val="21"/>
                      <w:highlight w:val="none"/>
                      <w:lang w:val="en-US" w:eastAsia="zh-CN"/>
                    </w:rPr>
                    <w:t>kg/h，非甲烷总烃排放速率=10+（53-17）*（2</w:t>
                  </w:r>
                  <w:r>
                    <w:rPr>
                      <w:rFonts w:hint="eastAsia" w:cs="Times New Roman"/>
                      <w:color w:val="auto"/>
                      <w:kern w:val="2"/>
                      <w:sz w:val="21"/>
                      <w:szCs w:val="21"/>
                      <w:highlight w:val="none"/>
                      <w:lang w:val="en-US" w:eastAsia="zh-CN"/>
                    </w:rPr>
                    <w:t>4</w:t>
                  </w:r>
                  <w:r>
                    <w:rPr>
                      <w:rFonts w:hint="default" w:ascii="Times New Roman" w:hAnsi="Times New Roman" w:cs="Times New Roman"/>
                      <w:color w:val="auto"/>
                      <w:kern w:val="2"/>
                      <w:sz w:val="21"/>
                      <w:szCs w:val="21"/>
                      <w:highlight w:val="none"/>
                      <w:lang w:val="en-US" w:eastAsia="zh-CN"/>
                    </w:rPr>
                    <w:t>-20）/（30-20）=</w:t>
                  </w:r>
                  <w:r>
                    <w:rPr>
                      <w:rFonts w:hint="eastAsia" w:cs="Times New Roman"/>
                      <w:color w:val="auto"/>
                      <w:kern w:val="2"/>
                      <w:sz w:val="21"/>
                      <w:szCs w:val="21"/>
                      <w:highlight w:val="none"/>
                      <w:lang w:val="en-US" w:eastAsia="zh-CN"/>
                    </w:rPr>
                    <w:t>24.4</w:t>
                  </w:r>
                  <w:r>
                    <w:rPr>
                      <w:rFonts w:hint="default" w:ascii="Times New Roman" w:hAnsi="Times New Roman" w:cs="Times New Roman"/>
                      <w:color w:val="auto"/>
                      <w:kern w:val="2"/>
                      <w:sz w:val="21"/>
                      <w:szCs w:val="21"/>
                      <w:highlight w:val="none"/>
                      <w:lang w:val="en-US" w:eastAsia="zh-CN"/>
                    </w:rPr>
                    <w:t>kg/h</w:t>
                  </w:r>
                </w:p>
              </w:tc>
            </w:tr>
          </w:tbl>
          <w:p w14:paraId="002163D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color w:val="auto"/>
                <w:sz w:val="24"/>
                <w:szCs w:val="24"/>
                <w:highlight w:val="none"/>
                <w:lang w:val="en-US" w:eastAsia="zh-CN"/>
              </w:rPr>
              <w:t>项目运营期食堂共设置2个灶头，属于小型食堂，食堂排放的油烟执行《饮食业油烟排放标准》（GB18483-2001）小型标准。</w:t>
            </w:r>
          </w:p>
          <w:p w14:paraId="21B79F83">
            <w:pPr>
              <w:pStyle w:val="78"/>
              <w:keepNext w:val="0"/>
              <w:keepLines w:val="0"/>
              <w:suppressLineNumbers w:val="0"/>
              <w:tabs>
                <w:tab w:val="left" w:pos="8400"/>
              </w:tabs>
              <w:snapToGrid w:val="0"/>
              <w:spacing w:before="0" w:beforeAutospacing="0" w:after="0" w:afterAutospacing="0" w:line="360" w:lineRule="auto"/>
              <w:ind w:left="0" w:right="105" w:rightChars="50"/>
              <w:jc w:val="center"/>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表3-</w:t>
            </w:r>
            <w:r>
              <w:rPr>
                <w:rFonts w:hint="eastAsia" w:cs="Times New Roman"/>
                <w:b/>
                <w:bCs/>
                <w:color w:val="auto"/>
                <w:highlight w:val="none"/>
                <w:lang w:val="en-US" w:eastAsia="zh-CN"/>
              </w:rPr>
              <w:t>8</w:t>
            </w:r>
            <w:r>
              <w:rPr>
                <w:rFonts w:hint="eastAsia" w:ascii="Times New Roman" w:hAnsi="Times New Roman" w:eastAsia="宋体" w:cs="Times New Roman"/>
                <w:b/>
                <w:bCs/>
                <w:color w:val="auto"/>
                <w:highlight w:val="none"/>
                <w:lang w:val="en-US" w:eastAsia="zh-CN"/>
              </w:rPr>
              <w:t xml:space="preserve">  食堂油烟排放标准</w:t>
            </w:r>
          </w:p>
          <w:tbl>
            <w:tblPr>
              <w:tblStyle w:val="27"/>
              <w:tblW w:w="499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491"/>
              <w:gridCol w:w="4491"/>
            </w:tblGrid>
            <w:tr w14:paraId="2B90F6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noWrap w:val="0"/>
                  <w:vAlign w:val="center"/>
                </w:tcPr>
                <w:p w14:paraId="396B727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规模</w:t>
                  </w:r>
                </w:p>
              </w:tc>
              <w:tc>
                <w:tcPr>
                  <w:tcW w:w="2500" w:type="pct"/>
                  <w:tcBorders>
                    <w:tl2br w:val="nil"/>
                    <w:tr2bl w:val="nil"/>
                  </w:tcBorders>
                  <w:noWrap w:val="0"/>
                  <w:vAlign w:val="center"/>
                </w:tcPr>
                <w:p w14:paraId="6E6FBCE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小型</w:t>
                  </w:r>
                </w:p>
              </w:tc>
            </w:tr>
            <w:tr w14:paraId="752DCA4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noWrap w:val="0"/>
                  <w:vAlign w:val="center"/>
                </w:tcPr>
                <w:p w14:paraId="71A279C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基准灶头数</w:t>
                  </w:r>
                </w:p>
              </w:tc>
              <w:tc>
                <w:tcPr>
                  <w:tcW w:w="2500" w:type="pct"/>
                  <w:tcBorders>
                    <w:tl2br w:val="nil"/>
                    <w:tr2bl w:val="nil"/>
                  </w:tcBorders>
                  <w:noWrap w:val="0"/>
                  <w:vAlign w:val="center"/>
                </w:tcPr>
                <w:p w14:paraId="5FBFFB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r>
                    <w:rPr>
                      <w:rFonts w:hint="eastAsia" w:eastAsia="宋体" w:cs="Times New Roman"/>
                      <w:color w:val="auto"/>
                      <w:sz w:val="21"/>
                      <w:szCs w:val="21"/>
                      <w:highlight w:val="none"/>
                      <w:vertAlign w:val="baseline"/>
                      <w:lang w:val="en-US" w:eastAsia="zh-CN"/>
                    </w:rPr>
                    <w:t>1,</w:t>
                  </w:r>
                  <w:r>
                    <w:rPr>
                      <w:rFonts w:hint="default" w:ascii="Times New Roman" w:hAnsi="Times New Roman" w:eastAsia="宋体" w:cs="Times New Roman"/>
                      <w:color w:val="auto"/>
                      <w:sz w:val="21"/>
                      <w:szCs w:val="21"/>
                      <w:highlight w:val="none"/>
                      <w:vertAlign w:val="baseline"/>
                      <w:lang w:val="en-US" w:eastAsia="zh-CN"/>
                    </w:rPr>
                    <w:t>&lt;</w:t>
                  </w:r>
                  <w:r>
                    <w:rPr>
                      <w:rFonts w:hint="eastAsia" w:eastAsia="宋体" w:cs="Times New Roman"/>
                      <w:color w:val="auto"/>
                      <w:sz w:val="21"/>
                      <w:szCs w:val="21"/>
                      <w:highlight w:val="none"/>
                      <w:vertAlign w:val="baseline"/>
                      <w:lang w:val="en-US" w:eastAsia="zh-CN"/>
                    </w:rPr>
                    <w:t>3</w:t>
                  </w:r>
                </w:p>
              </w:tc>
            </w:tr>
            <w:tr w14:paraId="316FBD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noWrap w:val="0"/>
                  <w:vAlign w:val="center"/>
                </w:tcPr>
                <w:p w14:paraId="143CFE6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对应灶头总功率（10</w:t>
                  </w:r>
                  <w:r>
                    <w:rPr>
                      <w:rFonts w:hint="eastAsia" w:ascii="Times New Roman" w:hAnsi="Times New Roman" w:eastAsia="宋体" w:cs="Times New Roman"/>
                      <w:color w:val="auto"/>
                      <w:sz w:val="21"/>
                      <w:szCs w:val="21"/>
                      <w:highlight w:val="none"/>
                      <w:vertAlign w:val="superscript"/>
                      <w:lang w:val="en-US" w:eastAsia="zh-CN"/>
                    </w:rPr>
                    <w:t>8</w:t>
                  </w:r>
                  <w:r>
                    <w:rPr>
                      <w:rFonts w:hint="eastAsia" w:ascii="Times New Roman" w:hAnsi="Times New Roman" w:eastAsia="宋体" w:cs="Times New Roman"/>
                      <w:color w:val="auto"/>
                      <w:sz w:val="21"/>
                      <w:szCs w:val="21"/>
                      <w:highlight w:val="none"/>
                      <w:vertAlign w:val="baseline"/>
                      <w:lang w:val="en-US" w:eastAsia="zh-CN"/>
                    </w:rPr>
                    <w:t>J/h）</w:t>
                  </w:r>
                </w:p>
              </w:tc>
              <w:tc>
                <w:tcPr>
                  <w:tcW w:w="2500" w:type="pct"/>
                  <w:tcBorders>
                    <w:tl2br w:val="nil"/>
                    <w:tr2bl w:val="nil"/>
                  </w:tcBorders>
                  <w:noWrap w:val="0"/>
                  <w:vAlign w:val="center"/>
                </w:tcPr>
                <w:p w14:paraId="54D1498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1.67,</w:t>
                  </w:r>
                  <w:r>
                    <w:rPr>
                      <w:rFonts w:hint="default" w:ascii="Times New Roman" w:hAnsi="Times New Roman" w:eastAsia="宋体" w:cs="Times New Roman"/>
                      <w:color w:val="auto"/>
                      <w:sz w:val="21"/>
                      <w:szCs w:val="21"/>
                      <w:highlight w:val="none"/>
                      <w:vertAlign w:val="baseline"/>
                      <w:lang w:val="en-US" w:eastAsia="zh-CN"/>
                    </w:rPr>
                    <w:t>&lt;</w:t>
                  </w:r>
                  <w:r>
                    <w:rPr>
                      <w:rFonts w:hint="eastAsia" w:ascii="Times New Roman" w:hAnsi="Times New Roman" w:eastAsia="宋体" w:cs="Times New Roman"/>
                      <w:color w:val="auto"/>
                      <w:sz w:val="21"/>
                      <w:szCs w:val="21"/>
                      <w:highlight w:val="none"/>
                      <w:vertAlign w:val="baseline"/>
                      <w:lang w:val="en-US" w:eastAsia="zh-CN"/>
                    </w:rPr>
                    <w:t>500</w:t>
                  </w:r>
                </w:p>
              </w:tc>
            </w:tr>
            <w:tr w14:paraId="292F3B6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noWrap w:val="0"/>
                  <w:vAlign w:val="center"/>
                </w:tcPr>
                <w:p w14:paraId="5B587BB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对应排气罩灶面总阴影面积（m</w:t>
                  </w:r>
                  <w:r>
                    <w:rPr>
                      <w:rFonts w:hint="eastAsia" w:ascii="Times New Roman" w:hAnsi="Times New Roman" w:eastAsia="宋体" w:cs="Times New Roman"/>
                      <w:color w:val="auto"/>
                      <w:sz w:val="21"/>
                      <w:szCs w:val="21"/>
                      <w:highlight w:val="none"/>
                      <w:vertAlign w:val="superscript"/>
                      <w:lang w:val="en-US" w:eastAsia="zh-CN"/>
                    </w:rPr>
                    <w:t>2</w:t>
                  </w:r>
                  <w:r>
                    <w:rPr>
                      <w:rFonts w:hint="eastAsia" w:ascii="Times New Roman" w:hAnsi="Times New Roman" w:eastAsia="宋体" w:cs="Times New Roman"/>
                      <w:color w:val="auto"/>
                      <w:sz w:val="21"/>
                      <w:szCs w:val="21"/>
                      <w:highlight w:val="none"/>
                      <w:vertAlign w:val="baseline"/>
                      <w:lang w:val="en-US" w:eastAsia="zh-CN"/>
                    </w:rPr>
                    <w:t>）</w:t>
                  </w:r>
                </w:p>
              </w:tc>
              <w:tc>
                <w:tcPr>
                  <w:tcW w:w="2500" w:type="pct"/>
                  <w:tcBorders>
                    <w:tl2br w:val="nil"/>
                    <w:tr2bl w:val="nil"/>
                  </w:tcBorders>
                  <w:noWrap w:val="0"/>
                  <w:vAlign w:val="center"/>
                </w:tcPr>
                <w:p w14:paraId="3EBF4A4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default" w:ascii="Times New Roman" w:hAnsi="Times New Roman" w:eastAsia="宋体" w:cs="Times New Roman"/>
                      <w:color w:val="auto"/>
                      <w:sz w:val="21"/>
                      <w:szCs w:val="21"/>
                      <w:highlight w:val="none"/>
                      <w:vertAlign w:val="baseline"/>
                      <w:lang w:val="en-US" w:eastAsia="zh-CN"/>
                    </w:rPr>
                    <w:t>≥</w:t>
                  </w:r>
                  <w:r>
                    <w:rPr>
                      <w:rFonts w:hint="eastAsia" w:eastAsia="宋体" w:cs="Times New Roman"/>
                      <w:color w:val="auto"/>
                      <w:sz w:val="21"/>
                      <w:szCs w:val="21"/>
                      <w:highlight w:val="none"/>
                      <w:vertAlign w:val="baseline"/>
                      <w:lang w:val="en-US" w:eastAsia="zh-CN"/>
                    </w:rPr>
                    <w:t>1.1,</w:t>
                  </w:r>
                  <w:r>
                    <w:rPr>
                      <w:rFonts w:hint="default" w:ascii="Times New Roman" w:hAnsi="Times New Roman" w:eastAsia="宋体" w:cs="Times New Roman"/>
                      <w:color w:val="auto"/>
                      <w:sz w:val="21"/>
                      <w:szCs w:val="21"/>
                      <w:highlight w:val="none"/>
                      <w:vertAlign w:val="baseline"/>
                      <w:lang w:val="en-US" w:eastAsia="zh-CN"/>
                    </w:rPr>
                    <w:t>&lt;</w:t>
                  </w:r>
                  <w:r>
                    <w:rPr>
                      <w:rFonts w:hint="eastAsia" w:eastAsia="宋体" w:cs="Times New Roman"/>
                      <w:color w:val="auto"/>
                      <w:sz w:val="21"/>
                      <w:szCs w:val="21"/>
                      <w:highlight w:val="none"/>
                      <w:vertAlign w:val="baseline"/>
                      <w:lang w:val="en-US" w:eastAsia="zh-CN"/>
                    </w:rPr>
                    <w:t>3.3</w:t>
                  </w:r>
                </w:p>
              </w:tc>
            </w:tr>
            <w:tr w14:paraId="08CB29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noWrap w:val="0"/>
                  <w:vAlign w:val="center"/>
                </w:tcPr>
                <w:p w14:paraId="6A35F82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油烟最高排放浓度（</w:t>
                  </w:r>
                  <w:r>
                    <w:rPr>
                      <w:rFonts w:hint="default" w:ascii="Times New Roman" w:hAnsi="Times New Roman"/>
                      <w:color w:val="auto"/>
                      <w:sz w:val="21"/>
                      <w:szCs w:val="21"/>
                      <w:highlight w:val="none"/>
                    </w:rPr>
                    <w:t>mg/m</w:t>
                  </w:r>
                  <w:r>
                    <w:rPr>
                      <w:rFonts w:hint="default" w:ascii="Times New Roman" w:hAnsi="Times New Roman"/>
                      <w:color w:val="auto"/>
                      <w:sz w:val="21"/>
                      <w:szCs w:val="21"/>
                      <w:highlight w:val="none"/>
                      <w:vertAlign w:val="superscript"/>
                    </w:rPr>
                    <w:t>3</w:t>
                  </w:r>
                  <w:r>
                    <w:rPr>
                      <w:rFonts w:hint="eastAsia" w:ascii="Times New Roman" w:hAnsi="Times New Roman" w:eastAsia="宋体" w:cs="Times New Roman"/>
                      <w:color w:val="auto"/>
                      <w:sz w:val="21"/>
                      <w:szCs w:val="21"/>
                      <w:highlight w:val="none"/>
                      <w:vertAlign w:val="baseline"/>
                      <w:lang w:val="en-US" w:eastAsia="zh-CN"/>
                    </w:rPr>
                    <w:t>）</w:t>
                  </w:r>
                </w:p>
              </w:tc>
              <w:tc>
                <w:tcPr>
                  <w:tcW w:w="2500" w:type="pct"/>
                  <w:tcBorders>
                    <w:tl2br w:val="nil"/>
                    <w:tr2bl w:val="nil"/>
                  </w:tcBorders>
                  <w:noWrap w:val="0"/>
                  <w:vAlign w:val="center"/>
                </w:tcPr>
                <w:p w14:paraId="027A5995">
                  <w:pPr>
                    <w:pStyle w:val="73"/>
                    <w:keepNext w:val="0"/>
                    <w:keepLines w:val="0"/>
                    <w:pageBreakBefore w:val="0"/>
                    <w:widowControl w:val="0"/>
                    <w:suppressLineNumbers w:val="0"/>
                    <w:tabs>
                      <w:tab w:val="left" w:pos="643"/>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2.0</w:t>
                  </w:r>
                  <w:r>
                    <w:rPr>
                      <w:rFonts w:hint="default" w:ascii="Times New Roman" w:hAnsi="Times New Roman"/>
                      <w:color w:val="auto"/>
                      <w:sz w:val="21"/>
                      <w:szCs w:val="21"/>
                      <w:highlight w:val="none"/>
                    </w:rPr>
                    <w:t>mg/m</w:t>
                  </w:r>
                  <w:r>
                    <w:rPr>
                      <w:rFonts w:hint="default" w:ascii="Times New Roman" w:hAnsi="Times New Roman"/>
                      <w:color w:val="auto"/>
                      <w:sz w:val="21"/>
                      <w:szCs w:val="21"/>
                      <w:highlight w:val="none"/>
                      <w:vertAlign w:val="superscript"/>
                    </w:rPr>
                    <w:t>3</w:t>
                  </w:r>
                </w:p>
              </w:tc>
            </w:tr>
            <w:tr w14:paraId="2AB3A75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2500" w:type="pct"/>
                  <w:tcBorders>
                    <w:tl2br w:val="nil"/>
                    <w:tr2bl w:val="nil"/>
                  </w:tcBorders>
                  <w:noWrap w:val="0"/>
                  <w:vAlign w:val="center"/>
                </w:tcPr>
                <w:p w14:paraId="20D9768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净化设施最高去除效率（%）</w:t>
                  </w:r>
                </w:p>
              </w:tc>
              <w:tc>
                <w:tcPr>
                  <w:tcW w:w="2500" w:type="pct"/>
                  <w:tcBorders>
                    <w:tl2br w:val="nil"/>
                    <w:tr2bl w:val="nil"/>
                  </w:tcBorders>
                  <w:noWrap w:val="0"/>
                  <w:vAlign w:val="center"/>
                </w:tcPr>
                <w:p w14:paraId="1C5849C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60</w:t>
                  </w:r>
                </w:p>
              </w:tc>
            </w:tr>
          </w:tbl>
          <w:p w14:paraId="4EE84326">
            <w:pPr>
              <w:keepNext w:val="0"/>
              <w:keepLines w:val="0"/>
              <w:widowControl/>
              <w:suppressLineNumbers w:val="0"/>
              <w:spacing w:before="0" w:beforeAutospacing="0" w:after="0" w:afterAutospacing="0" w:line="360" w:lineRule="auto"/>
              <w:ind w:left="0" w:right="0" w:firstLine="482" w:firstLineChars="200"/>
              <w:rPr>
                <w:rFonts w:hint="default" w:ascii="Times New Roman" w:hAnsi="Times New Roman" w:eastAsia="宋体" w:cs="Times New Roman"/>
                <w:b/>
                <w:color w:val="auto"/>
                <w:kern w:val="0"/>
                <w:sz w:val="24"/>
                <w:szCs w:val="20"/>
                <w:highlight w:val="none"/>
                <w:lang w:val="en-US" w:eastAsia="zh-CN"/>
              </w:rPr>
            </w:pPr>
            <w:r>
              <w:rPr>
                <w:rFonts w:hint="eastAsia" w:ascii="Times New Roman" w:hAnsi="Times New Roman" w:eastAsia="宋体" w:cs="Times New Roman"/>
                <w:b/>
                <w:color w:val="auto"/>
                <w:kern w:val="0"/>
                <w:sz w:val="24"/>
                <w:szCs w:val="20"/>
                <w:highlight w:val="none"/>
                <w:lang w:val="en-US" w:eastAsia="zh-CN"/>
              </w:rPr>
              <w:t>2、废水</w:t>
            </w:r>
          </w:p>
          <w:p w14:paraId="614F79A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1"/>
              <w:jc w:val="both"/>
              <w:textAlignment w:val="auto"/>
              <w:rPr>
                <w:rFonts w:hint="default" w:ascii="Times New Roman" w:hAnsi="Times New Roman" w:eastAsia="宋体" w:cs="Times New Roman"/>
                <w:b/>
                <w:color w:val="auto"/>
                <w:kern w:val="0"/>
                <w:szCs w:val="21"/>
                <w:highlight w:val="none"/>
                <w:lang w:bidi="ar"/>
              </w:rPr>
            </w:pPr>
            <w:r>
              <w:rPr>
                <w:rFonts w:hint="default" w:ascii="Times New Roman" w:hAnsi="Times New Roman" w:eastAsia="宋体" w:cs="Times New Roman"/>
                <w:color w:val="auto"/>
                <w:kern w:val="2"/>
                <w:sz w:val="24"/>
                <w:szCs w:val="24"/>
                <w:highlight w:val="none"/>
                <w:lang w:val="en-US" w:eastAsia="zh-CN" w:bidi="ar"/>
              </w:rPr>
              <w:t>本项目废水排放执行《辽宁省污水综合排放标准》（DB21/1627-2008）中表2排入污水处理厂的水污染物最高允许排放浓度限值；pH值、动植物油排放执行《污水综合排放标准》（GB8978- 1996）标准限值。具体标准限值见下表。</w:t>
            </w:r>
          </w:p>
          <w:p w14:paraId="7AE1099C">
            <w:pPr>
              <w:keepNext w:val="0"/>
              <w:keepLines w:val="0"/>
              <w:suppressLineNumbers w:val="0"/>
              <w:spacing w:before="0" w:beforeAutospacing="0" w:after="0" w:afterAutospacing="0" w:line="320" w:lineRule="exact"/>
              <w:ind w:left="0" w:right="0"/>
              <w:jc w:val="center"/>
              <w:rPr>
                <w:rFonts w:hint="default" w:ascii="Times New Roman" w:hAnsi="Times New Roman" w:eastAsia="宋体" w:cs="Times New Roman"/>
                <w:b/>
                <w:color w:val="auto"/>
                <w:kern w:val="0"/>
                <w:szCs w:val="21"/>
                <w:highlight w:val="none"/>
                <w:lang w:bidi="ar"/>
              </w:rPr>
            </w:pPr>
            <w:r>
              <w:rPr>
                <w:rFonts w:hint="default" w:ascii="Times New Roman" w:hAnsi="Times New Roman" w:eastAsia="宋体" w:cs="Times New Roman"/>
                <w:b/>
                <w:color w:val="auto"/>
                <w:kern w:val="0"/>
                <w:szCs w:val="21"/>
                <w:highlight w:val="none"/>
                <w:lang w:bidi="ar"/>
              </w:rPr>
              <w:t>表3</w:t>
            </w:r>
            <w:r>
              <w:rPr>
                <w:rFonts w:hint="eastAsia" w:cs="Times New Roman"/>
                <w:b/>
                <w:color w:val="auto"/>
                <w:kern w:val="0"/>
                <w:szCs w:val="21"/>
                <w:highlight w:val="none"/>
                <w:lang w:val="en-US" w:eastAsia="zh-CN" w:bidi="ar"/>
              </w:rPr>
              <w:t xml:space="preserve">-9 </w:t>
            </w:r>
            <w:r>
              <w:rPr>
                <w:rFonts w:hint="default" w:ascii="Times New Roman" w:hAnsi="Times New Roman" w:eastAsia="宋体" w:cs="Times New Roman"/>
                <w:b/>
                <w:color w:val="auto"/>
                <w:kern w:val="0"/>
                <w:szCs w:val="21"/>
                <w:highlight w:val="none"/>
                <w:lang w:bidi="ar"/>
              </w:rPr>
              <w:t xml:space="preserve"> 污水排放标准</w:t>
            </w:r>
          </w:p>
          <w:tbl>
            <w:tblPr>
              <w:tblStyle w:val="26"/>
              <w:tblW w:w="4997"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119"/>
              <w:gridCol w:w="714"/>
              <w:gridCol w:w="948"/>
              <w:gridCol w:w="599"/>
              <w:gridCol w:w="608"/>
              <w:gridCol w:w="916"/>
              <w:gridCol w:w="927"/>
              <w:gridCol w:w="738"/>
              <w:gridCol w:w="1599"/>
              <w:gridCol w:w="821"/>
            </w:tblGrid>
            <w:tr w14:paraId="03499D8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622" w:type="pct"/>
                  <w:tcBorders>
                    <w:tl2br w:val="nil"/>
                    <w:tr2bl w:val="nil"/>
                  </w:tcBorders>
                  <w:noWrap w:val="0"/>
                  <w:vAlign w:val="center"/>
                </w:tcPr>
                <w:p w14:paraId="4F1B9476">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污染物</w:t>
                  </w:r>
                </w:p>
              </w:tc>
              <w:tc>
                <w:tcPr>
                  <w:tcW w:w="397" w:type="pct"/>
                  <w:tcBorders>
                    <w:tl2br w:val="nil"/>
                    <w:tr2bl w:val="nil"/>
                  </w:tcBorders>
                  <w:noWrap w:val="0"/>
                  <w:vAlign w:val="center"/>
                </w:tcPr>
                <w:p w14:paraId="030224EE">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pH</w:t>
                  </w:r>
                </w:p>
              </w:tc>
              <w:tc>
                <w:tcPr>
                  <w:tcW w:w="527" w:type="pct"/>
                  <w:tcBorders>
                    <w:tl2br w:val="nil"/>
                    <w:tr2bl w:val="nil"/>
                  </w:tcBorders>
                  <w:noWrap w:val="0"/>
                  <w:vAlign w:val="center"/>
                </w:tcPr>
                <w:p w14:paraId="4A661035">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COD</w:t>
                  </w:r>
                  <w:r>
                    <w:rPr>
                      <w:rFonts w:hint="default" w:ascii="Times New Roman" w:hAnsi="Times New Roman" w:eastAsia="宋体" w:cs="Times New Roman"/>
                      <w:b/>
                      <w:bCs/>
                      <w:color w:val="auto"/>
                      <w:kern w:val="0"/>
                      <w:szCs w:val="21"/>
                      <w:highlight w:val="none"/>
                      <w:vertAlign w:val="subscript"/>
                    </w:rPr>
                    <w:t>Cr</w:t>
                  </w:r>
                </w:p>
              </w:tc>
              <w:tc>
                <w:tcPr>
                  <w:tcW w:w="333" w:type="pct"/>
                  <w:tcBorders>
                    <w:tl2br w:val="nil"/>
                    <w:tr2bl w:val="nil"/>
                  </w:tcBorders>
                  <w:noWrap w:val="0"/>
                  <w:vAlign w:val="center"/>
                </w:tcPr>
                <w:p w14:paraId="7E906274">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SS</w:t>
                  </w:r>
                </w:p>
              </w:tc>
              <w:tc>
                <w:tcPr>
                  <w:tcW w:w="338" w:type="pct"/>
                  <w:tcBorders>
                    <w:tl2br w:val="nil"/>
                    <w:tr2bl w:val="nil"/>
                  </w:tcBorders>
                  <w:noWrap w:val="0"/>
                  <w:vAlign w:val="center"/>
                </w:tcPr>
                <w:p w14:paraId="438CC168">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氨氮</w:t>
                  </w:r>
                </w:p>
              </w:tc>
              <w:tc>
                <w:tcPr>
                  <w:tcW w:w="509" w:type="pct"/>
                  <w:tcBorders>
                    <w:tl2br w:val="nil"/>
                    <w:tr2bl w:val="nil"/>
                  </w:tcBorders>
                  <w:noWrap w:val="0"/>
                  <w:vAlign w:val="center"/>
                </w:tcPr>
                <w:p w14:paraId="0B4E3A8F">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BOD</w:t>
                  </w:r>
                  <w:r>
                    <w:rPr>
                      <w:rFonts w:hint="default" w:ascii="Times New Roman" w:hAnsi="Times New Roman" w:eastAsia="宋体" w:cs="Times New Roman"/>
                      <w:b/>
                      <w:bCs/>
                      <w:color w:val="auto"/>
                      <w:kern w:val="0"/>
                      <w:szCs w:val="21"/>
                      <w:highlight w:val="none"/>
                      <w:vertAlign w:val="subscript"/>
                    </w:rPr>
                    <w:t>5</w:t>
                  </w:r>
                </w:p>
              </w:tc>
              <w:tc>
                <w:tcPr>
                  <w:tcW w:w="515" w:type="pct"/>
                  <w:tcBorders>
                    <w:tl2br w:val="nil"/>
                    <w:tr2bl w:val="nil"/>
                  </w:tcBorders>
                  <w:noWrap w:val="0"/>
                  <w:vAlign w:val="center"/>
                </w:tcPr>
                <w:p w14:paraId="373C3084">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石油类</w:t>
                  </w:r>
                </w:p>
              </w:tc>
              <w:tc>
                <w:tcPr>
                  <w:tcW w:w="410" w:type="pct"/>
                  <w:tcBorders>
                    <w:tl2br w:val="nil"/>
                    <w:tr2bl w:val="nil"/>
                  </w:tcBorders>
                  <w:noWrap w:val="0"/>
                  <w:vAlign w:val="center"/>
                </w:tcPr>
                <w:p w14:paraId="1B5CB062">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default" w:ascii="Times New Roman" w:hAnsi="Times New Roman" w:eastAsia="宋体" w:cs="Times New Roman"/>
                      <w:b/>
                      <w:bCs/>
                      <w:color w:val="auto"/>
                      <w:kern w:val="0"/>
                      <w:szCs w:val="21"/>
                      <w:highlight w:val="none"/>
                    </w:rPr>
                    <w:t>总氮</w:t>
                  </w:r>
                </w:p>
              </w:tc>
              <w:tc>
                <w:tcPr>
                  <w:tcW w:w="889" w:type="pct"/>
                  <w:tcBorders>
                    <w:tl2br w:val="nil"/>
                    <w:tr2bl w:val="nil"/>
                  </w:tcBorders>
                  <w:noWrap w:val="0"/>
                  <w:vAlign w:val="center"/>
                </w:tcPr>
                <w:p w14:paraId="2A2641DB">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rPr>
                  </w:pPr>
                  <w:r>
                    <w:rPr>
                      <w:rFonts w:hint="eastAsia" w:cs="Times New Roman"/>
                      <w:b/>
                      <w:bCs/>
                      <w:color w:val="auto"/>
                      <w:kern w:val="0"/>
                      <w:szCs w:val="21"/>
                      <w:highlight w:val="none"/>
                      <w:lang w:eastAsia="zh-CN"/>
                    </w:rPr>
                    <w:t>总磷</w:t>
                  </w:r>
                  <w:r>
                    <w:rPr>
                      <w:rFonts w:hint="default" w:ascii="Times New Roman" w:hAnsi="Times New Roman" w:eastAsia="宋体" w:cs="Times New Roman"/>
                      <w:b/>
                      <w:bCs/>
                      <w:color w:val="auto"/>
                      <w:kern w:val="0"/>
                      <w:szCs w:val="21"/>
                      <w:highlight w:val="none"/>
                    </w:rPr>
                    <w:t>（以P计）</w:t>
                  </w:r>
                </w:p>
              </w:tc>
              <w:tc>
                <w:tcPr>
                  <w:tcW w:w="456" w:type="pct"/>
                  <w:tcBorders>
                    <w:tl2br w:val="nil"/>
                    <w:tr2bl w:val="nil"/>
                  </w:tcBorders>
                  <w:noWrap w:val="0"/>
                  <w:vAlign w:val="center"/>
                </w:tcPr>
                <w:p w14:paraId="064681A9">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b/>
                      <w:bCs/>
                      <w:color w:val="auto"/>
                      <w:kern w:val="0"/>
                      <w:szCs w:val="21"/>
                      <w:highlight w:val="none"/>
                      <w:lang w:val="en-US" w:eastAsia="zh-CN"/>
                    </w:rPr>
                  </w:pPr>
                  <w:r>
                    <w:rPr>
                      <w:rFonts w:hint="eastAsia" w:cs="Times New Roman"/>
                      <w:b/>
                      <w:bCs/>
                      <w:color w:val="auto"/>
                      <w:kern w:val="0"/>
                      <w:szCs w:val="21"/>
                      <w:highlight w:val="none"/>
                      <w:lang w:val="en-US" w:eastAsia="zh-CN"/>
                    </w:rPr>
                    <w:t>动植物油</w:t>
                  </w:r>
                </w:p>
              </w:tc>
            </w:tr>
            <w:tr w14:paraId="0E21FEE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622" w:type="pct"/>
                  <w:tcBorders>
                    <w:tl2br w:val="nil"/>
                    <w:tr2bl w:val="nil"/>
                  </w:tcBorders>
                  <w:noWrap w:val="0"/>
                  <w:vAlign w:val="center"/>
                </w:tcPr>
                <w:p w14:paraId="4BE7D746">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排放浓度</w:t>
                  </w:r>
                  <w:r>
                    <w:rPr>
                      <w:rFonts w:hint="eastAsia" w:cs="Times New Roman"/>
                      <w:color w:val="auto"/>
                      <w:kern w:val="0"/>
                      <w:szCs w:val="21"/>
                      <w:highlight w:val="none"/>
                      <w:lang w:eastAsia="zh-CN"/>
                    </w:rPr>
                    <w:t>（</w:t>
                  </w:r>
                  <w:r>
                    <w:rPr>
                      <w:rFonts w:hint="default" w:ascii="Times New Roman" w:hAnsi="Times New Roman" w:eastAsia="宋体" w:cs="Times New Roman"/>
                      <w:color w:val="auto"/>
                      <w:kern w:val="0"/>
                      <w:szCs w:val="21"/>
                      <w:highlight w:val="none"/>
                    </w:rPr>
                    <w:t>mg/L</w:t>
                  </w:r>
                  <w:r>
                    <w:rPr>
                      <w:rFonts w:hint="eastAsia" w:cs="Times New Roman"/>
                      <w:color w:val="auto"/>
                      <w:kern w:val="0"/>
                      <w:szCs w:val="21"/>
                      <w:highlight w:val="none"/>
                      <w:lang w:eastAsia="zh-CN"/>
                    </w:rPr>
                    <w:t>）</w:t>
                  </w:r>
                </w:p>
              </w:tc>
              <w:tc>
                <w:tcPr>
                  <w:tcW w:w="397" w:type="pct"/>
                  <w:tcBorders>
                    <w:tl2br w:val="nil"/>
                    <w:tr2bl w:val="nil"/>
                  </w:tcBorders>
                  <w:noWrap w:val="0"/>
                  <w:vAlign w:val="center"/>
                </w:tcPr>
                <w:p w14:paraId="70AA597F">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6-9</w:t>
                  </w:r>
                </w:p>
              </w:tc>
              <w:tc>
                <w:tcPr>
                  <w:tcW w:w="527" w:type="pct"/>
                  <w:tcBorders>
                    <w:tl2br w:val="nil"/>
                    <w:tr2bl w:val="nil"/>
                  </w:tcBorders>
                  <w:noWrap w:val="0"/>
                  <w:vAlign w:val="center"/>
                </w:tcPr>
                <w:p w14:paraId="6EF7FBAE">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300</w:t>
                  </w:r>
                </w:p>
              </w:tc>
              <w:tc>
                <w:tcPr>
                  <w:tcW w:w="333" w:type="pct"/>
                  <w:tcBorders>
                    <w:tl2br w:val="nil"/>
                    <w:tr2bl w:val="nil"/>
                  </w:tcBorders>
                  <w:noWrap w:val="0"/>
                  <w:vAlign w:val="center"/>
                </w:tcPr>
                <w:p w14:paraId="1AA46341">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300</w:t>
                  </w:r>
                </w:p>
              </w:tc>
              <w:tc>
                <w:tcPr>
                  <w:tcW w:w="338" w:type="pct"/>
                  <w:tcBorders>
                    <w:tl2br w:val="nil"/>
                    <w:tr2bl w:val="nil"/>
                  </w:tcBorders>
                  <w:noWrap w:val="0"/>
                  <w:vAlign w:val="center"/>
                </w:tcPr>
                <w:p w14:paraId="776254E2">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30</w:t>
                  </w:r>
                </w:p>
              </w:tc>
              <w:tc>
                <w:tcPr>
                  <w:tcW w:w="509" w:type="pct"/>
                  <w:tcBorders>
                    <w:tl2br w:val="nil"/>
                    <w:tr2bl w:val="nil"/>
                  </w:tcBorders>
                  <w:noWrap w:val="0"/>
                  <w:vAlign w:val="center"/>
                </w:tcPr>
                <w:p w14:paraId="2760324D">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250</w:t>
                  </w:r>
                </w:p>
              </w:tc>
              <w:tc>
                <w:tcPr>
                  <w:tcW w:w="515" w:type="pct"/>
                  <w:tcBorders>
                    <w:tl2br w:val="nil"/>
                    <w:tr2bl w:val="nil"/>
                  </w:tcBorders>
                  <w:noWrap w:val="0"/>
                  <w:vAlign w:val="center"/>
                </w:tcPr>
                <w:p w14:paraId="53A316CE">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20</w:t>
                  </w:r>
                </w:p>
              </w:tc>
              <w:tc>
                <w:tcPr>
                  <w:tcW w:w="410" w:type="pct"/>
                  <w:tcBorders>
                    <w:tl2br w:val="nil"/>
                    <w:tr2bl w:val="nil"/>
                  </w:tcBorders>
                  <w:noWrap w:val="0"/>
                  <w:vAlign w:val="center"/>
                </w:tcPr>
                <w:p w14:paraId="23A9FD2C">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50</w:t>
                  </w:r>
                </w:p>
              </w:tc>
              <w:tc>
                <w:tcPr>
                  <w:tcW w:w="889" w:type="pct"/>
                  <w:tcBorders>
                    <w:tl2br w:val="nil"/>
                    <w:tr2bl w:val="nil"/>
                  </w:tcBorders>
                  <w:noWrap w:val="0"/>
                  <w:vAlign w:val="center"/>
                </w:tcPr>
                <w:p w14:paraId="49111383">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rPr>
                  </w:pPr>
                  <w:r>
                    <w:rPr>
                      <w:rFonts w:hint="default" w:ascii="Times New Roman" w:hAnsi="Times New Roman" w:eastAsia="宋体" w:cs="Times New Roman"/>
                      <w:color w:val="auto"/>
                      <w:kern w:val="0"/>
                      <w:szCs w:val="21"/>
                      <w:highlight w:val="none"/>
                    </w:rPr>
                    <w:t>5</w:t>
                  </w:r>
                </w:p>
              </w:tc>
              <w:tc>
                <w:tcPr>
                  <w:tcW w:w="456" w:type="pct"/>
                  <w:tcBorders>
                    <w:tl2br w:val="nil"/>
                    <w:tr2bl w:val="nil"/>
                  </w:tcBorders>
                  <w:noWrap w:val="0"/>
                  <w:vAlign w:val="center"/>
                </w:tcPr>
                <w:p w14:paraId="4B724803">
                  <w:pPr>
                    <w:keepNext w:val="0"/>
                    <w:keepLines w:val="0"/>
                    <w:widowControl/>
                    <w:suppressLineNumbers w:val="0"/>
                    <w:snapToGrid w:val="0"/>
                    <w:spacing w:before="0" w:beforeAutospacing="0" w:after="0" w:afterAutospacing="0"/>
                    <w:ind w:left="0" w:right="0"/>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100</w:t>
                  </w:r>
                </w:p>
              </w:tc>
            </w:tr>
          </w:tbl>
          <w:p w14:paraId="021962C6">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eastAsia="宋体" w:cs="Times New Roman"/>
                <w:b/>
                <w:color w:val="auto"/>
                <w:kern w:val="0"/>
                <w:sz w:val="24"/>
                <w:szCs w:val="20"/>
                <w:highlight w:val="none"/>
                <w:lang w:val="en-US" w:eastAsia="zh-CN"/>
              </w:rPr>
            </w:pPr>
            <w:r>
              <w:rPr>
                <w:rFonts w:hint="eastAsia" w:ascii="Times New Roman" w:hAnsi="Times New Roman" w:eastAsia="宋体" w:cs="Times New Roman"/>
                <w:b/>
                <w:color w:val="auto"/>
                <w:kern w:val="0"/>
                <w:sz w:val="24"/>
                <w:szCs w:val="20"/>
                <w:highlight w:val="none"/>
                <w:lang w:val="en-US" w:eastAsia="zh-CN"/>
              </w:rPr>
              <w:t>3、噪声</w:t>
            </w:r>
          </w:p>
          <w:p w14:paraId="4E449EA2">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b/>
                <w:bCs/>
                <w:color w:val="auto"/>
                <w:highlight w:val="none"/>
              </w:rPr>
            </w:pPr>
            <w:r>
              <w:rPr>
                <w:rFonts w:hint="default" w:ascii="Times New Roman" w:hAnsi="Times New Roman" w:eastAsia="宋体" w:cs="Times New Roman"/>
                <w:bCs/>
                <w:color w:val="auto"/>
                <w:kern w:val="0"/>
                <w:sz w:val="24"/>
                <w:highlight w:val="none"/>
                <w:lang w:val="en-US" w:eastAsia="zh-CN" w:bidi="ar"/>
              </w:rPr>
              <w:t>施工期噪声执行</w:t>
            </w:r>
            <w:r>
              <w:rPr>
                <w:rFonts w:hint="default" w:ascii="Times New Roman" w:hAnsi="Times New Roman" w:eastAsia="宋体" w:cs="Times New Roman"/>
                <w:bCs/>
                <w:color w:val="auto"/>
                <w:kern w:val="0"/>
                <w:sz w:val="24"/>
                <w:highlight w:val="none"/>
                <w:lang w:bidi="ar"/>
              </w:rPr>
              <w:t>《建筑施工噪声排放标准》（GB12523-2025）</w:t>
            </w:r>
            <w:r>
              <w:rPr>
                <w:rFonts w:hint="default" w:ascii="Times New Roman" w:hAnsi="Times New Roman" w:eastAsia="宋体" w:cs="Times New Roman"/>
                <w:bCs/>
                <w:color w:val="auto"/>
                <w:kern w:val="0"/>
                <w:sz w:val="24"/>
                <w:highlight w:val="none"/>
                <w:lang w:val="en-US" w:eastAsia="zh-CN" w:bidi="ar"/>
              </w:rPr>
              <w:t>标准。</w:t>
            </w:r>
          </w:p>
          <w:p w14:paraId="47203B1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表</w:t>
            </w:r>
            <w:r>
              <w:rPr>
                <w:rFonts w:hint="default" w:ascii="Times New Roman" w:hAnsi="Times New Roman" w:eastAsia="宋体" w:cs="Times New Roman"/>
                <w:b/>
                <w:bCs/>
                <w:color w:val="auto"/>
                <w:highlight w:val="none"/>
                <w:lang w:val="en-US" w:eastAsia="zh-CN"/>
              </w:rPr>
              <w:t>3-</w:t>
            </w:r>
            <w:r>
              <w:rPr>
                <w:rFonts w:hint="eastAsia" w:cs="Times New Roman"/>
                <w:b/>
                <w:bCs/>
                <w:color w:val="auto"/>
                <w:highlight w:val="none"/>
                <w:lang w:val="en-US" w:eastAsia="zh-CN"/>
              </w:rPr>
              <w:t>10</w:t>
            </w:r>
            <w:r>
              <w:rPr>
                <w:rFonts w:hint="default" w:ascii="Times New Roman" w:hAnsi="Times New Roman" w:eastAsia="宋体" w:cs="Times New Roman"/>
                <w:b/>
                <w:bCs/>
                <w:color w:val="auto"/>
                <w:highlight w:val="none"/>
                <w:lang w:val="en-US" w:eastAsia="zh-CN"/>
              </w:rPr>
              <w:t xml:space="preserve"> </w:t>
            </w:r>
            <w:r>
              <w:rPr>
                <w:rFonts w:hint="default" w:ascii="Times New Roman" w:hAnsi="Times New Roman" w:eastAsia="宋体" w:cs="Times New Roman"/>
                <w:b/>
                <w:bCs/>
                <w:color w:val="auto"/>
                <w:highlight w:val="none"/>
              </w:rPr>
              <w:t xml:space="preserve"> </w:t>
            </w:r>
            <w:r>
              <w:rPr>
                <w:rFonts w:hint="default" w:ascii="Times New Roman" w:hAnsi="Times New Roman" w:eastAsia="宋体" w:cs="Times New Roman"/>
                <w:b/>
                <w:bCs/>
                <w:color w:val="auto"/>
                <w:highlight w:val="none"/>
                <w:lang w:val="en-US" w:eastAsia="zh-CN"/>
              </w:rPr>
              <w:t>建筑施工场界噪声排放</w:t>
            </w:r>
            <w:r>
              <w:rPr>
                <w:rFonts w:hint="eastAsia" w:cs="Times New Roman"/>
                <w:b/>
                <w:bCs/>
                <w:color w:val="auto"/>
                <w:highlight w:val="none"/>
                <w:lang w:val="en-US" w:eastAsia="zh-CN"/>
              </w:rPr>
              <w:t>限值</w:t>
            </w:r>
            <w:r>
              <w:rPr>
                <w:rFonts w:hint="default" w:ascii="Times New Roman" w:hAnsi="Times New Roman" w:eastAsia="宋体" w:cs="Times New Roman"/>
                <w:b/>
                <w:bCs/>
                <w:color w:val="auto"/>
                <w:highlight w:val="none"/>
              </w:rPr>
              <w:t xml:space="preserve">  单位：dB（A）</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28" w:type="dxa"/>
                <w:bottom w:w="0" w:type="dxa"/>
                <w:right w:w="28" w:type="dxa"/>
              </w:tblCellMar>
            </w:tblPr>
            <w:tblGrid>
              <w:gridCol w:w="4497"/>
              <w:gridCol w:w="2374"/>
              <w:gridCol w:w="2123"/>
            </w:tblGrid>
            <w:tr w14:paraId="0DB82D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97" w:hRule="exact"/>
                <w:jc w:val="center"/>
              </w:trPr>
              <w:tc>
                <w:tcPr>
                  <w:tcW w:w="2500" w:type="pct"/>
                  <w:tcBorders>
                    <w:tl2br w:val="nil"/>
                    <w:tr2bl w:val="nil"/>
                  </w:tcBorders>
                  <w:shd w:val="clear" w:color="auto" w:fill="FFFFFF"/>
                  <w:noWrap w:val="0"/>
                  <w:vAlign w:val="center"/>
                </w:tcPr>
                <w:p w14:paraId="7241C4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b/>
                      <w:bCs/>
                      <w:snapToGrid w:val="0"/>
                      <w:color w:val="auto"/>
                      <w:sz w:val="21"/>
                      <w:szCs w:val="21"/>
                      <w:highlight w:val="none"/>
                      <w:lang w:val="en-US" w:eastAsia="zh-CN"/>
                    </w:rPr>
                  </w:pPr>
                  <w:r>
                    <w:rPr>
                      <w:rFonts w:hint="eastAsia" w:cs="Times New Roman"/>
                      <w:b/>
                      <w:bCs/>
                      <w:snapToGrid w:val="0"/>
                      <w:color w:val="auto"/>
                      <w:sz w:val="21"/>
                      <w:szCs w:val="21"/>
                      <w:highlight w:val="none"/>
                      <w:lang w:val="en-US" w:eastAsia="zh-CN"/>
                    </w:rPr>
                    <w:t>执行标准</w:t>
                  </w:r>
                </w:p>
              </w:tc>
              <w:tc>
                <w:tcPr>
                  <w:tcW w:w="2500" w:type="pct"/>
                  <w:gridSpan w:val="2"/>
                  <w:tcBorders>
                    <w:tl2br w:val="nil"/>
                    <w:tr2bl w:val="nil"/>
                  </w:tcBorders>
                  <w:shd w:val="clear" w:color="auto" w:fill="FFFFFF"/>
                  <w:noWrap w:val="0"/>
                  <w:vAlign w:val="center"/>
                </w:tcPr>
                <w:p w14:paraId="60D0371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标准值</w:t>
                  </w:r>
                </w:p>
              </w:tc>
            </w:tr>
            <w:tr w14:paraId="72E29B7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97" w:hRule="exact"/>
                <w:jc w:val="center"/>
              </w:trPr>
              <w:tc>
                <w:tcPr>
                  <w:tcW w:w="2500" w:type="pct"/>
                  <w:vMerge w:val="restart"/>
                  <w:tcBorders>
                    <w:tl2br w:val="nil"/>
                    <w:tr2bl w:val="nil"/>
                  </w:tcBorders>
                  <w:shd w:val="clear" w:color="auto" w:fill="FFFFFF"/>
                  <w:noWrap w:val="0"/>
                  <w:vAlign w:val="center"/>
                </w:tcPr>
                <w:p w14:paraId="28C9BB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color w:val="auto"/>
                      <w:spacing w:val="8"/>
                      <w:sz w:val="20"/>
                      <w:szCs w:val="20"/>
                      <w:highlight w:val="none"/>
                    </w:rPr>
                    <w:t>《建筑施工噪声排放标准》（</w:t>
                  </w:r>
                  <w:r>
                    <w:rPr>
                      <w:rFonts w:hint="default" w:ascii="Times New Roman" w:hAnsi="Times New Roman" w:eastAsia="Times New Roman" w:cs="Times New Roman"/>
                      <w:color w:val="auto"/>
                      <w:sz w:val="20"/>
                      <w:szCs w:val="20"/>
                      <w:highlight w:val="none"/>
                    </w:rPr>
                    <w:t>GB</w:t>
                  </w:r>
                  <w:r>
                    <w:rPr>
                      <w:rFonts w:hint="default" w:ascii="Times New Roman" w:hAnsi="Times New Roman" w:eastAsia="Times New Roman" w:cs="Times New Roman"/>
                      <w:color w:val="auto"/>
                      <w:spacing w:val="8"/>
                      <w:sz w:val="20"/>
                      <w:szCs w:val="20"/>
                      <w:highlight w:val="none"/>
                    </w:rPr>
                    <w:t>125</w:t>
                  </w:r>
                  <w:r>
                    <w:rPr>
                      <w:rFonts w:hint="default" w:ascii="Times New Roman" w:hAnsi="Times New Roman" w:eastAsia="Times New Roman" w:cs="Times New Roman"/>
                      <w:color w:val="auto"/>
                      <w:spacing w:val="7"/>
                      <w:sz w:val="20"/>
                      <w:szCs w:val="20"/>
                      <w:highlight w:val="none"/>
                    </w:rPr>
                    <w:t>23-</w:t>
                  </w:r>
                  <w:r>
                    <w:rPr>
                      <w:rFonts w:hint="eastAsia" w:eastAsia="宋体" w:cs="Times New Roman"/>
                      <w:color w:val="auto"/>
                      <w:spacing w:val="7"/>
                      <w:sz w:val="20"/>
                      <w:szCs w:val="20"/>
                      <w:highlight w:val="none"/>
                      <w:lang w:val="en-US" w:eastAsia="zh-CN"/>
                    </w:rPr>
                    <w:t>2025</w:t>
                  </w:r>
                  <w:r>
                    <w:rPr>
                      <w:rFonts w:hint="default"/>
                      <w:color w:val="auto"/>
                      <w:spacing w:val="7"/>
                      <w:sz w:val="20"/>
                      <w:szCs w:val="20"/>
                      <w:highlight w:val="none"/>
                    </w:rPr>
                    <w:t>）</w:t>
                  </w:r>
                </w:p>
              </w:tc>
              <w:tc>
                <w:tcPr>
                  <w:tcW w:w="1320" w:type="pct"/>
                  <w:tcBorders>
                    <w:tl2br w:val="nil"/>
                    <w:tr2bl w:val="nil"/>
                  </w:tcBorders>
                  <w:shd w:val="clear" w:color="auto" w:fill="FFFFFF"/>
                  <w:noWrap w:val="0"/>
                  <w:vAlign w:val="center"/>
                </w:tcPr>
                <w:p w14:paraId="470E6E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昼间</w:t>
                  </w:r>
                </w:p>
              </w:tc>
              <w:tc>
                <w:tcPr>
                  <w:tcW w:w="1179" w:type="pct"/>
                  <w:tcBorders>
                    <w:tl2br w:val="nil"/>
                    <w:tr2bl w:val="nil"/>
                  </w:tcBorders>
                  <w:shd w:val="clear" w:color="auto" w:fill="FFFFFF"/>
                  <w:noWrap w:val="0"/>
                  <w:vAlign w:val="center"/>
                </w:tcPr>
                <w:p w14:paraId="1DD1B2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b/>
                      <w:bCs/>
                      <w:snapToGrid w:val="0"/>
                      <w:color w:val="auto"/>
                      <w:sz w:val="21"/>
                      <w:szCs w:val="21"/>
                      <w:highlight w:val="none"/>
                    </w:rPr>
                  </w:pPr>
                  <w:r>
                    <w:rPr>
                      <w:rFonts w:hint="default" w:ascii="Times New Roman" w:hAnsi="Times New Roman" w:eastAsia="宋体" w:cs="Times New Roman"/>
                      <w:b/>
                      <w:bCs/>
                      <w:snapToGrid w:val="0"/>
                      <w:color w:val="auto"/>
                      <w:sz w:val="21"/>
                      <w:szCs w:val="21"/>
                      <w:highlight w:val="none"/>
                    </w:rPr>
                    <w:t>夜间</w:t>
                  </w:r>
                </w:p>
              </w:tc>
            </w:tr>
            <w:tr w14:paraId="3A7351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trHeight w:val="397" w:hRule="exact"/>
                <w:jc w:val="center"/>
              </w:trPr>
              <w:tc>
                <w:tcPr>
                  <w:tcW w:w="2500" w:type="pct"/>
                  <w:vMerge w:val="continue"/>
                  <w:tcBorders>
                    <w:tl2br w:val="nil"/>
                    <w:tr2bl w:val="nil"/>
                  </w:tcBorders>
                  <w:noWrap w:val="0"/>
                  <w:vAlign w:val="center"/>
                </w:tcPr>
                <w:p w14:paraId="7D81B8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p>
              </w:tc>
              <w:tc>
                <w:tcPr>
                  <w:tcW w:w="1320" w:type="pct"/>
                  <w:tcBorders>
                    <w:tl2br w:val="nil"/>
                    <w:tr2bl w:val="nil"/>
                  </w:tcBorders>
                  <w:noWrap w:val="0"/>
                  <w:vAlign w:val="center"/>
                </w:tcPr>
                <w:p w14:paraId="66099E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ascii="Times New Roman" w:hAnsi="Times New Roman" w:eastAsia="宋体" w:cs="Times New Roman"/>
                      <w:snapToGrid w:val="0"/>
                      <w:color w:val="auto"/>
                      <w:sz w:val="21"/>
                      <w:szCs w:val="21"/>
                      <w:highlight w:val="none"/>
                      <w:lang w:val="en-US" w:eastAsia="zh-CN"/>
                    </w:rPr>
                    <w:t>70</w:t>
                  </w:r>
                </w:p>
              </w:tc>
              <w:tc>
                <w:tcPr>
                  <w:tcW w:w="1179" w:type="pct"/>
                  <w:tcBorders>
                    <w:tl2br w:val="nil"/>
                    <w:tr2bl w:val="nil"/>
                  </w:tcBorders>
                  <w:noWrap w:val="0"/>
                  <w:vAlign w:val="center"/>
                </w:tcPr>
                <w:p w14:paraId="237946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jc w:val="center"/>
                    <w:textAlignment w:val="auto"/>
                    <w:outlineLvl w:val="9"/>
                    <w:rPr>
                      <w:rFonts w:hint="default" w:ascii="Times New Roman" w:hAnsi="Times New Roman" w:eastAsia="宋体" w:cs="Times New Roman"/>
                      <w:snapToGrid w:val="0"/>
                      <w:color w:val="auto"/>
                      <w:sz w:val="21"/>
                      <w:szCs w:val="21"/>
                      <w:highlight w:val="none"/>
                      <w:lang w:val="en-US" w:eastAsia="zh-CN"/>
                    </w:rPr>
                  </w:pPr>
                  <w:r>
                    <w:rPr>
                      <w:rFonts w:hint="default" w:ascii="Times New Roman" w:hAnsi="Times New Roman" w:eastAsia="宋体" w:cs="Times New Roman"/>
                      <w:snapToGrid w:val="0"/>
                      <w:color w:val="auto"/>
                      <w:sz w:val="21"/>
                      <w:szCs w:val="21"/>
                      <w:highlight w:val="none"/>
                      <w:lang w:val="en-US" w:eastAsia="zh-CN"/>
                    </w:rPr>
                    <w:t>55</w:t>
                  </w:r>
                </w:p>
              </w:tc>
            </w:tr>
          </w:tbl>
          <w:p w14:paraId="74E3A94F">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b/>
                <w:bCs/>
                <w:color w:val="auto"/>
                <w:spacing w:val="8"/>
                <w:szCs w:val="21"/>
                <w:highlight w:val="none"/>
              </w:rPr>
            </w:pPr>
            <w:r>
              <w:rPr>
                <w:rFonts w:hint="default" w:ascii="Times New Roman" w:hAnsi="Times New Roman" w:eastAsia="宋体" w:cs="Times New Roman"/>
                <w:bCs/>
                <w:color w:val="auto"/>
                <w:kern w:val="0"/>
                <w:sz w:val="24"/>
                <w:highlight w:val="none"/>
                <w:lang w:bidi="ar"/>
              </w:rPr>
              <w:t>本项目位于辽宁省阜新市高新技术产业开发区，属于3类功能区，</w:t>
            </w:r>
            <w:r>
              <w:rPr>
                <w:rFonts w:hint="default" w:ascii="Times New Roman" w:hAnsi="Times New Roman" w:eastAsia="宋体" w:cs="Times New Roman"/>
                <w:bCs/>
                <w:color w:val="auto"/>
                <w:sz w:val="24"/>
                <w:highlight w:val="none"/>
              </w:rPr>
              <w:t>项目</w:t>
            </w:r>
            <w:r>
              <w:rPr>
                <w:rFonts w:hint="eastAsia" w:cs="Times New Roman"/>
                <w:bCs/>
                <w:color w:val="auto"/>
                <w:sz w:val="24"/>
                <w:highlight w:val="none"/>
                <w:lang w:val="en-US" w:eastAsia="zh-CN"/>
              </w:rPr>
              <w:t>运营期</w:t>
            </w:r>
            <w:r>
              <w:rPr>
                <w:rFonts w:hint="default" w:ascii="Times New Roman" w:hAnsi="Times New Roman" w:eastAsia="宋体" w:cs="Times New Roman"/>
                <w:bCs/>
                <w:color w:val="auto"/>
                <w:sz w:val="24"/>
                <w:highlight w:val="none"/>
              </w:rPr>
              <w:t>厂界噪声执行《工业企业厂界环境噪声排放标准》（GB12348-2008）3类标准。</w:t>
            </w:r>
          </w:p>
          <w:p w14:paraId="64441A90">
            <w:pPr>
              <w:keepNext w:val="0"/>
              <w:keepLines w:val="0"/>
              <w:suppressLineNumbers w:val="0"/>
              <w:snapToGrid w:val="0"/>
              <w:spacing w:before="0" w:beforeAutospacing="0" w:after="0" w:afterAutospacing="0"/>
              <w:ind w:left="0" w:right="0"/>
              <w:jc w:val="center"/>
              <w:rPr>
                <w:rFonts w:hint="default" w:ascii="Times New Roman" w:hAnsi="Times New Roman" w:eastAsia="宋体" w:cs="Times New Roman"/>
                <w:b/>
                <w:bCs/>
                <w:color w:val="auto"/>
                <w:spacing w:val="8"/>
                <w:szCs w:val="21"/>
                <w:highlight w:val="none"/>
              </w:rPr>
            </w:pPr>
            <w:r>
              <w:rPr>
                <w:rFonts w:hint="default" w:ascii="Times New Roman" w:hAnsi="Times New Roman" w:eastAsia="宋体" w:cs="Times New Roman"/>
                <w:b/>
                <w:bCs/>
                <w:color w:val="auto"/>
                <w:spacing w:val="8"/>
                <w:szCs w:val="21"/>
                <w:highlight w:val="none"/>
              </w:rPr>
              <w:t>表3-</w:t>
            </w:r>
            <w:r>
              <w:rPr>
                <w:rFonts w:hint="eastAsia" w:cs="Times New Roman"/>
                <w:b/>
                <w:bCs/>
                <w:color w:val="auto"/>
                <w:spacing w:val="8"/>
                <w:szCs w:val="21"/>
                <w:highlight w:val="none"/>
                <w:lang w:val="en-US" w:eastAsia="zh-CN"/>
              </w:rPr>
              <w:t>11</w:t>
            </w:r>
            <w:r>
              <w:rPr>
                <w:rFonts w:hint="default" w:ascii="Times New Roman" w:hAnsi="Times New Roman" w:eastAsia="宋体" w:cs="Times New Roman"/>
                <w:b/>
                <w:bCs/>
                <w:color w:val="auto"/>
                <w:spacing w:val="8"/>
                <w:szCs w:val="21"/>
                <w:highlight w:val="none"/>
              </w:rPr>
              <w:t xml:space="preserve">  噪声排放标准</w:t>
            </w:r>
          </w:p>
          <w:tbl>
            <w:tblPr>
              <w:tblStyle w:val="26"/>
              <w:tblW w:w="499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28" w:type="dxa"/>
                <w:bottom w:w="0" w:type="dxa"/>
                <w:right w:w="28" w:type="dxa"/>
              </w:tblCellMar>
            </w:tblPr>
            <w:tblGrid>
              <w:gridCol w:w="2193"/>
              <w:gridCol w:w="2221"/>
              <w:gridCol w:w="2501"/>
              <w:gridCol w:w="2072"/>
            </w:tblGrid>
            <w:tr w14:paraId="244916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220" w:type="pct"/>
                  <w:vMerge w:val="restart"/>
                  <w:tcBorders>
                    <w:tl2br w:val="nil"/>
                    <w:tr2bl w:val="nil"/>
                  </w:tcBorders>
                  <w:noWrap w:val="0"/>
                  <w:vAlign w:val="center"/>
                </w:tcPr>
                <w:p w14:paraId="59DF8A0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项目</w:t>
                  </w:r>
                </w:p>
              </w:tc>
              <w:tc>
                <w:tcPr>
                  <w:tcW w:w="2626" w:type="pct"/>
                  <w:gridSpan w:val="2"/>
                  <w:tcBorders>
                    <w:tl2br w:val="nil"/>
                    <w:tr2bl w:val="nil"/>
                  </w:tcBorders>
                  <w:noWrap w:val="0"/>
                  <w:vAlign w:val="center"/>
                </w:tcPr>
                <w:p w14:paraId="18BCB8A1">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标准值[dB（A）]</w:t>
                  </w:r>
                </w:p>
              </w:tc>
              <w:tc>
                <w:tcPr>
                  <w:tcW w:w="1152" w:type="pct"/>
                  <w:vMerge w:val="restart"/>
                  <w:tcBorders>
                    <w:tl2br w:val="nil"/>
                    <w:tr2bl w:val="nil"/>
                  </w:tcBorders>
                  <w:noWrap w:val="0"/>
                  <w:vAlign w:val="center"/>
                </w:tcPr>
                <w:p w14:paraId="5F2AA98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类别</w:t>
                  </w:r>
                </w:p>
              </w:tc>
            </w:tr>
            <w:tr w14:paraId="33184F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220" w:type="pct"/>
                  <w:vMerge w:val="continue"/>
                  <w:tcBorders>
                    <w:tl2br w:val="nil"/>
                    <w:tr2bl w:val="nil"/>
                  </w:tcBorders>
                  <w:noWrap w:val="0"/>
                  <w:vAlign w:val="center"/>
                </w:tcPr>
                <w:p w14:paraId="111D972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Cs/>
                      <w:color w:val="auto"/>
                      <w:szCs w:val="21"/>
                      <w:highlight w:val="none"/>
                    </w:rPr>
                  </w:pPr>
                </w:p>
              </w:tc>
              <w:tc>
                <w:tcPr>
                  <w:tcW w:w="1235" w:type="pct"/>
                  <w:tcBorders>
                    <w:tl2br w:val="nil"/>
                    <w:tr2bl w:val="nil"/>
                  </w:tcBorders>
                  <w:noWrap w:val="0"/>
                  <w:vAlign w:val="center"/>
                </w:tcPr>
                <w:p w14:paraId="3AAF287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昼间</w:t>
                  </w:r>
                </w:p>
              </w:tc>
              <w:tc>
                <w:tcPr>
                  <w:tcW w:w="1391" w:type="pct"/>
                  <w:tcBorders>
                    <w:tl2br w:val="nil"/>
                    <w:tr2bl w:val="nil"/>
                  </w:tcBorders>
                  <w:noWrap w:val="0"/>
                  <w:vAlign w:val="center"/>
                </w:tcPr>
                <w:p w14:paraId="2919BE7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Cs w:val="21"/>
                      <w:highlight w:val="none"/>
                    </w:rPr>
                  </w:pPr>
                  <w:r>
                    <w:rPr>
                      <w:rFonts w:hint="default" w:ascii="Times New Roman" w:hAnsi="Times New Roman" w:eastAsia="宋体" w:cs="Times New Roman"/>
                      <w:b/>
                      <w:bCs/>
                      <w:color w:val="auto"/>
                      <w:szCs w:val="21"/>
                      <w:highlight w:val="none"/>
                    </w:rPr>
                    <w:t>夜间</w:t>
                  </w:r>
                </w:p>
              </w:tc>
              <w:tc>
                <w:tcPr>
                  <w:tcW w:w="1152" w:type="pct"/>
                  <w:vMerge w:val="continue"/>
                  <w:tcBorders>
                    <w:tl2br w:val="nil"/>
                    <w:tr2bl w:val="nil"/>
                  </w:tcBorders>
                  <w:noWrap w:val="0"/>
                  <w:vAlign w:val="center"/>
                </w:tcPr>
                <w:p w14:paraId="0CCBCAED">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
                      <w:bCs/>
                      <w:color w:val="auto"/>
                      <w:szCs w:val="21"/>
                      <w:highlight w:val="none"/>
                    </w:rPr>
                  </w:pPr>
                </w:p>
              </w:tc>
            </w:tr>
            <w:tr w14:paraId="2501DF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28" w:type="dxa"/>
                  <w:bottom w:w="0" w:type="dxa"/>
                  <w:right w:w="28" w:type="dxa"/>
                </w:tblCellMar>
              </w:tblPrEx>
              <w:trPr>
                <w:cantSplit/>
                <w:trHeight w:val="397" w:hRule="atLeast"/>
                <w:jc w:val="center"/>
              </w:trPr>
              <w:tc>
                <w:tcPr>
                  <w:tcW w:w="1220" w:type="pct"/>
                  <w:tcBorders>
                    <w:tl2br w:val="nil"/>
                    <w:tr2bl w:val="nil"/>
                  </w:tcBorders>
                  <w:noWrap w:val="0"/>
                  <w:vAlign w:val="center"/>
                </w:tcPr>
                <w:p w14:paraId="7A6ABC4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Cs w:val="21"/>
                      <w:highlight w:val="none"/>
                    </w:rPr>
                    <w:t>厂界</w:t>
                  </w:r>
                </w:p>
              </w:tc>
              <w:tc>
                <w:tcPr>
                  <w:tcW w:w="1235" w:type="pct"/>
                  <w:tcBorders>
                    <w:tl2br w:val="nil"/>
                    <w:tr2bl w:val="nil"/>
                  </w:tcBorders>
                  <w:noWrap w:val="0"/>
                  <w:vAlign w:val="center"/>
                </w:tcPr>
                <w:p w14:paraId="2EBF851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65</w:t>
                  </w:r>
                </w:p>
              </w:tc>
              <w:tc>
                <w:tcPr>
                  <w:tcW w:w="1391" w:type="pct"/>
                  <w:tcBorders>
                    <w:tl2br w:val="nil"/>
                    <w:tr2bl w:val="nil"/>
                  </w:tcBorders>
                  <w:noWrap w:val="0"/>
                  <w:vAlign w:val="center"/>
                </w:tcPr>
                <w:p w14:paraId="438F596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55</w:t>
                  </w:r>
                </w:p>
              </w:tc>
              <w:tc>
                <w:tcPr>
                  <w:tcW w:w="1152" w:type="pct"/>
                  <w:tcBorders>
                    <w:tl2br w:val="nil"/>
                    <w:tr2bl w:val="nil"/>
                  </w:tcBorders>
                  <w:noWrap w:val="0"/>
                  <w:vAlign w:val="center"/>
                </w:tcPr>
                <w:p w14:paraId="44247D9F">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3类</w:t>
                  </w:r>
                </w:p>
              </w:tc>
            </w:tr>
          </w:tbl>
          <w:p w14:paraId="75C4BCE5">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eastAsia="宋体" w:cs="Times New Roman"/>
                <w:b/>
                <w:color w:val="auto"/>
                <w:kern w:val="0"/>
                <w:sz w:val="24"/>
                <w:szCs w:val="20"/>
                <w:highlight w:val="none"/>
                <w:lang w:val="en-US" w:eastAsia="zh-CN"/>
              </w:rPr>
            </w:pPr>
            <w:r>
              <w:rPr>
                <w:rFonts w:hint="eastAsia" w:ascii="Times New Roman" w:hAnsi="Times New Roman" w:eastAsia="宋体" w:cs="Times New Roman"/>
                <w:b/>
                <w:color w:val="auto"/>
                <w:kern w:val="0"/>
                <w:sz w:val="24"/>
                <w:szCs w:val="20"/>
                <w:highlight w:val="none"/>
                <w:lang w:val="en-US" w:eastAsia="zh-CN"/>
              </w:rPr>
              <w:t>4、固体废物</w:t>
            </w:r>
          </w:p>
          <w:p w14:paraId="4041C8A2">
            <w:pPr>
              <w:pStyle w:val="7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cs="Times New Roman"/>
                <w:color w:val="auto"/>
                <w:sz w:val="24"/>
                <w:szCs w:val="24"/>
                <w:highlight w:val="none"/>
                <w:lang w:eastAsia="zh-CN"/>
              </w:rPr>
            </w:pPr>
            <w:r>
              <w:rPr>
                <w:rFonts w:hint="eastAsia" w:cs="Times New Roman"/>
                <w:color w:val="auto"/>
                <w:sz w:val="24"/>
                <w:szCs w:val="24"/>
                <w:highlight w:val="none"/>
                <w:lang w:val="en-US" w:eastAsia="zh-CN"/>
              </w:rPr>
              <w:t>一</w:t>
            </w:r>
            <w:r>
              <w:rPr>
                <w:rFonts w:hint="eastAsia" w:ascii="Times New Roman" w:hAnsi="Times New Roman" w:cs="Times New Roman"/>
                <w:color w:val="auto"/>
                <w:sz w:val="24"/>
                <w:szCs w:val="24"/>
                <w:highlight w:val="none"/>
                <w:lang w:eastAsia="zh-CN"/>
              </w:rPr>
              <w:t>般固体废物</w:t>
            </w:r>
            <w:r>
              <w:rPr>
                <w:rFonts w:hint="eastAsia" w:cs="Times New Roman"/>
                <w:color w:val="auto"/>
                <w:sz w:val="24"/>
                <w:szCs w:val="24"/>
                <w:highlight w:val="none"/>
                <w:lang w:val="en-US" w:eastAsia="zh-CN"/>
              </w:rPr>
              <w:t>暂存及</w:t>
            </w:r>
            <w:r>
              <w:rPr>
                <w:rFonts w:hint="eastAsia" w:ascii="Times New Roman" w:hAnsi="Times New Roman" w:cs="Times New Roman"/>
                <w:color w:val="auto"/>
                <w:sz w:val="24"/>
                <w:szCs w:val="24"/>
                <w:highlight w:val="none"/>
                <w:lang w:eastAsia="zh-CN"/>
              </w:rPr>
              <w:t>处置执行《一般工业固体废物贮存和填埋污染控制标准》</w:t>
            </w:r>
            <w:r>
              <w:rPr>
                <w:rFonts w:hint="eastAsia"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GB18599-2020</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相关要求</w:t>
            </w:r>
            <w:r>
              <w:rPr>
                <w:rFonts w:hint="eastAsia" w:cs="Times New Roman"/>
                <w:color w:val="auto"/>
                <w:sz w:val="24"/>
                <w:szCs w:val="24"/>
                <w:highlight w:val="none"/>
                <w:lang w:eastAsia="zh-CN"/>
              </w:rPr>
              <w:t>；</w:t>
            </w:r>
          </w:p>
          <w:p w14:paraId="29650625">
            <w:pPr>
              <w:pStyle w:val="73"/>
              <w:keepNext w:val="0"/>
              <w:keepLines w:val="0"/>
              <w:pageBreakBefore w:val="0"/>
              <w:widowControl w:val="0"/>
              <w:suppressLineNumbers w:val="0"/>
              <w:kinsoku/>
              <w:wordWrap/>
              <w:overflowPunct w:val="0"/>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cs="Times New Roman"/>
                <w:color w:val="auto"/>
                <w:sz w:val="24"/>
                <w:szCs w:val="24"/>
                <w:highlight w:val="none"/>
                <w:lang w:eastAsia="zh-CN"/>
              </w:rPr>
            </w:pPr>
            <w:r>
              <w:rPr>
                <w:rFonts w:hint="eastAsia" w:ascii="Times New Roman" w:hAnsi="Times New Roman" w:cs="Times New Roman"/>
                <w:color w:val="auto"/>
                <w:sz w:val="24"/>
                <w:szCs w:val="24"/>
                <w:highlight w:val="none"/>
                <w:lang w:eastAsia="zh-CN"/>
              </w:rPr>
              <w:t>危险废物执行《危险废物贮存污染控制标准》</w:t>
            </w:r>
            <w:r>
              <w:rPr>
                <w:rFonts w:hint="eastAsia" w:cs="Times New Roman"/>
                <w:color w:val="auto"/>
                <w:sz w:val="24"/>
                <w:szCs w:val="24"/>
                <w:highlight w:val="none"/>
                <w:lang w:eastAsia="zh-CN"/>
              </w:rPr>
              <w:t>（</w:t>
            </w:r>
            <w:r>
              <w:rPr>
                <w:rFonts w:hint="eastAsia" w:ascii="Times New Roman" w:hAnsi="Times New Roman" w:cs="Times New Roman"/>
                <w:color w:val="auto"/>
                <w:sz w:val="24"/>
                <w:szCs w:val="24"/>
                <w:highlight w:val="none"/>
                <w:lang w:eastAsia="zh-CN"/>
              </w:rPr>
              <w:t>GB18597-2023</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相关要求</w:t>
            </w:r>
            <w:r>
              <w:rPr>
                <w:rFonts w:hint="eastAsia" w:cs="Times New Roman"/>
                <w:color w:val="auto"/>
                <w:sz w:val="24"/>
                <w:szCs w:val="24"/>
                <w:highlight w:val="none"/>
                <w:lang w:eastAsia="zh-CN"/>
              </w:rPr>
              <w:t>。</w:t>
            </w:r>
          </w:p>
        </w:tc>
      </w:tr>
      <w:tr w14:paraId="163DD3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396" w:hRule="atLeast"/>
          <w:jc w:val="center"/>
        </w:trPr>
        <w:tc>
          <w:tcPr>
            <w:tcW w:w="737" w:type="dxa"/>
            <w:noWrap w:val="0"/>
            <w:vAlign w:val="center"/>
          </w:tcPr>
          <w:p w14:paraId="54C9F78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总量</w:t>
            </w:r>
          </w:p>
          <w:p w14:paraId="6F6B660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控制</w:t>
            </w:r>
          </w:p>
          <w:p w14:paraId="60D3D259">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kern w:val="0"/>
                <w:szCs w:val="21"/>
                <w:highlight w:val="none"/>
              </w:rPr>
            </w:pPr>
            <w:r>
              <w:rPr>
                <w:rFonts w:hint="default" w:ascii="Times New Roman" w:hAnsi="Times New Roman" w:eastAsia="宋体" w:cs="Times New Roman"/>
                <w:color w:val="auto"/>
                <w:kern w:val="0"/>
                <w:sz w:val="24"/>
                <w:szCs w:val="24"/>
                <w:highlight w:val="none"/>
              </w:rPr>
              <w:t>指标</w:t>
            </w:r>
          </w:p>
        </w:tc>
        <w:tc>
          <w:tcPr>
            <w:tcW w:w="8324" w:type="dxa"/>
            <w:noWrap w:val="0"/>
            <w:vAlign w:val="top"/>
          </w:tcPr>
          <w:p w14:paraId="04C5E030">
            <w:pPr>
              <w:keepNext w:val="0"/>
              <w:keepLines w:val="0"/>
              <w:pageBreakBefore w:val="0"/>
              <w:widowControl w:val="0"/>
              <w:suppressLineNumbers w:val="0"/>
              <w:tabs>
                <w:tab w:val="left" w:pos="7187"/>
              </w:tabs>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eastAsia"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根据《建设项目主要污染物排放总量指标审核及管理暂行办法》（环发﹝2014﹞197号）、《辽宁省生态环境厅关于进一步加强建设项目主要污染物排放总量指标审核和管理的通知》（辽环综函〔2020〕380号）和《</w:t>
            </w:r>
            <w:r>
              <w:rPr>
                <w:rFonts w:hint="eastAsia" w:ascii="宋体" w:hAnsi="宋体" w:eastAsia="宋体" w:cs="宋体"/>
                <w:color w:val="auto"/>
                <w:sz w:val="24"/>
                <w:szCs w:val="24"/>
                <w:highlight w:val="none"/>
              </w:rPr>
              <w:t>“十五五”污</w:t>
            </w:r>
            <w:r>
              <w:rPr>
                <w:rFonts w:hint="default" w:ascii="Times New Roman" w:hAnsi="Times New Roman" w:eastAsia="宋体" w:cs="Times New Roman"/>
                <w:color w:val="auto"/>
                <w:sz w:val="24"/>
                <w:szCs w:val="24"/>
                <w:highlight w:val="none"/>
              </w:rPr>
              <w:t>染减排工作方案编制技术指南》等文件要求，污染物控制因子为NOx、VOCs、COD、总磷。</w:t>
            </w:r>
          </w:p>
          <w:p w14:paraId="5A70F1F0">
            <w:pPr>
              <w:pStyle w:val="73"/>
              <w:keepNext w:val="0"/>
              <w:keepLines w:val="0"/>
              <w:pageBreakBefore w:val="0"/>
              <w:widowControl w:val="0"/>
              <w:numPr>
                <w:ilvl w:val="0"/>
                <w:numId w:val="5"/>
              </w:numPr>
              <w:suppressLineNumbers w:val="0"/>
              <w:kinsoku/>
              <w:wordWrap/>
              <w:overflowPunct/>
              <w:topLinePunct w:val="0"/>
              <w:autoSpaceDE/>
              <w:autoSpaceDN/>
              <w:bidi w:val="0"/>
              <w:adjustRightInd/>
              <w:snapToGrid/>
              <w:spacing w:before="0" w:beforeAutospacing="0" w:after="0" w:afterAutospacing="0" w:line="348" w:lineRule="auto"/>
              <w:ind w:left="0" w:right="0" w:firstLine="482" w:firstLine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水污染物总量控制指标</w:t>
            </w:r>
          </w:p>
          <w:p w14:paraId="561F6D79">
            <w:pPr>
              <w:pStyle w:val="15"/>
              <w:keepNext w:val="0"/>
              <w:keepLines w:val="0"/>
              <w:suppressLineNumbers w:val="0"/>
              <w:spacing w:before="0" w:beforeAutospacing="0" w:after="0" w:afterAutospacing="0" w:line="360" w:lineRule="auto"/>
              <w:ind w:left="0" w:leftChars="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highlight w:val="none"/>
                <w:lang w:eastAsia="zh-CN"/>
              </w:rPr>
              <w:t>本项目</w:t>
            </w:r>
            <w:r>
              <w:rPr>
                <w:rFonts w:hint="default" w:ascii="Times New Roman" w:hAnsi="Times New Roman" w:eastAsia="宋体" w:cs="Times New Roman"/>
                <w:color w:val="auto"/>
                <w:sz w:val="24"/>
                <w:highlight w:val="none"/>
                <w:lang w:val="en-US" w:eastAsia="zh-CN"/>
              </w:rPr>
              <w:t>废水主要为地面清洗废水、初期雨</w:t>
            </w:r>
            <w:r>
              <w:rPr>
                <w:rFonts w:hint="eastAsia" w:ascii="Times New Roman" w:hAnsi="Times New Roman" w:eastAsia="宋体" w:cs="Times New Roman"/>
                <w:color w:val="auto"/>
                <w:sz w:val="24"/>
                <w:highlight w:val="none"/>
                <w:lang w:val="en-US" w:eastAsia="zh-CN"/>
              </w:rPr>
              <w:t>水、食堂废水及生活污水</w:t>
            </w:r>
            <w:r>
              <w:rPr>
                <w:rFonts w:hint="default" w:ascii="Times New Roman" w:hAnsi="Times New Roman" w:eastAsia="宋体" w:cs="Times New Roman"/>
                <w:color w:val="auto"/>
                <w:sz w:val="24"/>
                <w:highlight w:val="none"/>
                <w:lang w:val="en-US" w:eastAsia="zh-CN"/>
              </w:rPr>
              <w:t>。</w:t>
            </w:r>
            <w:r>
              <w:rPr>
                <w:rFonts w:hint="eastAsia" w:ascii="Times New Roman" w:hAnsi="Times New Roman" w:eastAsia="宋体" w:cs="Times New Roman"/>
                <w:color w:val="auto"/>
                <w:sz w:val="24"/>
                <w:highlight w:val="none"/>
                <w:lang w:val="en-US" w:eastAsia="zh-CN"/>
              </w:rPr>
              <w:t>根据工程分析，废水排放量为</w:t>
            </w:r>
            <w:r>
              <w:rPr>
                <w:rFonts w:hint="eastAsia" w:cs="Times New Roman"/>
                <w:color w:val="auto"/>
                <w:sz w:val="24"/>
                <w:highlight w:val="none"/>
                <w:lang w:val="en-US" w:eastAsia="zh-CN"/>
              </w:rPr>
              <w:t>523</w:t>
            </w:r>
            <w:r>
              <w:rPr>
                <w:rFonts w:hint="eastAsia" w:ascii="Times New Roman" w:hAnsi="Times New Roman" w:eastAsia="宋体" w:cs="Times New Roman"/>
                <w:color w:val="auto"/>
                <w:sz w:val="24"/>
                <w:highlight w:val="none"/>
                <w:lang w:val="en-US" w:eastAsia="zh-CN"/>
              </w:rPr>
              <w:t>.25t/a</w:t>
            </w:r>
            <w:r>
              <w:rPr>
                <w:rFonts w:hint="default" w:ascii="Times New Roman" w:hAnsi="Times New Roman" w:eastAsia="宋体" w:cs="Times New Roman"/>
                <w:color w:val="auto"/>
                <w:sz w:val="24"/>
                <w:highlight w:val="none"/>
                <w:lang w:eastAsia="zh-CN"/>
              </w:rPr>
              <w:t>。</w:t>
            </w:r>
            <w:r>
              <w:rPr>
                <w:rFonts w:hint="default" w:ascii="Times New Roman" w:hAnsi="Times New Roman" w:eastAsia="宋体" w:cs="Times New Roman"/>
                <w:color w:val="auto"/>
                <w:sz w:val="24"/>
                <w:highlight w:val="none"/>
                <w:lang w:val="en-US" w:eastAsia="zh-CN"/>
              </w:rPr>
              <w:t>地面清洁废水、</w:t>
            </w:r>
            <w:r>
              <w:rPr>
                <w:rFonts w:hint="default" w:ascii="Times New Roman" w:hAnsi="Times New Roman" w:eastAsia="宋体" w:cs="Times New Roman"/>
                <w:color w:val="auto"/>
                <w:sz w:val="24"/>
                <w:highlight w:val="none"/>
                <w:lang w:eastAsia="zh-CN"/>
              </w:rPr>
              <w:t>初期雨水</w:t>
            </w:r>
            <w:r>
              <w:rPr>
                <w:rFonts w:hint="default" w:ascii="Times New Roman" w:hAnsi="Times New Roman" w:eastAsia="宋体" w:cs="Times New Roman"/>
                <w:color w:val="auto"/>
                <w:sz w:val="24"/>
                <w:highlight w:val="none"/>
                <w:lang w:val="en-US" w:eastAsia="zh-CN"/>
              </w:rPr>
              <w:t>排入污水处理设施处</w:t>
            </w:r>
            <w:r>
              <w:rPr>
                <w:rFonts w:hint="default" w:ascii="Times New Roman" w:hAnsi="Times New Roman" w:eastAsia="宋体" w:cs="Times New Roman"/>
                <w:color w:val="auto"/>
                <w:kern w:val="2"/>
                <w:sz w:val="24"/>
                <w:szCs w:val="24"/>
                <w:highlight w:val="none"/>
                <w:lang w:val="en-US" w:eastAsia="zh-CN" w:bidi="ar-SA"/>
              </w:rPr>
              <w:t>理达标后，经园区管网排入阜新市北控水务有限公司。</w:t>
            </w:r>
            <w:r>
              <w:rPr>
                <w:rFonts w:hint="eastAsia" w:ascii="Times New Roman" w:hAnsi="Times New Roman" w:eastAsia="宋体" w:cs="Times New Roman"/>
                <w:color w:val="auto"/>
                <w:kern w:val="2"/>
                <w:sz w:val="24"/>
                <w:szCs w:val="24"/>
                <w:highlight w:val="none"/>
                <w:lang w:val="en-US" w:eastAsia="zh-CN" w:bidi="ar-SA"/>
              </w:rPr>
              <w:t>食堂废水经隔油池处理后，与</w:t>
            </w:r>
            <w:r>
              <w:rPr>
                <w:rFonts w:hint="default" w:ascii="Times New Roman" w:hAnsi="Times New Roman" w:eastAsia="宋体" w:cs="Times New Roman"/>
                <w:color w:val="auto"/>
                <w:kern w:val="2"/>
                <w:sz w:val="24"/>
                <w:szCs w:val="24"/>
                <w:highlight w:val="none"/>
                <w:lang w:val="en-US" w:eastAsia="zh-CN" w:bidi="ar-SA"/>
              </w:rPr>
              <w:t>生活污水</w:t>
            </w:r>
            <w:r>
              <w:rPr>
                <w:rFonts w:hint="eastAsia" w:ascii="Times New Roman" w:hAnsi="Times New Roman" w:eastAsia="宋体" w:cs="Times New Roman"/>
                <w:color w:val="auto"/>
                <w:kern w:val="2"/>
                <w:sz w:val="24"/>
                <w:szCs w:val="24"/>
                <w:highlight w:val="none"/>
                <w:lang w:val="en-US" w:eastAsia="zh-CN" w:bidi="ar-SA"/>
              </w:rPr>
              <w:t>一同</w:t>
            </w:r>
            <w:r>
              <w:rPr>
                <w:rFonts w:hint="default" w:ascii="Times New Roman" w:hAnsi="Times New Roman" w:eastAsia="宋体" w:cs="Times New Roman"/>
                <w:color w:val="auto"/>
                <w:kern w:val="2"/>
                <w:sz w:val="24"/>
                <w:szCs w:val="24"/>
                <w:highlight w:val="none"/>
                <w:lang w:val="en-US" w:eastAsia="zh-CN" w:bidi="ar-SA"/>
              </w:rPr>
              <w:t>经化粪池处理后，经园区管网排入阜新市北控水务有限公司</w:t>
            </w:r>
            <w:r>
              <w:rPr>
                <w:rFonts w:hint="eastAsia" w:ascii="Times New Roman" w:hAnsi="Times New Roman" w:eastAsia="宋体" w:cs="Times New Roman"/>
                <w:color w:val="auto"/>
                <w:kern w:val="2"/>
                <w:sz w:val="24"/>
                <w:szCs w:val="24"/>
                <w:highlight w:val="none"/>
                <w:lang w:val="en-US" w:eastAsia="zh-CN" w:bidi="ar-SA"/>
              </w:rPr>
              <w:t>污水处理厂</w:t>
            </w:r>
            <w:r>
              <w:rPr>
                <w:rFonts w:hint="default" w:ascii="Times New Roman" w:hAnsi="Times New Roman" w:eastAsia="宋体" w:cs="Times New Roman"/>
                <w:color w:val="auto"/>
                <w:kern w:val="2"/>
                <w:sz w:val="24"/>
                <w:szCs w:val="24"/>
                <w:highlight w:val="none"/>
                <w:lang w:val="en-US" w:eastAsia="zh-CN" w:bidi="ar-SA"/>
              </w:rPr>
              <w:t>。阜新市北控水务有限公司</w:t>
            </w:r>
            <w:r>
              <w:rPr>
                <w:rFonts w:hint="eastAsia" w:ascii="Times New Roman" w:hAnsi="Times New Roman" w:eastAsia="宋体" w:cs="Times New Roman"/>
                <w:color w:val="auto"/>
                <w:kern w:val="2"/>
                <w:sz w:val="24"/>
                <w:szCs w:val="24"/>
                <w:highlight w:val="none"/>
                <w:lang w:val="en-US" w:eastAsia="zh-CN" w:bidi="ar-SA"/>
              </w:rPr>
              <w:t>污水处理厂排水执行</w:t>
            </w:r>
            <w:r>
              <w:rPr>
                <w:rFonts w:hint="default" w:ascii="Times New Roman" w:hAnsi="Times New Roman" w:eastAsia="宋体" w:cs="Times New Roman"/>
                <w:color w:val="auto"/>
                <w:kern w:val="2"/>
                <w:sz w:val="24"/>
                <w:szCs w:val="24"/>
                <w:highlight w:val="none"/>
                <w:lang w:val="en-US" w:eastAsia="zh-CN" w:bidi="ar-SA"/>
              </w:rPr>
              <w:t>《城镇污水处理厂污染物排放标准》（GB18918-2002）中一级 A 标准 COD（50mg/L）、</w:t>
            </w:r>
            <w:r>
              <w:rPr>
                <w:rFonts w:hint="eastAsia" w:ascii="Times New Roman" w:hAnsi="Times New Roman" w:eastAsia="宋体" w:cs="Times New Roman"/>
                <w:color w:val="auto"/>
                <w:kern w:val="2"/>
                <w:sz w:val="24"/>
                <w:szCs w:val="24"/>
                <w:highlight w:val="none"/>
                <w:lang w:val="en-US" w:eastAsia="zh-CN" w:bidi="ar-SA"/>
              </w:rPr>
              <w:t>总磷</w:t>
            </w:r>
            <w:r>
              <w:rPr>
                <w:rFonts w:hint="default" w:ascii="Times New Roman" w:hAnsi="Times New Roman" w:eastAsia="宋体" w:cs="Times New Roman"/>
                <w:color w:val="auto"/>
                <w:kern w:val="2"/>
                <w:sz w:val="24"/>
                <w:szCs w:val="24"/>
                <w:highlight w:val="none"/>
                <w:lang w:val="en-US" w:eastAsia="zh-CN" w:bidi="ar-SA"/>
              </w:rPr>
              <w:t>（5mg/L）</w:t>
            </w:r>
            <w:r>
              <w:rPr>
                <w:rFonts w:hint="eastAsia" w:cs="Times New Roman"/>
                <w:color w:val="auto"/>
                <w:kern w:val="2"/>
                <w:sz w:val="24"/>
                <w:szCs w:val="24"/>
                <w:highlight w:val="none"/>
                <w:lang w:val="en-US" w:eastAsia="zh-CN" w:bidi="ar-SA"/>
              </w:rPr>
              <w:t>。</w:t>
            </w:r>
          </w:p>
          <w:p w14:paraId="1984351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①</w:t>
            </w:r>
            <w:r>
              <w:rPr>
                <w:rFonts w:hint="eastAsia" w:ascii="Times New Roman" w:hAnsi="Times New Roman" w:eastAsia="宋体" w:cs="Times New Roman"/>
                <w:color w:val="auto"/>
                <w:kern w:val="2"/>
                <w:sz w:val="24"/>
                <w:szCs w:val="24"/>
                <w:highlight w:val="none"/>
                <w:lang w:val="en-US" w:eastAsia="zh-CN" w:bidi="ar-SA"/>
              </w:rPr>
              <w:t>按标准计算</w:t>
            </w:r>
            <w:r>
              <w:rPr>
                <w:rFonts w:hint="default" w:ascii="Times New Roman" w:hAnsi="Times New Roman" w:eastAsia="宋体" w:cs="Times New Roman"/>
                <w:color w:val="auto"/>
                <w:kern w:val="2"/>
                <w:sz w:val="24"/>
                <w:szCs w:val="24"/>
                <w:highlight w:val="none"/>
                <w:lang w:val="en-US" w:eastAsia="zh-CN" w:bidi="ar-SA"/>
              </w:rPr>
              <w:t>企业排污口总量：</w:t>
            </w:r>
          </w:p>
          <w:p w14:paraId="7947F8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CODcr=</w:t>
            </w:r>
            <w:r>
              <w:rPr>
                <w:rFonts w:hint="eastAsia" w:cs="Times New Roman"/>
                <w:color w:val="auto"/>
                <w:kern w:val="2"/>
                <w:sz w:val="24"/>
                <w:szCs w:val="24"/>
                <w:highlight w:val="none"/>
                <w:lang w:val="en-US" w:eastAsia="zh-CN" w:bidi="ar-SA"/>
              </w:rPr>
              <w:t>523.25</w:t>
            </w:r>
            <w:r>
              <w:rPr>
                <w:rFonts w:hint="default" w:ascii="Times New Roman" w:hAnsi="Times New Roman" w:eastAsia="宋体" w:cs="Times New Roman"/>
                <w:color w:val="auto"/>
                <w:kern w:val="2"/>
                <w:sz w:val="24"/>
                <w:szCs w:val="24"/>
                <w:highlight w:val="none"/>
                <w:lang w:val="en-US" w:eastAsia="zh-CN" w:bidi="ar-SA"/>
              </w:rPr>
              <w:t>t/a×300mg/L×10</w:t>
            </w:r>
            <w:r>
              <w:rPr>
                <w:rFonts w:hint="default" w:ascii="Times New Roman" w:hAnsi="Times New Roman" w:eastAsia="宋体" w:cs="Times New Roman"/>
                <w:color w:val="auto"/>
                <w:kern w:val="2"/>
                <w:sz w:val="24"/>
                <w:szCs w:val="24"/>
                <w:highlight w:val="none"/>
                <w:vertAlign w:val="superscript"/>
                <w:lang w:val="en-US" w:eastAsia="zh-CN" w:bidi="ar-SA"/>
              </w:rPr>
              <w:t>-6</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0.</w:t>
            </w:r>
            <w:r>
              <w:rPr>
                <w:rFonts w:hint="eastAsia" w:cs="Times New Roman"/>
                <w:color w:val="auto"/>
                <w:kern w:val="2"/>
                <w:sz w:val="24"/>
                <w:szCs w:val="24"/>
                <w:highlight w:val="none"/>
                <w:lang w:val="en-US" w:eastAsia="zh-CN" w:bidi="ar-SA"/>
              </w:rPr>
              <w:t>157</w:t>
            </w:r>
            <w:r>
              <w:rPr>
                <w:rFonts w:hint="default" w:ascii="Times New Roman" w:hAnsi="Times New Roman" w:eastAsia="宋体" w:cs="Times New Roman"/>
                <w:color w:val="auto"/>
                <w:kern w:val="2"/>
                <w:sz w:val="24"/>
                <w:szCs w:val="24"/>
                <w:highlight w:val="none"/>
                <w:lang w:val="en-US" w:eastAsia="zh-CN" w:bidi="ar-SA"/>
              </w:rPr>
              <w:t xml:space="preserve">t/a； </w:t>
            </w:r>
          </w:p>
          <w:p w14:paraId="092A3AE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总磷</w:t>
            </w:r>
            <w:r>
              <w:rPr>
                <w:rFonts w:hint="default" w:ascii="Times New Roman" w:hAnsi="Times New Roman" w:eastAsia="宋体" w:cs="Times New Roman"/>
                <w:color w:val="auto"/>
                <w:kern w:val="2"/>
                <w:sz w:val="24"/>
                <w:szCs w:val="24"/>
                <w:highlight w:val="none"/>
                <w:lang w:val="en-US" w:eastAsia="zh-CN" w:bidi="ar-SA"/>
              </w:rPr>
              <w:t>=</w:t>
            </w:r>
            <w:r>
              <w:rPr>
                <w:rFonts w:hint="eastAsia" w:cs="Times New Roman"/>
                <w:color w:val="auto"/>
                <w:kern w:val="2"/>
                <w:sz w:val="24"/>
                <w:szCs w:val="24"/>
                <w:highlight w:val="none"/>
                <w:lang w:val="en-US" w:eastAsia="zh-CN" w:bidi="ar-SA"/>
              </w:rPr>
              <w:t>523.25</w:t>
            </w:r>
            <w:r>
              <w:rPr>
                <w:rFonts w:hint="default" w:ascii="Times New Roman" w:hAnsi="Times New Roman" w:eastAsia="宋体" w:cs="Times New Roman"/>
                <w:color w:val="auto"/>
                <w:kern w:val="2"/>
                <w:sz w:val="24"/>
                <w:szCs w:val="24"/>
                <w:highlight w:val="none"/>
                <w:lang w:val="en-US" w:eastAsia="zh-CN" w:bidi="ar-SA"/>
              </w:rPr>
              <w:t>t/a×</w:t>
            </w:r>
            <w:r>
              <w:rPr>
                <w:rFonts w:hint="eastAsia" w:ascii="Times New Roman" w:hAnsi="Times New Roman" w:eastAsia="宋体" w:cs="Times New Roman"/>
                <w:color w:val="auto"/>
                <w:kern w:val="2"/>
                <w:sz w:val="24"/>
                <w:szCs w:val="24"/>
                <w:highlight w:val="none"/>
                <w:lang w:val="en-US" w:eastAsia="zh-CN" w:bidi="ar-SA"/>
              </w:rPr>
              <w:t>5</w:t>
            </w:r>
            <w:r>
              <w:rPr>
                <w:rFonts w:hint="default" w:ascii="Times New Roman" w:hAnsi="Times New Roman" w:eastAsia="宋体" w:cs="Times New Roman"/>
                <w:color w:val="auto"/>
                <w:kern w:val="2"/>
                <w:sz w:val="24"/>
                <w:szCs w:val="24"/>
                <w:highlight w:val="none"/>
                <w:lang w:val="en-US" w:eastAsia="zh-CN" w:bidi="ar-SA"/>
              </w:rPr>
              <w:t>mg/L×10</w:t>
            </w:r>
            <w:r>
              <w:rPr>
                <w:rFonts w:hint="default" w:ascii="Times New Roman" w:hAnsi="Times New Roman" w:eastAsia="宋体" w:cs="Times New Roman"/>
                <w:color w:val="auto"/>
                <w:kern w:val="2"/>
                <w:sz w:val="24"/>
                <w:szCs w:val="24"/>
                <w:highlight w:val="none"/>
                <w:vertAlign w:val="superscript"/>
                <w:lang w:val="en-US" w:eastAsia="zh-CN" w:bidi="ar-SA"/>
              </w:rPr>
              <w:t>-6</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0.00</w:t>
            </w:r>
            <w:r>
              <w:rPr>
                <w:rFonts w:hint="eastAsia" w:cs="Times New Roman"/>
                <w:color w:val="auto"/>
                <w:kern w:val="2"/>
                <w:sz w:val="24"/>
                <w:szCs w:val="24"/>
                <w:highlight w:val="none"/>
                <w:lang w:val="en-US" w:eastAsia="zh-CN" w:bidi="ar-SA"/>
              </w:rPr>
              <w:t>26</w:t>
            </w:r>
            <w:r>
              <w:rPr>
                <w:rFonts w:hint="default" w:ascii="Times New Roman" w:hAnsi="Times New Roman" w:eastAsia="宋体" w:cs="Times New Roman"/>
                <w:color w:val="auto"/>
                <w:kern w:val="2"/>
                <w:sz w:val="24"/>
                <w:szCs w:val="24"/>
                <w:highlight w:val="none"/>
                <w:lang w:val="en-US" w:eastAsia="zh-CN" w:bidi="ar-SA"/>
              </w:rPr>
              <w:t>t/a</w:t>
            </w:r>
          </w:p>
          <w:p w14:paraId="6BD1242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②</w:t>
            </w:r>
            <w:r>
              <w:rPr>
                <w:rFonts w:hint="eastAsia" w:cs="Times New Roman"/>
                <w:color w:val="auto"/>
                <w:kern w:val="2"/>
                <w:sz w:val="24"/>
                <w:szCs w:val="24"/>
                <w:highlight w:val="none"/>
                <w:lang w:val="en-US" w:eastAsia="zh-CN" w:bidi="ar-SA"/>
              </w:rPr>
              <w:t>污水处理厂</w:t>
            </w:r>
            <w:r>
              <w:rPr>
                <w:rFonts w:hint="default" w:ascii="Times New Roman" w:hAnsi="Times New Roman" w:eastAsia="宋体" w:cs="Times New Roman"/>
                <w:color w:val="auto"/>
                <w:kern w:val="2"/>
                <w:sz w:val="24"/>
                <w:szCs w:val="24"/>
                <w:highlight w:val="none"/>
                <w:lang w:val="en-US" w:eastAsia="zh-CN" w:bidi="ar-SA"/>
              </w:rPr>
              <w:t>出水口总量：</w:t>
            </w:r>
          </w:p>
          <w:p w14:paraId="2EA42D5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CODcr=</w:t>
            </w:r>
            <w:r>
              <w:rPr>
                <w:rFonts w:hint="eastAsia" w:cs="Times New Roman"/>
                <w:color w:val="auto"/>
                <w:sz w:val="24"/>
                <w:szCs w:val="24"/>
                <w:highlight w:val="none"/>
                <w:lang w:val="en-US" w:eastAsia="zh-CN"/>
              </w:rPr>
              <w:t>523.25</w:t>
            </w:r>
            <w:r>
              <w:rPr>
                <w:rFonts w:hint="default" w:ascii="Times New Roman" w:hAnsi="Times New Roman" w:eastAsia="宋体" w:cs="Times New Roman"/>
                <w:color w:val="auto"/>
                <w:sz w:val="24"/>
                <w:szCs w:val="24"/>
                <w:highlight w:val="none"/>
                <w:lang w:val="en-US" w:eastAsia="zh-CN"/>
              </w:rPr>
              <w:t>t/a×50mg/L×10</w:t>
            </w:r>
            <w:r>
              <w:rPr>
                <w:rFonts w:hint="default" w:ascii="Times New Roman" w:hAnsi="Times New Roman" w:eastAsia="宋体" w:cs="Times New Roman"/>
                <w:color w:val="auto"/>
                <w:sz w:val="24"/>
                <w:szCs w:val="24"/>
                <w:highlight w:val="none"/>
                <w:vertAlign w:val="superscript"/>
                <w:lang w:val="en-US" w:eastAsia="zh-CN"/>
              </w:rPr>
              <w:t>-6</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0.0</w:t>
            </w:r>
            <w:r>
              <w:rPr>
                <w:rFonts w:hint="eastAsia" w:cs="Times New Roman"/>
                <w:color w:val="auto"/>
                <w:sz w:val="24"/>
                <w:szCs w:val="24"/>
                <w:highlight w:val="none"/>
                <w:lang w:val="en-US" w:eastAsia="zh-CN"/>
              </w:rPr>
              <w:t>26</w:t>
            </w:r>
            <w:r>
              <w:rPr>
                <w:rFonts w:hint="default" w:ascii="Times New Roman" w:hAnsi="Times New Roman" w:eastAsia="宋体" w:cs="Times New Roman"/>
                <w:color w:val="auto"/>
                <w:sz w:val="24"/>
                <w:szCs w:val="24"/>
                <w:highlight w:val="none"/>
                <w:lang w:val="en-US" w:eastAsia="zh-CN"/>
              </w:rPr>
              <w:t>t/a；</w:t>
            </w:r>
          </w:p>
          <w:p w14:paraId="3998B13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b/>
                <w:bCs/>
                <w:color w:val="auto"/>
                <w:kern w:val="0"/>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rPr>
              <w:t>总磷</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523.25</w:t>
            </w:r>
            <w:r>
              <w:rPr>
                <w:rFonts w:hint="default" w:ascii="Times New Roman" w:hAnsi="Times New Roman" w:eastAsia="宋体" w:cs="Times New Roman"/>
                <w:color w:val="auto"/>
                <w:sz w:val="24"/>
                <w:szCs w:val="24"/>
                <w:highlight w:val="none"/>
                <w:lang w:val="en-US" w:eastAsia="zh-CN"/>
              </w:rPr>
              <w:t>t/a×</w:t>
            </w:r>
            <w:r>
              <w:rPr>
                <w:rFonts w:hint="eastAsia" w:ascii="Times New Roman" w:hAnsi="Times New Roman" w:eastAsia="宋体" w:cs="Times New Roman"/>
                <w:color w:val="auto"/>
                <w:sz w:val="24"/>
                <w:szCs w:val="24"/>
                <w:highlight w:val="none"/>
                <w:lang w:val="en-US" w:eastAsia="zh-CN"/>
              </w:rPr>
              <w:t>0.5</w:t>
            </w:r>
            <w:r>
              <w:rPr>
                <w:rFonts w:hint="default" w:ascii="Times New Roman" w:hAnsi="Times New Roman" w:eastAsia="宋体" w:cs="Times New Roman"/>
                <w:color w:val="auto"/>
                <w:sz w:val="24"/>
                <w:szCs w:val="24"/>
                <w:highlight w:val="none"/>
                <w:lang w:val="en-US" w:eastAsia="zh-CN"/>
              </w:rPr>
              <w:t>mg/L×10</w:t>
            </w:r>
            <w:r>
              <w:rPr>
                <w:rFonts w:hint="default" w:ascii="Times New Roman" w:hAnsi="Times New Roman" w:eastAsia="宋体" w:cs="Times New Roman"/>
                <w:color w:val="auto"/>
                <w:sz w:val="24"/>
                <w:szCs w:val="24"/>
                <w:highlight w:val="none"/>
                <w:vertAlign w:val="superscript"/>
                <w:lang w:val="en-US" w:eastAsia="zh-CN"/>
              </w:rPr>
              <w:t>-6</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0.000</w:t>
            </w:r>
            <w:r>
              <w:rPr>
                <w:rFonts w:hint="eastAsia" w:cs="Times New Roman"/>
                <w:color w:val="auto"/>
                <w:sz w:val="24"/>
                <w:szCs w:val="24"/>
                <w:highlight w:val="none"/>
                <w:lang w:val="en-US" w:eastAsia="zh-CN"/>
              </w:rPr>
              <w:t>26</w:t>
            </w:r>
            <w:r>
              <w:rPr>
                <w:rFonts w:hint="default" w:ascii="Times New Roman" w:hAnsi="Times New Roman" w:eastAsia="宋体" w:cs="Times New Roman"/>
                <w:color w:val="auto"/>
                <w:sz w:val="24"/>
                <w:szCs w:val="24"/>
                <w:highlight w:val="none"/>
                <w:lang w:val="en-US" w:eastAsia="zh-CN"/>
              </w:rPr>
              <w:t>t/a</w:t>
            </w:r>
          </w:p>
          <w:p w14:paraId="6260BFB0">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48" w:lineRule="auto"/>
              <w:ind w:left="0" w:leftChars="0" w:right="0" w:firstLine="482" w:firstLineChars="200"/>
              <w:jc w:val="left"/>
              <w:textAlignment w:val="auto"/>
              <w:rPr>
                <w:rFonts w:hint="eastAsia"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2、大气污染物总量控制指标</w:t>
            </w:r>
          </w:p>
          <w:p w14:paraId="4D57ABBA">
            <w:pPr>
              <w:pStyle w:val="73"/>
              <w:keepNext w:val="0"/>
              <w:keepLines w:val="0"/>
              <w:pageBreakBefore w:val="0"/>
              <w:widowControl w:val="0"/>
              <w:numPr>
                <w:ilvl w:val="0"/>
                <w:numId w:val="0"/>
              </w:numPr>
              <w:suppressLineNumbers w:val="0"/>
              <w:kinsoku/>
              <w:wordWrap/>
              <w:overflowPunct/>
              <w:topLinePunct w:val="0"/>
              <w:autoSpaceDE/>
              <w:autoSpaceDN/>
              <w:bidi w:val="0"/>
              <w:adjustRightInd w:val="0"/>
              <w:snapToGrid/>
              <w:spacing w:before="0" w:beforeAutospacing="0" w:after="0" w:afterAutospacing="0" w:line="348" w:lineRule="auto"/>
              <w:ind w:left="0" w:leftChars="0" w:right="0" w:firstLine="480" w:firstLineChars="200"/>
              <w:jc w:val="left"/>
              <w:textAlignment w:val="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color w:val="auto"/>
                <w:sz w:val="24"/>
                <w:szCs w:val="24"/>
                <w:highlight w:val="none"/>
                <w:lang w:val="en-US" w:eastAsia="zh-CN"/>
              </w:rPr>
              <w:t>根据计算，VOCs建议申请总量控制指标为</w:t>
            </w:r>
            <w:r>
              <w:rPr>
                <w:rFonts w:hint="eastAsia" w:cs="Times New Roman"/>
                <w:color w:val="auto"/>
                <w:sz w:val="24"/>
                <w:szCs w:val="24"/>
                <w:highlight w:val="none"/>
                <w:lang w:val="en-US" w:eastAsia="zh-CN"/>
              </w:rPr>
              <w:t>0.058</w:t>
            </w:r>
            <w:r>
              <w:rPr>
                <w:rFonts w:hint="eastAsia" w:ascii="Times New Roman" w:hAnsi="Times New Roman" w:eastAsia="宋体" w:cs="Times New Roman"/>
                <w:color w:val="auto"/>
                <w:sz w:val="24"/>
                <w:szCs w:val="24"/>
                <w:highlight w:val="none"/>
                <w:lang w:val="en-US" w:eastAsia="zh-CN"/>
              </w:rPr>
              <w:t>t/a，详见废气源强核算章节。本项目总量控制指标如下：</w:t>
            </w:r>
          </w:p>
          <w:p w14:paraId="246576C1">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center"/>
              <w:textAlignment w:val="auto"/>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3-1</w:t>
            </w:r>
            <w:r>
              <w:rPr>
                <w:rFonts w:hint="eastAsia" w:cs="Times New Roman"/>
                <w:b/>
                <w:bCs/>
                <w:color w:val="auto"/>
                <w:sz w:val="21"/>
                <w:szCs w:val="21"/>
                <w:highlight w:val="none"/>
                <w:lang w:val="en-US" w:eastAsia="zh-CN"/>
              </w:rPr>
              <w:t>2</w:t>
            </w:r>
            <w:r>
              <w:rPr>
                <w:rFonts w:hint="eastAsia" w:ascii="Times New Roman" w:hAnsi="Times New Roman" w:eastAsia="宋体" w:cs="Times New Roman"/>
                <w:b/>
                <w:bCs/>
                <w:color w:val="auto"/>
                <w:sz w:val="21"/>
                <w:szCs w:val="21"/>
                <w:highlight w:val="none"/>
                <w:lang w:val="en-US" w:eastAsia="zh-CN"/>
              </w:rPr>
              <w:t xml:space="preserve">  总量控制指标</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399"/>
              <w:gridCol w:w="1814"/>
              <w:gridCol w:w="5767"/>
            </w:tblGrid>
            <w:tr w14:paraId="32E35D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79" w:type="pct"/>
                  <w:tcBorders>
                    <w:tl2br w:val="nil"/>
                    <w:tr2bl w:val="nil"/>
                  </w:tcBorders>
                  <w:noWrap w:val="0"/>
                  <w:vAlign w:val="center"/>
                </w:tcPr>
                <w:p w14:paraId="707A26F5">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项目</w:t>
                  </w:r>
                </w:p>
              </w:tc>
              <w:tc>
                <w:tcPr>
                  <w:tcW w:w="1010" w:type="pct"/>
                  <w:tcBorders>
                    <w:tl2br w:val="nil"/>
                    <w:tr2bl w:val="nil"/>
                  </w:tcBorders>
                  <w:noWrap w:val="0"/>
                  <w:vAlign w:val="center"/>
                </w:tcPr>
                <w:p w14:paraId="7EF288DC">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污染物</w:t>
                  </w:r>
                </w:p>
              </w:tc>
              <w:tc>
                <w:tcPr>
                  <w:tcW w:w="3210" w:type="pct"/>
                  <w:tcBorders>
                    <w:tl2br w:val="nil"/>
                    <w:tr2bl w:val="nil"/>
                  </w:tcBorders>
                  <w:noWrap w:val="0"/>
                  <w:vAlign w:val="center"/>
                </w:tcPr>
                <w:p w14:paraId="15A11C37">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总量控制指标</w:t>
                  </w:r>
                </w:p>
              </w:tc>
            </w:tr>
            <w:tr w14:paraId="594FB55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79" w:type="pct"/>
                  <w:vMerge w:val="restart"/>
                  <w:tcBorders>
                    <w:tl2br w:val="nil"/>
                    <w:tr2bl w:val="nil"/>
                  </w:tcBorders>
                  <w:noWrap w:val="0"/>
                  <w:vAlign w:val="center"/>
                </w:tcPr>
                <w:p w14:paraId="64B9914D">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废水</w:t>
                  </w:r>
                </w:p>
              </w:tc>
              <w:tc>
                <w:tcPr>
                  <w:tcW w:w="1010" w:type="pct"/>
                  <w:tcBorders>
                    <w:tl2br w:val="nil"/>
                    <w:tr2bl w:val="nil"/>
                  </w:tcBorders>
                  <w:noWrap w:val="0"/>
                  <w:vAlign w:val="center"/>
                </w:tcPr>
                <w:p w14:paraId="56649D14">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CODcr</w:t>
                  </w:r>
                </w:p>
              </w:tc>
              <w:tc>
                <w:tcPr>
                  <w:tcW w:w="3210" w:type="pct"/>
                  <w:tcBorders>
                    <w:tl2br w:val="nil"/>
                    <w:tr2bl w:val="nil"/>
                  </w:tcBorders>
                  <w:noWrap w:val="0"/>
                  <w:vAlign w:val="center"/>
                </w:tcPr>
                <w:p w14:paraId="1839D57C">
                  <w:pPr>
                    <w:pStyle w:val="73"/>
                    <w:keepNext w:val="0"/>
                    <w:keepLines w:val="0"/>
                    <w:pageBreakBefore w:val="0"/>
                    <w:widowControl w:val="0"/>
                    <w:numPr>
                      <w:ilvl w:val="0"/>
                      <w:numId w:val="0"/>
                    </w:numPr>
                    <w:suppressLineNumbers w:val="0"/>
                    <w:tabs>
                      <w:tab w:val="left" w:pos="1050"/>
                    </w:tabs>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0.026</w:t>
                  </w:r>
                  <w:r>
                    <w:rPr>
                      <w:rFonts w:hint="eastAsia" w:ascii="Times New Roman" w:hAnsi="Times New Roman" w:eastAsia="宋体" w:cs="Times New Roman"/>
                      <w:color w:val="auto"/>
                      <w:sz w:val="21"/>
                      <w:szCs w:val="21"/>
                      <w:highlight w:val="none"/>
                      <w:vertAlign w:val="baseline"/>
                      <w:lang w:val="en-US" w:eastAsia="zh-CN"/>
                    </w:rPr>
                    <w:t>t/a</w:t>
                  </w:r>
                </w:p>
              </w:tc>
            </w:tr>
            <w:tr w14:paraId="38C9BD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79" w:type="pct"/>
                  <w:vMerge w:val="continue"/>
                  <w:tcBorders>
                    <w:tl2br w:val="nil"/>
                    <w:tr2bl w:val="nil"/>
                  </w:tcBorders>
                  <w:noWrap w:val="0"/>
                  <w:vAlign w:val="center"/>
                </w:tcPr>
                <w:p w14:paraId="5405F398">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color w:val="auto"/>
                      <w:sz w:val="21"/>
                      <w:szCs w:val="21"/>
                      <w:highlight w:val="none"/>
                      <w:vertAlign w:val="baseline"/>
                      <w:lang w:val="en-US" w:eastAsia="zh-CN"/>
                    </w:rPr>
                  </w:pPr>
                </w:p>
              </w:tc>
              <w:tc>
                <w:tcPr>
                  <w:tcW w:w="1010" w:type="pct"/>
                  <w:tcBorders>
                    <w:tl2br w:val="nil"/>
                    <w:tr2bl w:val="nil"/>
                  </w:tcBorders>
                  <w:noWrap w:val="0"/>
                  <w:vAlign w:val="center"/>
                </w:tcPr>
                <w:p w14:paraId="64094AD2">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总磷</w:t>
                  </w:r>
                </w:p>
              </w:tc>
              <w:tc>
                <w:tcPr>
                  <w:tcW w:w="3210" w:type="pct"/>
                  <w:tcBorders>
                    <w:tl2br w:val="nil"/>
                    <w:tr2bl w:val="nil"/>
                  </w:tcBorders>
                  <w:noWrap w:val="0"/>
                  <w:vAlign w:val="center"/>
                </w:tcPr>
                <w:p w14:paraId="4C77B10D">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0.00026</w:t>
                  </w:r>
                  <w:r>
                    <w:rPr>
                      <w:rFonts w:hint="eastAsia" w:ascii="Times New Roman" w:hAnsi="Times New Roman" w:eastAsia="宋体" w:cs="Times New Roman"/>
                      <w:color w:val="auto"/>
                      <w:sz w:val="21"/>
                      <w:szCs w:val="21"/>
                      <w:highlight w:val="none"/>
                      <w:vertAlign w:val="baseline"/>
                      <w:lang w:val="en-US" w:eastAsia="zh-CN"/>
                    </w:rPr>
                    <w:t>t/a</w:t>
                  </w:r>
                </w:p>
              </w:tc>
            </w:tr>
            <w:tr w14:paraId="023407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779" w:type="pct"/>
                  <w:tcBorders>
                    <w:tl2br w:val="nil"/>
                    <w:tr2bl w:val="nil"/>
                  </w:tcBorders>
                  <w:noWrap w:val="0"/>
                  <w:vAlign w:val="center"/>
                </w:tcPr>
                <w:p w14:paraId="3E7B9337">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废气</w:t>
                  </w:r>
                </w:p>
              </w:tc>
              <w:tc>
                <w:tcPr>
                  <w:tcW w:w="1010" w:type="pct"/>
                  <w:tcBorders>
                    <w:tl2br w:val="nil"/>
                    <w:tr2bl w:val="nil"/>
                  </w:tcBorders>
                  <w:noWrap w:val="0"/>
                  <w:vAlign w:val="center"/>
                </w:tcPr>
                <w:p w14:paraId="7CFCC9F3">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VOCs</w:t>
                  </w:r>
                </w:p>
              </w:tc>
              <w:tc>
                <w:tcPr>
                  <w:tcW w:w="3210" w:type="pct"/>
                  <w:tcBorders>
                    <w:tl2br w:val="nil"/>
                    <w:tr2bl w:val="nil"/>
                  </w:tcBorders>
                  <w:noWrap w:val="0"/>
                  <w:vAlign w:val="center"/>
                </w:tcPr>
                <w:p w14:paraId="287EA432">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cs="Times New Roman"/>
                      <w:color w:val="auto"/>
                      <w:sz w:val="21"/>
                      <w:szCs w:val="21"/>
                      <w:highlight w:val="none"/>
                      <w:vertAlign w:val="baseline"/>
                      <w:lang w:val="en-US" w:eastAsia="zh-CN"/>
                    </w:rPr>
                    <w:t>0.058</w:t>
                  </w:r>
                  <w:r>
                    <w:rPr>
                      <w:rFonts w:hint="eastAsia" w:ascii="Times New Roman" w:hAnsi="Times New Roman" w:eastAsia="宋体" w:cs="Times New Roman"/>
                      <w:color w:val="auto"/>
                      <w:sz w:val="21"/>
                      <w:szCs w:val="21"/>
                      <w:highlight w:val="none"/>
                      <w:vertAlign w:val="baseline"/>
                      <w:lang w:val="en-US" w:eastAsia="zh-CN"/>
                    </w:rPr>
                    <w:t>t/a</w:t>
                  </w:r>
                </w:p>
              </w:tc>
            </w:tr>
          </w:tbl>
          <w:p w14:paraId="4DF6B25D">
            <w:pPr>
              <w:pStyle w:val="73"/>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ascii="Times New Roman" w:hAnsi="Times New Roman" w:eastAsia="宋体" w:cs="Times New Roman"/>
                <w:color w:val="auto"/>
                <w:sz w:val="24"/>
                <w:szCs w:val="24"/>
                <w:highlight w:val="none"/>
                <w:lang w:val="en-US" w:eastAsia="zh-CN"/>
              </w:rPr>
            </w:pPr>
          </w:p>
          <w:p w14:paraId="4BF89A7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48"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具体总量控制指标由建设单位与环保部门协调确认。</w:t>
            </w:r>
          </w:p>
        </w:tc>
      </w:tr>
    </w:tbl>
    <w:p w14:paraId="468F4590">
      <w:pPr>
        <w:pStyle w:val="22"/>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hint="eastAsia" w:ascii="黑体" w:hAnsi="黑体" w:eastAsia="黑体" w:cs="黑体"/>
          <w:snapToGrid w:val="0"/>
          <w:color w:val="auto"/>
          <w:sz w:val="30"/>
          <w:szCs w:val="30"/>
          <w:highlight w:val="none"/>
        </w:rPr>
      </w:pPr>
      <w:r>
        <w:rPr>
          <w:rFonts w:ascii="Times New Roman" w:hAnsi="Times New Roman"/>
          <w:snapToGrid w:val="0"/>
          <w:color w:val="auto"/>
          <w:sz w:val="36"/>
          <w:szCs w:val="36"/>
          <w:highlight w:val="none"/>
        </w:rPr>
        <w:br w:type="page"/>
      </w:r>
      <w:r>
        <w:rPr>
          <w:rFonts w:hint="eastAsia" w:ascii="黑体" w:hAnsi="黑体" w:eastAsia="黑体" w:cs="黑体"/>
          <w:snapToGrid w:val="0"/>
          <w:color w:val="auto"/>
          <w:sz w:val="30"/>
          <w:szCs w:val="30"/>
          <w:highlight w:val="none"/>
        </w:rPr>
        <w:t>四、主要环境影响和保护措施</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521"/>
        <w:gridCol w:w="9362"/>
      </w:tblGrid>
      <w:tr w14:paraId="2E11CC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650" w:hRule="atLeast"/>
          <w:jc w:val="center"/>
        </w:trPr>
        <w:tc>
          <w:tcPr>
            <w:tcW w:w="473" w:type="dxa"/>
            <w:noWrap w:val="0"/>
            <w:tcMar>
              <w:left w:w="28" w:type="dxa"/>
              <w:right w:w="28" w:type="dxa"/>
            </w:tcMar>
            <w:vAlign w:val="center"/>
          </w:tcPr>
          <w:p w14:paraId="3302E58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施工</w:t>
            </w:r>
          </w:p>
          <w:p w14:paraId="11246BA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期环</w:t>
            </w:r>
          </w:p>
          <w:p w14:paraId="33020B6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境保</w:t>
            </w:r>
          </w:p>
          <w:p w14:paraId="2AFA9EA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护措</w:t>
            </w:r>
          </w:p>
          <w:p w14:paraId="6C4DF569">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auto"/>
                <w:kern w:val="2"/>
                <w:sz w:val="21"/>
                <w:szCs w:val="21"/>
                <w:highlight w:val="none"/>
              </w:rPr>
            </w:pPr>
            <w:r>
              <w:rPr>
                <w:rFonts w:hint="default" w:ascii="Times New Roman" w:hAnsi="Times New Roman" w:eastAsia="宋体" w:cs="Times New Roman"/>
                <w:color w:val="auto"/>
                <w:kern w:val="0"/>
                <w:sz w:val="24"/>
                <w:szCs w:val="24"/>
                <w:highlight w:val="none"/>
              </w:rPr>
              <w:t>施</w:t>
            </w:r>
          </w:p>
        </w:tc>
        <w:tc>
          <w:tcPr>
            <w:tcW w:w="8508" w:type="dxa"/>
            <w:noWrap w:val="0"/>
            <w:vAlign w:val="top"/>
          </w:tcPr>
          <w:p w14:paraId="6D9811E8">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z w:val="24"/>
                <w:szCs w:val="24"/>
              </w:rPr>
            </w:pPr>
            <w:r>
              <w:rPr>
                <w:rFonts w:hint="default"/>
                <w:color w:val="auto"/>
                <w:spacing w:val="2"/>
                <w:sz w:val="24"/>
                <w:szCs w:val="24"/>
              </w:rPr>
              <w:t>本项目施工期主要为设备安装及初期雨水池、事故池建设，主要采取以下措</w:t>
            </w:r>
            <w:r>
              <w:rPr>
                <w:rFonts w:hint="default"/>
                <w:color w:val="auto"/>
                <w:spacing w:val="-1"/>
                <w:sz w:val="24"/>
                <w:szCs w:val="24"/>
              </w:rPr>
              <w:t>施降低施工期对周围环境的影响：</w:t>
            </w:r>
          </w:p>
          <w:p w14:paraId="28354E95">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28" w:firstLineChars="200"/>
              <w:jc w:val="left"/>
              <w:textAlignment w:val="auto"/>
              <w:rPr>
                <w:rFonts w:hint="default"/>
                <w:color w:val="auto"/>
                <w:sz w:val="24"/>
                <w:szCs w:val="24"/>
              </w:rPr>
            </w:pPr>
            <w:r>
              <w:rPr>
                <w:rFonts w:hint="default" w:ascii="Times New Roman" w:hAnsi="Times New Roman" w:eastAsia="Times New Roman" w:cs="Times New Roman"/>
                <w:b/>
                <w:bCs/>
                <w:color w:val="auto"/>
                <w:spacing w:val="-13"/>
                <w:sz w:val="24"/>
                <w:szCs w:val="24"/>
              </w:rPr>
              <w:t>1</w:t>
            </w:r>
            <w:r>
              <w:rPr>
                <w:rFonts w:hint="default" w:ascii="Times New Roman" w:hAnsi="Times New Roman" w:eastAsia="Times New Roman" w:cs="Times New Roman"/>
                <w:b/>
                <w:bCs/>
                <w:color w:val="auto"/>
                <w:spacing w:val="-33"/>
                <w:sz w:val="24"/>
                <w:szCs w:val="24"/>
              </w:rPr>
              <w:t xml:space="preserve"> </w:t>
            </w:r>
            <w:r>
              <w:rPr>
                <w:rFonts w:hint="default"/>
                <w:b/>
                <w:bCs/>
                <w:color w:val="auto"/>
                <w:spacing w:val="-13"/>
                <w:sz w:val="24"/>
                <w:szCs w:val="24"/>
              </w:rPr>
              <w:t>、废气</w:t>
            </w:r>
          </w:p>
          <w:p w14:paraId="71DCED07">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z w:val="24"/>
                <w:szCs w:val="24"/>
              </w:rPr>
            </w:pPr>
            <w:r>
              <w:rPr>
                <w:rFonts w:hint="default"/>
                <w:color w:val="auto"/>
                <w:spacing w:val="2"/>
                <w:sz w:val="24"/>
                <w:szCs w:val="24"/>
              </w:rPr>
              <w:t>施工期废气主要</w:t>
            </w:r>
            <w:r>
              <w:rPr>
                <w:rFonts w:hint="eastAsia"/>
                <w:color w:val="auto"/>
                <w:spacing w:val="2"/>
                <w:sz w:val="24"/>
                <w:szCs w:val="24"/>
                <w:lang w:eastAsia="zh-CN"/>
              </w:rPr>
              <w:t>来自</w:t>
            </w:r>
            <w:r>
              <w:rPr>
                <w:rFonts w:hint="default"/>
                <w:color w:val="auto"/>
                <w:spacing w:val="2"/>
                <w:sz w:val="24"/>
                <w:szCs w:val="24"/>
              </w:rPr>
              <w:t>初期雨水池、事故池建设过程中场地平整、土方开发</w:t>
            </w:r>
            <w:r>
              <w:rPr>
                <w:rFonts w:hint="default"/>
                <w:color w:val="auto"/>
                <w:sz w:val="24"/>
                <w:szCs w:val="24"/>
              </w:rPr>
              <w:t>产生的扬尘。扬尘对环境</w:t>
            </w:r>
            <w:r>
              <w:rPr>
                <w:rFonts w:hint="default" w:ascii="Times New Roman" w:hAnsi="Times New Roman" w:eastAsia="Times New Roman" w:cs="Times New Roman"/>
                <w:color w:val="auto"/>
                <w:sz w:val="24"/>
                <w:szCs w:val="24"/>
              </w:rPr>
              <w:t>TSP</w:t>
            </w:r>
            <w:r>
              <w:rPr>
                <w:rFonts w:hint="default"/>
                <w:color w:val="auto"/>
                <w:sz w:val="24"/>
                <w:szCs w:val="24"/>
              </w:rPr>
              <w:t>浓度的影响范围主要在工地围墙</w:t>
            </w:r>
            <w:r>
              <w:rPr>
                <w:rFonts w:hint="default" w:ascii="Times New Roman" w:hAnsi="Times New Roman" w:eastAsia="Times New Roman" w:cs="Times New Roman"/>
                <w:color w:val="auto"/>
                <w:spacing w:val="-1"/>
                <w:sz w:val="24"/>
                <w:szCs w:val="24"/>
              </w:rPr>
              <w:t>100m</w:t>
            </w:r>
            <w:r>
              <w:rPr>
                <w:rFonts w:hint="default"/>
                <w:color w:val="auto"/>
                <w:spacing w:val="-1"/>
                <w:sz w:val="24"/>
                <w:szCs w:val="24"/>
              </w:rPr>
              <w:t>以内，即下</w:t>
            </w:r>
            <w:r>
              <w:rPr>
                <w:rFonts w:hint="default"/>
                <w:color w:val="auto"/>
                <w:sz w:val="24"/>
                <w:szCs w:val="24"/>
              </w:rPr>
              <w:t>风向一侧</w:t>
            </w:r>
            <w:r>
              <w:rPr>
                <w:rFonts w:hint="default" w:ascii="Times New Roman" w:hAnsi="Times New Roman" w:eastAsia="Times New Roman" w:cs="Times New Roman"/>
                <w:color w:val="auto"/>
                <w:sz w:val="24"/>
                <w:szCs w:val="24"/>
              </w:rPr>
              <w:t>0~50m</w:t>
            </w:r>
            <w:r>
              <w:rPr>
                <w:rFonts w:hint="default"/>
                <w:color w:val="auto"/>
                <w:sz w:val="24"/>
                <w:szCs w:val="24"/>
              </w:rPr>
              <w:t>为重污染带，</w:t>
            </w:r>
            <w:r>
              <w:rPr>
                <w:rFonts w:hint="default" w:ascii="Times New Roman" w:hAnsi="Times New Roman" w:eastAsia="Times New Roman" w:cs="Times New Roman"/>
                <w:color w:val="auto"/>
                <w:sz w:val="24"/>
                <w:szCs w:val="24"/>
              </w:rPr>
              <w:t>50</w:t>
            </w:r>
            <w:r>
              <w:rPr>
                <w:rFonts w:hint="eastAsia" w:eastAsia="宋体" w:cs="Times New Roman"/>
                <w:color w:val="auto"/>
                <w:sz w:val="24"/>
                <w:szCs w:val="24"/>
                <w:lang w:eastAsia="zh-CN"/>
              </w:rPr>
              <w:t>～</w:t>
            </w:r>
            <w:r>
              <w:rPr>
                <w:rFonts w:hint="default" w:ascii="Times New Roman" w:hAnsi="Times New Roman" w:eastAsia="Times New Roman" w:cs="Times New Roman"/>
                <w:color w:val="auto"/>
                <w:sz w:val="24"/>
                <w:szCs w:val="24"/>
              </w:rPr>
              <w:t>100m</w:t>
            </w:r>
            <w:r>
              <w:rPr>
                <w:rFonts w:hint="default"/>
                <w:color w:val="auto"/>
                <w:sz w:val="24"/>
                <w:szCs w:val="24"/>
              </w:rPr>
              <w:t>为较重污染带</w:t>
            </w:r>
            <w:r>
              <w:rPr>
                <w:rFonts w:hint="default"/>
                <w:color w:val="auto"/>
                <w:spacing w:val="-25"/>
                <w:sz w:val="24"/>
                <w:szCs w:val="24"/>
              </w:rPr>
              <w:t>，＞</w:t>
            </w:r>
            <w:r>
              <w:rPr>
                <w:rFonts w:hint="default" w:ascii="Times New Roman" w:hAnsi="Times New Roman" w:eastAsia="Times New Roman" w:cs="Times New Roman"/>
                <w:color w:val="auto"/>
                <w:sz w:val="24"/>
                <w:szCs w:val="24"/>
              </w:rPr>
              <w:t>100m</w:t>
            </w:r>
            <w:r>
              <w:rPr>
                <w:rFonts w:hint="default"/>
                <w:color w:val="auto"/>
                <w:sz w:val="24"/>
                <w:szCs w:val="24"/>
              </w:rPr>
              <w:t>为较轻污染带。</w:t>
            </w:r>
          </w:p>
          <w:p w14:paraId="6B344D7F">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z w:val="24"/>
                <w:szCs w:val="24"/>
              </w:rPr>
            </w:pPr>
            <w:r>
              <w:rPr>
                <w:rFonts w:hint="default"/>
                <w:color w:val="auto"/>
                <w:spacing w:val="2"/>
                <w:sz w:val="24"/>
                <w:szCs w:val="24"/>
              </w:rPr>
              <w:t>施工期间产生的扬尘污染主要决定于施工作业方式、材料的堆放以及风力等因素，其中受风力因素的影响最大。根据《辽宁省大</w:t>
            </w:r>
            <w:r>
              <w:rPr>
                <w:rFonts w:hint="default"/>
                <w:color w:val="auto"/>
                <w:spacing w:val="1"/>
                <w:sz w:val="24"/>
                <w:szCs w:val="24"/>
              </w:rPr>
              <w:t>气污染防治条例》扬尘污染</w:t>
            </w:r>
            <w:r>
              <w:rPr>
                <w:rFonts w:hint="default"/>
                <w:color w:val="auto"/>
                <w:spacing w:val="-2"/>
                <w:sz w:val="24"/>
                <w:szCs w:val="24"/>
              </w:rPr>
              <w:t>防治相关规定，施工过程中拟采取以下措施：</w:t>
            </w:r>
          </w:p>
          <w:p w14:paraId="30E32482">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z w:val="24"/>
                <w:szCs w:val="24"/>
              </w:rPr>
            </w:pPr>
            <w:r>
              <w:rPr>
                <w:rFonts w:hint="default"/>
                <w:color w:val="auto"/>
                <w:spacing w:val="-1"/>
                <w:sz w:val="24"/>
                <w:szCs w:val="24"/>
              </w:rPr>
              <w:t>（</w:t>
            </w:r>
            <w:r>
              <w:rPr>
                <w:rFonts w:hint="default" w:ascii="Times New Roman" w:hAnsi="Times New Roman" w:eastAsia="Times New Roman" w:cs="Times New Roman"/>
                <w:color w:val="auto"/>
                <w:spacing w:val="-1"/>
                <w:sz w:val="24"/>
                <w:szCs w:val="24"/>
              </w:rPr>
              <w:t>1</w:t>
            </w:r>
            <w:r>
              <w:rPr>
                <w:rFonts w:hint="default"/>
                <w:color w:val="auto"/>
                <w:spacing w:val="-1"/>
                <w:sz w:val="24"/>
                <w:szCs w:val="24"/>
              </w:rPr>
              <w:t>）施工期间，土方开挖过程采取湿式加工方式；</w:t>
            </w:r>
          </w:p>
          <w:p w14:paraId="387B45C2">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z w:val="24"/>
                <w:szCs w:val="24"/>
              </w:rPr>
            </w:pPr>
            <w:r>
              <w:rPr>
                <w:rFonts w:hint="default"/>
                <w:color w:val="auto"/>
                <w:spacing w:val="-1"/>
                <w:sz w:val="24"/>
                <w:szCs w:val="24"/>
              </w:rPr>
              <w:t>（</w:t>
            </w:r>
            <w:r>
              <w:rPr>
                <w:rFonts w:hint="default" w:ascii="Times New Roman" w:hAnsi="Times New Roman" w:eastAsia="Times New Roman" w:cs="Times New Roman"/>
                <w:color w:val="auto"/>
                <w:spacing w:val="-1"/>
                <w:sz w:val="24"/>
                <w:szCs w:val="24"/>
              </w:rPr>
              <w:t>2</w:t>
            </w:r>
            <w:r>
              <w:rPr>
                <w:rFonts w:hint="default"/>
                <w:color w:val="auto"/>
                <w:spacing w:val="-1"/>
                <w:sz w:val="24"/>
                <w:szCs w:val="24"/>
              </w:rPr>
              <w:t>）施工场地地面、车行道路应当进行洒水抑尘等降尘处理；</w:t>
            </w:r>
          </w:p>
          <w:p w14:paraId="09C36156">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2" w:firstLineChars="200"/>
              <w:jc w:val="left"/>
              <w:textAlignment w:val="auto"/>
              <w:rPr>
                <w:rFonts w:hint="default"/>
                <w:color w:val="auto"/>
                <w:sz w:val="24"/>
                <w:szCs w:val="24"/>
              </w:rPr>
            </w:pPr>
            <w:r>
              <w:rPr>
                <w:rFonts w:hint="default"/>
                <w:color w:val="auto"/>
                <w:spacing w:val="-2"/>
                <w:sz w:val="24"/>
                <w:szCs w:val="24"/>
              </w:rPr>
              <w:t>（</w:t>
            </w:r>
            <w:r>
              <w:rPr>
                <w:rFonts w:hint="default" w:ascii="Times New Roman" w:hAnsi="Times New Roman" w:eastAsia="Times New Roman" w:cs="Times New Roman"/>
                <w:color w:val="auto"/>
                <w:spacing w:val="-2"/>
                <w:sz w:val="24"/>
                <w:szCs w:val="24"/>
              </w:rPr>
              <w:t>3</w:t>
            </w:r>
            <w:r>
              <w:rPr>
                <w:rFonts w:hint="default"/>
                <w:color w:val="auto"/>
                <w:spacing w:val="-2"/>
                <w:sz w:val="24"/>
                <w:szCs w:val="24"/>
              </w:rPr>
              <w:t>）对施工机械加强保养及维护；</w:t>
            </w:r>
          </w:p>
          <w:p w14:paraId="02063D1E">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2" w:firstLineChars="200"/>
              <w:jc w:val="left"/>
              <w:textAlignment w:val="auto"/>
              <w:rPr>
                <w:rFonts w:hint="default"/>
                <w:color w:val="auto"/>
                <w:sz w:val="24"/>
                <w:szCs w:val="24"/>
              </w:rPr>
            </w:pPr>
            <w:r>
              <w:rPr>
                <w:rFonts w:hint="default"/>
                <w:color w:val="auto"/>
                <w:spacing w:val="-2"/>
                <w:sz w:val="24"/>
                <w:szCs w:val="24"/>
              </w:rPr>
              <w:t>（</w:t>
            </w:r>
            <w:r>
              <w:rPr>
                <w:rFonts w:hint="default" w:ascii="Times New Roman" w:hAnsi="Times New Roman" w:eastAsia="Times New Roman" w:cs="Times New Roman"/>
                <w:color w:val="auto"/>
                <w:spacing w:val="-2"/>
                <w:sz w:val="24"/>
                <w:szCs w:val="24"/>
              </w:rPr>
              <w:t>4</w:t>
            </w:r>
            <w:r>
              <w:rPr>
                <w:rFonts w:hint="default"/>
                <w:color w:val="auto"/>
                <w:spacing w:val="-2"/>
                <w:sz w:val="24"/>
                <w:szCs w:val="24"/>
              </w:rPr>
              <w:t>）大风天气禁止作业；</w:t>
            </w:r>
          </w:p>
          <w:p w14:paraId="0AE03B13">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2" w:firstLineChars="200"/>
              <w:jc w:val="left"/>
              <w:textAlignment w:val="auto"/>
              <w:rPr>
                <w:rFonts w:hint="default"/>
                <w:color w:val="auto"/>
                <w:sz w:val="24"/>
                <w:szCs w:val="24"/>
              </w:rPr>
            </w:pPr>
            <w:r>
              <w:rPr>
                <w:rFonts w:hint="default"/>
                <w:color w:val="auto"/>
                <w:spacing w:val="-2"/>
                <w:sz w:val="24"/>
                <w:szCs w:val="24"/>
              </w:rPr>
              <w:t>（</w:t>
            </w:r>
            <w:r>
              <w:rPr>
                <w:rFonts w:hint="default" w:ascii="Times New Roman" w:hAnsi="Times New Roman" w:eastAsia="Times New Roman" w:cs="Times New Roman"/>
                <w:color w:val="auto"/>
                <w:spacing w:val="-2"/>
                <w:sz w:val="24"/>
                <w:szCs w:val="24"/>
              </w:rPr>
              <w:t>5</w:t>
            </w:r>
            <w:r>
              <w:rPr>
                <w:rFonts w:hint="default"/>
                <w:color w:val="auto"/>
                <w:spacing w:val="-2"/>
                <w:sz w:val="24"/>
                <w:szCs w:val="24"/>
              </w:rPr>
              <w:t>）渣土运输车辆采用苫布遮盖等措施。</w:t>
            </w:r>
          </w:p>
          <w:p w14:paraId="1D3EC953">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z w:val="24"/>
                <w:szCs w:val="24"/>
              </w:rPr>
            </w:pPr>
            <w:r>
              <w:rPr>
                <w:rFonts w:hint="default"/>
                <w:color w:val="auto"/>
                <w:spacing w:val="2"/>
                <w:sz w:val="24"/>
                <w:szCs w:val="24"/>
              </w:rPr>
              <w:t>施工粉尘及扬尘在采取洒水降尘、及时清扫等措施后，可有效减小扬尘、粉尘对环境空气的影响；施工机械和运输车辆所产生的废气污染在空气中经自然扩</w:t>
            </w:r>
            <w:r>
              <w:rPr>
                <w:rFonts w:hint="default"/>
                <w:color w:val="auto"/>
                <w:spacing w:val="-1"/>
                <w:sz w:val="24"/>
                <w:szCs w:val="24"/>
              </w:rPr>
              <w:t>散和稀释后，对空气环境影响较小。</w:t>
            </w:r>
          </w:p>
          <w:p w14:paraId="3531C305">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40" w:firstLineChars="200"/>
              <w:jc w:val="left"/>
              <w:textAlignment w:val="auto"/>
              <w:rPr>
                <w:rFonts w:hint="default"/>
                <w:color w:val="auto"/>
                <w:sz w:val="24"/>
                <w:szCs w:val="24"/>
              </w:rPr>
            </w:pPr>
            <w:r>
              <w:rPr>
                <w:rFonts w:hint="default" w:ascii="Times New Roman" w:hAnsi="Times New Roman" w:eastAsia="Times New Roman" w:cs="Times New Roman"/>
                <w:b/>
                <w:bCs/>
                <w:color w:val="auto"/>
                <w:spacing w:val="-10"/>
                <w:sz w:val="24"/>
                <w:szCs w:val="24"/>
              </w:rPr>
              <w:t>2</w:t>
            </w:r>
            <w:r>
              <w:rPr>
                <w:rFonts w:hint="default"/>
                <w:b/>
                <w:bCs/>
                <w:color w:val="auto"/>
                <w:spacing w:val="-10"/>
                <w:sz w:val="24"/>
                <w:szCs w:val="24"/>
              </w:rPr>
              <w:t>、废水</w:t>
            </w:r>
          </w:p>
          <w:p w14:paraId="0A8A89E2">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z w:val="24"/>
                <w:szCs w:val="24"/>
              </w:rPr>
            </w:pPr>
            <w:r>
              <w:rPr>
                <w:rFonts w:hint="default"/>
                <w:color w:val="auto"/>
                <w:spacing w:val="-1"/>
                <w:sz w:val="24"/>
                <w:szCs w:val="24"/>
              </w:rPr>
              <w:t>施工过程废水主要为施工人员少量生活污水，排放的污染物主要为</w:t>
            </w:r>
            <w:r>
              <w:rPr>
                <w:rFonts w:hint="default" w:ascii="Times New Roman" w:hAnsi="Times New Roman" w:eastAsia="Times New Roman" w:cs="Times New Roman"/>
                <w:color w:val="auto"/>
                <w:spacing w:val="-1"/>
                <w:sz w:val="24"/>
                <w:szCs w:val="24"/>
              </w:rPr>
              <w:t>COD</w:t>
            </w:r>
            <w:r>
              <w:rPr>
                <w:rFonts w:hint="default" w:ascii="Times New Roman" w:hAnsi="Times New Roman" w:eastAsia="Times New Roman" w:cs="Times New Roman"/>
                <w:color w:val="auto"/>
                <w:spacing w:val="-1"/>
                <w:position w:val="-1"/>
                <w:sz w:val="24"/>
                <w:szCs w:val="24"/>
              </w:rPr>
              <w:t>Cr</w:t>
            </w:r>
            <w:r>
              <w:rPr>
                <w:rFonts w:hint="default"/>
                <w:color w:val="auto"/>
                <w:spacing w:val="-1"/>
                <w:sz w:val="24"/>
                <w:szCs w:val="24"/>
              </w:rPr>
              <w:t>和</w:t>
            </w:r>
            <w:r>
              <w:rPr>
                <w:rFonts w:hint="default" w:ascii="Times New Roman" w:hAnsi="Times New Roman" w:eastAsia="Times New Roman" w:cs="Times New Roman"/>
                <w:color w:val="auto"/>
                <w:sz w:val="24"/>
                <w:szCs w:val="24"/>
              </w:rPr>
              <w:t>SS</w:t>
            </w:r>
            <w:r>
              <w:rPr>
                <w:rFonts w:hint="default"/>
                <w:color w:val="auto"/>
                <w:sz w:val="24"/>
                <w:szCs w:val="24"/>
              </w:rPr>
              <w:t>，生活污水排入防渗化粪池停留后，由市政污水管网排入阜新市北控水务有限</w:t>
            </w:r>
            <w:r>
              <w:rPr>
                <w:rFonts w:hint="default"/>
                <w:color w:val="auto"/>
                <w:spacing w:val="-2"/>
                <w:sz w:val="24"/>
                <w:szCs w:val="24"/>
              </w:rPr>
              <w:t>公司污水处理厂集中处理后排放。</w:t>
            </w:r>
          </w:p>
          <w:p w14:paraId="7A4A5D5D">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40" w:firstLineChars="200"/>
              <w:jc w:val="left"/>
              <w:textAlignment w:val="auto"/>
              <w:rPr>
                <w:rFonts w:hint="default"/>
                <w:color w:val="auto"/>
                <w:sz w:val="24"/>
                <w:szCs w:val="24"/>
              </w:rPr>
            </w:pPr>
            <w:r>
              <w:rPr>
                <w:rFonts w:hint="default" w:ascii="Times New Roman" w:hAnsi="Times New Roman" w:eastAsia="Times New Roman" w:cs="Times New Roman"/>
                <w:b/>
                <w:bCs/>
                <w:color w:val="auto"/>
                <w:spacing w:val="-10"/>
                <w:sz w:val="24"/>
                <w:szCs w:val="24"/>
              </w:rPr>
              <w:t>3</w:t>
            </w:r>
            <w:r>
              <w:rPr>
                <w:rFonts w:hint="default"/>
                <w:b/>
                <w:bCs/>
                <w:color w:val="auto"/>
                <w:spacing w:val="-10"/>
                <w:sz w:val="24"/>
                <w:szCs w:val="24"/>
              </w:rPr>
              <w:t>、噪声</w:t>
            </w:r>
          </w:p>
          <w:p w14:paraId="4B63C4A3">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left"/>
              <w:textAlignment w:val="auto"/>
              <w:rPr>
                <w:rFonts w:hint="default"/>
                <w:color w:val="auto"/>
                <w:sz w:val="24"/>
                <w:szCs w:val="24"/>
              </w:rPr>
            </w:pPr>
            <w:r>
              <w:rPr>
                <w:rFonts w:hint="default"/>
                <w:color w:val="auto"/>
                <w:sz w:val="24"/>
                <w:szCs w:val="24"/>
              </w:rPr>
              <w:t>施工噪声主要</w:t>
            </w:r>
            <w:r>
              <w:rPr>
                <w:rFonts w:hint="eastAsia"/>
                <w:color w:val="auto"/>
                <w:sz w:val="24"/>
                <w:szCs w:val="24"/>
                <w:lang w:eastAsia="zh-CN"/>
              </w:rPr>
              <w:t>来自</w:t>
            </w:r>
            <w:r>
              <w:rPr>
                <w:rFonts w:hint="default"/>
                <w:color w:val="auto"/>
                <w:sz w:val="24"/>
                <w:szCs w:val="24"/>
              </w:rPr>
              <w:t>土方开挖过</w:t>
            </w:r>
            <w:r>
              <w:rPr>
                <w:rFonts w:hint="eastAsia"/>
                <w:color w:val="auto"/>
                <w:sz w:val="24"/>
                <w:szCs w:val="24"/>
                <w:lang w:eastAsia="zh-CN"/>
              </w:rPr>
              <w:t>程中</w:t>
            </w:r>
            <w:r>
              <w:rPr>
                <w:rFonts w:hint="default"/>
                <w:color w:val="auto"/>
                <w:sz w:val="24"/>
                <w:szCs w:val="24"/>
              </w:rPr>
              <w:t>采用的挖掘机等。项目拟采取以下措施，</w:t>
            </w:r>
            <w:r>
              <w:rPr>
                <w:rFonts w:hint="default"/>
                <w:color w:val="auto"/>
                <w:spacing w:val="-1"/>
                <w:sz w:val="24"/>
                <w:szCs w:val="24"/>
              </w:rPr>
              <w:t>有效防止施工期间噪声对周围环境的影响。</w:t>
            </w:r>
          </w:p>
          <w:p w14:paraId="40F91B8B">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2" w:firstLineChars="200"/>
              <w:jc w:val="left"/>
              <w:textAlignment w:val="auto"/>
              <w:rPr>
                <w:rFonts w:hint="default"/>
                <w:color w:val="auto"/>
                <w:sz w:val="24"/>
                <w:szCs w:val="24"/>
              </w:rPr>
            </w:pPr>
            <w:r>
              <w:rPr>
                <w:rFonts w:hint="default"/>
                <w:color w:val="auto"/>
                <w:spacing w:val="-2"/>
                <w:sz w:val="24"/>
                <w:szCs w:val="24"/>
              </w:rPr>
              <w:t>（</w:t>
            </w:r>
            <w:r>
              <w:rPr>
                <w:rFonts w:hint="default" w:ascii="Times New Roman" w:hAnsi="Times New Roman" w:eastAsia="Times New Roman" w:cs="Times New Roman"/>
                <w:color w:val="auto"/>
                <w:spacing w:val="-2"/>
                <w:sz w:val="24"/>
                <w:szCs w:val="24"/>
              </w:rPr>
              <w:t>1</w:t>
            </w:r>
            <w:r>
              <w:rPr>
                <w:rFonts w:hint="default"/>
                <w:color w:val="auto"/>
                <w:spacing w:val="-2"/>
                <w:sz w:val="24"/>
                <w:szCs w:val="24"/>
              </w:rPr>
              <w:t>）选用低噪声的施工设备；</w:t>
            </w:r>
          </w:p>
          <w:p w14:paraId="7A7FE19B">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z w:val="24"/>
                <w:szCs w:val="24"/>
              </w:rPr>
            </w:pPr>
            <w:r>
              <w:rPr>
                <w:rFonts w:hint="default"/>
                <w:color w:val="auto"/>
                <w:spacing w:val="-1"/>
                <w:sz w:val="24"/>
                <w:szCs w:val="24"/>
              </w:rPr>
              <w:t>（</w:t>
            </w:r>
            <w:r>
              <w:rPr>
                <w:rFonts w:hint="default" w:ascii="Times New Roman" w:hAnsi="Times New Roman" w:eastAsia="Times New Roman" w:cs="Times New Roman"/>
                <w:color w:val="auto"/>
                <w:spacing w:val="-1"/>
                <w:sz w:val="24"/>
                <w:szCs w:val="24"/>
              </w:rPr>
              <w:t>2</w:t>
            </w:r>
            <w:r>
              <w:rPr>
                <w:rFonts w:hint="default"/>
                <w:color w:val="auto"/>
                <w:spacing w:val="-1"/>
                <w:sz w:val="24"/>
                <w:szCs w:val="24"/>
              </w:rPr>
              <w:t>）应对物件装卸、搬运轻拿轻放，严禁抛掷；</w:t>
            </w:r>
          </w:p>
          <w:p w14:paraId="2F377078">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2" w:firstLineChars="200"/>
              <w:jc w:val="left"/>
              <w:textAlignment w:val="auto"/>
              <w:rPr>
                <w:rFonts w:hint="default"/>
                <w:color w:val="auto"/>
                <w:sz w:val="24"/>
                <w:szCs w:val="24"/>
              </w:rPr>
            </w:pPr>
            <w:r>
              <w:rPr>
                <w:rFonts w:hint="default"/>
                <w:color w:val="auto"/>
                <w:spacing w:val="-2"/>
                <w:sz w:val="24"/>
                <w:szCs w:val="24"/>
              </w:rPr>
              <w:t>（</w:t>
            </w:r>
            <w:r>
              <w:rPr>
                <w:rFonts w:hint="default" w:ascii="Times New Roman" w:hAnsi="Times New Roman" w:eastAsia="Times New Roman" w:cs="Times New Roman"/>
                <w:color w:val="auto"/>
                <w:spacing w:val="-2"/>
                <w:sz w:val="24"/>
                <w:szCs w:val="24"/>
              </w:rPr>
              <w:t>3</w:t>
            </w:r>
            <w:r>
              <w:rPr>
                <w:rFonts w:hint="default"/>
                <w:color w:val="auto"/>
                <w:spacing w:val="-2"/>
                <w:sz w:val="24"/>
                <w:szCs w:val="24"/>
              </w:rPr>
              <w:t>）施工方应合理安排施工时间（禁止在夜间</w:t>
            </w:r>
            <w:r>
              <w:rPr>
                <w:rFonts w:hint="default" w:ascii="Times New Roman" w:hAnsi="Times New Roman" w:eastAsia="Times New Roman" w:cs="Times New Roman"/>
                <w:color w:val="auto"/>
                <w:spacing w:val="-2"/>
                <w:sz w:val="24"/>
                <w:szCs w:val="24"/>
              </w:rPr>
              <w:t>22:00</w:t>
            </w:r>
            <w:r>
              <w:rPr>
                <w:rFonts w:hint="eastAsia" w:eastAsia="宋体" w:cs="Times New Roman"/>
                <w:color w:val="auto"/>
                <w:spacing w:val="-2"/>
                <w:sz w:val="24"/>
                <w:szCs w:val="24"/>
                <w:lang w:eastAsia="zh-CN"/>
              </w:rPr>
              <w:t>～</w:t>
            </w:r>
            <w:r>
              <w:rPr>
                <w:rFonts w:hint="default"/>
                <w:color w:val="auto"/>
                <w:spacing w:val="-2"/>
                <w:sz w:val="24"/>
                <w:szCs w:val="24"/>
              </w:rPr>
              <w:t>次日</w:t>
            </w:r>
            <w:r>
              <w:rPr>
                <w:rFonts w:hint="default" w:ascii="Times New Roman" w:hAnsi="Times New Roman" w:eastAsia="Times New Roman" w:cs="Times New Roman"/>
                <w:color w:val="auto"/>
                <w:spacing w:val="-2"/>
                <w:sz w:val="24"/>
                <w:szCs w:val="24"/>
              </w:rPr>
              <w:t>6</w:t>
            </w:r>
            <w:r>
              <w:rPr>
                <w:rFonts w:hint="eastAsia" w:eastAsia="宋体" w:cs="Times New Roman"/>
                <w:color w:val="auto"/>
                <w:spacing w:val="-2"/>
                <w:sz w:val="24"/>
                <w:szCs w:val="24"/>
                <w:lang w:eastAsia="zh-CN"/>
              </w:rPr>
              <w:t>:</w:t>
            </w:r>
            <w:r>
              <w:rPr>
                <w:rFonts w:hint="default" w:ascii="Times New Roman" w:hAnsi="Times New Roman" w:eastAsia="Times New Roman" w:cs="Times New Roman"/>
                <w:color w:val="auto"/>
                <w:spacing w:val="-2"/>
                <w:sz w:val="24"/>
                <w:szCs w:val="24"/>
              </w:rPr>
              <w:t>00</w:t>
            </w:r>
            <w:r>
              <w:rPr>
                <w:rFonts w:hint="default"/>
                <w:color w:val="auto"/>
                <w:spacing w:val="-2"/>
                <w:sz w:val="24"/>
                <w:szCs w:val="24"/>
              </w:rPr>
              <w:t>施工）。</w:t>
            </w:r>
          </w:p>
          <w:p w14:paraId="46FD9908">
            <w:pPr>
              <w:pStyle w:val="9"/>
              <w:keepNext w:val="0"/>
              <w:keepLines w:val="0"/>
              <w:pageBreakBefore w:val="0"/>
              <w:widowControl/>
              <w:numPr>
                <w:ilvl w:val="0"/>
                <w:numId w:val="0"/>
              </w:numPr>
              <w:suppressLineNumbers w:val="0"/>
              <w:kinsoku/>
              <w:wordWrap/>
              <w:overflowPunct/>
              <w:topLinePunct w:val="0"/>
              <w:autoSpaceDE/>
              <w:autoSpaceDN/>
              <w:bidi w:val="0"/>
              <w:adjustRightInd/>
              <w:snapToGrid w:val="0"/>
              <w:spacing w:before="0" w:beforeAutospacing="0" w:after="0" w:afterAutospacing="0" w:line="360" w:lineRule="auto"/>
              <w:ind w:left="0" w:right="0" w:rightChars="0" w:firstLine="476" w:firstLineChars="200"/>
              <w:jc w:val="left"/>
              <w:textAlignment w:val="auto"/>
              <w:rPr>
                <w:rFonts w:hint="default"/>
                <w:color w:val="auto"/>
                <w:spacing w:val="-1"/>
                <w:sz w:val="24"/>
                <w:szCs w:val="24"/>
              </w:rPr>
            </w:pPr>
            <w:r>
              <w:rPr>
                <w:rFonts w:hint="default"/>
                <w:color w:val="auto"/>
                <w:spacing w:val="-1"/>
                <w:sz w:val="24"/>
                <w:szCs w:val="24"/>
              </w:rPr>
              <w:t>通过上述污染防治措施，本项目施工期噪声对声环境的影响较小。</w:t>
            </w:r>
          </w:p>
          <w:p w14:paraId="55B4AC77">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48" w:firstLineChars="200"/>
              <w:jc w:val="left"/>
              <w:textAlignment w:val="auto"/>
              <w:rPr>
                <w:rFonts w:hint="default"/>
                <w:color w:val="auto"/>
                <w:sz w:val="24"/>
                <w:szCs w:val="24"/>
              </w:rPr>
            </w:pPr>
            <w:r>
              <w:rPr>
                <w:rFonts w:hint="default" w:ascii="Times New Roman" w:hAnsi="Times New Roman" w:eastAsia="Times New Roman" w:cs="Times New Roman"/>
                <w:b/>
                <w:bCs/>
                <w:color w:val="auto"/>
                <w:spacing w:val="-8"/>
                <w:sz w:val="24"/>
                <w:szCs w:val="24"/>
              </w:rPr>
              <w:t>4</w:t>
            </w:r>
            <w:r>
              <w:rPr>
                <w:rFonts w:hint="default"/>
                <w:b/>
                <w:bCs/>
                <w:color w:val="auto"/>
                <w:spacing w:val="-8"/>
                <w:sz w:val="24"/>
                <w:szCs w:val="24"/>
              </w:rPr>
              <w:t>、固体废物</w:t>
            </w:r>
          </w:p>
          <w:p w14:paraId="4CC5A095">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z w:val="24"/>
                <w:szCs w:val="24"/>
              </w:rPr>
            </w:pPr>
            <w:r>
              <w:rPr>
                <w:rFonts w:hint="default"/>
                <w:color w:val="auto"/>
                <w:spacing w:val="2"/>
                <w:sz w:val="24"/>
                <w:szCs w:val="24"/>
              </w:rPr>
              <w:t>施工期固体废物主要为施工人员的生活垃圾、土方开挖过程产生的少量渣土</w:t>
            </w:r>
            <w:r>
              <w:rPr>
                <w:rFonts w:hint="default"/>
                <w:color w:val="auto"/>
                <w:spacing w:val="-6"/>
                <w:sz w:val="24"/>
                <w:szCs w:val="24"/>
              </w:rPr>
              <w:t>等。</w:t>
            </w:r>
          </w:p>
          <w:p w14:paraId="4B630BA9">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z w:val="24"/>
                <w:szCs w:val="24"/>
              </w:rPr>
            </w:pPr>
            <w:r>
              <w:rPr>
                <w:rFonts w:hint="default"/>
                <w:color w:val="auto"/>
                <w:spacing w:val="2"/>
                <w:sz w:val="24"/>
                <w:szCs w:val="24"/>
              </w:rPr>
              <w:t>生活垃圾收集后交由环卫部门统一清运处理。初期雨水池土方开挖过程产生的少量渣土，用于租赁厂区内其他区域场地平整等。项目施工期间产生的固体废</w:t>
            </w:r>
            <w:r>
              <w:rPr>
                <w:rFonts w:hint="default"/>
                <w:color w:val="auto"/>
                <w:spacing w:val="-1"/>
                <w:sz w:val="24"/>
                <w:szCs w:val="24"/>
              </w:rPr>
              <w:t>物能做到妥善处置，不随意堆放和丢弃，对周围环境影响较小。</w:t>
            </w:r>
          </w:p>
          <w:p w14:paraId="528D481C">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88" w:firstLineChars="200"/>
              <w:jc w:val="left"/>
              <w:textAlignment w:val="auto"/>
              <w:rPr>
                <w:rFonts w:hint="default"/>
                <w:color w:val="auto"/>
                <w:spacing w:val="-1"/>
                <w:sz w:val="24"/>
                <w:szCs w:val="24"/>
              </w:rPr>
            </w:pPr>
            <w:r>
              <w:rPr>
                <w:rFonts w:hint="default"/>
                <w:color w:val="auto"/>
                <w:spacing w:val="2"/>
                <w:sz w:val="24"/>
                <w:szCs w:val="24"/>
              </w:rPr>
              <w:t>综上所述，施工期产生的环境影响是局部的、暂时的，只要加强管理，文明</w:t>
            </w:r>
            <w:r>
              <w:rPr>
                <w:rFonts w:hint="default"/>
                <w:color w:val="auto"/>
                <w:spacing w:val="-1"/>
                <w:sz w:val="24"/>
                <w:szCs w:val="24"/>
              </w:rPr>
              <w:t>施工，并在工程结束时采取一些恢复措施，可降低影响程度。</w:t>
            </w:r>
          </w:p>
          <w:p w14:paraId="1015C244">
            <w:pPr>
              <w:pStyle w:val="73"/>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48" w:firstLineChars="200"/>
              <w:jc w:val="left"/>
              <w:textAlignment w:val="auto"/>
              <w:rPr>
                <w:rFonts w:hint="eastAsia" w:ascii="Times New Roman" w:hAnsi="Times New Roman" w:eastAsia="Times New Roman" w:cs="Times New Roman"/>
                <w:b/>
                <w:bCs/>
                <w:color w:val="auto"/>
                <w:spacing w:val="-8"/>
                <w:sz w:val="24"/>
                <w:szCs w:val="24"/>
                <w:lang w:val="en-US" w:eastAsia="zh-CN"/>
              </w:rPr>
            </w:pPr>
            <w:r>
              <w:rPr>
                <w:rFonts w:hint="eastAsia" w:ascii="Times New Roman" w:hAnsi="Times New Roman" w:eastAsia="Times New Roman" w:cs="Times New Roman"/>
                <w:b/>
                <w:bCs/>
                <w:color w:val="auto"/>
                <w:spacing w:val="-8"/>
                <w:sz w:val="24"/>
                <w:szCs w:val="24"/>
                <w:lang w:val="en-US" w:eastAsia="zh-CN"/>
              </w:rPr>
              <w:t>5、施工期防渗措施</w:t>
            </w:r>
          </w:p>
          <w:p w14:paraId="3F2D97F5">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eastAsia" w:eastAsia="宋体"/>
                <w:color w:val="auto"/>
                <w:spacing w:val="-1"/>
                <w:sz w:val="24"/>
                <w:szCs w:val="24"/>
                <w:lang w:val="en-US" w:eastAsia="zh-CN"/>
              </w:rPr>
            </w:pPr>
            <w:r>
              <w:rPr>
                <w:rFonts w:hint="eastAsia"/>
                <w:color w:val="auto"/>
                <w:spacing w:val="-1"/>
                <w:sz w:val="24"/>
                <w:szCs w:val="24"/>
                <w:lang w:val="en-US" w:eastAsia="zh-CN"/>
              </w:rPr>
              <w:t>本项目施工期事故池以及初期雨水池属于重点防渗单元，施工单位应严格按照</w:t>
            </w:r>
            <w:r>
              <w:rPr>
                <w:rFonts w:hint="default" w:ascii="Times New Roman" w:hAnsi="Times New Roman" w:eastAsia="宋体" w:cs="Times New Roman"/>
                <w:color w:val="auto"/>
                <w:sz w:val="24"/>
                <w:szCs w:val="21"/>
                <w:highlight w:val="none"/>
              </w:rPr>
              <w:t>防渗技术要求</w:t>
            </w:r>
            <w:r>
              <w:rPr>
                <w:rFonts w:hint="eastAsia" w:eastAsia="宋体" w:cs="Times New Roman"/>
                <w:color w:val="auto"/>
                <w:sz w:val="24"/>
                <w:szCs w:val="21"/>
                <w:highlight w:val="none"/>
                <w:lang w:val="en-US" w:eastAsia="zh-CN"/>
              </w:rPr>
              <w:t>进行防渗建设，防渗要求为</w:t>
            </w:r>
            <w:r>
              <w:rPr>
                <w:rFonts w:hint="default" w:ascii="Times New Roman" w:hAnsi="Times New Roman" w:eastAsia="宋体" w:cs="Times New Roman"/>
                <w:color w:val="auto"/>
                <w:sz w:val="24"/>
                <w:szCs w:val="21"/>
                <w:highlight w:val="none"/>
              </w:rPr>
              <w:t>等效黏土防渗层Mb≥6.0m，K≤1×10</w:t>
            </w:r>
            <w:r>
              <w:rPr>
                <w:rFonts w:hint="default" w:ascii="Times New Roman" w:hAnsi="Times New Roman" w:eastAsia="宋体" w:cs="Times New Roman"/>
                <w:color w:val="auto"/>
                <w:sz w:val="24"/>
                <w:szCs w:val="21"/>
                <w:highlight w:val="none"/>
                <w:vertAlign w:val="superscript"/>
              </w:rPr>
              <w:t>-7</w:t>
            </w:r>
            <w:r>
              <w:rPr>
                <w:rFonts w:hint="default" w:ascii="Times New Roman" w:hAnsi="Times New Roman" w:eastAsia="宋体" w:cs="Times New Roman"/>
                <w:color w:val="auto"/>
                <w:sz w:val="24"/>
                <w:szCs w:val="21"/>
                <w:highlight w:val="none"/>
              </w:rPr>
              <w:t>cm/s</w:t>
            </w:r>
            <w:r>
              <w:rPr>
                <w:rFonts w:hint="eastAsia" w:eastAsia="宋体" w:cs="Times New Roman"/>
                <w:color w:val="auto"/>
                <w:sz w:val="24"/>
                <w:szCs w:val="21"/>
                <w:highlight w:val="none"/>
                <w:lang w:eastAsia="zh-CN"/>
              </w:rPr>
              <w:t>。</w:t>
            </w:r>
          </w:p>
          <w:p w14:paraId="1BA4ACA8">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5584A265">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4975DE01">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645B14B4">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1E1BBC10">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1F328694">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5C711920">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64ACB5BC">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1E084D2F">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47003766">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1AC69FAF">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45E0434F">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4A981FE1">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13CF998B">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12DC87A4">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09EA4B06">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0EBAB3A2">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firstLine="476" w:firstLineChars="200"/>
              <w:jc w:val="left"/>
              <w:textAlignment w:val="auto"/>
              <w:rPr>
                <w:rFonts w:hint="default"/>
                <w:color w:val="auto"/>
                <w:spacing w:val="-1"/>
                <w:sz w:val="24"/>
                <w:szCs w:val="24"/>
              </w:rPr>
            </w:pPr>
          </w:p>
          <w:p w14:paraId="7A3CB6D6">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left"/>
              <w:textAlignment w:val="auto"/>
              <w:rPr>
                <w:rFonts w:hint="default"/>
                <w:color w:val="auto"/>
                <w:spacing w:val="-1"/>
                <w:sz w:val="24"/>
                <w:szCs w:val="24"/>
                <w:lang w:val="en-US" w:eastAsia="zh-CN"/>
              </w:rPr>
            </w:pPr>
          </w:p>
          <w:p w14:paraId="5BB0C05E">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left"/>
              <w:textAlignment w:val="auto"/>
              <w:rPr>
                <w:rFonts w:hint="default"/>
                <w:color w:val="auto"/>
                <w:spacing w:val="-1"/>
                <w:sz w:val="24"/>
                <w:szCs w:val="24"/>
                <w:lang w:val="en-US" w:eastAsia="zh-CN"/>
              </w:rPr>
            </w:pPr>
          </w:p>
          <w:p w14:paraId="4DB4D286">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left"/>
              <w:textAlignment w:val="auto"/>
              <w:rPr>
                <w:rFonts w:hint="default"/>
                <w:color w:val="auto"/>
                <w:spacing w:val="-1"/>
                <w:sz w:val="24"/>
                <w:szCs w:val="24"/>
                <w:lang w:val="en-US" w:eastAsia="zh-CN"/>
              </w:rPr>
            </w:pPr>
          </w:p>
          <w:p w14:paraId="6D850AE5">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left"/>
              <w:textAlignment w:val="auto"/>
              <w:rPr>
                <w:rFonts w:hint="default"/>
                <w:color w:val="auto"/>
                <w:spacing w:val="-1"/>
                <w:sz w:val="24"/>
                <w:szCs w:val="24"/>
                <w:lang w:val="en-US" w:eastAsia="zh-CN"/>
              </w:rPr>
            </w:pPr>
          </w:p>
          <w:p w14:paraId="38DDD415">
            <w:pPr>
              <w:keepNext w:val="0"/>
              <w:keepLines w:val="0"/>
              <w:pageBreakBefore w:val="0"/>
              <w:suppressLineNumbers w:val="0"/>
              <w:kinsoku/>
              <w:wordWrap/>
              <w:overflowPunct/>
              <w:topLinePunct w:val="0"/>
              <w:autoSpaceDE/>
              <w:autoSpaceDN/>
              <w:bidi w:val="0"/>
              <w:adjustRightInd/>
              <w:spacing w:before="0" w:beforeAutospacing="0" w:after="0" w:afterAutospacing="0" w:line="360" w:lineRule="auto"/>
              <w:ind w:left="0" w:right="0"/>
              <w:jc w:val="left"/>
              <w:textAlignment w:val="auto"/>
              <w:rPr>
                <w:rFonts w:hint="default"/>
                <w:color w:val="auto"/>
                <w:spacing w:val="-1"/>
                <w:sz w:val="24"/>
                <w:szCs w:val="24"/>
                <w:lang w:val="en-US" w:eastAsia="zh-CN"/>
              </w:rPr>
            </w:pPr>
          </w:p>
        </w:tc>
      </w:tr>
      <w:tr w14:paraId="2FAE050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284" w:hRule="atLeast"/>
          <w:jc w:val="center"/>
        </w:trPr>
        <w:tc>
          <w:tcPr>
            <w:tcW w:w="473" w:type="dxa"/>
            <w:noWrap w:val="0"/>
            <w:tcMar>
              <w:left w:w="28" w:type="dxa"/>
              <w:right w:w="28" w:type="dxa"/>
            </w:tcMar>
            <w:vAlign w:val="center"/>
          </w:tcPr>
          <w:p w14:paraId="24DDE3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运营</w:t>
            </w:r>
          </w:p>
          <w:p w14:paraId="15B4ED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期环</w:t>
            </w:r>
          </w:p>
          <w:p w14:paraId="40807C3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境影</w:t>
            </w:r>
          </w:p>
          <w:p w14:paraId="107BB94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响和</w:t>
            </w:r>
          </w:p>
          <w:p w14:paraId="7C90A02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保护</w:t>
            </w:r>
          </w:p>
          <w:p w14:paraId="2084846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Times New Roman" w:hAnsi="Times New Roman" w:cs="Times New Roman"/>
                <w:bCs/>
                <w:color w:val="auto"/>
                <w:szCs w:val="21"/>
                <w:highlight w:val="none"/>
              </w:rPr>
            </w:pPr>
            <w:r>
              <w:rPr>
                <w:rFonts w:hint="default" w:ascii="Times New Roman" w:hAnsi="Times New Roman" w:eastAsia="宋体" w:cs="Times New Roman"/>
                <w:color w:val="auto"/>
                <w:kern w:val="0"/>
                <w:sz w:val="24"/>
                <w:szCs w:val="24"/>
                <w:highlight w:val="none"/>
              </w:rPr>
              <w:t>措施</w:t>
            </w:r>
          </w:p>
        </w:tc>
        <w:tc>
          <w:tcPr>
            <w:tcW w:w="8508" w:type="dxa"/>
            <w:noWrap w:val="0"/>
            <w:vAlign w:val="center"/>
          </w:tcPr>
          <w:p w14:paraId="58596C4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20" w:leftChars="200" w:right="0" w:rightChars="0"/>
              <w:textAlignment w:val="auto"/>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1.运营期废气影响分析及保护措施</w:t>
            </w:r>
          </w:p>
          <w:p w14:paraId="6B8D4846">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2"/>
                <w:highlight w:val="none"/>
                <w:u w:val="none" w:color="auto"/>
                <w:lang w:val="zh-CN" w:bidi="zh-CN"/>
              </w:rPr>
            </w:pPr>
            <w:r>
              <w:rPr>
                <w:rFonts w:hint="default" w:ascii="Times New Roman" w:hAnsi="Times New Roman" w:eastAsia="宋体" w:cs="Times New Roman"/>
                <w:color w:val="auto"/>
                <w:sz w:val="24"/>
                <w:szCs w:val="22"/>
                <w:highlight w:val="none"/>
                <w:u w:val="none" w:color="auto"/>
                <w:lang w:val="zh-CN" w:bidi="zh-CN"/>
              </w:rPr>
              <w:t>根据项目生产工艺分析，本项目废气主要是汽车拆解切割、</w:t>
            </w:r>
            <w:r>
              <w:rPr>
                <w:rFonts w:hint="eastAsia" w:cs="Times New Roman"/>
                <w:color w:val="auto"/>
                <w:sz w:val="24"/>
                <w:szCs w:val="22"/>
                <w:highlight w:val="none"/>
                <w:u w:val="none" w:color="auto"/>
                <w:lang w:val="en-US" w:bidi="zh-CN"/>
              </w:rPr>
              <w:t>废钢剪切破碎</w:t>
            </w:r>
            <w:r>
              <w:rPr>
                <w:rFonts w:hint="default" w:ascii="Times New Roman" w:hAnsi="Times New Roman" w:eastAsia="宋体" w:cs="Times New Roman"/>
                <w:color w:val="auto"/>
                <w:sz w:val="24"/>
                <w:szCs w:val="22"/>
                <w:highlight w:val="none"/>
                <w:u w:val="none" w:color="auto"/>
                <w:lang w:val="zh-CN" w:bidi="zh-CN"/>
              </w:rPr>
              <w:t>过</w:t>
            </w:r>
            <w:r>
              <w:rPr>
                <w:rFonts w:hint="eastAsia" w:cs="Times New Roman"/>
                <w:color w:val="auto"/>
                <w:sz w:val="24"/>
                <w:szCs w:val="22"/>
                <w:highlight w:val="none"/>
                <w:u w:val="none" w:color="auto"/>
                <w:lang w:val="zh-CN" w:bidi="zh-CN"/>
              </w:rPr>
              <w:t>程中</w:t>
            </w:r>
            <w:r>
              <w:rPr>
                <w:rFonts w:hint="default" w:ascii="Times New Roman" w:hAnsi="Times New Roman" w:eastAsia="宋体" w:cs="Times New Roman"/>
                <w:color w:val="auto"/>
                <w:sz w:val="24"/>
                <w:szCs w:val="22"/>
                <w:highlight w:val="none"/>
                <w:u w:val="none" w:color="auto"/>
                <w:lang w:val="zh-CN" w:bidi="zh-CN"/>
              </w:rPr>
              <w:t>产生的粉尘、</w:t>
            </w:r>
            <w:r>
              <w:rPr>
                <w:rFonts w:hint="eastAsia" w:cs="Times New Roman"/>
                <w:color w:val="auto"/>
                <w:sz w:val="24"/>
                <w:szCs w:val="22"/>
                <w:highlight w:val="none"/>
                <w:u w:val="none" w:color="auto"/>
                <w:lang w:val="zh-CN" w:bidi="zh-CN"/>
              </w:rPr>
              <w:t>车辆</w:t>
            </w:r>
            <w:r>
              <w:rPr>
                <w:rFonts w:hint="default" w:ascii="Times New Roman" w:hAnsi="Times New Roman" w:eastAsia="宋体" w:cs="Times New Roman"/>
                <w:color w:val="auto"/>
                <w:sz w:val="24"/>
                <w:szCs w:val="22"/>
                <w:highlight w:val="none"/>
                <w:u w:val="none" w:color="auto"/>
                <w:lang w:val="zh-CN" w:bidi="zh-CN"/>
              </w:rPr>
              <w:t>处理工序抽取废油液时产生的挥发性有机废气、危废</w:t>
            </w:r>
            <w:r>
              <w:rPr>
                <w:rFonts w:hint="eastAsia" w:ascii="Times New Roman" w:hAnsi="Times New Roman" w:eastAsia="宋体" w:cs="Times New Roman"/>
                <w:color w:val="auto"/>
                <w:sz w:val="24"/>
                <w:szCs w:val="22"/>
                <w:highlight w:val="none"/>
                <w:u w:val="none" w:color="auto"/>
                <w:lang w:val="en-US" w:bidi="zh-CN"/>
              </w:rPr>
              <w:t>贮存库</w:t>
            </w:r>
            <w:r>
              <w:rPr>
                <w:rFonts w:hint="default" w:ascii="Times New Roman" w:hAnsi="Times New Roman" w:eastAsia="宋体" w:cs="Times New Roman"/>
                <w:color w:val="auto"/>
                <w:sz w:val="24"/>
                <w:szCs w:val="22"/>
                <w:highlight w:val="none"/>
                <w:u w:val="none" w:color="auto"/>
                <w:lang w:val="zh-CN" w:bidi="zh-CN"/>
              </w:rPr>
              <w:t>内废油液暂存时产生的挥发性有机废气、抽取空调制冷剂时产生的极少挥发性</w:t>
            </w:r>
            <w:r>
              <w:rPr>
                <w:rFonts w:hint="eastAsia" w:cs="Times New Roman"/>
                <w:color w:val="auto"/>
                <w:sz w:val="24"/>
                <w:szCs w:val="22"/>
                <w:highlight w:val="none"/>
                <w:u w:val="none" w:color="auto"/>
                <w:lang w:val="en-US" w:bidi="zh-CN"/>
              </w:rPr>
              <w:t>有机废气</w:t>
            </w:r>
            <w:r>
              <w:rPr>
                <w:rFonts w:hint="default" w:ascii="Times New Roman" w:hAnsi="Times New Roman" w:eastAsia="宋体" w:cs="Times New Roman"/>
                <w:color w:val="auto"/>
                <w:sz w:val="24"/>
                <w:szCs w:val="22"/>
                <w:highlight w:val="none"/>
                <w:u w:val="none" w:color="auto"/>
                <w:lang w:val="zh-CN" w:bidi="zh-CN"/>
              </w:rPr>
              <w:t>。</w:t>
            </w:r>
          </w:p>
          <w:p w14:paraId="14CAB398">
            <w:pPr>
              <w:keepNext w:val="0"/>
              <w:keepLines w:val="0"/>
              <w:suppressLineNumbers w:val="0"/>
              <w:autoSpaceDE w:val="0"/>
              <w:autoSpaceDN w:val="0"/>
              <w:spacing w:before="0" w:beforeAutospacing="0" w:after="0" w:afterAutospacing="0" w:line="360" w:lineRule="auto"/>
              <w:ind w:left="0" w:right="0" w:firstLine="480" w:firstLineChars="200"/>
              <w:rPr>
                <w:rFonts w:hint="eastAsia" w:cs="Times New Roman"/>
                <w:color w:val="auto"/>
                <w:sz w:val="24"/>
                <w:szCs w:val="22"/>
                <w:highlight w:val="none"/>
                <w:u w:val="none" w:color="auto"/>
                <w:lang w:val="en-US" w:bidi="zh-CN"/>
              </w:rPr>
            </w:pPr>
            <w:r>
              <w:rPr>
                <w:rFonts w:hint="eastAsia" w:cs="Times New Roman"/>
                <w:color w:val="auto"/>
                <w:sz w:val="24"/>
                <w:szCs w:val="22"/>
                <w:highlight w:val="none"/>
                <w:u w:val="none" w:color="auto"/>
                <w:lang w:val="en-US" w:bidi="zh-CN"/>
              </w:rPr>
              <w:t>项目拟在废油液抽取工位上方设置集气罩，在制冷剂回收工位上方设置集气罩，在危废贮存库内部设置集气罩，有机废气经上述集气罩收集后，通过一套二级活性炭吸附装置处理，并由1根24m高排气筒DA001排放；</w:t>
            </w:r>
          </w:p>
          <w:p w14:paraId="0D363F97">
            <w:pPr>
              <w:keepNext w:val="0"/>
              <w:keepLines w:val="0"/>
              <w:suppressLineNumbers w:val="0"/>
              <w:autoSpaceDE w:val="0"/>
              <w:autoSpaceDN w:val="0"/>
              <w:spacing w:before="0" w:beforeAutospacing="0" w:after="0" w:afterAutospacing="0" w:line="360" w:lineRule="auto"/>
              <w:ind w:left="0" w:right="0" w:firstLine="480" w:firstLineChars="200"/>
              <w:rPr>
                <w:rFonts w:hint="eastAsia" w:cs="Times New Roman"/>
                <w:color w:val="auto"/>
                <w:sz w:val="24"/>
                <w:szCs w:val="22"/>
                <w:highlight w:val="none"/>
                <w:u w:val="none" w:color="auto"/>
                <w:lang w:val="en-US" w:bidi="zh-CN"/>
              </w:rPr>
            </w:pPr>
            <w:r>
              <w:rPr>
                <w:rFonts w:hint="eastAsia" w:cs="Times New Roman"/>
                <w:color w:val="auto"/>
                <w:sz w:val="24"/>
                <w:szCs w:val="22"/>
                <w:highlight w:val="none"/>
                <w:u w:val="none" w:color="auto"/>
                <w:lang w:val="en-US" w:bidi="zh-CN"/>
              </w:rPr>
              <w:t>拟在汽车拆解切割工序设备上方设置集气罩，切割粉尘经集气罩收集后，通过一套布袋除尘器处理，并由1根24m高排气筒DA002排放；</w:t>
            </w:r>
          </w:p>
          <w:p w14:paraId="52514E08">
            <w:pPr>
              <w:keepNext w:val="0"/>
              <w:keepLines w:val="0"/>
              <w:suppressLineNumbers w:val="0"/>
              <w:autoSpaceDE w:val="0"/>
              <w:autoSpaceDN w:val="0"/>
              <w:spacing w:before="0" w:beforeAutospacing="0" w:after="0" w:afterAutospacing="0" w:line="360" w:lineRule="auto"/>
              <w:ind w:left="0" w:right="0" w:firstLine="480" w:firstLineChars="200"/>
              <w:rPr>
                <w:rFonts w:hint="default" w:cs="Times New Roman"/>
                <w:color w:val="auto"/>
                <w:sz w:val="24"/>
                <w:szCs w:val="22"/>
                <w:highlight w:val="none"/>
                <w:u w:val="none" w:color="auto"/>
                <w:lang w:val="en-US" w:bidi="zh-CN"/>
              </w:rPr>
            </w:pPr>
            <w:r>
              <w:rPr>
                <w:rFonts w:hint="eastAsia" w:cs="Times New Roman"/>
                <w:color w:val="auto"/>
                <w:sz w:val="24"/>
                <w:szCs w:val="22"/>
                <w:highlight w:val="none"/>
                <w:u w:val="none" w:color="auto"/>
                <w:lang w:val="en-US" w:bidi="zh-CN"/>
              </w:rPr>
              <w:t>拟在废钢剪切、破碎工序设备上方设置集气罩，破碎粉尘经集气罩收集后，通过一套布袋除尘器处理，并由1根24m高排气筒DA003排放；</w:t>
            </w:r>
          </w:p>
          <w:p w14:paraId="23EE0E21">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2"/>
                <w:highlight w:val="none"/>
                <w:u w:val="none" w:color="auto"/>
                <w:lang w:val="en-US" w:bidi="zh-CN"/>
              </w:rPr>
            </w:pPr>
            <w:r>
              <w:rPr>
                <w:rFonts w:hint="eastAsia" w:cs="Times New Roman"/>
                <w:color w:val="auto"/>
                <w:sz w:val="24"/>
                <w:szCs w:val="22"/>
                <w:highlight w:val="none"/>
                <w:u w:val="none" w:color="auto"/>
                <w:lang w:val="en-US" w:bidi="zh-CN"/>
              </w:rPr>
              <w:t>食堂油烟通过油烟净化器处理后，高出屋顶排放。</w:t>
            </w:r>
          </w:p>
          <w:p w14:paraId="1AC1BA7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2" w:firstLineChars="200"/>
              <w:jc w:val="both"/>
              <w:textAlignment w:val="auto"/>
              <w:outlineLvl w:val="9"/>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1.1 废气源强核算</w:t>
            </w:r>
          </w:p>
          <w:p w14:paraId="60503F2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default" w:eastAsia="宋体"/>
                <w:b/>
                <w:bCs/>
                <w:color w:val="auto"/>
                <w:highlight w:val="none"/>
                <w:lang w:val="en-US" w:eastAsia="zh-CN"/>
              </w:rPr>
            </w:pPr>
            <w:r>
              <w:rPr>
                <w:rFonts w:hint="eastAsia" w:cs="Times New Roman"/>
                <w:b/>
                <w:bCs/>
                <w:color w:val="auto"/>
                <w:sz w:val="24"/>
                <w:szCs w:val="24"/>
                <w:highlight w:val="none"/>
                <w:lang w:val="en-US" w:eastAsia="zh-CN"/>
              </w:rPr>
              <w:t xml:space="preserve">① </w:t>
            </w:r>
            <w:r>
              <w:rPr>
                <w:rFonts w:hint="default"/>
                <w:b/>
                <w:bCs/>
                <w:color w:val="auto"/>
                <w:spacing w:val="-3"/>
                <w:highlight w:val="none"/>
              </w:rPr>
              <w:t>废油液抽取</w:t>
            </w:r>
            <w:r>
              <w:rPr>
                <w:rFonts w:hint="eastAsia"/>
                <w:b/>
                <w:bCs/>
                <w:color w:val="auto"/>
                <w:spacing w:val="-3"/>
                <w:highlight w:val="none"/>
                <w:lang w:val="en-US" w:eastAsia="zh-CN"/>
              </w:rPr>
              <w:t>工序废气</w:t>
            </w:r>
          </w:p>
          <w:p w14:paraId="74BADE8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在拆解过程中，首先利用油液抽排系统抽取废油液，抽取后采用密闭钢桶进</w:t>
            </w:r>
            <w:r>
              <w:rPr>
                <w:rFonts w:hint="default"/>
                <w:color w:val="auto"/>
                <w:spacing w:val="3"/>
                <w:highlight w:val="none"/>
              </w:rPr>
              <w:t>行储存，在油液抽取系统置入、拔出容器的过程中会有少量的非甲烷总烃挥发。</w:t>
            </w:r>
            <w:r>
              <w:rPr>
                <w:rFonts w:hint="default"/>
                <w:color w:val="auto"/>
                <w:spacing w:val="-2"/>
                <w:highlight w:val="none"/>
              </w:rPr>
              <w:t>废油液包括废有机溶剂（防冻液、清洗剂等）及废</w:t>
            </w:r>
            <w:r>
              <w:rPr>
                <w:rFonts w:hint="default"/>
                <w:color w:val="auto"/>
                <w:spacing w:val="-3"/>
                <w:highlight w:val="none"/>
              </w:rPr>
              <w:t>矿物油（燃油、机油、刹车油、</w:t>
            </w:r>
            <w:r>
              <w:rPr>
                <w:rFonts w:hint="default"/>
                <w:color w:val="auto"/>
                <w:spacing w:val="-1"/>
                <w:highlight w:val="none"/>
              </w:rPr>
              <w:t>液压油、润滑油等）。</w:t>
            </w:r>
          </w:p>
          <w:p w14:paraId="475B06B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72" w:firstLineChars="200"/>
              <w:jc w:val="both"/>
              <w:textAlignment w:val="auto"/>
              <w:rPr>
                <w:rFonts w:hint="default"/>
                <w:color w:val="auto"/>
                <w:spacing w:val="-1"/>
                <w:highlight w:val="none"/>
              </w:rPr>
            </w:pPr>
            <w:r>
              <w:rPr>
                <w:rFonts w:hint="default"/>
                <w:color w:val="auto"/>
                <w:spacing w:val="-2"/>
                <w:highlight w:val="none"/>
              </w:rPr>
              <w:t>根据《报废机动车回收拆解企业技术规范》（</w:t>
            </w:r>
            <w:r>
              <w:rPr>
                <w:rFonts w:hint="default" w:ascii="Times New Roman" w:hAnsi="Times New Roman" w:eastAsia="Times New Roman" w:cs="Times New Roman"/>
                <w:color w:val="auto"/>
                <w:spacing w:val="-2"/>
                <w:highlight w:val="none"/>
              </w:rPr>
              <w:t>GB22128-2019</w:t>
            </w:r>
            <w:r>
              <w:rPr>
                <w:rFonts w:hint="default"/>
                <w:color w:val="auto"/>
                <w:spacing w:val="-2"/>
                <w:highlight w:val="none"/>
              </w:rPr>
              <w:t>）</w:t>
            </w:r>
            <w:r>
              <w:rPr>
                <w:rFonts w:hint="default"/>
                <w:color w:val="auto"/>
                <w:spacing w:val="-3"/>
                <w:highlight w:val="none"/>
              </w:rPr>
              <w:t>要求，</w:t>
            </w:r>
            <w:r>
              <w:rPr>
                <w:rFonts w:hint="default" w:ascii="Times New Roman" w:hAnsi="Times New Roman" w:eastAsia="Times New Roman" w:cs="Times New Roman"/>
                <w:color w:val="auto"/>
                <w:spacing w:val="-3"/>
                <w:highlight w:val="none"/>
              </w:rPr>
              <w:t>“</w:t>
            </w:r>
            <w:r>
              <w:rPr>
                <w:rFonts w:hint="default"/>
                <w:color w:val="auto"/>
                <w:spacing w:val="-3"/>
                <w:highlight w:val="none"/>
              </w:rPr>
              <w:t>存留在</w:t>
            </w:r>
            <w:r>
              <w:rPr>
                <w:rFonts w:hint="default"/>
                <w:color w:val="auto"/>
                <w:spacing w:val="-2"/>
                <w:highlight w:val="none"/>
              </w:rPr>
              <w:t>报废汽车中的各种废液应抽空并分类回收，各种废液的排空率应不低于</w:t>
            </w:r>
            <w:r>
              <w:rPr>
                <w:rFonts w:hint="default"/>
                <w:color w:val="auto"/>
                <w:spacing w:val="-37"/>
                <w:highlight w:val="none"/>
              </w:rPr>
              <w:t xml:space="preserve"> </w:t>
            </w:r>
            <w:r>
              <w:rPr>
                <w:rFonts w:hint="default" w:ascii="Times New Roman" w:hAnsi="Times New Roman" w:eastAsia="Times New Roman" w:cs="Times New Roman"/>
                <w:color w:val="auto"/>
                <w:spacing w:val="-2"/>
                <w:highlight w:val="none"/>
              </w:rPr>
              <w:t>90%”</w:t>
            </w:r>
            <w:r>
              <w:rPr>
                <w:rFonts w:hint="default"/>
                <w:color w:val="auto"/>
                <w:spacing w:val="-2"/>
                <w:highlight w:val="none"/>
              </w:rPr>
              <w:t>。项</w:t>
            </w:r>
            <w:r>
              <w:rPr>
                <w:rFonts w:hint="default"/>
                <w:color w:val="auto"/>
                <w:spacing w:val="1"/>
                <w:highlight w:val="none"/>
              </w:rPr>
              <w:t>目采用真空吸油机抽取废燃料油和其他废油液的量最低按</w:t>
            </w:r>
            <w:r>
              <w:rPr>
                <w:rFonts w:hint="default"/>
                <w:color w:val="auto"/>
                <w:spacing w:val="-43"/>
                <w:highlight w:val="none"/>
              </w:rPr>
              <w:t xml:space="preserve"> </w:t>
            </w:r>
            <w:r>
              <w:rPr>
                <w:rFonts w:hint="default" w:ascii="Times New Roman" w:hAnsi="Times New Roman" w:eastAsia="Times New Roman" w:cs="Times New Roman"/>
                <w:color w:val="auto"/>
                <w:spacing w:val="1"/>
                <w:highlight w:val="none"/>
              </w:rPr>
              <w:t>90%</w:t>
            </w:r>
            <w:r>
              <w:rPr>
                <w:rFonts w:hint="default"/>
                <w:color w:val="auto"/>
                <w:spacing w:val="1"/>
                <w:highlight w:val="none"/>
              </w:rPr>
              <w:t>计；参照《散装液</w:t>
            </w:r>
            <w:r>
              <w:rPr>
                <w:rFonts w:hint="default"/>
                <w:color w:val="auto"/>
                <w:spacing w:val="-1"/>
                <w:highlight w:val="none"/>
              </w:rPr>
              <w:t>态石油拆解物品损耗》（</w:t>
            </w:r>
            <w:r>
              <w:rPr>
                <w:rFonts w:hint="default" w:ascii="Times New Roman" w:hAnsi="Times New Roman" w:eastAsia="Times New Roman" w:cs="Times New Roman"/>
                <w:color w:val="auto"/>
                <w:spacing w:val="-1"/>
                <w:highlight w:val="none"/>
              </w:rPr>
              <w:t>GB11085-89</w:t>
            </w:r>
            <w:r>
              <w:rPr>
                <w:rFonts w:hint="default"/>
                <w:color w:val="auto"/>
                <w:spacing w:val="-1"/>
                <w:highlight w:val="none"/>
              </w:rPr>
              <w:t>）中灌桶（</w:t>
            </w:r>
            <w:r>
              <w:rPr>
                <w:rFonts w:hint="default" w:ascii="Times New Roman" w:hAnsi="Times New Roman" w:eastAsia="Times New Roman" w:cs="Times New Roman"/>
                <w:color w:val="auto"/>
                <w:spacing w:val="-1"/>
                <w:highlight w:val="none"/>
              </w:rPr>
              <w:t>0.</w:t>
            </w:r>
            <w:r>
              <w:rPr>
                <w:rFonts w:hint="default" w:ascii="Times New Roman" w:hAnsi="Times New Roman" w:eastAsia="Times New Roman" w:cs="Times New Roman"/>
                <w:color w:val="auto"/>
                <w:spacing w:val="-32"/>
                <w:highlight w:val="none"/>
              </w:rPr>
              <w:t xml:space="preserve"> </w:t>
            </w:r>
            <w:r>
              <w:rPr>
                <w:rFonts w:hint="default" w:ascii="Times New Roman" w:hAnsi="Times New Roman" w:eastAsia="Times New Roman" w:cs="Times New Roman"/>
                <w:color w:val="auto"/>
                <w:spacing w:val="-1"/>
                <w:highlight w:val="none"/>
              </w:rPr>
              <w:t>18%</w:t>
            </w:r>
            <w:r>
              <w:rPr>
                <w:rFonts w:hint="default"/>
                <w:color w:val="auto"/>
                <w:spacing w:val="-1"/>
                <w:highlight w:val="none"/>
              </w:rPr>
              <w:t>）和零售加注时（</w:t>
            </w:r>
            <w:r>
              <w:rPr>
                <w:rFonts w:hint="default" w:ascii="Times New Roman" w:hAnsi="Times New Roman" w:eastAsia="Times New Roman" w:cs="Times New Roman"/>
                <w:color w:val="auto"/>
                <w:spacing w:val="-1"/>
                <w:highlight w:val="none"/>
              </w:rPr>
              <w:t>0.29%</w:t>
            </w:r>
            <w:r>
              <w:rPr>
                <w:rFonts w:hint="default"/>
                <w:color w:val="auto"/>
                <w:spacing w:val="-1"/>
                <w:highlight w:val="none"/>
              </w:rPr>
              <w:t>）</w:t>
            </w:r>
            <w:r>
              <w:rPr>
                <w:rFonts w:hint="default"/>
                <w:color w:val="auto"/>
                <w:spacing w:val="-4"/>
                <w:highlight w:val="none"/>
              </w:rPr>
              <w:t>的两部分的损失率，按总体</w:t>
            </w:r>
            <w:r>
              <w:rPr>
                <w:rFonts w:hint="default"/>
                <w:color w:val="auto"/>
                <w:spacing w:val="-33"/>
                <w:highlight w:val="none"/>
              </w:rPr>
              <w:t xml:space="preserve"> </w:t>
            </w:r>
            <w:r>
              <w:rPr>
                <w:rFonts w:hint="default" w:ascii="Times New Roman" w:hAnsi="Times New Roman" w:eastAsia="Times New Roman" w:cs="Times New Roman"/>
                <w:color w:val="auto"/>
                <w:spacing w:val="-4"/>
                <w:highlight w:val="none"/>
              </w:rPr>
              <w:t>0.47%</w:t>
            </w:r>
            <w:r>
              <w:rPr>
                <w:rFonts w:hint="default"/>
                <w:color w:val="auto"/>
                <w:spacing w:val="-4"/>
                <w:highlight w:val="none"/>
              </w:rPr>
              <w:t>的损失率进行，即废油液抽取过程中有机废气产生系数为</w:t>
            </w:r>
            <w:r>
              <w:rPr>
                <w:rFonts w:hint="default"/>
                <w:color w:val="auto"/>
                <w:spacing w:val="-33"/>
                <w:highlight w:val="none"/>
              </w:rPr>
              <w:t xml:space="preserve"> </w:t>
            </w:r>
            <w:r>
              <w:rPr>
                <w:rFonts w:hint="default" w:ascii="Times New Roman" w:hAnsi="Times New Roman" w:eastAsia="Times New Roman" w:cs="Times New Roman"/>
                <w:color w:val="auto"/>
                <w:spacing w:val="-4"/>
                <w:highlight w:val="none"/>
              </w:rPr>
              <w:t>0.47%</w:t>
            </w:r>
            <w:r>
              <w:rPr>
                <w:rFonts w:hint="default"/>
                <w:color w:val="auto"/>
                <w:spacing w:val="-4"/>
                <w:highlight w:val="none"/>
              </w:rPr>
              <w:t>。根据工程分析，本项目废油液抽取过程中有机废气（以非甲烷总</w:t>
            </w:r>
            <w:r>
              <w:rPr>
                <w:rFonts w:hint="default"/>
                <w:color w:val="auto"/>
                <w:spacing w:val="-1"/>
                <w:highlight w:val="none"/>
              </w:rPr>
              <w:t>烃计）产生情况见下表。</w:t>
            </w:r>
          </w:p>
          <w:p w14:paraId="09BD7D0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color w:val="auto"/>
                <w:spacing w:val="-1"/>
                <w:sz w:val="21"/>
                <w:szCs w:val="21"/>
                <w:highlight w:val="none"/>
              </w:rPr>
            </w:pPr>
            <w:r>
              <w:rPr>
                <w:rFonts w:hint="default"/>
                <w:b/>
                <w:bCs/>
                <w:color w:val="auto"/>
                <w:spacing w:val="-2"/>
                <w:sz w:val="21"/>
                <w:szCs w:val="21"/>
                <w:highlight w:val="none"/>
              </w:rPr>
              <w:t>表</w:t>
            </w:r>
            <w:r>
              <w:rPr>
                <w:rFonts w:hint="eastAsia"/>
                <w:b/>
                <w:bCs/>
                <w:color w:val="auto"/>
                <w:spacing w:val="-2"/>
                <w:sz w:val="21"/>
                <w:szCs w:val="21"/>
                <w:highlight w:val="none"/>
                <w:lang w:val="en-US" w:eastAsia="zh-CN"/>
              </w:rPr>
              <w:t>4-1</w:t>
            </w:r>
            <w:r>
              <w:rPr>
                <w:rFonts w:hint="default" w:ascii="Times New Roman" w:hAnsi="Times New Roman" w:eastAsia="Times New Roman" w:cs="Times New Roman"/>
                <w:b/>
                <w:bCs/>
                <w:color w:val="auto"/>
                <w:spacing w:val="-2"/>
                <w:sz w:val="21"/>
                <w:szCs w:val="21"/>
                <w:highlight w:val="none"/>
              </w:rPr>
              <w:t xml:space="preserve">  </w:t>
            </w:r>
            <w:r>
              <w:rPr>
                <w:rFonts w:hint="default"/>
                <w:b/>
                <w:bCs/>
                <w:color w:val="auto"/>
                <w:spacing w:val="-2"/>
                <w:sz w:val="21"/>
                <w:szCs w:val="21"/>
                <w:highlight w:val="none"/>
              </w:rPr>
              <w:t>废油液有机废气产生量取值情况表</w:t>
            </w:r>
          </w:p>
          <w:tbl>
            <w:tblPr>
              <w:tblStyle w:val="74"/>
              <w:tblW w:w="499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68"/>
              <w:gridCol w:w="930"/>
              <w:gridCol w:w="1298"/>
              <w:gridCol w:w="1259"/>
              <w:gridCol w:w="1025"/>
              <w:gridCol w:w="906"/>
              <w:gridCol w:w="1153"/>
              <w:gridCol w:w="1097"/>
            </w:tblGrid>
            <w:tr w14:paraId="61EBC5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03" w:type="pct"/>
                  <w:vAlign w:val="center"/>
                </w:tcPr>
                <w:p w14:paraId="1BFCC82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车辆类型</w:t>
                  </w:r>
                </w:p>
              </w:tc>
              <w:tc>
                <w:tcPr>
                  <w:tcW w:w="509" w:type="pct"/>
                  <w:vAlign w:val="center"/>
                </w:tcPr>
                <w:p w14:paraId="27B72BE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废油液</w:t>
                  </w:r>
                  <w:r>
                    <w:rPr>
                      <w:rFonts w:hint="default"/>
                      <w:color w:val="auto"/>
                      <w:spacing w:val="-9"/>
                      <w:sz w:val="21"/>
                      <w:szCs w:val="21"/>
                      <w:highlight w:val="none"/>
                    </w:rPr>
                    <w:t>量（</w:t>
                  </w:r>
                  <w:r>
                    <w:rPr>
                      <w:rFonts w:hint="default" w:ascii="Times New Roman" w:hAnsi="Times New Roman" w:eastAsia="Times New Roman" w:cs="Times New Roman"/>
                      <w:color w:val="auto"/>
                      <w:spacing w:val="-9"/>
                      <w:sz w:val="21"/>
                      <w:szCs w:val="21"/>
                      <w:highlight w:val="none"/>
                    </w:rPr>
                    <w:t>t/a</w:t>
                  </w:r>
                  <w:r>
                    <w:rPr>
                      <w:rFonts w:hint="default"/>
                      <w:color w:val="auto"/>
                      <w:spacing w:val="-9"/>
                      <w:sz w:val="21"/>
                      <w:szCs w:val="21"/>
                      <w:highlight w:val="none"/>
                    </w:rPr>
                    <w:t>）</w:t>
                  </w:r>
                </w:p>
              </w:tc>
              <w:tc>
                <w:tcPr>
                  <w:tcW w:w="710" w:type="pct"/>
                  <w:vAlign w:val="center"/>
                </w:tcPr>
                <w:p w14:paraId="3FA1577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废油液抽</w:t>
                  </w:r>
                  <w:r>
                    <w:rPr>
                      <w:rFonts w:hint="default"/>
                      <w:color w:val="auto"/>
                      <w:spacing w:val="-12"/>
                      <w:sz w:val="21"/>
                      <w:szCs w:val="21"/>
                      <w:highlight w:val="none"/>
                    </w:rPr>
                    <w:t>取系数（</w:t>
                  </w:r>
                  <w:r>
                    <w:rPr>
                      <w:rFonts w:hint="default" w:ascii="Times New Roman" w:hAnsi="Times New Roman" w:eastAsia="Times New Roman" w:cs="Times New Roman"/>
                      <w:color w:val="auto"/>
                      <w:spacing w:val="-12"/>
                      <w:sz w:val="21"/>
                      <w:szCs w:val="21"/>
                      <w:highlight w:val="none"/>
                    </w:rPr>
                    <w:t>%</w:t>
                  </w:r>
                  <w:r>
                    <w:rPr>
                      <w:rFonts w:hint="default"/>
                      <w:color w:val="auto"/>
                      <w:spacing w:val="-12"/>
                      <w:sz w:val="21"/>
                      <w:szCs w:val="21"/>
                      <w:highlight w:val="none"/>
                    </w:rPr>
                    <w:t>）</w:t>
                  </w:r>
                </w:p>
              </w:tc>
              <w:tc>
                <w:tcPr>
                  <w:tcW w:w="689" w:type="pct"/>
                  <w:vAlign w:val="center"/>
                </w:tcPr>
                <w:p w14:paraId="15A0F71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废油液抽</w:t>
                  </w:r>
                  <w:r>
                    <w:rPr>
                      <w:rFonts w:hint="default"/>
                      <w:color w:val="auto"/>
                      <w:spacing w:val="2"/>
                      <w:sz w:val="21"/>
                      <w:szCs w:val="21"/>
                      <w:highlight w:val="none"/>
                    </w:rPr>
                    <w:t>取量（</w:t>
                  </w:r>
                  <w:r>
                    <w:rPr>
                      <w:rFonts w:hint="default" w:ascii="Times New Roman" w:hAnsi="Times New Roman" w:eastAsia="Times New Roman" w:cs="Times New Roman"/>
                      <w:color w:val="auto"/>
                      <w:spacing w:val="2"/>
                      <w:sz w:val="21"/>
                      <w:szCs w:val="21"/>
                      <w:highlight w:val="none"/>
                    </w:rPr>
                    <w:t>t/a</w:t>
                  </w:r>
                  <w:r>
                    <w:rPr>
                      <w:rFonts w:hint="default"/>
                      <w:color w:val="auto"/>
                      <w:spacing w:val="2"/>
                      <w:sz w:val="21"/>
                      <w:szCs w:val="21"/>
                      <w:highlight w:val="none"/>
                    </w:rPr>
                    <w:t>）</w:t>
                  </w:r>
                </w:p>
              </w:tc>
              <w:tc>
                <w:tcPr>
                  <w:tcW w:w="559" w:type="pct"/>
                  <w:vAlign w:val="center"/>
                </w:tcPr>
                <w:p w14:paraId="3CC512D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产生系</w:t>
                  </w:r>
                  <w:r>
                    <w:rPr>
                      <w:rFonts w:hint="default"/>
                      <w:color w:val="auto"/>
                      <w:spacing w:val="2"/>
                      <w:sz w:val="21"/>
                      <w:szCs w:val="21"/>
                      <w:highlight w:val="none"/>
                    </w:rPr>
                    <w:t>数（</w:t>
                  </w:r>
                  <w:r>
                    <w:rPr>
                      <w:rFonts w:hint="default" w:ascii="Times New Roman" w:hAnsi="Times New Roman" w:eastAsia="Times New Roman" w:cs="Times New Roman"/>
                      <w:color w:val="auto"/>
                      <w:spacing w:val="2"/>
                      <w:sz w:val="21"/>
                      <w:szCs w:val="21"/>
                      <w:highlight w:val="none"/>
                    </w:rPr>
                    <w:t>%</w:t>
                  </w:r>
                  <w:r>
                    <w:rPr>
                      <w:rFonts w:hint="default"/>
                      <w:color w:val="auto"/>
                      <w:spacing w:val="2"/>
                      <w:sz w:val="21"/>
                      <w:szCs w:val="21"/>
                      <w:highlight w:val="none"/>
                    </w:rPr>
                    <w:t>）</w:t>
                  </w:r>
                </w:p>
              </w:tc>
              <w:tc>
                <w:tcPr>
                  <w:tcW w:w="496" w:type="pct"/>
                  <w:vAlign w:val="center"/>
                </w:tcPr>
                <w:p w14:paraId="77F047B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产生量</w:t>
                  </w:r>
                  <w:r>
                    <w:rPr>
                      <w:rFonts w:hint="default"/>
                      <w:color w:val="auto"/>
                      <w:sz w:val="21"/>
                      <w:szCs w:val="21"/>
                      <w:highlight w:val="none"/>
                    </w:rPr>
                    <w:t>（</w:t>
                  </w:r>
                  <w:r>
                    <w:rPr>
                      <w:rFonts w:hint="default" w:ascii="Times New Roman" w:hAnsi="Times New Roman" w:eastAsia="Times New Roman" w:cs="Times New Roman"/>
                      <w:color w:val="auto"/>
                      <w:sz w:val="21"/>
                      <w:szCs w:val="21"/>
                      <w:highlight w:val="none"/>
                    </w:rPr>
                    <w:t>t/a</w:t>
                  </w:r>
                  <w:r>
                    <w:rPr>
                      <w:rFonts w:hint="default"/>
                      <w:color w:val="auto"/>
                      <w:sz w:val="21"/>
                      <w:szCs w:val="21"/>
                      <w:highlight w:val="none"/>
                    </w:rPr>
                    <w:t>）</w:t>
                  </w:r>
                </w:p>
              </w:tc>
              <w:tc>
                <w:tcPr>
                  <w:tcW w:w="631" w:type="pct"/>
                  <w:vAlign w:val="center"/>
                </w:tcPr>
                <w:p w14:paraId="705122C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产生速率</w:t>
                  </w:r>
                  <w:r>
                    <w:rPr>
                      <w:rFonts w:hint="default"/>
                      <w:color w:val="auto"/>
                      <w:spacing w:val="2"/>
                      <w:sz w:val="21"/>
                      <w:szCs w:val="21"/>
                      <w:highlight w:val="none"/>
                    </w:rPr>
                    <w:t>（</w:t>
                  </w:r>
                  <w:r>
                    <w:rPr>
                      <w:rFonts w:hint="default" w:ascii="Times New Roman" w:hAnsi="Times New Roman" w:eastAsia="Times New Roman" w:cs="Times New Roman"/>
                      <w:color w:val="auto"/>
                      <w:sz w:val="21"/>
                      <w:szCs w:val="21"/>
                      <w:highlight w:val="none"/>
                    </w:rPr>
                    <w:t>kg</w:t>
                  </w:r>
                  <w:r>
                    <w:rPr>
                      <w:rFonts w:hint="default" w:ascii="Times New Roman" w:hAnsi="Times New Roman" w:eastAsia="Times New Roman" w:cs="Times New Roman"/>
                      <w:color w:val="auto"/>
                      <w:spacing w:val="2"/>
                      <w:sz w:val="21"/>
                      <w:szCs w:val="21"/>
                      <w:highlight w:val="none"/>
                    </w:rPr>
                    <w:t>/h</w:t>
                  </w:r>
                  <w:r>
                    <w:rPr>
                      <w:rFonts w:hint="default"/>
                      <w:color w:val="auto"/>
                      <w:spacing w:val="2"/>
                      <w:sz w:val="21"/>
                      <w:szCs w:val="21"/>
                      <w:highlight w:val="none"/>
                    </w:rPr>
                    <w:t>）</w:t>
                  </w:r>
                </w:p>
              </w:tc>
              <w:tc>
                <w:tcPr>
                  <w:tcW w:w="600" w:type="pct"/>
                  <w:tcBorders>
                    <w:right w:val="single" w:color="000000" w:sz="6" w:space="0"/>
                  </w:tcBorders>
                  <w:vAlign w:val="center"/>
                </w:tcPr>
                <w:p w14:paraId="6A7F644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工作时</w:t>
                  </w:r>
                  <w:r>
                    <w:rPr>
                      <w:rFonts w:hint="default"/>
                      <w:color w:val="auto"/>
                      <w:spacing w:val="-12"/>
                      <w:sz w:val="21"/>
                      <w:szCs w:val="21"/>
                      <w:highlight w:val="none"/>
                    </w:rPr>
                    <w:t>间（</w:t>
                  </w:r>
                  <w:r>
                    <w:rPr>
                      <w:rFonts w:hint="default" w:ascii="Times New Roman" w:hAnsi="Times New Roman" w:eastAsia="Times New Roman" w:cs="Times New Roman"/>
                      <w:color w:val="auto"/>
                      <w:spacing w:val="-12"/>
                      <w:sz w:val="21"/>
                      <w:szCs w:val="21"/>
                      <w:highlight w:val="none"/>
                    </w:rPr>
                    <w:t>h/a</w:t>
                  </w:r>
                  <w:r>
                    <w:rPr>
                      <w:rFonts w:hint="default"/>
                      <w:color w:val="auto"/>
                      <w:spacing w:val="-12"/>
                      <w:sz w:val="21"/>
                      <w:szCs w:val="21"/>
                      <w:highlight w:val="none"/>
                    </w:rPr>
                    <w:t>）</w:t>
                  </w:r>
                </w:p>
              </w:tc>
            </w:tr>
            <w:tr w14:paraId="6F931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03" w:type="pct"/>
                  <w:vAlign w:val="center"/>
                </w:tcPr>
                <w:p w14:paraId="328D5C8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新能源汽车</w:t>
                  </w:r>
                </w:p>
              </w:tc>
              <w:tc>
                <w:tcPr>
                  <w:tcW w:w="509" w:type="pct"/>
                  <w:vAlign w:val="center"/>
                </w:tcPr>
                <w:p w14:paraId="6AAEEF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11.4</w:t>
                  </w:r>
                </w:p>
              </w:tc>
              <w:tc>
                <w:tcPr>
                  <w:tcW w:w="710" w:type="pct"/>
                  <w:vAlign w:val="center"/>
                </w:tcPr>
                <w:p w14:paraId="4CC7233A">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90</w:t>
                  </w:r>
                </w:p>
              </w:tc>
              <w:tc>
                <w:tcPr>
                  <w:tcW w:w="689" w:type="pct"/>
                  <w:vAlign w:val="center"/>
                </w:tcPr>
                <w:p w14:paraId="3799E5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10.26</w:t>
                  </w:r>
                </w:p>
              </w:tc>
              <w:tc>
                <w:tcPr>
                  <w:tcW w:w="559" w:type="pct"/>
                  <w:vAlign w:val="center"/>
                </w:tcPr>
                <w:p w14:paraId="45E5B94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0.47</w:t>
                  </w:r>
                </w:p>
              </w:tc>
              <w:tc>
                <w:tcPr>
                  <w:tcW w:w="496" w:type="pct"/>
                  <w:vAlign w:val="center"/>
                </w:tcPr>
                <w:p w14:paraId="4117068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2"/>
                      <w:sz w:val="21"/>
                      <w:szCs w:val="21"/>
                      <w:highlight w:val="none"/>
                      <w:lang w:val="en-US" w:eastAsia="zh-CN"/>
                    </w:rPr>
                    <w:t>0.048</w:t>
                  </w:r>
                </w:p>
              </w:tc>
              <w:tc>
                <w:tcPr>
                  <w:tcW w:w="631" w:type="pct"/>
                  <w:vAlign w:val="center"/>
                </w:tcPr>
                <w:p w14:paraId="5B927B4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0.024</w:t>
                  </w:r>
                </w:p>
              </w:tc>
              <w:tc>
                <w:tcPr>
                  <w:tcW w:w="600" w:type="pct"/>
                  <w:tcBorders>
                    <w:right w:val="single" w:color="000000" w:sz="6" w:space="0"/>
                  </w:tcBorders>
                  <w:vAlign w:val="center"/>
                </w:tcPr>
                <w:p w14:paraId="51FB638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3"/>
                      <w:sz w:val="21"/>
                      <w:szCs w:val="21"/>
                      <w:highlight w:val="none"/>
                      <w:lang w:val="en-US" w:eastAsia="zh-CN"/>
                    </w:rPr>
                    <w:t>2000</w:t>
                  </w:r>
                </w:p>
              </w:tc>
            </w:tr>
            <w:tr w14:paraId="4E1C26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03" w:type="pct"/>
                  <w:vAlign w:val="center"/>
                </w:tcPr>
                <w:p w14:paraId="1864485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燃油车</w:t>
                  </w:r>
                </w:p>
              </w:tc>
              <w:tc>
                <w:tcPr>
                  <w:tcW w:w="509" w:type="pct"/>
                  <w:vAlign w:val="center"/>
                </w:tcPr>
                <w:p w14:paraId="7BAD6AA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76</w:t>
                  </w:r>
                </w:p>
              </w:tc>
              <w:tc>
                <w:tcPr>
                  <w:tcW w:w="710" w:type="pct"/>
                  <w:vAlign w:val="center"/>
                </w:tcPr>
                <w:p w14:paraId="672739C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90</w:t>
                  </w:r>
                </w:p>
              </w:tc>
              <w:tc>
                <w:tcPr>
                  <w:tcW w:w="689" w:type="pct"/>
                  <w:vAlign w:val="center"/>
                </w:tcPr>
                <w:p w14:paraId="030E580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68.4</w:t>
                  </w:r>
                </w:p>
              </w:tc>
              <w:tc>
                <w:tcPr>
                  <w:tcW w:w="559" w:type="pct"/>
                  <w:vAlign w:val="center"/>
                </w:tcPr>
                <w:p w14:paraId="1B950FD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0.47</w:t>
                  </w:r>
                </w:p>
              </w:tc>
              <w:tc>
                <w:tcPr>
                  <w:tcW w:w="496" w:type="pct"/>
                  <w:vAlign w:val="center"/>
                </w:tcPr>
                <w:p w14:paraId="27B722C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0.32</w:t>
                  </w:r>
                </w:p>
              </w:tc>
              <w:tc>
                <w:tcPr>
                  <w:tcW w:w="631" w:type="pct"/>
                  <w:vAlign w:val="center"/>
                </w:tcPr>
                <w:p w14:paraId="1C24BF6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0.16</w:t>
                  </w:r>
                </w:p>
              </w:tc>
              <w:tc>
                <w:tcPr>
                  <w:tcW w:w="600" w:type="pct"/>
                  <w:tcBorders>
                    <w:right w:val="single" w:color="000000" w:sz="6" w:space="0"/>
                  </w:tcBorders>
                  <w:vAlign w:val="center"/>
                </w:tcPr>
                <w:p w14:paraId="541B595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3"/>
                      <w:sz w:val="21"/>
                      <w:szCs w:val="21"/>
                      <w:highlight w:val="none"/>
                      <w:lang w:val="en-US" w:eastAsia="zh-CN"/>
                    </w:rPr>
                    <w:t>2000</w:t>
                  </w:r>
                </w:p>
              </w:tc>
            </w:tr>
            <w:tr w14:paraId="505E6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03" w:type="pct"/>
                  <w:vAlign w:val="center"/>
                </w:tcPr>
                <w:p w14:paraId="402BC39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eastAsia="宋体"/>
                      <w:color w:val="auto"/>
                      <w:spacing w:val="6"/>
                      <w:sz w:val="21"/>
                      <w:szCs w:val="21"/>
                      <w:highlight w:val="none"/>
                      <w:lang w:val="en-US" w:eastAsia="zh-CN"/>
                    </w:rPr>
                  </w:pPr>
                  <w:r>
                    <w:rPr>
                      <w:rFonts w:hint="eastAsia"/>
                      <w:color w:val="auto"/>
                      <w:spacing w:val="6"/>
                      <w:sz w:val="21"/>
                      <w:szCs w:val="21"/>
                      <w:highlight w:val="none"/>
                      <w:lang w:val="en-US" w:eastAsia="zh-CN"/>
                    </w:rPr>
                    <w:t>农机</w:t>
                  </w:r>
                </w:p>
              </w:tc>
              <w:tc>
                <w:tcPr>
                  <w:tcW w:w="509" w:type="pct"/>
                  <w:vAlign w:val="center"/>
                </w:tcPr>
                <w:p w14:paraId="4C8A5D1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16</w:t>
                  </w:r>
                </w:p>
              </w:tc>
              <w:tc>
                <w:tcPr>
                  <w:tcW w:w="710" w:type="pct"/>
                  <w:vAlign w:val="center"/>
                </w:tcPr>
                <w:p w14:paraId="6D27FB7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90</w:t>
                  </w:r>
                </w:p>
              </w:tc>
              <w:tc>
                <w:tcPr>
                  <w:tcW w:w="689" w:type="pct"/>
                  <w:vAlign w:val="center"/>
                </w:tcPr>
                <w:p w14:paraId="3726680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eastAsia="宋体" w:cs="Times New Roman"/>
                      <w:color w:val="auto"/>
                      <w:spacing w:val="2"/>
                      <w:sz w:val="21"/>
                      <w:szCs w:val="21"/>
                      <w:highlight w:val="none"/>
                      <w:lang w:val="en-US" w:eastAsia="zh-CN"/>
                    </w:rPr>
                    <w:t>14.4</w:t>
                  </w:r>
                </w:p>
              </w:tc>
              <w:tc>
                <w:tcPr>
                  <w:tcW w:w="559" w:type="pct"/>
                  <w:vAlign w:val="center"/>
                </w:tcPr>
                <w:p w14:paraId="3904AD6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eastAsia="宋体" w:cs="Times New Roman"/>
                      <w:color w:val="auto"/>
                      <w:spacing w:val="2"/>
                      <w:sz w:val="21"/>
                      <w:szCs w:val="21"/>
                      <w:highlight w:val="none"/>
                      <w:lang w:val="en-US" w:eastAsia="zh-CN"/>
                    </w:rPr>
                    <w:t>0.47</w:t>
                  </w:r>
                </w:p>
              </w:tc>
              <w:tc>
                <w:tcPr>
                  <w:tcW w:w="496" w:type="pct"/>
                  <w:vAlign w:val="center"/>
                </w:tcPr>
                <w:p w14:paraId="7BA42041">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2"/>
                      <w:sz w:val="21"/>
                      <w:szCs w:val="21"/>
                      <w:highlight w:val="none"/>
                      <w:lang w:val="en-US" w:eastAsia="zh-CN"/>
                    </w:rPr>
                  </w:pPr>
                  <w:r>
                    <w:rPr>
                      <w:rFonts w:hint="eastAsia" w:eastAsia="宋体" w:cs="Times New Roman"/>
                      <w:color w:val="auto"/>
                      <w:spacing w:val="2"/>
                      <w:sz w:val="21"/>
                      <w:szCs w:val="21"/>
                      <w:highlight w:val="none"/>
                      <w:lang w:val="en-US" w:eastAsia="zh-CN"/>
                    </w:rPr>
                    <w:t>0.068</w:t>
                  </w:r>
                </w:p>
              </w:tc>
              <w:tc>
                <w:tcPr>
                  <w:tcW w:w="631" w:type="pct"/>
                  <w:vAlign w:val="center"/>
                </w:tcPr>
                <w:p w14:paraId="397E25C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3"/>
                      <w:sz w:val="21"/>
                      <w:szCs w:val="21"/>
                      <w:highlight w:val="none"/>
                      <w:lang w:val="en-US" w:eastAsia="zh-CN"/>
                    </w:rPr>
                  </w:pPr>
                  <w:r>
                    <w:rPr>
                      <w:rFonts w:hint="eastAsia" w:eastAsia="宋体" w:cs="Times New Roman"/>
                      <w:color w:val="auto"/>
                      <w:spacing w:val="3"/>
                      <w:sz w:val="21"/>
                      <w:szCs w:val="21"/>
                      <w:highlight w:val="none"/>
                      <w:lang w:val="en-US" w:eastAsia="zh-CN"/>
                    </w:rPr>
                    <w:t>0.034</w:t>
                  </w:r>
                </w:p>
              </w:tc>
              <w:tc>
                <w:tcPr>
                  <w:tcW w:w="600" w:type="pct"/>
                  <w:tcBorders>
                    <w:right w:val="single" w:color="000000" w:sz="6" w:space="0"/>
                  </w:tcBorders>
                  <w:vAlign w:val="center"/>
                </w:tcPr>
                <w:p w14:paraId="73712FE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3"/>
                      <w:sz w:val="21"/>
                      <w:szCs w:val="21"/>
                      <w:highlight w:val="none"/>
                      <w:lang w:val="en-US" w:eastAsia="zh-CN"/>
                    </w:rPr>
                  </w:pPr>
                  <w:r>
                    <w:rPr>
                      <w:rFonts w:hint="eastAsia" w:eastAsia="宋体" w:cs="Times New Roman"/>
                      <w:color w:val="auto"/>
                      <w:spacing w:val="3"/>
                      <w:sz w:val="21"/>
                      <w:szCs w:val="21"/>
                      <w:highlight w:val="none"/>
                      <w:lang w:val="en-US" w:eastAsia="zh-CN"/>
                    </w:rPr>
                    <w:t>2000</w:t>
                  </w:r>
                </w:p>
              </w:tc>
            </w:tr>
            <w:tr w14:paraId="4369D5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3272" w:type="pct"/>
                  <w:gridSpan w:val="5"/>
                  <w:vAlign w:val="center"/>
                </w:tcPr>
                <w:p w14:paraId="4F9C651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4"/>
                      <w:sz w:val="21"/>
                      <w:szCs w:val="21"/>
                      <w:highlight w:val="none"/>
                    </w:rPr>
                    <w:t>合计</w:t>
                  </w:r>
                </w:p>
              </w:tc>
              <w:tc>
                <w:tcPr>
                  <w:tcW w:w="496" w:type="pct"/>
                  <w:vAlign w:val="center"/>
                </w:tcPr>
                <w:p w14:paraId="6122969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0.436</w:t>
                  </w:r>
                </w:p>
              </w:tc>
              <w:tc>
                <w:tcPr>
                  <w:tcW w:w="631" w:type="pct"/>
                  <w:vAlign w:val="center"/>
                </w:tcPr>
                <w:p w14:paraId="6A19F47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0.218</w:t>
                  </w:r>
                </w:p>
              </w:tc>
              <w:tc>
                <w:tcPr>
                  <w:tcW w:w="600" w:type="pct"/>
                  <w:tcBorders>
                    <w:right w:val="single" w:color="000000" w:sz="6" w:space="0"/>
                  </w:tcBorders>
                  <w:vAlign w:val="center"/>
                </w:tcPr>
                <w:p w14:paraId="051A641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pacing w:val="2"/>
                      <w:sz w:val="21"/>
                      <w:szCs w:val="21"/>
                      <w:highlight w:val="none"/>
                    </w:rPr>
                    <w:t>/</w:t>
                  </w:r>
                </w:p>
              </w:tc>
            </w:tr>
          </w:tbl>
          <w:p w14:paraId="002607A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本项目在废液抽取工位上方设置集气罩，有机废气（以非甲烷总烃计）</w:t>
            </w:r>
            <w:r>
              <w:rPr>
                <w:rFonts w:hint="eastAsia"/>
                <w:color w:val="auto"/>
                <w:spacing w:val="2"/>
                <w:highlight w:val="none"/>
                <w:lang w:val="en-US" w:eastAsia="zh-CN"/>
              </w:rPr>
              <w:t>经集气罩</w:t>
            </w:r>
            <w:r>
              <w:rPr>
                <w:rFonts w:hint="default"/>
                <w:color w:val="auto"/>
                <w:spacing w:val="2"/>
                <w:highlight w:val="none"/>
              </w:rPr>
              <w:t>收</w:t>
            </w:r>
            <w:r>
              <w:rPr>
                <w:rFonts w:hint="default"/>
                <w:color w:val="auto"/>
                <w:spacing w:val="-2"/>
                <w:highlight w:val="none"/>
              </w:rPr>
              <w:t>集后经二级活性炭吸附箱</w:t>
            </w:r>
            <w:r>
              <w:rPr>
                <w:rFonts w:hint="default"/>
                <w:color w:val="auto"/>
                <w:spacing w:val="-3"/>
                <w:highlight w:val="none"/>
              </w:rPr>
              <w:t>处理，由</w:t>
            </w:r>
            <w:r>
              <w:rPr>
                <w:rFonts w:hint="default" w:ascii="Times New Roman" w:hAnsi="Times New Roman" w:eastAsia="Times New Roman" w:cs="Times New Roman"/>
                <w:color w:val="auto"/>
                <w:spacing w:val="-3"/>
                <w:highlight w:val="none"/>
              </w:rPr>
              <w:t>1</w:t>
            </w:r>
            <w:r>
              <w:rPr>
                <w:rFonts w:hint="default"/>
                <w:color w:val="auto"/>
                <w:spacing w:val="-3"/>
                <w:highlight w:val="none"/>
              </w:rPr>
              <w:t>根</w:t>
            </w:r>
            <w:r>
              <w:rPr>
                <w:rFonts w:hint="eastAsia" w:cs="Times New Roman"/>
                <w:color w:val="auto"/>
                <w:spacing w:val="-3"/>
                <w:highlight w:val="none"/>
                <w:lang w:eastAsia="zh-CN"/>
              </w:rPr>
              <w:t>24m</w:t>
            </w:r>
            <w:r>
              <w:rPr>
                <w:rFonts w:hint="default"/>
                <w:color w:val="auto"/>
                <w:spacing w:val="-3"/>
                <w:highlight w:val="none"/>
              </w:rPr>
              <w:t>高</w:t>
            </w:r>
            <w:r>
              <w:rPr>
                <w:rFonts w:hint="default"/>
                <w:color w:val="auto"/>
                <w:spacing w:val="-1"/>
                <w:highlight w:val="none"/>
              </w:rPr>
              <w:t>排气筒</w:t>
            </w:r>
            <w:r>
              <w:rPr>
                <w:rFonts w:hint="default" w:ascii="Times New Roman" w:hAnsi="Times New Roman" w:eastAsia="Times New Roman" w:cs="Times New Roman"/>
                <w:color w:val="auto"/>
                <w:spacing w:val="-1"/>
                <w:highlight w:val="none"/>
              </w:rPr>
              <w:t>DA001</w:t>
            </w:r>
            <w:r>
              <w:rPr>
                <w:rFonts w:hint="default"/>
                <w:color w:val="auto"/>
                <w:spacing w:val="-1"/>
                <w:highlight w:val="none"/>
              </w:rPr>
              <w:t>排放。</w:t>
            </w:r>
          </w:p>
          <w:p w14:paraId="2D74FD4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参考《工业源挥发性有机物通用源项产排污核算系数</w:t>
            </w:r>
            <w:r>
              <w:rPr>
                <w:rFonts w:hint="default"/>
                <w:color w:val="auto"/>
                <w:spacing w:val="1"/>
                <w:highlight w:val="none"/>
              </w:rPr>
              <w:t>手册》附表</w:t>
            </w:r>
            <w:r>
              <w:rPr>
                <w:rFonts w:hint="default"/>
                <w:color w:val="auto"/>
                <w:spacing w:val="-48"/>
                <w:highlight w:val="none"/>
              </w:rPr>
              <w:t xml:space="preserve"> </w:t>
            </w:r>
            <w:r>
              <w:rPr>
                <w:rFonts w:hint="default" w:ascii="Times New Roman" w:hAnsi="Times New Roman" w:eastAsia="Times New Roman" w:cs="Times New Roman"/>
                <w:color w:val="auto"/>
                <w:spacing w:val="1"/>
                <w:highlight w:val="none"/>
              </w:rPr>
              <w:t xml:space="preserve">9 </w:t>
            </w:r>
            <w:r>
              <w:rPr>
                <w:rFonts w:hint="default"/>
                <w:color w:val="auto"/>
                <w:spacing w:val="1"/>
                <w:highlight w:val="none"/>
              </w:rPr>
              <w:t>挥发性有</w:t>
            </w:r>
            <w:r>
              <w:rPr>
                <w:rFonts w:hint="default"/>
                <w:color w:val="auto"/>
                <w:highlight w:val="none"/>
              </w:rPr>
              <w:t>机物处理工艺处理效率表，一级活性炭吸附法处理效率为</w:t>
            </w:r>
            <w:r>
              <w:rPr>
                <w:rFonts w:hint="default" w:ascii="Times New Roman" w:hAnsi="Times New Roman" w:eastAsia="Times New Roman" w:cs="Times New Roman"/>
                <w:color w:val="auto"/>
                <w:highlight w:val="none"/>
              </w:rPr>
              <w:t>48%</w:t>
            </w:r>
            <w:r>
              <w:rPr>
                <w:rFonts w:hint="default" w:ascii="Times New Roman" w:hAnsi="Times New Roman" w:eastAsia="Times New Roman" w:cs="Times New Roman"/>
                <w:color w:val="auto"/>
                <w:spacing w:val="-29"/>
                <w:highlight w:val="none"/>
              </w:rPr>
              <w:t xml:space="preserve"> </w:t>
            </w:r>
            <w:r>
              <w:rPr>
                <w:rFonts w:hint="default"/>
                <w:color w:val="auto"/>
                <w:highlight w:val="none"/>
              </w:rPr>
              <w:t>，本项目采用二级</w:t>
            </w:r>
            <w:r>
              <w:rPr>
                <w:rFonts w:hint="default"/>
                <w:color w:val="auto"/>
                <w:spacing w:val="1"/>
                <w:highlight w:val="none"/>
              </w:rPr>
              <w:t>活性炭吸附</w:t>
            </w:r>
            <w:r>
              <w:rPr>
                <w:rFonts w:hint="eastAsia"/>
                <w:color w:val="auto"/>
                <w:spacing w:val="1"/>
                <w:highlight w:val="none"/>
                <w:lang w:val="en-US" w:eastAsia="zh-CN"/>
              </w:rPr>
              <w:t>工艺</w:t>
            </w:r>
            <w:r>
              <w:rPr>
                <w:rFonts w:hint="default"/>
                <w:color w:val="auto"/>
                <w:spacing w:val="1"/>
                <w:highlight w:val="none"/>
              </w:rPr>
              <w:t>，</w:t>
            </w:r>
            <w:r>
              <w:rPr>
                <w:rFonts w:hint="eastAsia"/>
                <w:color w:val="auto"/>
                <w:spacing w:val="1"/>
                <w:highlight w:val="none"/>
                <w:lang w:val="en-US" w:eastAsia="zh-CN"/>
              </w:rPr>
              <w:t>因此有机废气处理效率保守估计，取70%</w:t>
            </w:r>
            <w:r>
              <w:rPr>
                <w:rFonts w:hint="default"/>
                <w:color w:val="auto"/>
                <w:spacing w:val="1"/>
                <w:highlight w:val="none"/>
              </w:rPr>
              <w:t>。</w:t>
            </w:r>
          </w:p>
          <w:p w14:paraId="14A2B4C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参考《广东省工业源挥发性有机物减排量核算方法</w:t>
            </w:r>
            <w:r>
              <w:rPr>
                <w:rFonts w:hint="eastAsia"/>
                <w:color w:val="auto"/>
                <w:spacing w:val="2"/>
                <w:highlight w:val="none"/>
                <w:lang w:eastAsia="zh-CN"/>
              </w:rPr>
              <w:t>（</w:t>
            </w:r>
            <w:r>
              <w:rPr>
                <w:rFonts w:hint="eastAsia"/>
                <w:color w:val="auto"/>
                <w:spacing w:val="2"/>
                <w:highlight w:val="none"/>
                <w:lang w:val="en-US" w:eastAsia="zh-CN"/>
              </w:rPr>
              <w:t>2023年修订版</w:t>
            </w:r>
            <w:r>
              <w:rPr>
                <w:rFonts w:hint="default"/>
                <w:color w:val="auto"/>
                <w:spacing w:val="2"/>
                <w:highlight w:val="none"/>
              </w:rPr>
              <w:t>》</w:t>
            </w:r>
            <w:r>
              <w:rPr>
                <w:rFonts w:hint="eastAsia"/>
                <w:color w:val="auto"/>
                <w:spacing w:val="2"/>
                <w:highlight w:val="none"/>
                <w:lang w:eastAsia="zh-CN"/>
              </w:rPr>
              <w:t>，</w:t>
            </w:r>
            <w:r>
              <w:rPr>
                <w:rFonts w:hint="eastAsia"/>
                <w:color w:val="auto"/>
                <w:spacing w:val="2"/>
                <w:highlight w:val="none"/>
                <w:lang w:val="en-US" w:eastAsia="zh-CN"/>
              </w:rPr>
              <w:t>外部集气罩（VOCs逸散点控制风速不低于0.3m/s）收集效率为30%</w:t>
            </w:r>
            <w:r>
              <w:rPr>
                <w:rFonts w:hint="default"/>
                <w:color w:val="auto"/>
                <w:highlight w:val="none"/>
              </w:rPr>
              <w:t>，</w:t>
            </w:r>
            <w:r>
              <w:rPr>
                <w:rFonts w:hint="eastAsia"/>
                <w:color w:val="auto"/>
                <w:highlight w:val="none"/>
                <w:lang w:val="en-US" w:eastAsia="zh-CN"/>
              </w:rPr>
              <w:t>本项目废油液抽取工序在工位上方设置集气罩，因此集气罩</w:t>
            </w:r>
            <w:r>
              <w:rPr>
                <w:rFonts w:hint="default"/>
                <w:color w:val="auto"/>
                <w:spacing w:val="-1"/>
                <w:highlight w:val="none"/>
              </w:rPr>
              <w:t>收集效率以</w:t>
            </w:r>
            <w:r>
              <w:rPr>
                <w:rFonts w:hint="default"/>
                <w:color w:val="auto"/>
                <w:spacing w:val="-50"/>
                <w:highlight w:val="none"/>
              </w:rPr>
              <w:t xml:space="preserve"> </w:t>
            </w:r>
            <w:r>
              <w:rPr>
                <w:rFonts w:hint="eastAsia" w:eastAsia="宋体" w:cs="Times New Roman"/>
                <w:color w:val="auto"/>
                <w:spacing w:val="-1"/>
                <w:highlight w:val="none"/>
                <w:lang w:val="en-US" w:eastAsia="zh-CN"/>
              </w:rPr>
              <w:t>30</w:t>
            </w:r>
            <w:r>
              <w:rPr>
                <w:rFonts w:hint="default" w:ascii="Times New Roman" w:hAnsi="Times New Roman" w:eastAsia="Times New Roman" w:cs="Times New Roman"/>
                <w:color w:val="auto"/>
                <w:spacing w:val="-1"/>
                <w:highlight w:val="none"/>
              </w:rPr>
              <w:t>%</w:t>
            </w:r>
            <w:r>
              <w:rPr>
                <w:rFonts w:hint="default"/>
                <w:color w:val="auto"/>
                <w:spacing w:val="-1"/>
                <w:highlight w:val="none"/>
              </w:rPr>
              <w:t>计算。</w:t>
            </w:r>
          </w:p>
          <w:p w14:paraId="66284978">
            <w:pPr>
              <w:pStyle w:val="22"/>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88" w:firstLineChars="200"/>
              <w:jc w:val="both"/>
              <w:textAlignment w:val="auto"/>
              <w:outlineLvl w:val="9"/>
              <w:rPr>
                <w:rFonts w:hint="default" w:ascii="Times New Roman" w:hAnsi="Times New Roman" w:eastAsia="宋体" w:cs="宋体"/>
                <w:color w:val="auto"/>
                <w:spacing w:val="2"/>
                <w:kern w:val="2"/>
                <w:sz w:val="24"/>
                <w:szCs w:val="18"/>
                <w:highlight w:val="none"/>
                <w:lang w:val="en-US" w:eastAsia="en-US" w:bidi="ar-SA"/>
              </w:rPr>
            </w:pPr>
            <w:r>
              <w:rPr>
                <w:rFonts w:hint="default" w:ascii="Times New Roman" w:hAnsi="Times New Roman" w:eastAsia="宋体" w:cs="宋体"/>
                <w:color w:val="auto"/>
                <w:spacing w:val="2"/>
                <w:kern w:val="2"/>
                <w:sz w:val="24"/>
                <w:szCs w:val="18"/>
                <w:highlight w:val="none"/>
                <w:lang w:val="en-US" w:eastAsia="en-US" w:bidi="ar-SA"/>
              </w:rPr>
              <w:t>经计算，废油液抽取过程有机废气（以非甲烷总烃计）有组织排放量</w:t>
            </w:r>
            <w:r>
              <w:rPr>
                <w:rFonts w:hint="eastAsia" w:ascii="Times New Roman" w:hAnsi="Times New Roman" w:cs="宋体"/>
                <w:color w:val="auto"/>
                <w:spacing w:val="2"/>
                <w:kern w:val="2"/>
                <w:sz w:val="24"/>
                <w:szCs w:val="18"/>
                <w:highlight w:val="none"/>
                <w:lang w:val="en-US" w:eastAsia="zh-CN" w:bidi="ar-SA"/>
              </w:rPr>
              <w:t>约</w:t>
            </w:r>
            <w:r>
              <w:rPr>
                <w:rFonts w:hint="default" w:ascii="Times New Roman" w:hAnsi="Times New Roman" w:eastAsia="宋体" w:cs="宋体"/>
                <w:color w:val="auto"/>
                <w:spacing w:val="2"/>
                <w:kern w:val="2"/>
                <w:sz w:val="24"/>
                <w:szCs w:val="18"/>
                <w:highlight w:val="none"/>
                <w:lang w:val="en-US" w:eastAsia="en-US" w:bidi="ar-SA"/>
              </w:rPr>
              <w:t>为</w:t>
            </w:r>
            <w:r>
              <w:rPr>
                <w:rFonts w:hint="eastAsia" w:ascii="Times New Roman" w:hAnsi="Times New Roman" w:cs="宋体"/>
                <w:color w:val="auto"/>
                <w:spacing w:val="2"/>
                <w:kern w:val="2"/>
                <w:sz w:val="24"/>
                <w:szCs w:val="18"/>
                <w:highlight w:val="none"/>
                <w:lang w:val="en-US" w:eastAsia="zh-CN" w:bidi="ar-SA"/>
              </w:rPr>
              <w:t>0.04</w:t>
            </w:r>
            <w:r>
              <w:rPr>
                <w:rFonts w:hint="default" w:ascii="Times New Roman" w:hAnsi="Times New Roman" w:eastAsia="宋体" w:cs="宋体"/>
                <w:color w:val="auto"/>
                <w:spacing w:val="2"/>
                <w:kern w:val="2"/>
                <w:sz w:val="24"/>
                <w:szCs w:val="18"/>
                <w:highlight w:val="none"/>
                <w:lang w:val="en-US" w:eastAsia="en-US" w:bidi="ar-SA"/>
              </w:rPr>
              <w:t>t/a，排放速率为</w:t>
            </w:r>
            <w:r>
              <w:rPr>
                <w:rFonts w:hint="eastAsia" w:ascii="Times New Roman" w:hAnsi="Times New Roman" w:cs="宋体"/>
                <w:color w:val="auto"/>
                <w:spacing w:val="2"/>
                <w:kern w:val="2"/>
                <w:sz w:val="24"/>
                <w:szCs w:val="18"/>
                <w:highlight w:val="none"/>
                <w:lang w:val="en-US" w:eastAsia="zh-CN" w:bidi="ar-SA"/>
              </w:rPr>
              <w:t>0.02</w:t>
            </w:r>
            <w:r>
              <w:rPr>
                <w:rFonts w:hint="default" w:ascii="Times New Roman" w:hAnsi="Times New Roman" w:eastAsia="宋体" w:cs="宋体"/>
                <w:color w:val="auto"/>
                <w:spacing w:val="2"/>
                <w:kern w:val="2"/>
                <w:sz w:val="24"/>
                <w:szCs w:val="18"/>
                <w:highlight w:val="none"/>
                <w:lang w:val="en-US" w:eastAsia="en-US" w:bidi="ar-SA"/>
              </w:rPr>
              <w:t>kg/h；无组织排放量为</w:t>
            </w:r>
            <w:r>
              <w:rPr>
                <w:rFonts w:hint="eastAsia" w:ascii="Times New Roman" w:hAnsi="Times New Roman" w:cs="宋体"/>
                <w:color w:val="auto"/>
                <w:spacing w:val="2"/>
                <w:kern w:val="2"/>
                <w:sz w:val="24"/>
                <w:szCs w:val="18"/>
                <w:highlight w:val="none"/>
                <w:lang w:val="en-US" w:eastAsia="zh-CN" w:bidi="ar-SA"/>
              </w:rPr>
              <w:t>0.3052</w:t>
            </w:r>
            <w:r>
              <w:rPr>
                <w:rFonts w:hint="default" w:ascii="Times New Roman" w:hAnsi="Times New Roman" w:eastAsia="宋体" w:cs="宋体"/>
                <w:color w:val="auto"/>
                <w:spacing w:val="2"/>
                <w:kern w:val="2"/>
                <w:sz w:val="24"/>
                <w:szCs w:val="18"/>
                <w:highlight w:val="none"/>
                <w:lang w:val="en-US" w:eastAsia="en-US" w:bidi="ar-SA"/>
              </w:rPr>
              <w:t>t/a，排放速率为</w:t>
            </w:r>
            <w:r>
              <w:rPr>
                <w:rFonts w:hint="eastAsia" w:ascii="Times New Roman" w:hAnsi="Times New Roman" w:cs="宋体"/>
                <w:color w:val="auto"/>
                <w:spacing w:val="2"/>
                <w:kern w:val="2"/>
                <w:sz w:val="24"/>
                <w:szCs w:val="18"/>
                <w:highlight w:val="none"/>
                <w:lang w:val="en-US" w:eastAsia="zh-CN" w:bidi="ar-SA"/>
              </w:rPr>
              <w:t>0.127</w:t>
            </w:r>
            <w:r>
              <w:rPr>
                <w:rFonts w:hint="default" w:ascii="Times New Roman" w:hAnsi="Times New Roman" w:eastAsia="宋体" w:cs="宋体"/>
                <w:color w:val="auto"/>
                <w:spacing w:val="2"/>
                <w:kern w:val="2"/>
                <w:sz w:val="24"/>
                <w:szCs w:val="18"/>
                <w:highlight w:val="none"/>
                <w:lang w:val="en-US" w:eastAsia="en-US" w:bidi="ar-SA"/>
              </w:rPr>
              <w:t>kg/h。</w:t>
            </w:r>
          </w:p>
          <w:p w14:paraId="596D91A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eastAsia="宋体"/>
                <w:b/>
                <w:bCs/>
                <w:color w:val="auto"/>
                <w:highlight w:val="none"/>
                <w:lang w:val="en-US" w:eastAsia="zh-CN"/>
              </w:rPr>
            </w:pPr>
            <w:r>
              <w:rPr>
                <w:rFonts w:hint="eastAsia"/>
                <w:b/>
                <w:bCs/>
                <w:color w:val="auto"/>
                <w:spacing w:val="-3"/>
                <w:highlight w:val="none"/>
                <w:lang w:val="en-US" w:eastAsia="zh-CN"/>
              </w:rPr>
              <w:t xml:space="preserve">② </w:t>
            </w:r>
            <w:r>
              <w:rPr>
                <w:rFonts w:hint="default"/>
                <w:b/>
                <w:bCs/>
                <w:color w:val="auto"/>
                <w:spacing w:val="-3"/>
                <w:highlight w:val="none"/>
              </w:rPr>
              <w:t>制冷剂回收</w:t>
            </w:r>
            <w:r>
              <w:rPr>
                <w:rFonts w:hint="eastAsia"/>
                <w:b/>
                <w:bCs/>
                <w:color w:val="auto"/>
                <w:spacing w:val="-3"/>
                <w:highlight w:val="none"/>
                <w:lang w:val="en-US" w:eastAsia="zh-CN"/>
              </w:rPr>
              <w:t>工序废气</w:t>
            </w:r>
          </w:p>
          <w:p w14:paraId="0E41CE3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jc w:val="both"/>
              <w:textAlignment w:val="auto"/>
              <w:rPr>
                <w:rFonts w:hint="default"/>
                <w:b/>
                <w:bCs/>
                <w:color w:val="auto"/>
                <w:spacing w:val="-2"/>
                <w:sz w:val="21"/>
                <w:szCs w:val="21"/>
                <w:highlight w:val="none"/>
              </w:rPr>
            </w:pPr>
            <w:r>
              <w:rPr>
                <w:rFonts w:hint="default"/>
                <w:color w:val="auto"/>
                <w:spacing w:val="2"/>
                <w:highlight w:val="none"/>
              </w:rPr>
              <w:t>现状大部分汽车制冷剂已采用</w:t>
            </w:r>
            <w:r>
              <w:rPr>
                <w:rFonts w:hint="default"/>
                <w:color w:val="auto"/>
                <w:spacing w:val="-51"/>
                <w:highlight w:val="none"/>
              </w:rPr>
              <w:t xml:space="preserve"> </w:t>
            </w:r>
            <w:r>
              <w:rPr>
                <w:rFonts w:hint="default" w:ascii="Times New Roman" w:hAnsi="Times New Roman" w:eastAsia="Times New Roman" w:cs="Times New Roman"/>
                <w:color w:val="auto"/>
                <w:spacing w:val="2"/>
                <w:highlight w:val="none"/>
              </w:rPr>
              <w:t>R134a</w:t>
            </w:r>
            <w:r>
              <w:rPr>
                <w:rFonts w:hint="default"/>
                <w:color w:val="auto"/>
                <w:spacing w:val="2"/>
                <w:highlight w:val="none"/>
              </w:rPr>
              <w:t>，在制冷剂收集过程</w:t>
            </w:r>
            <w:r>
              <w:rPr>
                <w:rFonts w:hint="default"/>
                <w:color w:val="auto"/>
                <w:spacing w:val="1"/>
                <w:highlight w:val="none"/>
              </w:rPr>
              <w:t>中，遇到含有氟利</w:t>
            </w:r>
            <w:r>
              <w:rPr>
                <w:rFonts w:hint="default"/>
                <w:color w:val="auto"/>
                <w:spacing w:val="2"/>
                <w:highlight w:val="none"/>
              </w:rPr>
              <w:t>昂的制冷剂时，操作过程中会有氟利昂泄漏到空气中，本项目采用专用的冷媒回收装备，收集过程密闭进行，因此</w:t>
            </w:r>
            <w:r>
              <w:rPr>
                <w:rFonts w:hint="eastAsia"/>
                <w:color w:val="auto"/>
                <w:spacing w:val="2"/>
                <w:highlight w:val="none"/>
                <w:lang w:eastAsia="zh-CN"/>
              </w:rPr>
              <w:t>泄漏</w:t>
            </w:r>
            <w:r>
              <w:rPr>
                <w:rFonts w:hint="default"/>
                <w:color w:val="auto"/>
                <w:spacing w:val="2"/>
                <w:highlight w:val="none"/>
              </w:rPr>
              <w:t>出来的氟利昂量极少，经大气稀释扩散后对环境影响很小。建设单位采用专门的制冷剂回收装置对制冷剂进行回收，收集到密闭的容器中进行储存。使用时，将回收罐连接在回收装置的气阀上并把回收罐的液阀连接在制冷系统的液体一侧，当降低回收罐的压力时，回收装置会把</w:t>
            </w:r>
            <w:r>
              <w:rPr>
                <w:rFonts w:hint="default"/>
                <w:color w:val="auto"/>
                <w:spacing w:val="1"/>
                <w:highlight w:val="none"/>
              </w:rPr>
              <w:t>被回收设备中的液态制冷剂“拉</w:t>
            </w:r>
            <w:r>
              <w:rPr>
                <w:rFonts w:hint="default"/>
                <w:color w:val="auto"/>
                <w:spacing w:val="-83"/>
                <w:highlight w:val="none"/>
              </w:rPr>
              <w:t xml:space="preserve"> </w:t>
            </w:r>
            <w:r>
              <w:rPr>
                <w:rFonts w:hint="default"/>
                <w:color w:val="auto"/>
                <w:spacing w:val="1"/>
                <w:highlight w:val="none"/>
              </w:rPr>
              <w:t>”出来。从回收罐抽出蒸汽，又会</w:t>
            </w:r>
            <w:r>
              <w:rPr>
                <w:rFonts w:hint="eastAsia"/>
                <w:color w:val="auto"/>
                <w:spacing w:val="1"/>
                <w:highlight w:val="none"/>
                <w:lang w:val="en-US" w:eastAsia="zh-CN"/>
              </w:rPr>
              <w:t>借助</w:t>
            </w:r>
            <w:r>
              <w:rPr>
                <w:rFonts w:hint="default"/>
                <w:color w:val="auto"/>
                <w:spacing w:val="1"/>
                <w:highlight w:val="none"/>
              </w:rPr>
              <w:t>回收装置的</w:t>
            </w:r>
            <w:r>
              <w:rPr>
                <w:rFonts w:hint="default"/>
                <w:color w:val="auto"/>
                <w:spacing w:val="2"/>
                <w:highlight w:val="none"/>
              </w:rPr>
              <w:t>运行，把它排到（推回）被回收设备的蒸汽入口处。在制冷剂的收集过程中，仅在连接、储存过程中会有少量制冷剂通过管线、阀门等以无组织形式释放到环境空气中。制冷剂挥发量参照废油液挥发损失，即制冷剂回收过程中有机废气产生</w:t>
            </w:r>
            <w:r>
              <w:rPr>
                <w:rFonts w:hint="default"/>
                <w:color w:val="auto"/>
                <w:spacing w:val="-4"/>
                <w:highlight w:val="none"/>
              </w:rPr>
              <w:t>系数为</w:t>
            </w:r>
            <w:r>
              <w:rPr>
                <w:rFonts w:hint="default"/>
                <w:color w:val="auto"/>
                <w:spacing w:val="-51"/>
                <w:highlight w:val="none"/>
              </w:rPr>
              <w:t xml:space="preserve"> </w:t>
            </w:r>
            <w:r>
              <w:rPr>
                <w:rFonts w:hint="default" w:ascii="Times New Roman" w:hAnsi="Times New Roman" w:eastAsia="Times New Roman" w:cs="Times New Roman"/>
                <w:color w:val="auto"/>
                <w:spacing w:val="-4"/>
                <w:highlight w:val="none"/>
              </w:rPr>
              <w:t>0.18%</w:t>
            </w:r>
            <w:r>
              <w:rPr>
                <w:rFonts w:hint="default"/>
                <w:color w:val="auto"/>
                <w:spacing w:val="-4"/>
                <w:highlight w:val="none"/>
              </w:rPr>
              <w:t>。根据工程分析，本项目制冷剂回收过程中</w:t>
            </w:r>
            <w:r>
              <w:rPr>
                <w:rFonts w:hint="default"/>
                <w:color w:val="auto"/>
                <w:spacing w:val="-5"/>
                <w:highlight w:val="none"/>
              </w:rPr>
              <w:t>有机废气（以非甲烷总烃</w:t>
            </w:r>
            <w:r>
              <w:rPr>
                <w:rFonts w:hint="default"/>
                <w:color w:val="auto"/>
                <w:spacing w:val="-1"/>
                <w:highlight w:val="none"/>
              </w:rPr>
              <w:t>计）产生情况见下表。</w:t>
            </w:r>
          </w:p>
          <w:p w14:paraId="560309D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color w:val="auto"/>
                <w:spacing w:val="-1"/>
                <w:highlight w:val="none"/>
              </w:rPr>
            </w:pPr>
            <w:r>
              <w:rPr>
                <w:rFonts w:hint="default"/>
                <w:b/>
                <w:bCs/>
                <w:color w:val="auto"/>
                <w:spacing w:val="-2"/>
                <w:sz w:val="21"/>
                <w:szCs w:val="21"/>
                <w:highlight w:val="none"/>
              </w:rPr>
              <w:t>表</w:t>
            </w:r>
            <w:r>
              <w:rPr>
                <w:rFonts w:hint="eastAsia"/>
                <w:b/>
                <w:bCs/>
                <w:color w:val="auto"/>
                <w:spacing w:val="-2"/>
                <w:sz w:val="21"/>
                <w:szCs w:val="21"/>
                <w:highlight w:val="none"/>
                <w:lang w:val="en-US" w:eastAsia="zh-CN"/>
              </w:rPr>
              <w:t>4-2</w:t>
            </w:r>
            <w:r>
              <w:rPr>
                <w:rFonts w:hint="default" w:ascii="Times New Roman" w:hAnsi="Times New Roman" w:eastAsia="Times New Roman" w:cs="Times New Roman"/>
                <w:b/>
                <w:bCs/>
                <w:color w:val="auto"/>
                <w:spacing w:val="-2"/>
                <w:sz w:val="21"/>
                <w:szCs w:val="21"/>
                <w:highlight w:val="none"/>
              </w:rPr>
              <w:t xml:space="preserve">  </w:t>
            </w:r>
            <w:r>
              <w:rPr>
                <w:rFonts w:hint="eastAsia" w:eastAsia="宋体"/>
                <w:b/>
                <w:bCs/>
                <w:color w:val="auto"/>
                <w:spacing w:val="-2"/>
                <w:sz w:val="21"/>
                <w:szCs w:val="21"/>
                <w:highlight w:val="none"/>
                <w:lang w:val="en-US" w:eastAsia="zh-CN"/>
              </w:rPr>
              <w:t>废制冷剂</w:t>
            </w:r>
            <w:r>
              <w:rPr>
                <w:rFonts w:hint="default"/>
                <w:b/>
                <w:bCs/>
                <w:color w:val="auto"/>
                <w:spacing w:val="-2"/>
                <w:sz w:val="21"/>
                <w:szCs w:val="21"/>
                <w:highlight w:val="none"/>
              </w:rPr>
              <w:t>有机废气产生量取值情况表</w:t>
            </w:r>
          </w:p>
          <w:tbl>
            <w:tblPr>
              <w:tblStyle w:val="74"/>
              <w:tblW w:w="499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514"/>
              <w:gridCol w:w="1746"/>
              <w:gridCol w:w="1645"/>
              <w:gridCol w:w="1183"/>
              <w:gridCol w:w="1519"/>
              <w:gridCol w:w="1530"/>
            </w:tblGrid>
            <w:tr w14:paraId="58C026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28" w:type="pct"/>
                  <w:vAlign w:val="center"/>
                </w:tcPr>
                <w:p w14:paraId="2944E8A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车辆类型</w:t>
                  </w:r>
                </w:p>
              </w:tc>
              <w:tc>
                <w:tcPr>
                  <w:tcW w:w="955" w:type="pct"/>
                  <w:vAlign w:val="center"/>
                </w:tcPr>
                <w:p w14:paraId="43615FD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废制冷剂</w:t>
                  </w:r>
                </w:p>
                <w:p w14:paraId="3D12B5C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（t/a）</w:t>
                  </w:r>
                </w:p>
              </w:tc>
              <w:tc>
                <w:tcPr>
                  <w:tcW w:w="900" w:type="pct"/>
                  <w:vAlign w:val="center"/>
                </w:tcPr>
                <w:p w14:paraId="3C62E79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产生系数</w:t>
                  </w:r>
                </w:p>
                <w:p w14:paraId="00B218F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w:t>
                  </w:r>
                </w:p>
              </w:tc>
              <w:tc>
                <w:tcPr>
                  <w:tcW w:w="647" w:type="pct"/>
                  <w:vAlign w:val="center"/>
                </w:tcPr>
                <w:p w14:paraId="5D5E962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产生量</w:t>
                  </w:r>
                </w:p>
                <w:p w14:paraId="340C726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（t/a）</w:t>
                  </w:r>
                </w:p>
              </w:tc>
              <w:tc>
                <w:tcPr>
                  <w:tcW w:w="831" w:type="pct"/>
                  <w:vAlign w:val="center"/>
                </w:tcPr>
                <w:p w14:paraId="6BA79E5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产生速率</w:t>
                  </w:r>
                </w:p>
                <w:p w14:paraId="2478109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（kg/h）</w:t>
                  </w:r>
                </w:p>
              </w:tc>
              <w:tc>
                <w:tcPr>
                  <w:tcW w:w="837" w:type="pct"/>
                  <w:tcBorders>
                    <w:right w:val="single" w:color="000000" w:sz="6" w:space="0"/>
                  </w:tcBorders>
                  <w:vAlign w:val="center"/>
                </w:tcPr>
                <w:p w14:paraId="71FB0A3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工作时间</w:t>
                  </w:r>
                </w:p>
                <w:p w14:paraId="62E771E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（h/a）</w:t>
                  </w:r>
                </w:p>
              </w:tc>
            </w:tr>
            <w:tr w14:paraId="444DA8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28" w:type="pct"/>
                  <w:vAlign w:val="center"/>
                </w:tcPr>
                <w:p w14:paraId="5E13686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新能源汽车</w:t>
                  </w:r>
                </w:p>
              </w:tc>
              <w:tc>
                <w:tcPr>
                  <w:tcW w:w="955" w:type="pct"/>
                  <w:vAlign w:val="center"/>
                </w:tcPr>
                <w:p w14:paraId="544B3BB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2.75</w:t>
                  </w:r>
                </w:p>
              </w:tc>
              <w:tc>
                <w:tcPr>
                  <w:tcW w:w="900" w:type="pct"/>
                  <w:vAlign w:val="center"/>
                </w:tcPr>
                <w:p w14:paraId="334F624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0.18</w:t>
                  </w:r>
                </w:p>
              </w:tc>
              <w:tc>
                <w:tcPr>
                  <w:tcW w:w="647" w:type="pct"/>
                  <w:vAlign w:val="center"/>
                </w:tcPr>
                <w:p w14:paraId="45B9EF6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0.005</w:t>
                  </w:r>
                </w:p>
              </w:tc>
              <w:tc>
                <w:tcPr>
                  <w:tcW w:w="831" w:type="pct"/>
                  <w:vAlign w:val="center"/>
                </w:tcPr>
                <w:p w14:paraId="1921FA8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0.0025</w:t>
                  </w:r>
                </w:p>
              </w:tc>
              <w:tc>
                <w:tcPr>
                  <w:tcW w:w="837" w:type="pct"/>
                  <w:tcBorders>
                    <w:right w:val="single" w:color="000000" w:sz="6" w:space="0"/>
                  </w:tcBorders>
                  <w:vAlign w:val="center"/>
                </w:tcPr>
                <w:p w14:paraId="75BA7D3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2000</w:t>
                  </w:r>
                </w:p>
              </w:tc>
            </w:tr>
            <w:tr w14:paraId="5F045D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828" w:type="pct"/>
                  <w:vAlign w:val="center"/>
                </w:tcPr>
                <w:p w14:paraId="6C1DA06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燃油车</w:t>
                  </w:r>
                </w:p>
              </w:tc>
              <w:tc>
                <w:tcPr>
                  <w:tcW w:w="955" w:type="pct"/>
                  <w:vAlign w:val="center"/>
                </w:tcPr>
                <w:p w14:paraId="15DDCE1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8.5</w:t>
                  </w:r>
                </w:p>
              </w:tc>
              <w:tc>
                <w:tcPr>
                  <w:tcW w:w="900" w:type="pct"/>
                  <w:vAlign w:val="center"/>
                </w:tcPr>
                <w:p w14:paraId="5BF3D63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0.18</w:t>
                  </w:r>
                </w:p>
              </w:tc>
              <w:tc>
                <w:tcPr>
                  <w:tcW w:w="647" w:type="pct"/>
                  <w:vAlign w:val="center"/>
                </w:tcPr>
                <w:p w14:paraId="7BA18F6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0.015</w:t>
                  </w:r>
                </w:p>
              </w:tc>
              <w:tc>
                <w:tcPr>
                  <w:tcW w:w="831" w:type="pct"/>
                  <w:vAlign w:val="center"/>
                </w:tcPr>
                <w:p w14:paraId="643CB72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0.0075</w:t>
                  </w:r>
                </w:p>
              </w:tc>
              <w:tc>
                <w:tcPr>
                  <w:tcW w:w="837" w:type="pct"/>
                  <w:tcBorders>
                    <w:right w:val="single" w:color="000000" w:sz="6" w:space="0"/>
                  </w:tcBorders>
                  <w:vAlign w:val="center"/>
                </w:tcPr>
                <w:p w14:paraId="1647F25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2000</w:t>
                  </w:r>
                </w:p>
              </w:tc>
            </w:tr>
            <w:tr w14:paraId="26DE3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97" w:hRule="atLeast"/>
              </w:trPr>
              <w:tc>
                <w:tcPr>
                  <w:tcW w:w="2683" w:type="pct"/>
                  <w:gridSpan w:val="3"/>
                  <w:vAlign w:val="center"/>
                </w:tcPr>
                <w:p w14:paraId="296A040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合计</w:t>
                  </w:r>
                </w:p>
              </w:tc>
              <w:tc>
                <w:tcPr>
                  <w:tcW w:w="647" w:type="pct"/>
                  <w:vAlign w:val="center"/>
                </w:tcPr>
                <w:p w14:paraId="1491758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0.02</w:t>
                  </w:r>
                </w:p>
              </w:tc>
              <w:tc>
                <w:tcPr>
                  <w:tcW w:w="831" w:type="pct"/>
                  <w:vAlign w:val="center"/>
                </w:tcPr>
                <w:p w14:paraId="16C47C2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6"/>
                      <w:sz w:val="21"/>
                      <w:szCs w:val="21"/>
                      <w:highlight w:val="none"/>
                      <w:lang w:val="en-US" w:eastAsia="zh-CN"/>
                    </w:rPr>
                  </w:pPr>
                  <w:r>
                    <w:rPr>
                      <w:rFonts w:hint="eastAsia" w:cs="Times New Roman"/>
                      <w:color w:val="auto"/>
                      <w:spacing w:val="6"/>
                      <w:sz w:val="21"/>
                      <w:szCs w:val="21"/>
                      <w:highlight w:val="none"/>
                      <w:lang w:val="en-US" w:eastAsia="zh-CN"/>
                    </w:rPr>
                    <w:t>0.01</w:t>
                  </w:r>
                </w:p>
              </w:tc>
              <w:tc>
                <w:tcPr>
                  <w:tcW w:w="837" w:type="pct"/>
                  <w:tcBorders>
                    <w:right w:val="single" w:color="000000" w:sz="6" w:space="0"/>
                  </w:tcBorders>
                  <w:vAlign w:val="center"/>
                </w:tcPr>
                <w:p w14:paraId="3E0A058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cs="Times New Roman"/>
                      <w:color w:val="auto"/>
                      <w:spacing w:val="6"/>
                      <w:sz w:val="21"/>
                      <w:szCs w:val="21"/>
                      <w:highlight w:val="none"/>
                    </w:rPr>
                  </w:pPr>
                  <w:r>
                    <w:rPr>
                      <w:rFonts w:hint="default" w:ascii="Times New Roman" w:hAnsi="Times New Roman" w:cs="Times New Roman"/>
                      <w:color w:val="auto"/>
                      <w:spacing w:val="6"/>
                      <w:sz w:val="21"/>
                      <w:szCs w:val="21"/>
                      <w:highlight w:val="none"/>
                    </w:rPr>
                    <w:t>/</w:t>
                  </w:r>
                </w:p>
              </w:tc>
            </w:tr>
          </w:tbl>
          <w:p w14:paraId="4C2B954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本项目在</w:t>
            </w:r>
            <w:r>
              <w:rPr>
                <w:rFonts w:hint="eastAsia"/>
                <w:color w:val="auto"/>
                <w:spacing w:val="2"/>
                <w:highlight w:val="none"/>
                <w:lang w:val="en-US" w:eastAsia="zh-CN"/>
              </w:rPr>
              <w:t>制冷剂回收</w:t>
            </w:r>
            <w:r>
              <w:rPr>
                <w:rFonts w:hint="default"/>
                <w:color w:val="auto"/>
                <w:spacing w:val="2"/>
                <w:highlight w:val="none"/>
              </w:rPr>
              <w:t>工位上方设置集气罩，有机废气（以非甲烷总烃计）</w:t>
            </w:r>
            <w:r>
              <w:rPr>
                <w:rFonts w:hint="eastAsia"/>
                <w:color w:val="auto"/>
                <w:spacing w:val="2"/>
                <w:highlight w:val="none"/>
                <w:lang w:val="en-US" w:eastAsia="zh-CN"/>
              </w:rPr>
              <w:t>经集气罩</w:t>
            </w:r>
            <w:r>
              <w:rPr>
                <w:rFonts w:hint="default"/>
                <w:color w:val="auto"/>
                <w:spacing w:val="2"/>
                <w:highlight w:val="none"/>
              </w:rPr>
              <w:t>收</w:t>
            </w:r>
            <w:r>
              <w:rPr>
                <w:rFonts w:hint="default"/>
                <w:color w:val="auto"/>
                <w:spacing w:val="-2"/>
                <w:highlight w:val="none"/>
              </w:rPr>
              <w:t>集后经二级活性炭吸附箱</w:t>
            </w:r>
            <w:r>
              <w:rPr>
                <w:rFonts w:hint="default"/>
                <w:color w:val="auto"/>
                <w:spacing w:val="-3"/>
                <w:highlight w:val="none"/>
              </w:rPr>
              <w:t>处理，由</w:t>
            </w:r>
            <w:r>
              <w:rPr>
                <w:rFonts w:hint="default" w:ascii="Times New Roman" w:hAnsi="Times New Roman" w:eastAsia="Times New Roman" w:cs="Times New Roman"/>
                <w:color w:val="auto"/>
                <w:spacing w:val="-3"/>
                <w:highlight w:val="none"/>
              </w:rPr>
              <w:t>1</w:t>
            </w:r>
            <w:r>
              <w:rPr>
                <w:rFonts w:hint="default"/>
                <w:color w:val="auto"/>
                <w:spacing w:val="-3"/>
                <w:highlight w:val="none"/>
              </w:rPr>
              <w:t>根</w:t>
            </w:r>
            <w:r>
              <w:rPr>
                <w:rFonts w:hint="eastAsia" w:cs="Times New Roman"/>
                <w:color w:val="auto"/>
                <w:spacing w:val="-3"/>
                <w:highlight w:val="none"/>
                <w:lang w:eastAsia="zh-CN"/>
              </w:rPr>
              <w:t>24m</w:t>
            </w:r>
            <w:r>
              <w:rPr>
                <w:rFonts w:hint="default"/>
                <w:color w:val="auto"/>
                <w:spacing w:val="-3"/>
                <w:highlight w:val="none"/>
              </w:rPr>
              <w:t>高</w:t>
            </w:r>
            <w:r>
              <w:rPr>
                <w:rFonts w:hint="default"/>
                <w:color w:val="auto"/>
                <w:spacing w:val="-1"/>
                <w:highlight w:val="none"/>
              </w:rPr>
              <w:t>排气筒</w:t>
            </w:r>
            <w:r>
              <w:rPr>
                <w:rFonts w:hint="default" w:ascii="Times New Roman" w:hAnsi="Times New Roman" w:eastAsia="Times New Roman" w:cs="Times New Roman"/>
                <w:color w:val="auto"/>
                <w:spacing w:val="-1"/>
                <w:highlight w:val="none"/>
              </w:rPr>
              <w:t>DA001</w:t>
            </w:r>
            <w:r>
              <w:rPr>
                <w:rFonts w:hint="default"/>
                <w:color w:val="auto"/>
                <w:spacing w:val="-1"/>
                <w:highlight w:val="none"/>
              </w:rPr>
              <w:t>排放。</w:t>
            </w:r>
          </w:p>
          <w:p w14:paraId="34BA6D4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参考《工业源挥发性有机物通用源项产排污核算系数</w:t>
            </w:r>
            <w:r>
              <w:rPr>
                <w:rFonts w:hint="default"/>
                <w:color w:val="auto"/>
                <w:spacing w:val="1"/>
                <w:highlight w:val="none"/>
              </w:rPr>
              <w:t>手册》附表</w:t>
            </w:r>
            <w:r>
              <w:rPr>
                <w:rFonts w:hint="default"/>
                <w:color w:val="auto"/>
                <w:spacing w:val="-48"/>
                <w:highlight w:val="none"/>
              </w:rPr>
              <w:t xml:space="preserve"> </w:t>
            </w:r>
            <w:r>
              <w:rPr>
                <w:rFonts w:hint="default" w:ascii="Times New Roman" w:hAnsi="Times New Roman" w:eastAsia="Times New Roman" w:cs="Times New Roman"/>
                <w:color w:val="auto"/>
                <w:spacing w:val="1"/>
                <w:highlight w:val="none"/>
              </w:rPr>
              <w:t xml:space="preserve">9 </w:t>
            </w:r>
            <w:r>
              <w:rPr>
                <w:rFonts w:hint="default"/>
                <w:color w:val="auto"/>
                <w:spacing w:val="1"/>
                <w:highlight w:val="none"/>
              </w:rPr>
              <w:t>挥发性有</w:t>
            </w:r>
            <w:r>
              <w:rPr>
                <w:rFonts w:hint="default"/>
                <w:color w:val="auto"/>
                <w:highlight w:val="none"/>
              </w:rPr>
              <w:t>机物处理工艺处理效率表，一级活性炭吸附法处理效率为</w:t>
            </w:r>
            <w:r>
              <w:rPr>
                <w:rFonts w:hint="default" w:ascii="Times New Roman" w:hAnsi="Times New Roman" w:eastAsia="Times New Roman" w:cs="Times New Roman"/>
                <w:color w:val="auto"/>
                <w:highlight w:val="none"/>
              </w:rPr>
              <w:t>48%</w:t>
            </w:r>
            <w:r>
              <w:rPr>
                <w:rFonts w:hint="default" w:ascii="Times New Roman" w:hAnsi="Times New Roman" w:eastAsia="Times New Roman" w:cs="Times New Roman"/>
                <w:color w:val="auto"/>
                <w:spacing w:val="-29"/>
                <w:highlight w:val="none"/>
              </w:rPr>
              <w:t xml:space="preserve"> </w:t>
            </w:r>
            <w:r>
              <w:rPr>
                <w:rFonts w:hint="default"/>
                <w:color w:val="auto"/>
                <w:highlight w:val="none"/>
              </w:rPr>
              <w:t>，本项目采用二级</w:t>
            </w:r>
            <w:r>
              <w:rPr>
                <w:rFonts w:hint="default"/>
                <w:color w:val="auto"/>
                <w:spacing w:val="1"/>
                <w:highlight w:val="none"/>
              </w:rPr>
              <w:t>活性炭吸附</w:t>
            </w:r>
            <w:r>
              <w:rPr>
                <w:rFonts w:hint="eastAsia"/>
                <w:color w:val="auto"/>
                <w:spacing w:val="1"/>
                <w:highlight w:val="none"/>
                <w:lang w:val="en-US" w:eastAsia="zh-CN"/>
              </w:rPr>
              <w:t>工艺</w:t>
            </w:r>
            <w:r>
              <w:rPr>
                <w:rFonts w:hint="default"/>
                <w:color w:val="auto"/>
                <w:spacing w:val="1"/>
                <w:highlight w:val="none"/>
              </w:rPr>
              <w:t>，</w:t>
            </w:r>
            <w:r>
              <w:rPr>
                <w:rFonts w:hint="eastAsia"/>
                <w:color w:val="auto"/>
                <w:spacing w:val="1"/>
                <w:highlight w:val="none"/>
                <w:lang w:val="en-US" w:eastAsia="zh-CN"/>
              </w:rPr>
              <w:t>因此有机废气处理效率保守估计，取70%</w:t>
            </w:r>
            <w:r>
              <w:rPr>
                <w:rFonts w:hint="default"/>
                <w:color w:val="auto"/>
                <w:spacing w:val="1"/>
                <w:highlight w:val="none"/>
              </w:rPr>
              <w:t>。</w:t>
            </w:r>
          </w:p>
          <w:p w14:paraId="1BEF289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highlight w:val="none"/>
              </w:rPr>
            </w:pPr>
            <w:r>
              <w:rPr>
                <w:rFonts w:hint="default"/>
                <w:color w:val="auto"/>
                <w:spacing w:val="2"/>
                <w:highlight w:val="none"/>
              </w:rPr>
              <w:t>参考《广东省工业源挥发性有机物减排量核算方法</w:t>
            </w:r>
            <w:r>
              <w:rPr>
                <w:rFonts w:hint="eastAsia"/>
                <w:color w:val="auto"/>
                <w:spacing w:val="2"/>
                <w:highlight w:val="none"/>
                <w:lang w:eastAsia="zh-CN"/>
              </w:rPr>
              <w:t>（</w:t>
            </w:r>
            <w:r>
              <w:rPr>
                <w:rFonts w:hint="eastAsia"/>
                <w:color w:val="auto"/>
                <w:spacing w:val="2"/>
                <w:highlight w:val="none"/>
                <w:lang w:val="en-US" w:eastAsia="zh-CN"/>
              </w:rPr>
              <w:t>2023年修订版</w:t>
            </w:r>
            <w:r>
              <w:rPr>
                <w:rFonts w:hint="default"/>
                <w:color w:val="auto"/>
                <w:spacing w:val="2"/>
                <w:highlight w:val="none"/>
              </w:rPr>
              <w:t>》</w:t>
            </w:r>
            <w:r>
              <w:rPr>
                <w:rFonts w:hint="eastAsia"/>
                <w:color w:val="auto"/>
                <w:spacing w:val="2"/>
                <w:highlight w:val="none"/>
                <w:lang w:eastAsia="zh-CN"/>
              </w:rPr>
              <w:t>，</w:t>
            </w:r>
            <w:r>
              <w:rPr>
                <w:rFonts w:hint="eastAsia"/>
                <w:color w:val="auto"/>
                <w:spacing w:val="2"/>
                <w:highlight w:val="none"/>
                <w:lang w:val="en-US" w:eastAsia="zh-CN"/>
              </w:rPr>
              <w:t>外部集气罩（VOCs逸散点控制风速不低于0.3m/s）收集效率为30%</w:t>
            </w:r>
            <w:r>
              <w:rPr>
                <w:rFonts w:hint="default"/>
                <w:color w:val="auto"/>
                <w:highlight w:val="none"/>
              </w:rPr>
              <w:t>，</w:t>
            </w:r>
            <w:r>
              <w:rPr>
                <w:rFonts w:hint="eastAsia"/>
                <w:color w:val="auto"/>
                <w:highlight w:val="none"/>
                <w:lang w:val="en-US" w:eastAsia="zh-CN"/>
              </w:rPr>
              <w:t>本项目废油液抽取工序在工位上方设置集气罩，因此集气罩</w:t>
            </w:r>
            <w:r>
              <w:rPr>
                <w:rFonts w:hint="default"/>
                <w:color w:val="auto"/>
                <w:spacing w:val="-1"/>
                <w:highlight w:val="none"/>
              </w:rPr>
              <w:t>收集效率以</w:t>
            </w:r>
            <w:r>
              <w:rPr>
                <w:rFonts w:hint="default"/>
                <w:color w:val="auto"/>
                <w:spacing w:val="-50"/>
                <w:highlight w:val="none"/>
              </w:rPr>
              <w:t xml:space="preserve"> </w:t>
            </w:r>
            <w:r>
              <w:rPr>
                <w:rFonts w:hint="eastAsia" w:eastAsia="宋体" w:cs="Times New Roman"/>
                <w:color w:val="auto"/>
                <w:spacing w:val="-1"/>
                <w:highlight w:val="none"/>
                <w:lang w:val="en-US" w:eastAsia="zh-CN"/>
              </w:rPr>
              <w:t>30</w:t>
            </w:r>
            <w:r>
              <w:rPr>
                <w:rFonts w:hint="default" w:ascii="Times New Roman" w:hAnsi="Times New Roman" w:eastAsia="Times New Roman" w:cs="Times New Roman"/>
                <w:color w:val="auto"/>
                <w:spacing w:val="-1"/>
                <w:highlight w:val="none"/>
              </w:rPr>
              <w:t>%</w:t>
            </w:r>
            <w:r>
              <w:rPr>
                <w:rFonts w:hint="default"/>
                <w:color w:val="auto"/>
                <w:spacing w:val="-1"/>
                <w:highlight w:val="none"/>
              </w:rPr>
              <w:t>计算。</w:t>
            </w:r>
          </w:p>
          <w:p w14:paraId="01D5A8EB">
            <w:pPr>
              <w:pStyle w:val="73"/>
              <w:keepNext w:val="0"/>
              <w:keepLines w:val="0"/>
              <w:suppressLineNumbers w:val="0"/>
              <w:spacing w:before="2" w:beforeAutospacing="0" w:after="0" w:afterAutospacing="0" w:line="359" w:lineRule="auto"/>
              <w:ind w:left="108" w:right="21" w:firstLine="482"/>
              <w:rPr>
                <w:rFonts w:hint="default"/>
                <w:color w:val="auto"/>
                <w:spacing w:val="-4"/>
                <w:highlight w:val="none"/>
              </w:rPr>
            </w:pPr>
            <w:r>
              <w:rPr>
                <w:rFonts w:hint="default"/>
                <w:color w:val="auto"/>
                <w:spacing w:val="13"/>
                <w:highlight w:val="none"/>
              </w:rPr>
              <w:t>经计算，制冷剂回收过程有机废气（</w:t>
            </w:r>
            <w:r>
              <w:rPr>
                <w:rFonts w:hint="default"/>
                <w:color w:val="auto"/>
                <w:spacing w:val="-23"/>
                <w:highlight w:val="none"/>
              </w:rPr>
              <w:t xml:space="preserve"> </w:t>
            </w:r>
            <w:r>
              <w:rPr>
                <w:rFonts w:hint="default"/>
                <w:color w:val="auto"/>
                <w:spacing w:val="13"/>
                <w:highlight w:val="none"/>
              </w:rPr>
              <w:t>以非甲烷总烃计）</w:t>
            </w:r>
            <w:r>
              <w:rPr>
                <w:rFonts w:hint="default"/>
                <w:color w:val="auto"/>
                <w:spacing w:val="-71"/>
                <w:highlight w:val="none"/>
              </w:rPr>
              <w:t xml:space="preserve"> </w:t>
            </w:r>
            <w:r>
              <w:rPr>
                <w:rFonts w:hint="default"/>
                <w:color w:val="auto"/>
                <w:spacing w:val="13"/>
                <w:highlight w:val="none"/>
              </w:rPr>
              <w:t>有组织排放量为</w:t>
            </w:r>
            <w:r>
              <w:rPr>
                <w:rFonts w:hint="eastAsia" w:cs="Times New Roman"/>
                <w:color w:val="auto"/>
                <w:spacing w:val="-3"/>
                <w:highlight w:val="none"/>
                <w:lang w:val="en-US" w:eastAsia="zh-CN"/>
              </w:rPr>
              <w:t>0.0018</w:t>
            </w:r>
            <w:r>
              <w:rPr>
                <w:rFonts w:hint="default" w:ascii="Times New Roman" w:hAnsi="Times New Roman" w:eastAsia="Times New Roman" w:cs="Times New Roman"/>
                <w:color w:val="auto"/>
                <w:spacing w:val="-3"/>
                <w:highlight w:val="none"/>
              </w:rPr>
              <w:t>t/a</w:t>
            </w:r>
            <w:r>
              <w:rPr>
                <w:rFonts w:hint="default"/>
                <w:color w:val="auto"/>
                <w:spacing w:val="-3"/>
                <w:highlight w:val="none"/>
              </w:rPr>
              <w:t>，排放速率为</w:t>
            </w:r>
            <w:r>
              <w:rPr>
                <w:rFonts w:hint="eastAsia"/>
                <w:color w:val="auto"/>
                <w:spacing w:val="-3"/>
                <w:highlight w:val="none"/>
                <w:lang w:val="en-US" w:eastAsia="zh-CN"/>
              </w:rPr>
              <w:t>0.0009</w:t>
            </w:r>
            <w:r>
              <w:rPr>
                <w:rFonts w:hint="default" w:ascii="Times New Roman" w:hAnsi="Times New Roman" w:eastAsia="Times New Roman" w:cs="Times New Roman"/>
                <w:color w:val="auto"/>
                <w:spacing w:val="-3"/>
                <w:highlight w:val="none"/>
              </w:rPr>
              <w:t>kg/h</w:t>
            </w:r>
            <w:r>
              <w:rPr>
                <w:rFonts w:hint="default"/>
                <w:color w:val="auto"/>
                <w:spacing w:val="-3"/>
                <w:highlight w:val="none"/>
              </w:rPr>
              <w:t>；无组织排放量为</w:t>
            </w:r>
            <w:r>
              <w:rPr>
                <w:rFonts w:hint="eastAsia"/>
                <w:color w:val="auto"/>
                <w:spacing w:val="-3"/>
                <w:highlight w:val="none"/>
                <w:lang w:val="en-US" w:eastAsia="zh-CN"/>
              </w:rPr>
              <w:t>0.014</w:t>
            </w:r>
            <w:r>
              <w:rPr>
                <w:rFonts w:hint="default" w:ascii="Times New Roman" w:hAnsi="Times New Roman" w:eastAsia="Times New Roman" w:cs="Times New Roman"/>
                <w:color w:val="auto"/>
                <w:spacing w:val="-4"/>
                <w:highlight w:val="none"/>
              </w:rPr>
              <w:t>t/a</w:t>
            </w:r>
            <w:r>
              <w:rPr>
                <w:rFonts w:hint="default"/>
                <w:color w:val="auto"/>
                <w:spacing w:val="-4"/>
                <w:highlight w:val="none"/>
              </w:rPr>
              <w:t>，排放速率为</w:t>
            </w:r>
            <w:r>
              <w:rPr>
                <w:rFonts w:hint="default"/>
                <w:color w:val="auto"/>
                <w:spacing w:val="-51"/>
                <w:highlight w:val="none"/>
              </w:rPr>
              <w:t xml:space="preserve"> </w:t>
            </w:r>
            <w:r>
              <w:rPr>
                <w:rFonts w:hint="default" w:ascii="Times New Roman" w:hAnsi="Times New Roman" w:eastAsia="Times New Roman" w:cs="Times New Roman"/>
                <w:color w:val="auto"/>
                <w:spacing w:val="-4"/>
                <w:highlight w:val="none"/>
              </w:rPr>
              <w:t>0.00</w:t>
            </w:r>
            <w:r>
              <w:rPr>
                <w:rFonts w:hint="eastAsia" w:eastAsia="宋体" w:cs="Times New Roman"/>
                <w:color w:val="auto"/>
                <w:spacing w:val="-4"/>
                <w:highlight w:val="none"/>
                <w:lang w:val="en-US" w:eastAsia="zh-CN"/>
              </w:rPr>
              <w:t>7</w:t>
            </w:r>
            <w:r>
              <w:rPr>
                <w:rFonts w:hint="default" w:ascii="Times New Roman" w:hAnsi="Times New Roman" w:eastAsia="Times New Roman" w:cs="Times New Roman"/>
                <w:color w:val="auto"/>
                <w:spacing w:val="-4"/>
                <w:highlight w:val="none"/>
              </w:rPr>
              <w:t>kg/h</w:t>
            </w:r>
            <w:r>
              <w:rPr>
                <w:rFonts w:hint="default"/>
                <w:color w:val="auto"/>
                <w:spacing w:val="-4"/>
                <w:highlight w:val="none"/>
              </w:rPr>
              <w:t>。</w:t>
            </w:r>
          </w:p>
          <w:p w14:paraId="3B71C6D9">
            <w:pPr>
              <w:pStyle w:val="73"/>
              <w:keepNext w:val="0"/>
              <w:keepLines w:val="0"/>
              <w:suppressLineNumbers w:val="0"/>
              <w:spacing w:before="2" w:beforeAutospacing="0" w:after="0" w:afterAutospacing="0" w:line="359" w:lineRule="auto"/>
              <w:ind w:left="108" w:right="21" w:firstLine="482"/>
              <w:rPr>
                <w:rFonts w:hint="default"/>
                <w:b/>
                <w:bCs/>
                <w:color w:val="auto"/>
                <w:highlight w:val="none"/>
              </w:rPr>
            </w:pPr>
            <w:r>
              <w:rPr>
                <w:rFonts w:hint="eastAsia"/>
                <w:b/>
                <w:bCs/>
                <w:color w:val="auto"/>
                <w:spacing w:val="-4"/>
                <w:highlight w:val="none"/>
                <w:lang w:val="en-US" w:eastAsia="zh-CN"/>
              </w:rPr>
              <w:t>③危废库贮存废气</w:t>
            </w:r>
          </w:p>
          <w:p w14:paraId="496F7F9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lang w:val="en-US" w:eastAsia="en-US"/>
              </w:rPr>
            </w:pPr>
            <w:r>
              <w:rPr>
                <w:rFonts w:hint="default" w:ascii="Times New Roman" w:hAnsi="Times New Roman" w:eastAsia="宋体" w:cs="宋体"/>
                <w:color w:val="auto"/>
                <w:spacing w:val="2"/>
                <w:highlight w:val="none"/>
              </w:rPr>
              <w:t>本项目废油液、制冷剂等在危废贮存库内暂存过程中会逸散少量的有机废气，以非甲烷总烃计算，按照《危险废物贮存污染控制标准》（GB18597-2023），根据危险废物的不同状态暂存于标准容器内并加盖等措施，以减少有机废气挥发。</w:t>
            </w:r>
          </w:p>
          <w:p w14:paraId="2D21A9D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eastAsia" w:ascii="Times New Roman" w:hAnsi="Times New Roman" w:eastAsia="宋体" w:cs="宋体"/>
                <w:color w:val="auto"/>
                <w:spacing w:val="2"/>
                <w:highlight w:val="none"/>
                <w:lang w:val="en-US" w:eastAsia="zh-CN"/>
              </w:rPr>
            </w:pPr>
            <w:r>
              <w:rPr>
                <w:rFonts w:hint="default" w:ascii="Times New Roman" w:hAnsi="Times New Roman" w:eastAsia="宋体" w:cs="宋体"/>
                <w:color w:val="auto"/>
                <w:spacing w:val="2"/>
                <w:highlight w:val="none"/>
              </w:rPr>
              <w:t>根据工程分析，</w:t>
            </w:r>
            <w:r>
              <w:rPr>
                <w:rFonts w:hint="eastAsia" w:ascii="Times New Roman" w:hAnsi="Times New Roman" w:eastAsia="宋体" w:cs="宋体"/>
                <w:color w:val="auto"/>
                <w:spacing w:val="2"/>
                <w:highlight w:val="none"/>
                <w:lang w:val="en-US" w:eastAsia="zh-CN"/>
              </w:rPr>
              <w:t>本项目危废贮存库中可以产生VOCs的物质为废油液和制冷剂，其中</w:t>
            </w:r>
            <w:r>
              <w:rPr>
                <w:rFonts w:hint="default" w:ascii="Times New Roman" w:hAnsi="Times New Roman" w:eastAsia="宋体" w:cs="宋体"/>
                <w:color w:val="auto"/>
                <w:spacing w:val="2"/>
                <w:highlight w:val="none"/>
              </w:rPr>
              <w:t>废油液</w:t>
            </w:r>
            <w:r>
              <w:rPr>
                <w:rFonts w:hint="eastAsia" w:ascii="Times New Roman" w:hAnsi="Times New Roman" w:eastAsia="宋体" w:cs="宋体"/>
                <w:color w:val="auto"/>
                <w:spacing w:val="2"/>
                <w:highlight w:val="none"/>
                <w:lang w:val="en-US" w:eastAsia="zh-CN"/>
              </w:rPr>
              <w:t>最大</w:t>
            </w:r>
            <w:r>
              <w:rPr>
                <w:rFonts w:hint="default" w:ascii="Times New Roman" w:hAnsi="Times New Roman" w:eastAsia="宋体" w:cs="宋体"/>
                <w:color w:val="auto"/>
                <w:spacing w:val="2"/>
                <w:highlight w:val="none"/>
              </w:rPr>
              <w:t>存放量为</w:t>
            </w:r>
            <w:r>
              <w:rPr>
                <w:rFonts w:hint="eastAsia" w:cs="宋体"/>
                <w:color w:val="auto"/>
                <w:spacing w:val="2"/>
                <w:highlight w:val="none"/>
                <w:lang w:val="en-US" w:eastAsia="zh-CN"/>
              </w:rPr>
              <w:t>105.4</w:t>
            </w:r>
            <w:r>
              <w:rPr>
                <w:rFonts w:hint="default" w:ascii="Times New Roman" w:hAnsi="Times New Roman" w:eastAsia="宋体" w:cs="宋体"/>
                <w:color w:val="auto"/>
                <w:spacing w:val="2"/>
                <w:highlight w:val="none"/>
              </w:rPr>
              <w:t>t/a，废制冷剂</w:t>
            </w:r>
            <w:r>
              <w:rPr>
                <w:rFonts w:hint="eastAsia" w:ascii="Times New Roman" w:hAnsi="Times New Roman" w:eastAsia="宋体" w:cs="宋体"/>
                <w:color w:val="auto"/>
                <w:spacing w:val="2"/>
                <w:highlight w:val="none"/>
                <w:lang w:val="en-US" w:eastAsia="zh-CN"/>
              </w:rPr>
              <w:t>最大</w:t>
            </w:r>
            <w:r>
              <w:rPr>
                <w:rFonts w:hint="default" w:ascii="Times New Roman" w:hAnsi="Times New Roman" w:eastAsia="宋体" w:cs="宋体"/>
                <w:color w:val="auto"/>
                <w:spacing w:val="2"/>
                <w:highlight w:val="none"/>
              </w:rPr>
              <w:t>存放量为</w:t>
            </w:r>
            <w:r>
              <w:rPr>
                <w:rFonts w:hint="eastAsia" w:cs="宋体"/>
                <w:color w:val="auto"/>
                <w:spacing w:val="2"/>
                <w:highlight w:val="none"/>
                <w:lang w:val="en-US" w:eastAsia="zh-CN"/>
              </w:rPr>
              <w:t>11.25</w:t>
            </w:r>
            <w:r>
              <w:rPr>
                <w:rFonts w:hint="default" w:ascii="Times New Roman" w:hAnsi="Times New Roman" w:eastAsia="宋体" w:cs="宋体"/>
                <w:color w:val="auto"/>
                <w:spacing w:val="2"/>
                <w:highlight w:val="none"/>
              </w:rPr>
              <w:t>t/a。</w:t>
            </w:r>
            <w:r>
              <w:rPr>
                <w:rFonts w:hint="eastAsia" w:ascii="Times New Roman" w:hAnsi="Times New Roman" w:eastAsia="宋体" w:cs="宋体"/>
                <w:color w:val="auto"/>
                <w:spacing w:val="2"/>
                <w:highlight w:val="none"/>
                <w:lang w:val="en-US" w:eastAsia="zh-CN"/>
              </w:rPr>
              <w:t>由于</w:t>
            </w:r>
            <w:r>
              <w:rPr>
                <w:rFonts w:hint="default" w:ascii="Times New Roman" w:hAnsi="Times New Roman" w:eastAsia="宋体" w:cs="宋体"/>
                <w:color w:val="auto"/>
                <w:spacing w:val="2"/>
                <w:highlight w:val="none"/>
              </w:rPr>
              <w:t>《排污许可证申请与核发技术规范 工业固体废物和危险废物治理》（HJ1033-2019）中无许可排放量指导算法，</w:t>
            </w:r>
            <w:r>
              <w:rPr>
                <w:rFonts w:hint="eastAsia" w:ascii="Times New Roman" w:hAnsi="Times New Roman" w:eastAsia="宋体" w:cs="宋体"/>
                <w:color w:val="auto"/>
                <w:spacing w:val="2"/>
                <w:highlight w:val="none"/>
                <w:lang w:val="en-US" w:eastAsia="zh-CN"/>
              </w:rPr>
              <w:t>因此</w:t>
            </w:r>
            <w:r>
              <w:rPr>
                <w:rFonts w:hint="eastAsia" w:cs="宋体"/>
                <w:color w:val="auto"/>
                <w:spacing w:val="2"/>
                <w:highlight w:val="none"/>
                <w:lang w:val="en-US" w:eastAsia="zh-CN"/>
              </w:rPr>
              <w:t>本评价</w:t>
            </w:r>
            <w:r>
              <w:rPr>
                <w:rFonts w:hint="default" w:ascii="Times New Roman" w:hAnsi="Times New Roman" w:eastAsia="宋体" w:cs="宋体"/>
                <w:color w:val="auto"/>
                <w:spacing w:val="2"/>
                <w:highlight w:val="none"/>
              </w:rPr>
              <w:t>根据行业相关文献资料</w:t>
            </w:r>
            <w:r>
              <w:rPr>
                <w:rFonts w:hint="eastAsia" w:ascii="Times New Roman" w:hAnsi="Times New Roman" w:eastAsia="宋体" w:cs="宋体"/>
                <w:color w:val="auto"/>
                <w:spacing w:val="2"/>
                <w:highlight w:val="none"/>
                <w:lang w:eastAsia="zh-CN"/>
              </w:rPr>
              <w:t>，</w:t>
            </w:r>
            <w:r>
              <w:rPr>
                <w:rFonts w:hint="eastAsia" w:ascii="Times New Roman" w:hAnsi="Times New Roman" w:eastAsia="宋体" w:cs="宋体"/>
                <w:color w:val="auto"/>
                <w:spacing w:val="2"/>
                <w:highlight w:val="none"/>
                <w:lang w:val="en-US" w:eastAsia="zh-CN"/>
              </w:rPr>
              <w:t>采取系数法计算危废库中VOCs产生量，根据</w:t>
            </w:r>
            <w:r>
              <w:rPr>
                <w:rFonts w:hint="default"/>
                <w:color w:val="auto"/>
                <w:spacing w:val="2"/>
                <w:highlight w:val="none"/>
              </w:rPr>
              <w:t>《大气环境影响评价实用技</w:t>
            </w:r>
            <w:r>
              <w:rPr>
                <w:rFonts w:hint="default"/>
                <w:color w:val="auto"/>
                <w:spacing w:val="1"/>
                <w:highlight w:val="none"/>
              </w:rPr>
              <w:t>术》（王栋成主编</w:t>
            </w:r>
            <w:r>
              <w:rPr>
                <w:rFonts w:hint="default"/>
                <w:color w:val="auto"/>
                <w:spacing w:val="9"/>
                <w:highlight w:val="none"/>
              </w:rPr>
              <w:t>），</w:t>
            </w:r>
            <w:r>
              <w:rPr>
                <w:rFonts w:hint="default"/>
                <w:color w:val="auto"/>
                <w:spacing w:val="1"/>
                <w:highlight w:val="none"/>
              </w:rPr>
              <w:t>无组织排放比</w:t>
            </w:r>
            <w:r>
              <w:rPr>
                <w:rFonts w:hint="default"/>
                <w:color w:val="auto"/>
                <w:spacing w:val="-2"/>
                <w:highlight w:val="none"/>
              </w:rPr>
              <w:t>例为</w:t>
            </w:r>
            <w:r>
              <w:rPr>
                <w:rFonts w:hint="default"/>
                <w:color w:val="auto"/>
                <w:spacing w:val="-45"/>
                <w:highlight w:val="none"/>
              </w:rPr>
              <w:t xml:space="preserve"> </w:t>
            </w:r>
            <w:r>
              <w:rPr>
                <w:rFonts w:hint="default" w:ascii="Times New Roman" w:hAnsi="Times New Roman" w:eastAsia="Times New Roman" w:cs="Times New Roman"/>
                <w:color w:val="auto"/>
                <w:spacing w:val="-2"/>
                <w:highlight w:val="none"/>
              </w:rPr>
              <w:t>0.05‰~0.5‰</w:t>
            </w:r>
            <w:r>
              <w:rPr>
                <w:rFonts w:hint="eastAsia" w:ascii="Times New Roman" w:hAnsi="Times New Roman" w:eastAsia="宋体" w:cs="Times New Roman"/>
                <w:color w:val="auto"/>
                <w:spacing w:val="-2"/>
                <w:highlight w:val="none"/>
                <w:lang w:eastAsia="zh-CN"/>
              </w:rPr>
              <w:t>。</w:t>
            </w:r>
          </w:p>
          <w:p w14:paraId="76937BB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eastAsia" w:ascii="Times New Roman" w:hAnsi="Times New Roman" w:eastAsia="宋体" w:cs="宋体"/>
                <w:color w:val="auto"/>
                <w:spacing w:val="2"/>
                <w:highlight w:val="none"/>
                <w:lang w:val="en-US" w:eastAsia="zh-CN"/>
              </w:rPr>
            </w:pPr>
            <w:r>
              <w:rPr>
                <w:rFonts w:hint="default"/>
                <w:color w:val="auto"/>
                <w:spacing w:val="2"/>
                <w:highlight w:val="none"/>
              </w:rPr>
              <w:t>本项目</w:t>
            </w:r>
            <w:r>
              <w:rPr>
                <w:rFonts w:hint="eastAsia"/>
                <w:color w:val="auto"/>
                <w:spacing w:val="2"/>
                <w:highlight w:val="none"/>
                <w:lang w:val="en-US" w:eastAsia="zh-CN"/>
              </w:rPr>
              <w:t>废油液和废制冷剂在危废库中</w:t>
            </w:r>
            <w:r>
              <w:rPr>
                <w:rFonts w:hint="default"/>
                <w:color w:val="auto"/>
                <w:spacing w:val="2"/>
                <w:highlight w:val="none"/>
              </w:rPr>
              <w:t>分类密封储存，不存在倒罐、重新分装等情况。因此，正常储存过程中产生的有机废气很少。本次评价</w:t>
            </w:r>
            <w:r>
              <w:rPr>
                <w:rFonts w:hint="eastAsia"/>
                <w:color w:val="auto"/>
                <w:spacing w:val="2"/>
                <w:highlight w:val="none"/>
                <w:lang w:val="en-US" w:eastAsia="zh-CN"/>
              </w:rPr>
              <w:t>按最不利情况考虑，</w:t>
            </w:r>
            <w:r>
              <w:rPr>
                <w:rFonts w:hint="default"/>
                <w:color w:val="auto"/>
                <w:spacing w:val="2"/>
                <w:highlight w:val="none"/>
              </w:rPr>
              <w:t>危废贮存库废气无组织</w:t>
            </w:r>
            <w:r>
              <w:rPr>
                <w:rFonts w:hint="default"/>
                <w:color w:val="auto"/>
                <w:spacing w:val="-2"/>
                <w:highlight w:val="none"/>
              </w:rPr>
              <w:t>排放按</w:t>
            </w:r>
            <w:r>
              <w:rPr>
                <w:rFonts w:hint="default"/>
                <w:color w:val="auto"/>
                <w:spacing w:val="-51"/>
                <w:highlight w:val="none"/>
              </w:rPr>
              <w:t xml:space="preserve"> </w:t>
            </w:r>
            <w:r>
              <w:rPr>
                <w:rFonts w:hint="default" w:ascii="Times New Roman" w:hAnsi="Times New Roman" w:eastAsia="Times New Roman" w:cs="Times New Roman"/>
                <w:color w:val="auto"/>
                <w:spacing w:val="-2"/>
                <w:highlight w:val="none"/>
              </w:rPr>
              <w:t>0.5</w:t>
            </w:r>
            <w:r>
              <w:rPr>
                <w:rFonts w:hint="default"/>
                <w:color w:val="auto"/>
                <w:spacing w:val="-2"/>
                <w:highlight w:val="none"/>
              </w:rPr>
              <w:t>‰计，</w:t>
            </w:r>
            <w:r>
              <w:rPr>
                <w:rFonts w:hint="eastAsia"/>
                <w:color w:val="auto"/>
                <w:spacing w:val="-2"/>
                <w:highlight w:val="none"/>
                <w:lang w:val="en-US" w:eastAsia="zh-CN"/>
              </w:rPr>
              <w:t>危废库中废油液以及废制冷剂合计最大储存量为116.65t/a</w:t>
            </w:r>
            <w:r>
              <w:rPr>
                <w:rFonts w:hint="default"/>
                <w:color w:val="auto"/>
                <w:spacing w:val="-3"/>
                <w:highlight w:val="none"/>
              </w:rPr>
              <w:t>，则危废贮存库有机废气产生量</w:t>
            </w:r>
            <w:r>
              <w:rPr>
                <w:rFonts w:hint="eastAsia"/>
                <w:color w:val="auto"/>
                <w:spacing w:val="-3"/>
                <w:highlight w:val="none"/>
                <w:lang w:val="en-US" w:eastAsia="zh-CN"/>
              </w:rPr>
              <w:t>约</w:t>
            </w:r>
            <w:r>
              <w:rPr>
                <w:rFonts w:hint="default"/>
                <w:color w:val="auto"/>
                <w:spacing w:val="-3"/>
                <w:highlight w:val="none"/>
              </w:rPr>
              <w:t>为</w:t>
            </w:r>
            <w:r>
              <w:rPr>
                <w:rFonts w:hint="eastAsia"/>
                <w:color w:val="auto"/>
                <w:spacing w:val="-3"/>
                <w:highlight w:val="none"/>
                <w:lang w:val="en-US" w:eastAsia="zh-CN"/>
              </w:rPr>
              <w:t>0.06</w:t>
            </w:r>
            <w:r>
              <w:rPr>
                <w:rFonts w:hint="default" w:ascii="Times New Roman" w:hAnsi="Times New Roman" w:eastAsia="Times New Roman" w:cs="Times New Roman"/>
                <w:color w:val="auto"/>
                <w:spacing w:val="-3"/>
                <w:highlight w:val="none"/>
              </w:rPr>
              <w:t>t/a</w:t>
            </w:r>
            <w:r>
              <w:rPr>
                <w:rFonts w:hint="default"/>
                <w:color w:val="auto"/>
                <w:spacing w:val="-3"/>
                <w:highlight w:val="none"/>
              </w:rPr>
              <w:t>，</w:t>
            </w:r>
            <w:r>
              <w:rPr>
                <w:rFonts w:hint="eastAsia"/>
                <w:color w:val="auto"/>
                <w:spacing w:val="-3"/>
                <w:highlight w:val="none"/>
                <w:lang w:val="en-US" w:eastAsia="zh-CN"/>
              </w:rPr>
              <w:t>储存时间按8760</w:t>
            </w:r>
            <w:r>
              <w:rPr>
                <w:rFonts w:hint="default" w:ascii="Times New Roman" w:hAnsi="Times New Roman" w:eastAsia="Times New Roman" w:cs="Times New Roman"/>
                <w:color w:val="auto"/>
                <w:spacing w:val="-2"/>
                <w:highlight w:val="none"/>
              </w:rPr>
              <w:t>h/a</w:t>
            </w:r>
            <w:r>
              <w:rPr>
                <w:rFonts w:hint="eastAsia" w:ascii="Times New Roman" w:hAnsi="Times New Roman" w:eastAsia="宋体" w:cs="Times New Roman"/>
                <w:color w:val="auto"/>
                <w:spacing w:val="-2"/>
                <w:highlight w:val="none"/>
                <w:lang w:val="en-US" w:eastAsia="zh-CN"/>
              </w:rPr>
              <w:t>计，则</w:t>
            </w:r>
            <w:r>
              <w:rPr>
                <w:rFonts w:hint="default"/>
                <w:color w:val="auto"/>
                <w:spacing w:val="-3"/>
                <w:highlight w:val="none"/>
              </w:rPr>
              <w:t>产生速率为</w:t>
            </w:r>
            <w:r>
              <w:rPr>
                <w:rFonts w:hint="eastAsia"/>
                <w:color w:val="auto"/>
                <w:spacing w:val="-3"/>
                <w:highlight w:val="none"/>
                <w:lang w:val="en-US" w:eastAsia="zh-CN"/>
              </w:rPr>
              <w:t>约为0.0068</w:t>
            </w:r>
            <w:r>
              <w:rPr>
                <w:rFonts w:hint="default" w:ascii="Times New Roman" w:hAnsi="Times New Roman" w:eastAsia="Times New Roman" w:cs="Times New Roman"/>
                <w:color w:val="auto"/>
                <w:spacing w:val="-3"/>
                <w:highlight w:val="none"/>
              </w:rPr>
              <w:t>kg/h</w:t>
            </w:r>
            <w:r>
              <w:rPr>
                <w:rFonts w:hint="default"/>
                <w:color w:val="auto"/>
                <w:spacing w:val="-2"/>
                <w:highlight w:val="none"/>
              </w:rPr>
              <w:t>。</w:t>
            </w:r>
          </w:p>
          <w:p w14:paraId="48168897">
            <w:pPr>
              <w:pStyle w:val="73"/>
              <w:keepNext w:val="0"/>
              <w:keepLines w:val="0"/>
              <w:suppressLineNumbers w:val="0"/>
              <w:spacing w:before="2" w:beforeAutospacing="0" w:after="0" w:afterAutospacing="0" w:line="359" w:lineRule="auto"/>
              <w:ind w:left="113" w:right="2" w:firstLine="478"/>
              <w:rPr>
                <w:rFonts w:hint="default"/>
                <w:color w:val="auto"/>
                <w:highlight w:val="none"/>
              </w:rPr>
            </w:pPr>
            <w:r>
              <w:rPr>
                <w:rFonts w:hint="default"/>
                <w:color w:val="auto"/>
                <w:spacing w:val="-2"/>
                <w:highlight w:val="none"/>
              </w:rPr>
              <w:t>危废贮存库废气经收集后由二级活性炭吸附箱</w:t>
            </w:r>
            <w:r>
              <w:rPr>
                <w:rFonts w:hint="default"/>
                <w:color w:val="auto"/>
                <w:spacing w:val="-3"/>
                <w:highlight w:val="none"/>
              </w:rPr>
              <w:t>处理后，由</w:t>
            </w:r>
            <w:r>
              <w:rPr>
                <w:rFonts w:hint="default" w:ascii="Times New Roman" w:hAnsi="Times New Roman" w:eastAsia="Times New Roman" w:cs="Times New Roman"/>
                <w:color w:val="auto"/>
                <w:spacing w:val="-3"/>
                <w:highlight w:val="none"/>
              </w:rPr>
              <w:t>1</w:t>
            </w:r>
            <w:r>
              <w:rPr>
                <w:rFonts w:hint="default"/>
                <w:color w:val="auto"/>
                <w:spacing w:val="-3"/>
                <w:highlight w:val="none"/>
              </w:rPr>
              <w:t>根</w:t>
            </w:r>
            <w:r>
              <w:rPr>
                <w:rFonts w:hint="eastAsia" w:cs="Times New Roman"/>
                <w:color w:val="auto"/>
                <w:spacing w:val="-3"/>
                <w:highlight w:val="none"/>
                <w:lang w:eastAsia="zh-CN"/>
              </w:rPr>
              <w:t>24m</w:t>
            </w:r>
            <w:r>
              <w:rPr>
                <w:rFonts w:hint="default"/>
                <w:color w:val="auto"/>
                <w:spacing w:val="-3"/>
                <w:highlight w:val="none"/>
              </w:rPr>
              <w:t>高排气筒</w:t>
            </w:r>
            <w:r>
              <w:rPr>
                <w:rFonts w:hint="eastAsia"/>
                <w:color w:val="auto"/>
                <w:spacing w:val="-3"/>
                <w:highlight w:val="none"/>
                <w:lang w:val="en-US" w:eastAsia="zh-CN"/>
              </w:rPr>
              <w:t>DA001</w:t>
            </w:r>
            <w:r>
              <w:rPr>
                <w:rFonts w:hint="default"/>
                <w:color w:val="auto"/>
                <w:spacing w:val="-3"/>
                <w:highlight w:val="none"/>
              </w:rPr>
              <w:t>排</w:t>
            </w:r>
            <w:r>
              <w:rPr>
                <w:rFonts w:hint="default"/>
                <w:color w:val="auto"/>
                <w:spacing w:val="-4"/>
                <w:highlight w:val="none"/>
              </w:rPr>
              <w:t>放。</w:t>
            </w:r>
          </w:p>
          <w:p w14:paraId="192EF0E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color w:val="auto"/>
                <w:spacing w:val="1"/>
                <w:highlight w:val="none"/>
              </w:rPr>
            </w:pPr>
            <w:r>
              <w:rPr>
                <w:rFonts w:hint="default"/>
                <w:color w:val="auto"/>
                <w:spacing w:val="2"/>
                <w:highlight w:val="none"/>
              </w:rPr>
              <w:t>参考《工业源挥发性有机物通用源项产排污核算系数</w:t>
            </w:r>
            <w:r>
              <w:rPr>
                <w:rFonts w:hint="default"/>
                <w:color w:val="auto"/>
                <w:spacing w:val="1"/>
                <w:highlight w:val="none"/>
              </w:rPr>
              <w:t>手册》附表</w:t>
            </w:r>
            <w:r>
              <w:rPr>
                <w:rFonts w:hint="default"/>
                <w:color w:val="auto"/>
                <w:spacing w:val="-48"/>
                <w:highlight w:val="none"/>
              </w:rPr>
              <w:t xml:space="preserve"> </w:t>
            </w:r>
            <w:r>
              <w:rPr>
                <w:rFonts w:hint="default" w:ascii="Times New Roman" w:hAnsi="Times New Roman" w:eastAsia="Times New Roman" w:cs="Times New Roman"/>
                <w:color w:val="auto"/>
                <w:spacing w:val="1"/>
                <w:highlight w:val="none"/>
              </w:rPr>
              <w:t xml:space="preserve">9 </w:t>
            </w:r>
            <w:r>
              <w:rPr>
                <w:rFonts w:hint="default"/>
                <w:color w:val="auto"/>
                <w:spacing w:val="1"/>
                <w:highlight w:val="none"/>
              </w:rPr>
              <w:t>挥发性有</w:t>
            </w:r>
            <w:r>
              <w:rPr>
                <w:rFonts w:hint="default"/>
                <w:color w:val="auto"/>
                <w:highlight w:val="none"/>
              </w:rPr>
              <w:t>机物处理工艺处理效率表，一级活性炭吸附法处理效率为</w:t>
            </w:r>
            <w:r>
              <w:rPr>
                <w:rFonts w:hint="default" w:ascii="Times New Roman" w:hAnsi="Times New Roman" w:eastAsia="Times New Roman" w:cs="Times New Roman"/>
                <w:color w:val="auto"/>
                <w:highlight w:val="none"/>
              </w:rPr>
              <w:t>48%</w:t>
            </w:r>
            <w:r>
              <w:rPr>
                <w:rFonts w:hint="default" w:ascii="Times New Roman" w:hAnsi="Times New Roman" w:eastAsia="Times New Roman" w:cs="Times New Roman"/>
                <w:color w:val="auto"/>
                <w:spacing w:val="-29"/>
                <w:highlight w:val="none"/>
              </w:rPr>
              <w:t xml:space="preserve"> </w:t>
            </w:r>
            <w:r>
              <w:rPr>
                <w:rFonts w:hint="default"/>
                <w:color w:val="auto"/>
                <w:highlight w:val="none"/>
              </w:rPr>
              <w:t>，本项目采用二级</w:t>
            </w:r>
            <w:r>
              <w:rPr>
                <w:rFonts w:hint="default"/>
                <w:color w:val="auto"/>
                <w:spacing w:val="1"/>
                <w:highlight w:val="none"/>
              </w:rPr>
              <w:t>活性炭吸附</w:t>
            </w:r>
            <w:r>
              <w:rPr>
                <w:rFonts w:hint="eastAsia"/>
                <w:color w:val="auto"/>
                <w:spacing w:val="1"/>
                <w:highlight w:val="none"/>
                <w:lang w:val="en-US" w:eastAsia="zh-CN"/>
              </w:rPr>
              <w:t>工艺</w:t>
            </w:r>
            <w:r>
              <w:rPr>
                <w:rFonts w:hint="default"/>
                <w:color w:val="auto"/>
                <w:spacing w:val="1"/>
                <w:highlight w:val="none"/>
              </w:rPr>
              <w:t>，</w:t>
            </w:r>
            <w:r>
              <w:rPr>
                <w:rFonts w:hint="eastAsia"/>
                <w:color w:val="auto"/>
                <w:spacing w:val="1"/>
                <w:highlight w:val="none"/>
                <w:lang w:val="en-US" w:eastAsia="zh-CN"/>
              </w:rPr>
              <w:t>因此有机废气处理效率保守估计，取70%</w:t>
            </w:r>
            <w:r>
              <w:rPr>
                <w:rFonts w:hint="default"/>
                <w:color w:val="auto"/>
                <w:spacing w:val="1"/>
                <w:highlight w:val="none"/>
              </w:rPr>
              <w:t>。</w:t>
            </w:r>
          </w:p>
          <w:p w14:paraId="48656E4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eastAsia" w:ascii="Times New Roman" w:hAnsi="Times New Roman" w:eastAsia="宋体" w:cs="宋体"/>
                <w:color w:val="auto"/>
                <w:spacing w:val="2"/>
                <w:highlight w:val="none"/>
                <w:lang w:val="en-US" w:eastAsia="zh-CN"/>
              </w:rPr>
            </w:pPr>
            <w:r>
              <w:rPr>
                <w:rFonts w:hint="default"/>
                <w:color w:val="auto"/>
                <w:spacing w:val="2"/>
                <w:highlight w:val="none"/>
              </w:rPr>
              <w:t>参考《广东省工业源挥发性有机物减排量核算方法</w:t>
            </w:r>
            <w:r>
              <w:rPr>
                <w:rFonts w:hint="eastAsia"/>
                <w:color w:val="auto"/>
                <w:spacing w:val="2"/>
                <w:highlight w:val="none"/>
                <w:lang w:eastAsia="zh-CN"/>
              </w:rPr>
              <w:t>（</w:t>
            </w:r>
            <w:r>
              <w:rPr>
                <w:rFonts w:hint="eastAsia"/>
                <w:color w:val="auto"/>
                <w:spacing w:val="2"/>
                <w:highlight w:val="none"/>
                <w:lang w:val="en-US" w:eastAsia="zh-CN"/>
              </w:rPr>
              <w:t>2023年修订版</w:t>
            </w:r>
            <w:r>
              <w:rPr>
                <w:rFonts w:hint="default"/>
                <w:color w:val="auto"/>
                <w:spacing w:val="2"/>
                <w:highlight w:val="none"/>
              </w:rPr>
              <w:t>》：“单层密闭</w:t>
            </w:r>
            <w:r>
              <w:rPr>
                <w:rFonts w:hint="default"/>
                <w:color w:val="auto"/>
                <w:spacing w:val="1"/>
                <w:highlight w:val="none"/>
              </w:rPr>
              <w:t>负压废气收集方式集气效率为</w:t>
            </w:r>
            <w:r>
              <w:rPr>
                <w:rFonts w:hint="eastAsia"/>
                <w:color w:val="auto"/>
                <w:spacing w:val="1"/>
                <w:highlight w:val="none"/>
                <w:lang w:val="en-US" w:eastAsia="zh-CN"/>
              </w:rPr>
              <w:t>90</w:t>
            </w:r>
            <w:r>
              <w:rPr>
                <w:rFonts w:hint="default"/>
                <w:color w:val="auto"/>
                <w:spacing w:val="1"/>
                <w:highlight w:val="none"/>
              </w:rPr>
              <w:t>%</w:t>
            </w:r>
            <w:r>
              <w:rPr>
                <w:rFonts w:hint="eastAsia"/>
                <w:color w:val="auto"/>
                <w:spacing w:val="1"/>
                <w:highlight w:val="none"/>
                <w:lang w:eastAsia="zh-CN"/>
              </w:rPr>
              <w:t>”</w:t>
            </w:r>
            <w:r>
              <w:rPr>
                <w:rFonts w:hint="default"/>
                <w:color w:val="auto"/>
                <w:spacing w:val="1"/>
                <w:highlight w:val="none"/>
              </w:rPr>
              <w:t>，故危废贮存库</w:t>
            </w:r>
            <w:r>
              <w:rPr>
                <w:rFonts w:hint="eastAsia"/>
                <w:color w:val="auto"/>
                <w:spacing w:val="1"/>
                <w:highlight w:val="none"/>
                <w:lang w:val="en-US" w:eastAsia="zh-CN"/>
              </w:rPr>
              <w:t>中废气</w:t>
            </w:r>
            <w:r>
              <w:rPr>
                <w:rFonts w:hint="default"/>
                <w:color w:val="auto"/>
                <w:spacing w:val="1"/>
                <w:highlight w:val="none"/>
              </w:rPr>
              <w:t>收集效率以</w:t>
            </w:r>
            <w:r>
              <w:rPr>
                <w:rFonts w:hint="eastAsia" w:eastAsia="宋体" w:cs="Times New Roman"/>
                <w:color w:val="auto"/>
                <w:spacing w:val="1"/>
                <w:highlight w:val="none"/>
                <w:lang w:val="en-US" w:eastAsia="zh-CN"/>
              </w:rPr>
              <w:t>90</w:t>
            </w:r>
            <w:r>
              <w:rPr>
                <w:rFonts w:hint="default" w:ascii="Times New Roman" w:hAnsi="Times New Roman" w:eastAsia="Times New Roman" w:cs="Times New Roman"/>
                <w:color w:val="auto"/>
                <w:spacing w:val="1"/>
                <w:highlight w:val="none"/>
              </w:rPr>
              <w:t>%</w:t>
            </w:r>
            <w:r>
              <w:rPr>
                <w:rFonts w:hint="default"/>
                <w:color w:val="auto"/>
                <w:spacing w:val="1"/>
                <w:highlight w:val="none"/>
              </w:rPr>
              <w:t>计</w:t>
            </w:r>
            <w:r>
              <w:rPr>
                <w:rFonts w:hint="default"/>
                <w:color w:val="auto"/>
                <w:spacing w:val="-6"/>
                <w:highlight w:val="none"/>
              </w:rPr>
              <w:t>。</w:t>
            </w:r>
          </w:p>
          <w:p w14:paraId="7C0BF38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eastAsia" w:ascii="Times New Roman" w:hAnsi="Times New Roman" w:eastAsia="宋体" w:cs="宋体"/>
                <w:color w:val="auto"/>
                <w:spacing w:val="2"/>
                <w:highlight w:val="none"/>
                <w:lang w:val="en-US" w:eastAsia="zh-CN"/>
              </w:rPr>
            </w:pPr>
            <w:r>
              <w:rPr>
                <w:rFonts w:hint="default" w:ascii="Times New Roman" w:hAnsi="Times New Roman" w:eastAsia="宋体" w:cs="宋体"/>
                <w:color w:val="auto"/>
                <w:spacing w:val="2"/>
                <w:highlight w:val="none"/>
              </w:rPr>
              <w:t>经计算，危废贮存库有机废气（以非甲烷总烃计）有组织排放量</w:t>
            </w:r>
            <w:r>
              <w:rPr>
                <w:rFonts w:hint="eastAsia" w:cs="宋体"/>
                <w:color w:val="auto"/>
                <w:spacing w:val="2"/>
                <w:highlight w:val="none"/>
                <w:lang w:val="en-US" w:eastAsia="zh-CN"/>
              </w:rPr>
              <w:t>约</w:t>
            </w:r>
            <w:r>
              <w:rPr>
                <w:rFonts w:hint="default" w:ascii="Times New Roman" w:hAnsi="Times New Roman" w:eastAsia="宋体" w:cs="宋体"/>
                <w:color w:val="auto"/>
                <w:spacing w:val="2"/>
                <w:highlight w:val="none"/>
              </w:rPr>
              <w:t>为</w:t>
            </w:r>
            <w:r>
              <w:rPr>
                <w:rFonts w:hint="eastAsia" w:cs="宋体"/>
                <w:color w:val="auto"/>
                <w:spacing w:val="2"/>
                <w:highlight w:val="none"/>
                <w:lang w:val="en-US" w:eastAsia="zh-CN"/>
              </w:rPr>
              <w:t>0.0162</w:t>
            </w:r>
            <w:r>
              <w:rPr>
                <w:rFonts w:hint="default" w:ascii="Times New Roman" w:hAnsi="Times New Roman" w:eastAsia="宋体" w:cs="宋体"/>
                <w:color w:val="auto"/>
                <w:spacing w:val="2"/>
                <w:highlight w:val="none"/>
              </w:rPr>
              <w:t>t/a，排放速率</w:t>
            </w:r>
            <w:r>
              <w:rPr>
                <w:rFonts w:hint="eastAsia" w:cs="宋体"/>
                <w:color w:val="auto"/>
                <w:spacing w:val="2"/>
                <w:highlight w:val="none"/>
                <w:lang w:val="en-US" w:eastAsia="zh-CN"/>
              </w:rPr>
              <w:t>约</w:t>
            </w:r>
            <w:r>
              <w:rPr>
                <w:rFonts w:hint="default" w:ascii="Times New Roman" w:hAnsi="Times New Roman" w:eastAsia="宋体" w:cs="宋体"/>
                <w:color w:val="auto"/>
                <w:spacing w:val="2"/>
                <w:highlight w:val="none"/>
              </w:rPr>
              <w:t>为</w:t>
            </w:r>
            <w:r>
              <w:rPr>
                <w:rFonts w:hint="eastAsia" w:cs="宋体"/>
                <w:color w:val="auto"/>
                <w:spacing w:val="2"/>
                <w:highlight w:val="none"/>
                <w:lang w:val="en-US" w:eastAsia="zh-CN"/>
              </w:rPr>
              <w:t>0.0018</w:t>
            </w:r>
            <w:r>
              <w:rPr>
                <w:rFonts w:hint="default" w:ascii="Times New Roman" w:hAnsi="Times New Roman" w:eastAsia="宋体" w:cs="宋体"/>
                <w:color w:val="auto"/>
                <w:spacing w:val="2"/>
                <w:highlight w:val="none"/>
              </w:rPr>
              <w:t>kg/h，无组织排放量为</w:t>
            </w:r>
            <w:r>
              <w:rPr>
                <w:rFonts w:hint="eastAsia" w:cs="宋体"/>
                <w:color w:val="auto"/>
                <w:spacing w:val="2"/>
                <w:highlight w:val="none"/>
                <w:lang w:val="en-US" w:eastAsia="zh-CN"/>
              </w:rPr>
              <w:t>0.006</w:t>
            </w:r>
            <w:r>
              <w:rPr>
                <w:rFonts w:hint="default" w:ascii="Times New Roman" w:hAnsi="Times New Roman" w:eastAsia="宋体" w:cs="宋体"/>
                <w:color w:val="auto"/>
                <w:spacing w:val="2"/>
                <w:highlight w:val="none"/>
              </w:rPr>
              <w:t>t/a ，排放速率</w:t>
            </w:r>
            <w:r>
              <w:rPr>
                <w:rFonts w:hint="eastAsia" w:cs="宋体"/>
                <w:color w:val="auto"/>
                <w:spacing w:val="2"/>
                <w:highlight w:val="none"/>
                <w:lang w:val="en-US" w:eastAsia="zh-CN"/>
              </w:rPr>
              <w:t>约</w:t>
            </w:r>
            <w:r>
              <w:rPr>
                <w:rFonts w:hint="default" w:ascii="Times New Roman" w:hAnsi="Times New Roman" w:eastAsia="宋体" w:cs="宋体"/>
                <w:color w:val="auto"/>
                <w:spacing w:val="2"/>
                <w:highlight w:val="none"/>
              </w:rPr>
              <w:t>为</w:t>
            </w:r>
            <w:r>
              <w:rPr>
                <w:rFonts w:hint="eastAsia" w:cs="宋体"/>
                <w:color w:val="auto"/>
                <w:spacing w:val="2"/>
                <w:highlight w:val="none"/>
                <w:lang w:val="en-US" w:eastAsia="zh-CN"/>
              </w:rPr>
              <w:t>0.00068</w:t>
            </w:r>
            <w:r>
              <w:rPr>
                <w:rFonts w:hint="default" w:ascii="Times New Roman" w:hAnsi="Times New Roman" w:eastAsia="宋体" w:cs="宋体"/>
                <w:color w:val="auto"/>
                <w:spacing w:val="2"/>
                <w:highlight w:val="none"/>
              </w:rPr>
              <w:t>kg/h。</w:t>
            </w:r>
          </w:p>
          <w:p w14:paraId="7110F6C3">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20" w:leftChars="200" w:right="0" w:rightChars="0"/>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④汽车切割工序粉尘</w:t>
            </w:r>
          </w:p>
          <w:p w14:paraId="57F5860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lang w:val="en-US" w:eastAsia="zh-CN"/>
              </w:rPr>
            </w:pPr>
            <w:r>
              <w:rPr>
                <w:rFonts w:hint="default" w:ascii="Times New Roman" w:hAnsi="Times New Roman" w:eastAsia="宋体" w:cs="宋体"/>
                <w:color w:val="auto"/>
                <w:spacing w:val="2"/>
                <w:highlight w:val="none"/>
              </w:rPr>
              <w:t>本项目汽车拆解切割、剪切产生</w:t>
            </w:r>
            <w:r>
              <w:rPr>
                <w:rFonts w:hint="eastAsia" w:ascii="Times New Roman" w:hAnsi="Times New Roman" w:eastAsia="宋体" w:cs="宋体"/>
                <w:color w:val="auto"/>
                <w:spacing w:val="2"/>
                <w:highlight w:val="none"/>
                <w:lang w:val="en-US" w:eastAsia="zh-CN"/>
              </w:rPr>
              <w:t>的</w:t>
            </w:r>
            <w:r>
              <w:rPr>
                <w:rFonts w:hint="default" w:ascii="Times New Roman" w:hAnsi="Times New Roman" w:eastAsia="宋体" w:cs="宋体"/>
                <w:color w:val="auto"/>
                <w:spacing w:val="2"/>
                <w:highlight w:val="none"/>
              </w:rPr>
              <w:t>粉尘</w:t>
            </w:r>
            <w:r>
              <w:rPr>
                <w:rFonts w:hint="eastAsia" w:ascii="Times New Roman" w:hAnsi="Times New Roman" w:eastAsia="宋体" w:cs="宋体"/>
                <w:color w:val="auto"/>
                <w:spacing w:val="2"/>
                <w:highlight w:val="none"/>
                <w:lang w:eastAsia="zh-CN"/>
              </w:rPr>
              <w:t>（</w:t>
            </w:r>
            <w:r>
              <w:rPr>
                <w:rFonts w:hint="eastAsia" w:ascii="Times New Roman" w:hAnsi="Times New Roman" w:eastAsia="宋体" w:cs="宋体"/>
                <w:color w:val="auto"/>
                <w:spacing w:val="2"/>
                <w:highlight w:val="none"/>
                <w:lang w:val="en-US" w:eastAsia="zh-CN"/>
              </w:rPr>
              <w:t>颗粒物）</w:t>
            </w:r>
            <w:r>
              <w:rPr>
                <w:rFonts w:hint="eastAsia" w:ascii="Times New Roman" w:hAnsi="Times New Roman" w:eastAsia="宋体" w:cs="宋体"/>
                <w:color w:val="auto"/>
                <w:spacing w:val="2"/>
                <w:highlight w:val="none"/>
                <w:lang w:eastAsia="zh-CN"/>
              </w:rPr>
              <w:t>，</w:t>
            </w:r>
            <w:r>
              <w:rPr>
                <w:rFonts w:hint="default" w:ascii="Times New Roman" w:hAnsi="Times New Roman" w:eastAsia="宋体" w:cs="宋体"/>
                <w:color w:val="auto"/>
                <w:spacing w:val="2"/>
                <w:highlight w:val="none"/>
              </w:rPr>
              <w:t>参照《排放源统计调查产排污核算方法和系数手册》中“42废弃资源综合利用行业系数手册 ”中相关系数进行核算，即剪切产污系数为 7.2g/t-原料、切割产污系数为 1.0g/t-原料。本项目切割、剪切工序主要针对拆解过程中产生的钢铁和有色金属，则</w:t>
            </w:r>
            <w:r>
              <w:rPr>
                <w:rFonts w:hint="eastAsia" w:ascii="Times New Roman" w:hAnsi="Times New Roman" w:eastAsia="宋体" w:cs="宋体"/>
                <w:color w:val="auto"/>
                <w:spacing w:val="2"/>
                <w:highlight w:val="none"/>
                <w:lang w:val="en-US" w:eastAsia="zh-CN"/>
              </w:rPr>
              <w:t>颗粒物</w:t>
            </w:r>
            <w:r>
              <w:rPr>
                <w:rFonts w:hint="default" w:ascii="Times New Roman" w:hAnsi="Times New Roman" w:eastAsia="宋体" w:cs="宋体"/>
                <w:color w:val="auto"/>
                <w:spacing w:val="2"/>
                <w:highlight w:val="none"/>
              </w:rPr>
              <w:t>产生情况见下表。</w:t>
            </w:r>
          </w:p>
          <w:p w14:paraId="3542392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Times New Roman" w:hAnsi="Times New Roman" w:eastAsia="宋体" w:cs="Times New Roman"/>
                <w:b/>
                <w:bCs/>
                <w:color w:val="auto"/>
                <w:kern w:val="2"/>
                <w:sz w:val="24"/>
                <w:szCs w:val="24"/>
                <w:highlight w:val="none"/>
                <w:lang w:val="en-US" w:eastAsia="zh-CN" w:bidi="ar-SA"/>
              </w:rPr>
            </w:pPr>
            <w:r>
              <w:rPr>
                <w:rFonts w:hint="default"/>
                <w:b/>
                <w:bCs/>
                <w:color w:val="auto"/>
                <w:spacing w:val="-2"/>
                <w:sz w:val="21"/>
                <w:szCs w:val="21"/>
                <w:highlight w:val="none"/>
              </w:rPr>
              <w:t>表</w:t>
            </w:r>
            <w:r>
              <w:rPr>
                <w:rFonts w:hint="eastAsia"/>
                <w:b/>
                <w:bCs/>
                <w:color w:val="auto"/>
                <w:spacing w:val="-2"/>
                <w:sz w:val="21"/>
                <w:szCs w:val="21"/>
                <w:highlight w:val="none"/>
                <w:lang w:val="en-US" w:eastAsia="zh-CN"/>
              </w:rPr>
              <w:t>4-3</w:t>
            </w:r>
            <w:r>
              <w:rPr>
                <w:rFonts w:hint="default" w:ascii="Times New Roman" w:hAnsi="Times New Roman" w:eastAsia="Times New Roman" w:cs="Times New Roman"/>
                <w:b/>
                <w:bCs/>
                <w:color w:val="auto"/>
                <w:spacing w:val="-2"/>
                <w:sz w:val="21"/>
                <w:szCs w:val="21"/>
                <w:highlight w:val="none"/>
              </w:rPr>
              <w:t xml:space="preserve">  </w:t>
            </w:r>
            <w:r>
              <w:rPr>
                <w:rFonts w:hint="eastAsia" w:eastAsia="宋体" w:cs="Times New Roman"/>
                <w:b/>
                <w:bCs/>
                <w:color w:val="auto"/>
                <w:spacing w:val="-2"/>
                <w:sz w:val="21"/>
                <w:szCs w:val="21"/>
                <w:highlight w:val="none"/>
                <w:lang w:val="en-US" w:eastAsia="zh-CN"/>
              </w:rPr>
              <w:t>汽车</w:t>
            </w:r>
            <w:r>
              <w:rPr>
                <w:rFonts w:hint="eastAsia" w:ascii="Times New Roman" w:hAnsi="Times New Roman" w:eastAsia="宋体" w:cs="Times New Roman"/>
                <w:b/>
                <w:bCs/>
                <w:color w:val="auto"/>
                <w:spacing w:val="-2"/>
                <w:sz w:val="21"/>
                <w:szCs w:val="21"/>
                <w:highlight w:val="none"/>
                <w:lang w:val="en-US" w:eastAsia="zh-CN"/>
              </w:rPr>
              <w:t>切割、剪切工序颗粒物</w:t>
            </w:r>
            <w:r>
              <w:rPr>
                <w:rFonts w:hint="default"/>
                <w:b/>
                <w:bCs/>
                <w:color w:val="auto"/>
                <w:spacing w:val="-2"/>
                <w:sz w:val="21"/>
                <w:szCs w:val="21"/>
                <w:highlight w:val="none"/>
              </w:rPr>
              <w:t>废气产生量取值情况表</w:t>
            </w:r>
          </w:p>
          <w:tbl>
            <w:tblPr>
              <w:tblStyle w:val="74"/>
              <w:tblW w:w="4997"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0" w:type="dxa"/>
                <w:bottom w:w="0" w:type="dxa"/>
                <w:right w:w="0" w:type="dxa"/>
              </w:tblCellMar>
            </w:tblPr>
            <w:tblGrid>
              <w:gridCol w:w="843"/>
              <w:gridCol w:w="1290"/>
              <w:gridCol w:w="1453"/>
              <w:gridCol w:w="1411"/>
              <w:gridCol w:w="1303"/>
              <w:gridCol w:w="1480"/>
              <w:gridCol w:w="1341"/>
            </w:tblGrid>
            <w:tr w14:paraId="4F463EF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462" w:type="pct"/>
                  <w:tcBorders>
                    <w:tl2br w:val="nil"/>
                    <w:tr2bl w:val="nil"/>
                  </w:tcBorders>
                  <w:vAlign w:val="center"/>
                </w:tcPr>
                <w:p w14:paraId="34D5909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车辆类型</w:t>
                  </w:r>
                </w:p>
              </w:tc>
              <w:tc>
                <w:tcPr>
                  <w:tcW w:w="707" w:type="pct"/>
                  <w:tcBorders>
                    <w:tl2br w:val="nil"/>
                    <w:tr2bl w:val="nil"/>
                  </w:tcBorders>
                  <w:vAlign w:val="center"/>
                </w:tcPr>
                <w:p w14:paraId="45CFD50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7"/>
                      <w:sz w:val="21"/>
                      <w:szCs w:val="21"/>
                      <w:highlight w:val="none"/>
                    </w:rPr>
                  </w:pPr>
                  <w:r>
                    <w:rPr>
                      <w:rFonts w:hint="default"/>
                      <w:color w:val="auto"/>
                      <w:spacing w:val="7"/>
                      <w:sz w:val="21"/>
                      <w:szCs w:val="21"/>
                      <w:highlight w:val="none"/>
                    </w:rPr>
                    <w:t>废钢铁量</w:t>
                  </w:r>
                </w:p>
                <w:p w14:paraId="78C67B2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z w:val="21"/>
                      <w:szCs w:val="21"/>
                      <w:highlight w:val="none"/>
                    </w:rPr>
                    <w:t>（</w:t>
                  </w:r>
                  <w:r>
                    <w:rPr>
                      <w:rFonts w:hint="default" w:ascii="Times New Roman" w:hAnsi="Times New Roman" w:eastAsia="Times New Roman" w:cs="Times New Roman"/>
                      <w:color w:val="auto"/>
                      <w:sz w:val="21"/>
                      <w:szCs w:val="21"/>
                      <w:highlight w:val="none"/>
                    </w:rPr>
                    <w:t>t/a</w:t>
                  </w:r>
                  <w:r>
                    <w:rPr>
                      <w:rFonts w:hint="default"/>
                      <w:color w:val="auto"/>
                      <w:sz w:val="21"/>
                      <w:szCs w:val="21"/>
                      <w:highlight w:val="none"/>
                    </w:rPr>
                    <w:t>）</w:t>
                  </w:r>
                </w:p>
              </w:tc>
              <w:tc>
                <w:tcPr>
                  <w:tcW w:w="796" w:type="pct"/>
                  <w:tcBorders>
                    <w:tl2br w:val="nil"/>
                    <w:tr2bl w:val="nil"/>
                  </w:tcBorders>
                  <w:vAlign w:val="center"/>
                </w:tcPr>
                <w:p w14:paraId="47A02B1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有色金属</w:t>
                  </w:r>
                  <w:r>
                    <w:rPr>
                      <w:rFonts w:hint="default"/>
                      <w:color w:val="auto"/>
                      <w:spacing w:val="3"/>
                      <w:sz w:val="21"/>
                      <w:szCs w:val="21"/>
                      <w:highlight w:val="none"/>
                    </w:rPr>
                    <w:t>量（</w:t>
                  </w:r>
                  <w:r>
                    <w:rPr>
                      <w:rFonts w:hint="default" w:ascii="Times New Roman" w:hAnsi="Times New Roman" w:eastAsia="Times New Roman" w:cs="Times New Roman"/>
                      <w:color w:val="auto"/>
                      <w:spacing w:val="3"/>
                      <w:sz w:val="21"/>
                      <w:szCs w:val="21"/>
                      <w:highlight w:val="none"/>
                    </w:rPr>
                    <w:t>t/a</w:t>
                  </w:r>
                  <w:r>
                    <w:rPr>
                      <w:rFonts w:hint="default"/>
                      <w:color w:val="auto"/>
                      <w:spacing w:val="3"/>
                      <w:sz w:val="21"/>
                      <w:szCs w:val="21"/>
                      <w:highlight w:val="none"/>
                    </w:rPr>
                    <w:t>）</w:t>
                  </w:r>
                </w:p>
              </w:tc>
              <w:tc>
                <w:tcPr>
                  <w:tcW w:w="771" w:type="pct"/>
                  <w:tcBorders>
                    <w:tl2br w:val="nil"/>
                    <w:tr2bl w:val="nil"/>
                  </w:tcBorders>
                  <w:vAlign w:val="center"/>
                </w:tcPr>
                <w:p w14:paraId="66E00DA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7"/>
                      <w:sz w:val="21"/>
                      <w:szCs w:val="21"/>
                      <w:highlight w:val="none"/>
                    </w:rPr>
                  </w:pPr>
                  <w:r>
                    <w:rPr>
                      <w:rFonts w:hint="default"/>
                      <w:color w:val="auto"/>
                      <w:spacing w:val="7"/>
                      <w:sz w:val="21"/>
                      <w:szCs w:val="21"/>
                      <w:highlight w:val="none"/>
                    </w:rPr>
                    <w:t>产生系数</w:t>
                  </w:r>
                </w:p>
                <w:p w14:paraId="2636C36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2"/>
                      <w:sz w:val="21"/>
                      <w:szCs w:val="21"/>
                      <w:highlight w:val="none"/>
                    </w:rPr>
                    <w:t>（</w:t>
                  </w:r>
                  <w:r>
                    <w:rPr>
                      <w:rFonts w:hint="default" w:ascii="Times New Roman" w:hAnsi="Times New Roman" w:eastAsia="Times New Roman" w:cs="Times New Roman"/>
                      <w:color w:val="auto"/>
                      <w:spacing w:val="2"/>
                      <w:sz w:val="21"/>
                      <w:szCs w:val="21"/>
                      <w:highlight w:val="none"/>
                    </w:rPr>
                    <w:t>g/t-</w:t>
                  </w:r>
                  <w:r>
                    <w:rPr>
                      <w:rFonts w:hint="default"/>
                      <w:color w:val="auto"/>
                      <w:spacing w:val="2"/>
                      <w:sz w:val="21"/>
                      <w:szCs w:val="21"/>
                      <w:highlight w:val="none"/>
                    </w:rPr>
                    <w:t>原料）</w:t>
                  </w:r>
                </w:p>
              </w:tc>
              <w:tc>
                <w:tcPr>
                  <w:tcW w:w="714" w:type="pct"/>
                  <w:tcBorders>
                    <w:tl2br w:val="nil"/>
                    <w:tr2bl w:val="nil"/>
                  </w:tcBorders>
                  <w:vAlign w:val="center"/>
                </w:tcPr>
                <w:p w14:paraId="6EC2AB9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6"/>
                      <w:sz w:val="21"/>
                      <w:szCs w:val="21"/>
                      <w:highlight w:val="none"/>
                    </w:rPr>
                  </w:pPr>
                  <w:r>
                    <w:rPr>
                      <w:rFonts w:hint="default"/>
                      <w:color w:val="auto"/>
                      <w:spacing w:val="6"/>
                      <w:sz w:val="21"/>
                      <w:szCs w:val="21"/>
                      <w:highlight w:val="none"/>
                    </w:rPr>
                    <w:t>产生量</w:t>
                  </w:r>
                </w:p>
                <w:p w14:paraId="65DC17D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1"/>
                      <w:sz w:val="21"/>
                      <w:szCs w:val="21"/>
                      <w:highlight w:val="none"/>
                    </w:rPr>
                    <w:t>（</w:t>
                  </w:r>
                  <w:r>
                    <w:rPr>
                      <w:rFonts w:hint="default" w:ascii="Times New Roman" w:hAnsi="Times New Roman" w:eastAsia="Times New Roman" w:cs="Times New Roman"/>
                      <w:color w:val="auto"/>
                      <w:spacing w:val="-1"/>
                      <w:sz w:val="21"/>
                      <w:szCs w:val="21"/>
                      <w:highlight w:val="none"/>
                    </w:rPr>
                    <w:t>t/a</w:t>
                  </w:r>
                  <w:r>
                    <w:rPr>
                      <w:rFonts w:hint="default"/>
                      <w:color w:val="auto"/>
                      <w:spacing w:val="-1"/>
                      <w:sz w:val="21"/>
                      <w:szCs w:val="21"/>
                      <w:highlight w:val="none"/>
                    </w:rPr>
                    <w:t>）</w:t>
                  </w:r>
                </w:p>
              </w:tc>
              <w:tc>
                <w:tcPr>
                  <w:tcW w:w="811" w:type="pct"/>
                  <w:tcBorders>
                    <w:tl2br w:val="nil"/>
                    <w:tr2bl w:val="nil"/>
                  </w:tcBorders>
                  <w:vAlign w:val="center"/>
                </w:tcPr>
                <w:p w14:paraId="1425A23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7"/>
                      <w:sz w:val="21"/>
                      <w:szCs w:val="21"/>
                      <w:highlight w:val="none"/>
                    </w:rPr>
                  </w:pPr>
                  <w:r>
                    <w:rPr>
                      <w:rFonts w:hint="default"/>
                      <w:color w:val="auto"/>
                      <w:spacing w:val="7"/>
                      <w:sz w:val="21"/>
                      <w:szCs w:val="21"/>
                      <w:highlight w:val="none"/>
                    </w:rPr>
                    <w:t>产生速率</w:t>
                  </w:r>
                </w:p>
                <w:p w14:paraId="16A34AF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1"/>
                      <w:sz w:val="21"/>
                      <w:szCs w:val="21"/>
                      <w:highlight w:val="none"/>
                    </w:rPr>
                    <w:t>（</w:t>
                  </w:r>
                  <w:r>
                    <w:rPr>
                      <w:rFonts w:hint="default" w:ascii="Times New Roman" w:hAnsi="Times New Roman" w:eastAsia="Times New Roman" w:cs="Times New Roman"/>
                      <w:color w:val="auto"/>
                      <w:sz w:val="21"/>
                      <w:szCs w:val="21"/>
                      <w:highlight w:val="none"/>
                    </w:rPr>
                    <w:t>kg</w:t>
                  </w:r>
                  <w:r>
                    <w:rPr>
                      <w:rFonts w:hint="default" w:ascii="Times New Roman" w:hAnsi="Times New Roman" w:eastAsia="Times New Roman" w:cs="Times New Roman"/>
                      <w:color w:val="auto"/>
                      <w:spacing w:val="1"/>
                      <w:sz w:val="21"/>
                      <w:szCs w:val="21"/>
                      <w:highlight w:val="none"/>
                    </w:rPr>
                    <w:t>/h</w:t>
                  </w:r>
                  <w:r>
                    <w:rPr>
                      <w:rFonts w:hint="default"/>
                      <w:color w:val="auto"/>
                      <w:spacing w:val="1"/>
                      <w:sz w:val="21"/>
                      <w:szCs w:val="21"/>
                      <w:highlight w:val="none"/>
                    </w:rPr>
                    <w:t>）</w:t>
                  </w:r>
                </w:p>
              </w:tc>
              <w:tc>
                <w:tcPr>
                  <w:tcW w:w="735" w:type="pct"/>
                  <w:tcBorders>
                    <w:tl2br w:val="nil"/>
                    <w:tr2bl w:val="nil"/>
                  </w:tcBorders>
                  <w:vAlign w:val="center"/>
                </w:tcPr>
                <w:p w14:paraId="6AA302C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6"/>
                      <w:sz w:val="21"/>
                      <w:szCs w:val="21"/>
                      <w:highlight w:val="none"/>
                    </w:rPr>
                  </w:pPr>
                  <w:r>
                    <w:rPr>
                      <w:rFonts w:hint="default"/>
                      <w:color w:val="auto"/>
                      <w:spacing w:val="6"/>
                      <w:sz w:val="21"/>
                      <w:szCs w:val="21"/>
                      <w:highlight w:val="none"/>
                    </w:rPr>
                    <w:t>工作时间</w:t>
                  </w:r>
                </w:p>
                <w:p w14:paraId="0B2D049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z w:val="21"/>
                      <w:szCs w:val="21"/>
                      <w:highlight w:val="none"/>
                    </w:rPr>
                    <w:t>（</w:t>
                  </w:r>
                  <w:r>
                    <w:rPr>
                      <w:rFonts w:hint="default" w:ascii="Times New Roman" w:hAnsi="Times New Roman" w:eastAsia="Times New Roman" w:cs="Times New Roman"/>
                      <w:color w:val="auto"/>
                      <w:sz w:val="21"/>
                      <w:szCs w:val="21"/>
                      <w:highlight w:val="none"/>
                    </w:rPr>
                    <w:t>h/a</w:t>
                  </w:r>
                  <w:r>
                    <w:rPr>
                      <w:rFonts w:hint="default"/>
                      <w:color w:val="auto"/>
                      <w:sz w:val="21"/>
                      <w:szCs w:val="21"/>
                      <w:highlight w:val="none"/>
                    </w:rPr>
                    <w:t>）</w:t>
                  </w:r>
                </w:p>
              </w:tc>
            </w:tr>
            <w:tr w14:paraId="3DE252F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462" w:type="pct"/>
                  <w:tcBorders>
                    <w:tl2br w:val="nil"/>
                    <w:tr2bl w:val="nil"/>
                  </w:tcBorders>
                  <w:vAlign w:val="center"/>
                </w:tcPr>
                <w:p w14:paraId="2967346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7"/>
                      <w:sz w:val="21"/>
                      <w:szCs w:val="21"/>
                      <w:highlight w:val="none"/>
                    </w:rPr>
                    <w:t>新能源汽车</w:t>
                  </w:r>
                </w:p>
              </w:tc>
              <w:tc>
                <w:tcPr>
                  <w:tcW w:w="707" w:type="pct"/>
                  <w:tcBorders>
                    <w:tl2br w:val="nil"/>
                    <w:tr2bl w:val="nil"/>
                  </w:tcBorders>
                  <w:vAlign w:val="center"/>
                </w:tcPr>
                <w:p w14:paraId="4BCFDE9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949.1</w:t>
                  </w:r>
                </w:p>
              </w:tc>
              <w:tc>
                <w:tcPr>
                  <w:tcW w:w="796" w:type="pct"/>
                  <w:tcBorders>
                    <w:tl2br w:val="nil"/>
                    <w:tr2bl w:val="nil"/>
                  </w:tcBorders>
                  <w:vAlign w:val="center"/>
                </w:tcPr>
                <w:p w14:paraId="09862AC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259.85</w:t>
                  </w:r>
                </w:p>
              </w:tc>
              <w:tc>
                <w:tcPr>
                  <w:tcW w:w="771" w:type="pct"/>
                  <w:tcBorders>
                    <w:tl2br w:val="nil"/>
                    <w:tr2bl w:val="nil"/>
                  </w:tcBorders>
                  <w:vAlign w:val="center"/>
                </w:tcPr>
                <w:p w14:paraId="3C951C4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8.2</w:t>
                  </w:r>
                </w:p>
              </w:tc>
              <w:tc>
                <w:tcPr>
                  <w:tcW w:w="714" w:type="pct"/>
                  <w:tcBorders>
                    <w:tl2br w:val="nil"/>
                    <w:tr2bl w:val="nil"/>
                  </w:tcBorders>
                  <w:vAlign w:val="center"/>
                </w:tcPr>
                <w:p w14:paraId="7BA1B9F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3"/>
                      <w:sz w:val="21"/>
                      <w:szCs w:val="21"/>
                      <w:highlight w:val="none"/>
                      <w:lang w:val="en-US" w:eastAsia="zh-CN"/>
                    </w:rPr>
                    <w:t>0.01</w:t>
                  </w:r>
                </w:p>
              </w:tc>
              <w:tc>
                <w:tcPr>
                  <w:tcW w:w="811" w:type="pct"/>
                  <w:tcBorders>
                    <w:tl2br w:val="nil"/>
                    <w:tr2bl w:val="nil"/>
                  </w:tcBorders>
                  <w:vAlign w:val="center"/>
                </w:tcPr>
                <w:p w14:paraId="7C4525F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0.005</w:t>
                  </w:r>
                </w:p>
              </w:tc>
              <w:tc>
                <w:tcPr>
                  <w:tcW w:w="735" w:type="pct"/>
                  <w:tcBorders>
                    <w:tl2br w:val="nil"/>
                    <w:tr2bl w:val="nil"/>
                  </w:tcBorders>
                  <w:vAlign w:val="center"/>
                </w:tcPr>
                <w:p w14:paraId="20D09F9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4"/>
                      <w:sz w:val="21"/>
                      <w:szCs w:val="21"/>
                      <w:highlight w:val="none"/>
                      <w:lang w:val="en-US" w:eastAsia="zh-CN"/>
                    </w:rPr>
                    <w:t>2000</w:t>
                  </w:r>
                </w:p>
              </w:tc>
            </w:tr>
            <w:tr w14:paraId="2DFC73B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62" w:type="pct"/>
                  <w:tcBorders>
                    <w:tl2br w:val="nil"/>
                    <w:tr2bl w:val="nil"/>
                  </w:tcBorders>
                  <w:vAlign w:val="center"/>
                </w:tcPr>
                <w:p w14:paraId="755D94C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6"/>
                      <w:sz w:val="21"/>
                      <w:szCs w:val="21"/>
                      <w:highlight w:val="none"/>
                    </w:rPr>
                    <w:t>燃油车</w:t>
                  </w:r>
                </w:p>
              </w:tc>
              <w:tc>
                <w:tcPr>
                  <w:tcW w:w="707" w:type="pct"/>
                  <w:tcBorders>
                    <w:tl2br w:val="nil"/>
                    <w:tr2bl w:val="nil"/>
                  </w:tcBorders>
                  <w:vAlign w:val="center"/>
                </w:tcPr>
                <w:p w14:paraId="4C07CB7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6546.1</w:t>
                  </w:r>
                </w:p>
              </w:tc>
              <w:tc>
                <w:tcPr>
                  <w:tcW w:w="796" w:type="pct"/>
                  <w:tcBorders>
                    <w:tl2br w:val="nil"/>
                    <w:tr2bl w:val="nil"/>
                  </w:tcBorders>
                  <w:vAlign w:val="center"/>
                </w:tcPr>
                <w:p w14:paraId="3B5A265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840</w:t>
                  </w:r>
                </w:p>
              </w:tc>
              <w:tc>
                <w:tcPr>
                  <w:tcW w:w="771" w:type="pct"/>
                  <w:tcBorders>
                    <w:tl2br w:val="nil"/>
                    <w:tr2bl w:val="nil"/>
                  </w:tcBorders>
                  <w:vAlign w:val="center"/>
                </w:tcPr>
                <w:p w14:paraId="487EFD1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8.2</w:t>
                  </w:r>
                </w:p>
              </w:tc>
              <w:tc>
                <w:tcPr>
                  <w:tcW w:w="714" w:type="pct"/>
                  <w:tcBorders>
                    <w:tl2br w:val="nil"/>
                    <w:tr2bl w:val="nil"/>
                  </w:tcBorders>
                  <w:vAlign w:val="center"/>
                </w:tcPr>
                <w:p w14:paraId="6EA96B4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3"/>
                      <w:sz w:val="21"/>
                      <w:szCs w:val="21"/>
                      <w:highlight w:val="none"/>
                      <w:lang w:val="en-US" w:eastAsia="zh-CN"/>
                    </w:rPr>
                    <w:t>0.06</w:t>
                  </w:r>
                </w:p>
              </w:tc>
              <w:tc>
                <w:tcPr>
                  <w:tcW w:w="811" w:type="pct"/>
                  <w:tcBorders>
                    <w:tl2br w:val="nil"/>
                    <w:tr2bl w:val="nil"/>
                  </w:tcBorders>
                  <w:vAlign w:val="center"/>
                </w:tcPr>
                <w:p w14:paraId="0B6D049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0.03</w:t>
                  </w:r>
                </w:p>
              </w:tc>
              <w:tc>
                <w:tcPr>
                  <w:tcW w:w="735" w:type="pct"/>
                  <w:tcBorders>
                    <w:tl2br w:val="nil"/>
                    <w:tr2bl w:val="nil"/>
                  </w:tcBorders>
                  <w:vAlign w:val="center"/>
                </w:tcPr>
                <w:p w14:paraId="1BFC4B15">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4"/>
                      <w:sz w:val="21"/>
                      <w:szCs w:val="21"/>
                      <w:highlight w:val="none"/>
                      <w:lang w:val="en-US" w:eastAsia="zh-CN"/>
                    </w:rPr>
                    <w:t>2000</w:t>
                  </w:r>
                </w:p>
              </w:tc>
            </w:tr>
            <w:tr w14:paraId="466297E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462" w:type="pct"/>
                  <w:tcBorders>
                    <w:tl2br w:val="nil"/>
                    <w:tr2bl w:val="nil"/>
                  </w:tcBorders>
                  <w:vAlign w:val="center"/>
                </w:tcPr>
                <w:p w14:paraId="59F74D0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eastAsia="宋体"/>
                      <w:color w:val="auto"/>
                      <w:spacing w:val="6"/>
                      <w:sz w:val="21"/>
                      <w:szCs w:val="21"/>
                      <w:highlight w:val="none"/>
                      <w:lang w:val="en-US" w:eastAsia="zh-CN"/>
                    </w:rPr>
                  </w:pPr>
                  <w:r>
                    <w:rPr>
                      <w:rFonts w:hint="eastAsia"/>
                      <w:color w:val="auto"/>
                      <w:spacing w:val="6"/>
                      <w:sz w:val="21"/>
                      <w:szCs w:val="21"/>
                      <w:highlight w:val="none"/>
                      <w:lang w:val="en-US" w:eastAsia="zh-CN"/>
                    </w:rPr>
                    <w:t>农机</w:t>
                  </w:r>
                </w:p>
              </w:tc>
              <w:tc>
                <w:tcPr>
                  <w:tcW w:w="707" w:type="pct"/>
                  <w:tcBorders>
                    <w:tl2br w:val="nil"/>
                    <w:tr2bl w:val="nil"/>
                  </w:tcBorders>
                  <w:vAlign w:val="center"/>
                </w:tcPr>
                <w:p w14:paraId="0BA7E858">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3"/>
                      <w:sz w:val="21"/>
                      <w:szCs w:val="21"/>
                      <w:highlight w:val="none"/>
                      <w:lang w:val="en-US" w:eastAsia="zh-CN"/>
                    </w:rPr>
                  </w:pPr>
                  <w:r>
                    <w:rPr>
                      <w:rFonts w:hint="eastAsia" w:cs="Times New Roman"/>
                      <w:color w:val="auto"/>
                      <w:spacing w:val="3"/>
                      <w:sz w:val="21"/>
                      <w:szCs w:val="21"/>
                      <w:highlight w:val="none"/>
                      <w:lang w:val="en-US" w:eastAsia="zh-CN"/>
                    </w:rPr>
                    <w:t>1756</w:t>
                  </w:r>
                </w:p>
              </w:tc>
              <w:tc>
                <w:tcPr>
                  <w:tcW w:w="796" w:type="pct"/>
                  <w:tcBorders>
                    <w:tl2br w:val="nil"/>
                    <w:tr2bl w:val="nil"/>
                  </w:tcBorders>
                  <w:vAlign w:val="center"/>
                </w:tcPr>
                <w:p w14:paraId="16E4C74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60</w:t>
                  </w:r>
                </w:p>
              </w:tc>
              <w:tc>
                <w:tcPr>
                  <w:tcW w:w="771" w:type="pct"/>
                  <w:tcBorders>
                    <w:tl2br w:val="nil"/>
                    <w:tr2bl w:val="nil"/>
                  </w:tcBorders>
                  <w:vAlign w:val="center"/>
                </w:tcPr>
                <w:p w14:paraId="45F3463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8.2</w:t>
                  </w:r>
                </w:p>
              </w:tc>
              <w:tc>
                <w:tcPr>
                  <w:tcW w:w="714" w:type="pct"/>
                  <w:tcBorders>
                    <w:tl2br w:val="nil"/>
                    <w:tr2bl w:val="nil"/>
                  </w:tcBorders>
                  <w:vAlign w:val="center"/>
                </w:tcPr>
                <w:p w14:paraId="51BCC03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3"/>
                      <w:sz w:val="21"/>
                      <w:szCs w:val="21"/>
                      <w:highlight w:val="none"/>
                      <w:lang w:val="en-US" w:eastAsia="zh-CN"/>
                    </w:rPr>
                  </w:pPr>
                  <w:r>
                    <w:rPr>
                      <w:rFonts w:hint="eastAsia" w:cs="Times New Roman"/>
                      <w:color w:val="auto"/>
                      <w:spacing w:val="3"/>
                      <w:sz w:val="21"/>
                      <w:szCs w:val="21"/>
                      <w:highlight w:val="none"/>
                      <w:lang w:val="en-US" w:eastAsia="zh-CN"/>
                    </w:rPr>
                    <w:t>0.015</w:t>
                  </w:r>
                </w:p>
              </w:tc>
              <w:tc>
                <w:tcPr>
                  <w:tcW w:w="811" w:type="pct"/>
                  <w:tcBorders>
                    <w:tl2br w:val="nil"/>
                    <w:tr2bl w:val="nil"/>
                  </w:tcBorders>
                  <w:vAlign w:val="center"/>
                </w:tcPr>
                <w:p w14:paraId="7B36140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0.0075</w:t>
                  </w:r>
                </w:p>
              </w:tc>
              <w:tc>
                <w:tcPr>
                  <w:tcW w:w="735" w:type="pct"/>
                  <w:tcBorders>
                    <w:tl2br w:val="nil"/>
                    <w:tr2bl w:val="nil"/>
                  </w:tcBorders>
                  <w:vAlign w:val="center"/>
                </w:tcPr>
                <w:p w14:paraId="22A78D3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eastAsia="宋体" w:cs="Times New Roman"/>
                      <w:color w:val="auto"/>
                      <w:spacing w:val="4"/>
                      <w:sz w:val="21"/>
                      <w:szCs w:val="21"/>
                      <w:highlight w:val="none"/>
                      <w:lang w:val="en-US" w:eastAsia="zh-CN"/>
                    </w:rPr>
                  </w:pPr>
                  <w:r>
                    <w:rPr>
                      <w:rFonts w:hint="eastAsia" w:cs="Times New Roman"/>
                      <w:color w:val="auto"/>
                      <w:spacing w:val="4"/>
                      <w:sz w:val="21"/>
                      <w:szCs w:val="21"/>
                      <w:highlight w:val="none"/>
                      <w:lang w:val="en-US" w:eastAsia="zh-CN"/>
                    </w:rPr>
                    <w:t>2000</w:t>
                  </w:r>
                </w:p>
              </w:tc>
            </w:tr>
            <w:tr w14:paraId="0224761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395" w:hRule="atLeast"/>
              </w:trPr>
              <w:tc>
                <w:tcPr>
                  <w:tcW w:w="2738" w:type="pct"/>
                  <w:gridSpan w:val="4"/>
                  <w:tcBorders>
                    <w:tl2br w:val="nil"/>
                    <w:tr2bl w:val="nil"/>
                  </w:tcBorders>
                  <w:vAlign w:val="center"/>
                </w:tcPr>
                <w:p w14:paraId="63670C5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z w:val="21"/>
                      <w:szCs w:val="21"/>
                      <w:highlight w:val="none"/>
                      <w:lang w:val="en-US" w:eastAsia="zh-CN"/>
                    </w:rPr>
                  </w:pPr>
                  <w:r>
                    <w:rPr>
                      <w:rFonts w:hint="eastAsia" w:eastAsia="宋体" w:cs="Times New Roman"/>
                      <w:color w:val="auto"/>
                      <w:sz w:val="21"/>
                      <w:szCs w:val="21"/>
                      <w:highlight w:val="none"/>
                      <w:lang w:val="en-US" w:eastAsia="zh-CN"/>
                    </w:rPr>
                    <w:t>合计</w:t>
                  </w:r>
                </w:p>
              </w:tc>
              <w:tc>
                <w:tcPr>
                  <w:tcW w:w="714" w:type="pct"/>
                  <w:tcBorders>
                    <w:tl2br w:val="nil"/>
                    <w:tr2bl w:val="nil"/>
                  </w:tcBorders>
                  <w:vAlign w:val="center"/>
                </w:tcPr>
                <w:p w14:paraId="33EAF89C">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3"/>
                      <w:sz w:val="21"/>
                      <w:szCs w:val="21"/>
                      <w:highlight w:val="none"/>
                      <w:lang w:val="en-US" w:eastAsia="zh-CN"/>
                    </w:rPr>
                  </w:pPr>
                  <w:r>
                    <w:rPr>
                      <w:rFonts w:hint="eastAsia" w:cs="Times New Roman"/>
                      <w:color w:val="auto"/>
                      <w:spacing w:val="3"/>
                      <w:sz w:val="21"/>
                      <w:szCs w:val="21"/>
                      <w:highlight w:val="none"/>
                      <w:lang w:val="en-US" w:eastAsia="zh-CN"/>
                    </w:rPr>
                    <w:t>0.085</w:t>
                  </w:r>
                </w:p>
              </w:tc>
              <w:tc>
                <w:tcPr>
                  <w:tcW w:w="811" w:type="pct"/>
                  <w:tcBorders>
                    <w:tl2br w:val="nil"/>
                    <w:tr2bl w:val="nil"/>
                  </w:tcBorders>
                  <w:vAlign w:val="center"/>
                </w:tcPr>
                <w:p w14:paraId="0AD83D1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pacing w:val="3"/>
                      <w:sz w:val="21"/>
                      <w:szCs w:val="21"/>
                      <w:highlight w:val="none"/>
                      <w:lang w:val="en-US" w:eastAsia="zh-CN"/>
                    </w:rPr>
                  </w:pPr>
                  <w:r>
                    <w:rPr>
                      <w:rFonts w:hint="eastAsia" w:cs="Times New Roman"/>
                      <w:color w:val="auto"/>
                      <w:spacing w:val="3"/>
                      <w:sz w:val="21"/>
                      <w:szCs w:val="21"/>
                      <w:highlight w:val="none"/>
                      <w:lang w:val="en-US" w:eastAsia="zh-CN"/>
                    </w:rPr>
                    <w:t>0.0425</w:t>
                  </w:r>
                </w:p>
              </w:tc>
              <w:tc>
                <w:tcPr>
                  <w:tcW w:w="735" w:type="pct"/>
                  <w:tcBorders>
                    <w:tl2br w:val="nil"/>
                    <w:tr2bl w:val="nil"/>
                  </w:tcBorders>
                  <w:vAlign w:val="center"/>
                </w:tcPr>
                <w:p w14:paraId="56751699">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eastAsia" w:ascii="Times New Roman" w:hAnsi="Times New Roman" w:eastAsia="宋体" w:cs="Times New Roman"/>
                      <w:color w:val="auto"/>
                      <w:spacing w:val="4"/>
                      <w:sz w:val="21"/>
                      <w:szCs w:val="21"/>
                      <w:highlight w:val="none"/>
                      <w:lang w:val="en-US" w:eastAsia="zh-CN"/>
                    </w:rPr>
                  </w:pPr>
                  <w:r>
                    <w:rPr>
                      <w:rFonts w:hint="eastAsia" w:eastAsia="宋体" w:cs="Times New Roman"/>
                      <w:color w:val="auto"/>
                      <w:spacing w:val="4"/>
                      <w:sz w:val="21"/>
                      <w:szCs w:val="21"/>
                      <w:highlight w:val="none"/>
                      <w:lang w:val="en-US" w:eastAsia="zh-CN"/>
                    </w:rPr>
                    <w:t>/</w:t>
                  </w:r>
                </w:p>
              </w:tc>
            </w:tr>
          </w:tbl>
          <w:p w14:paraId="385735D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本项目拟在切割、剪切工位上方设置集气罩，产生的粉尘收集后，经布袋除尘器处理后，由1根</w:t>
            </w:r>
            <w:r>
              <w:rPr>
                <w:rFonts w:hint="eastAsia" w:cs="宋体"/>
                <w:color w:val="auto"/>
                <w:spacing w:val="2"/>
                <w:highlight w:val="none"/>
                <w:lang w:val="en-US" w:eastAsia="zh-CN"/>
              </w:rPr>
              <w:t>24m</w:t>
            </w:r>
            <w:r>
              <w:rPr>
                <w:rFonts w:hint="default" w:ascii="Times New Roman" w:hAnsi="Times New Roman" w:eastAsia="宋体" w:cs="宋体"/>
                <w:color w:val="auto"/>
                <w:spacing w:val="2"/>
                <w:highlight w:val="none"/>
              </w:rPr>
              <w:t>高排气筒</w:t>
            </w:r>
            <w:r>
              <w:rPr>
                <w:rFonts w:hint="eastAsia" w:ascii="Times New Roman" w:hAnsi="Times New Roman" w:eastAsia="宋体" w:cs="宋体"/>
                <w:color w:val="auto"/>
                <w:spacing w:val="2"/>
                <w:highlight w:val="none"/>
                <w:lang w:val="en-US" w:eastAsia="zh-CN"/>
              </w:rPr>
              <w:t>DA00</w:t>
            </w:r>
            <w:r>
              <w:rPr>
                <w:rFonts w:hint="eastAsia" w:cs="宋体"/>
                <w:color w:val="auto"/>
                <w:spacing w:val="2"/>
                <w:highlight w:val="none"/>
                <w:lang w:val="en-US" w:eastAsia="zh-CN"/>
              </w:rPr>
              <w:t>2</w:t>
            </w:r>
            <w:r>
              <w:rPr>
                <w:rFonts w:hint="default" w:ascii="Times New Roman" w:hAnsi="Times New Roman" w:eastAsia="宋体" w:cs="宋体"/>
                <w:color w:val="auto"/>
                <w:spacing w:val="2"/>
                <w:highlight w:val="none"/>
              </w:rPr>
              <w:t>有组织排放。</w:t>
            </w:r>
          </w:p>
          <w:p w14:paraId="64A67FC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参考《袋式除尘工程通用技术规范》（HJ2020-2012）顶吸罩捕集效率不低于90% ，本次评价收集效率以90%计算</w:t>
            </w:r>
            <w:r>
              <w:rPr>
                <w:rFonts w:hint="eastAsia" w:ascii="Times New Roman" w:hAnsi="Times New Roman" w:eastAsia="宋体" w:cs="宋体"/>
                <w:color w:val="auto"/>
                <w:spacing w:val="2"/>
                <w:highlight w:val="none"/>
                <w:lang w:eastAsia="zh-CN"/>
              </w:rPr>
              <w:t>；</w:t>
            </w:r>
            <w:r>
              <w:rPr>
                <w:rFonts w:hint="default" w:ascii="Times New Roman" w:hAnsi="Times New Roman" w:eastAsia="宋体" w:cs="宋体"/>
                <w:color w:val="auto"/>
                <w:spacing w:val="2"/>
                <w:highlight w:val="none"/>
              </w:rPr>
              <w:t>参考《排放源统计调查产排污核算方法和系数手册》中“42 废弃资源综合利用行业系数手册 ”布袋除尘器处理效率为 95%，故本次评价布袋除尘器处理效率以95%计算。</w:t>
            </w:r>
          </w:p>
          <w:p w14:paraId="468D9E4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经计算，粉尘有组织排放量</w:t>
            </w:r>
            <w:r>
              <w:rPr>
                <w:rFonts w:hint="eastAsia" w:cs="宋体"/>
                <w:color w:val="auto"/>
                <w:spacing w:val="2"/>
                <w:highlight w:val="none"/>
                <w:lang w:val="en-US" w:eastAsia="zh-CN"/>
              </w:rPr>
              <w:t>约</w:t>
            </w:r>
            <w:r>
              <w:rPr>
                <w:rFonts w:hint="default" w:ascii="Times New Roman" w:hAnsi="Times New Roman" w:eastAsia="宋体" w:cs="宋体"/>
                <w:color w:val="auto"/>
                <w:spacing w:val="2"/>
                <w:highlight w:val="none"/>
              </w:rPr>
              <w:t>为</w:t>
            </w:r>
            <w:r>
              <w:rPr>
                <w:rFonts w:hint="eastAsia" w:cs="宋体"/>
                <w:color w:val="auto"/>
                <w:spacing w:val="2"/>
                <w:highlight w:val="none"/>
                <w:lang w:val="en-US" w:eastAsia="zh-CN"/>
              </w:rPr>
              <w:t>0.0038</w:t>
            </w:r>
            <w:r>
              <w:rPr>
                <w:rFonts w:hint="default" w:ascii="Times New Roman" w:hAnsi="Times New Roman" w:eastAsia="宋体" w:cs="宋体"/>
                <w:color w:val="auto"/>
                <w:spacing w:val="2"/>
                <w:highlight w:val="none"/>
              </w:rPr>
              <w:t>t/a，排放速率为</w:t>
            </w:r>
            <w:r>
              <w:rPr>
                <w:rFonts w:hint="eastAsia" w:cs="宋体"/>
                <w:color w:val="auto"/>
                <w:spacing w:val="2"/>
                <w:highlight w:val="none"/>
                <w:lang w:val="en-US" w:eastAsia="zh-CN"/>
              </w:rPr>
              <w:t>0.002</w:t>
            </w:r>
            <w:r>
              <w:rPr>
                <w:rFonts w:hint="default" w:ascii="Times New Roman" w:hAnsi="Times New Roman" w:eastAsia="宋体" w:cs="宋体"/>
                <w:color w:val="auto"/>
                <w:spacing w:val="2"/>
                <w:highlight w:val="none"/>
              </w:rPr>
              <w:t>kg/h；无组织排放量为</w:t>
            </w:r>
            <w:r>
              <w:rPr>
                <w:rFonts w:hint="eastAsia" w:cs="宋体"/>
                <w:color w:val="auto"/>
                <w:spacing w:val="2"/>
                <w:highlight w:val="none"/>
                <w:lang w:val="en-US" w:eastAsia="zh-CN"/>
              </w:rPr>
              <w:t>0.0085</w:t>
            </w:r>
            <w:r>
              <w:rPr>
                <w:rFonts w:hint="default" w:ascii="Times New Roman" w:hAnsi="Times New Roman" w:eastAsia="宋体" w:cs="宋体"/>
                <w:color w:val="auto"/>
                <w:spacing w:val="2"/>
                <w:highlight w:val="none"/>
              </w:rPr>
              <w:t>t/a ，排放速率为</w:t>
            </w:r>
            <w:r>
              <w:rPr>
                <w:rFonts w:hint="eastAsia" w:cs="宋体"/>
                <w:color w:val="auto"/>
                <w:spacing w:val="2"/>
                <w:highlight w:val="none"/>
                <w:lang w:val="en-US" w:eastAsia="zh-CN"/>
              </w:rPr>
              <w:t>0.00425</w:t>
            </w:r>
            <w:r>
              <w:rPr>
                <w:rFonts w:hint="default" w:ascii="Times New Roman" w:hAnsi="Times New Roman" w:eastAsia="宋体" w:cs="宋体"/>
                <w:color w:val="auto"/>
                <w:spacing w:val="2"/>
                <w:highlight w:val="none"/>
              </w:rPr>
              <w:t>kg/h。</w:t>
            </w:r>
          </w:p>
          <w:p w14:paraId="7FAA651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lang w:val="en-US" w:eastAsia="zh-CN"/>
              </w:rPr>
            </w:pPr>
            <w:r>
              <w:rPr>
                <w:rFonts w:hint="eastAsia" w:cs="宋体"/>
                <w:color w:val="auto"/>
                <w:spacing w:val="2"/>
                <w:highlight w:val="none"/>
                <w:lang w:val="en-US" w:eastAsia="zh-CN"/>
              </w:rPr>
              <w:t>⑤废钢剪切、破碎工序粉尘</w:t>
            </w:r>
          </w:p>
          <w:p w14:paraId="5496D24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本项目</w:t>
            </w:r>
            <w:r>
              <w:rPr>
                <w:rFonts w:hint="eastAsia" w:cs="宋体"/>
                <w:color w:val="auto"/>
                <w:spacing w:val="2"/>
                <w:highlight w:val="none"/>
                <w:lang w:val="en-US" w:eastAsia="zh-CN"/>
              </w:rPr>
              <w:t>废钢剪切</w:t>
            </w:r>
            <w:r>
              <w:rPr>
                <w:rFonts w:hint="default" w:ascii="Times New Roman" w:hAnsi="Times New Roman" w:eastAsia="宋体" w:cs="宋体"/>
                <w:color w:val="auto"/>
                <w:spacing w:val="2"/>
                <w:highlight w:val="none"/>
              </w:rPr>
              <w:t>、</w:t>
            </w:r>
            <w:r>
              <w:rPr>
                <w:rFonts w:hint="eastAsia" w:cs="宋体"/>
                <w:color w:val="auto"/>
                <w:spacing w:val="2"/>
                <w:highlight w:val="none"/>
                <w:lang w:val="en-US" w:eastAsia="zh-CN"/>
              </w:rPr>
              <w:t>破碎工序</w:t>
            </w:r>
            <w:r>
              <w:rPr>
                <w:rFonts w:hint="default" w:ascii="Times New Roman" w:hAnsi="Times New Roman" w:eastAsia="宋体" w:cs="宋体"/>
                <w:color w:val="auto"/>
                <w:spacing w:val="2"/>
                <w:highlight w:val="none"/>
              </w:rPr>
              <w:t>产生</w:t>
            </w:r>
            <w:r>
              <w:rPr>
                <w:rFonts w:hint="eastAsia" w:ascii="Times New Roman" w:hAnsi="Times New Roman" w:eastAsia="宋体" w:cs="宋体"/>
                <w:color w:val="auto"/>
                <w:spacing w:val="2"/>
                <w:highlight w:val="none"/>
                <w:lang w:val="en-US" w:eastAsia="zh-CN"/>
              </w:rPr>
              <w:t>的</w:t>
            </w:r>
            <w:r>
              <w:rPr>
                <w:rFonts w:hint="default" w:ascii="Times New Roman" w:hAnsi="Times New Roman" w:eastAsia="宋体" w:cs="宋体"/>
                <w:color w:val="auto"/>
                <w:spacing w:val="2"/>
                <w:highlight w:val="none"/>
              </w:rPr>
              <w:t>粉尘</w:t>
            </w:r>
            <w:r>
              <w:rPr>
                <w:rFonts w:hint="eastAsia" w:ascii="Times New Roman" w:hAnsi="Times New Roman" w:eastAsia="宋体" w:cs="宋体"/>
                <w:color w:val="auto"/>
                <w:spacing w:val="2"/>
                <w:highlight w:val="none"/>
                <w:lang w:eastAsia="zh-CN"/>
              </w:rPr>
              <w:t>（</w:t>
            </w:r>
            <w:r>
              <w:rPr>
                <w:rFonts w:hint="eastAsia" w:ascii="Times New Roman" w:hAnsi="Times New Roman" w:eastAsia="宋体" w:cs="宋体"/>
                <w:color w:val="auto"/>
                <w:spacing w:val="2"/>
                <w:highlight w:val="none"/>
                <w:lang w:val="en-US" w:eastAsia="zh-CN"/>
              </w:rPr>
              <w:t>颗粒物）</w:t>
            </w:r>
            <w:r>
              <w:rPr>
                <w:rFonts w:hint="eastAsia" w:ascii="Times New Roman" w:hAnsi="Times New Roman" w:eastAsia="宋体" w:cs="宋体"/>
                <w:color w:val="auto"/>
                <w:spacing w:val="2"/>
                <w:highlight w:val="none"/>
                <w:lang w:eastAsia="zh-CN"/>
              </w:rPr>
              <w:t>，</w:t>
            </w:r>
            <w:r>
              <w:rPr>
                <w:rFonts w:hint="default" w:ascii="Times New Roman" w:hAnsi="Times New Roman" w:eastAsia="宋体" w:cs="宋体"/>
                <w:color w:val="auto"/>
                <w:spacing w:val="2"/>
                <w:highlight w:val="none"/>
              </w:rPr>
              <w:t>参照《排放源统计调查产排污核算方法和系数手册》中“42废弃资源综合利用行业系数手册 ”中相关系数进行核算，即剪切产污系数为 7.2g/t-原料、切割产污系数为 1.0g/t-原料。</w:t>
            </w:r>
            <w:r>
              <w:rPr>
                <w:rFonts w:hint="eastAsia" w:cs="宋体"/>
                <w:color w:val="auto"/>
                <w:spacing w:val="2"/>
                <w:highlight w:val="none"/>
                <w:lang w:val="en-US" w:eastAsia="zh-CN"/>
              </w:rPr>
              <w:t>此工序主要对废钢进行剪切及破碎，</w:t>
            </w:r>
            <w:r>
              <w:rPr>
                <w:rFonts w:hint="eastAsia" w:ascii="Times New Roman" w:hAnsi="Times New Roman" w:eastAsia="宋体" w:cs="宋体"/>
                <w:color w:val="auto"/>
                <w:spacing w:val="2"/>
                <w:highlight w:val="none"/>
                <w:lang w:val="en-US" w:eastAsia="zh-CN"/>
              </w:rPr>
              <w:t>颗粒物</w:t>
            </w:r>
            <w:r>
              <w:rPr>
                <w:rFonts w:hint="default" w:ascii="Times New Roman" w:hAnsi="Times New Roman" w:eastAsia="宋体" w:cs="宋体"/>
                <w:color w:val="auto"/>
                <w:spacing w:val="2"/>
                <w:highlight w:val="none"/>
              </w:rPr>
              <w:t>产生情况见下表。</w:t>
            </w:r>
          </w:p>
          <w:p w14:paraId="74E6655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eastAsia" w:ascii="Times New Roman" w:hAnsi="Times New Roman" w:eastAsia="宋体" w:cs="Times New Roman"/>
                <w:b/>
                <w:bCs/>
                <w:color w:val="auto"/>
                <w:kern w:val="2"/>
                <w:sz w:val="24"/>
                <w:szCs w:val="24"/>
                <w:highlight w:val="none"/>
                <w:lang w:val="en-US" w:eastAsia="zh-CN" w:bidi="ar-SA"/>
              </w:rPr>
            </w:pPr>
            <w:r>
              <w:rPr>
                <w:rFonts w:hint="default"/>
                <w:b/>
                <w:bCs/>
                <w:color w:val="auto"/>
                <w:spacing w:val="-2"/>
                <w:sz w:val="21"/>
                <w:szCs w:val="21"/>
                <w:highlight w:val="none"/>
              </w:rPr>
              <w:t>表</w:t>
            </w:r>
            <w:r>
              <w:rPr>
                <w:rFonts w:hint="eastAsia"/>
                <w:b/>
                <w:bCs/>
                <w:color w:val="auto"/>
                <w:spacing w:val="-2"/>
                <w:sz w:val="21"/>
                <w:szCs w:val="21"/>
                <w:highlight w:val="none"/>
                <w:lang w:val="en-US" w:eastAsia="zh-CN"/>
              </w:rPr>
              <w:t>4-4</w:t>
            </w:r>
            <w:r>
              <w:rPr>
                <w:rFonts w:hint="default" w:ascii="Times New Roman" w:hAnsi="Times New Roman" w:eastAsia="Times New Roman" w:cs="Times New Roman"/>
                <w:b/>
                <w:bCs/>
                <w:color w:val="auto"/>
                <w:spacing w:val="-2"/>
                <w:sz w:val="21"/>
                <w:szCs w:val="21"/>
                <w:highlight w:val="none"/>
              </w:rPr>
              <w:t xml:space="preserve">  </w:t>
            </w:r>
            <w:r>
              <w:rPr>
                <w:rFonts w:hint="eastAsia" w:eastAsia="宋体" w:cs="Times New Roman"/>
                <w:b/>
                <w:bCs/>
                <w:color w:val="auto"/>
                <w:spacing w:val="-2"/>
                <w:sz w:val="21"/>
                <w:szCs w:val="21"/>
                <w:highlight w:val="none"/>
                <w:lang w:val="en-US" w:eastAsia="zh-CN"/>
              </w:rPr>
              <w:t>废钢铁</w:t>
            </w:r>
            <w:r>
              <w:rPr>
                <w:rFonts w:hint="eastAsia" w:ascii="Times New Roman" w:hAnsi="Times New Roman" w:eastAsia="宋体" w:cs="Times New Roman"/>
                <w:b/>
                <w:bCs/>
                <w:color w:val="auto"/>
                <w:spacing w:val="-2"/>
                <w:sz w:val="21"/>
                <w:szCs w:val="21"/>
                <w:highlight w:val="none"/>
                <w:lang w:val="en-US" w:eastAsia="zh-CN"/>
              </w:rPr>
              <w:t>切割、</w:t>
            </w:r>
            <w:r>
              <w:rPr>
                <w:rFonts w:hint="eastAsia" w:cs="Times New Roman"/>
                <w:b/>
                <w:bCs/>
                <w:color w:val="auto"/>
                <w:spacing w:val="-2"/>
                <w:sz w:val="21"/>
                <w:szCs w:val="21"/>
                <w:highlight w:val="none"/>
                <w:lang w:val="en-US" w:eastAsia="zh-CN"/>
              </w:rPr>
              <w:t>破碎</w:t>
            </w:r>
            <w:r>
              <w:rPr>
                <w:rFonts w:hint="eastAsia" w:ascii="Times New Roman" w:hAnsi="Times New Roman" w:eastAsia="宋体" w:cs="Times New Roman"/>
                <w:b/>
                <w:bCs/>
                <w:color w:val="auto"/>
                <w:spacing w:val="-2"/>
                <w:sz w:val="21"/>
                <w:szCs w:val="21"/>
                <w:highlight w:val="none"/>
                <w:lang w:val="en-US" w:eastAsia="zh-CN"/>
              </w:rPr>
              <w:t>工序颗粒物</w:t>
            </w:r>
            <w:r>
              <w:rPr>
                <w:rFonts w:hint="default"/>
                <w:b/>
                <w:bCs/>
                <w:color w:val="auto"/>
                <w:spacing w:val="-2"/>
                <w:sz w:val="21"/>
                <w:szCs w:val="21"/>
                <w:highlight w:val="none"/>
              </w:rPr>
              <w:t>废气产生量取值情况表</w:t>
            </w:r>
          </w:p>
          <w:tbl>
            <w:tblPr>
              <w:tblStyle w:val="74"/>
              <w:tblW w:w="4999"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0" w:type="dxa"/>
                <w:bottom w:w="0" w:type="dxa"/>
                <w:right w:w="0" w:type="dxa"/>
              </w:tblCellMar>
            </w:tblPr>
            <w:tblGrid>
              <w:gridCol w:w="1724"/>
              <w:gridCol w:w="1886"/>
              <w:gridCol w:w="1742"/>
              <w:gridCol w:w="1978"/>
              <w:gridCol w:w="1794"/>
            </w:tblGrid>
            <w:tr w14:paraId="324BDF5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654" w:hRule="atLeast"/>
              </w:trPr>
              <w:tc>
                <w:tcPr>
                  <w:tcW w:w="944" w:type="pct"/>
                  <w:tcBorders>
                    <w:tl2br w:val="nil"/>
                    <w:tr2bl w:val="nil"/>
                  </w:tcBorders>
                  <w:vAlign w:val="center"/>
                </w:tcPr>
                <w:p w14:paraId="3921389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7"/>
                      <w:sz w:val="21"/>
                      <w:szCs w:val="21"/>
                      <w:highlight w:val="none"/>
                    </w:rPr>
                  </w:pPr>
                  <w:r>
                    <w:rPr>
                      <w:rFonts w:hint="default"/>
                      <w:color w:val="auto"/>
                      <w:spacing w:val="7"/>
                      <w:sz w:val="21"/>
                      <w:szCs w:val="21"/>
                      <w:highlight w:val="none"/>
                    </w:rPr>
                    <w:t>废钢铁量</w:t>
                  </w:r>
                </w:p>
                <w:p w14:paraId="3390B81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z w:val="21"/>
                      <w:szCs w:val="21"/>
                      <w:highlight w:val="none"/>
                    </w:rPr>
                    <w:t>（</w:t>
                  </w:r>
                  <w:r>
                    <w:rPr>
                      <w:rFonts w:hint="default" w:ascii="Times New Roman" w:hAnsi="Times New Roman" w:eastAsia="Times New Roman" w:cs="Times New Roman"/>
                      <w:color w:val="auto"/>
                      <w:sz w:val="21"/>
                      <w:szCs w:val="21"/>
                      <w:highlight w:val="none"/>
                    </w:rPr>
                    <w:t>t/a</w:t>
                  </w:r>
                  <w:r>
                    <w:rPr>
                      <w:rFonts w:hint="default"/>
                      <w:color w:val="auto"/>
                      <w:sz w:val="21"/>
                      <w:szCs w:val="21"/>
                      <w:highlight w:val="none"/>
                    </w:rPr>
                    <w:t>）</w:t>
                  </w:r>
                </w:p>
              </w:tc>
              <w:tc>
                <w:tcPr>
                  <w:tcW w:w="1033" w:type="pct"/>
                  <w:tcBorders>
                    <w:tl2br w:val="nil"/>
                    <w:tr2bl w:val="nil"/>
                  </w:tcBorders>
                  <w:vAlign w:val="center"/>
                </w:tcPr>
                <w:p w14:paraId="5EF667C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7"/>
                      <w:sz w:val="21"/>
                      <w:szCs w:val="21"/>
                      <w:highlight w:val="none"/>
                    </w:rPr>
                  </w:pPr>
                  <w:r>
                    <w:rPr>
                      <w:rFonts w:hint="default"/>
                      <w:color w:val="auto"/>
                      <w:spacing w:val="7"/>
                      <w:sz w:val="21"/>
                      <w:szCs w:val="21"/>
                      <w:highlight w:val="none"/>
                    </w:rPr>
                    <w:t>产生系数</w:t>
                  </w:r>
                </w:p>
                <w:p w14:paraId="10232EE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2"/>
                      <w:sz w:val="21"/>
                      <w:szCs w:val="21"/>
                      <w:highlight w:val="none"/>
                    </w:rPr>
                    <w:t>（</w:t>
                  </w:r>
                  <w:r>
                    <w:rPr>
                      <w:rFonts w:hint="default" w:ascii="Times New Roman" w:hAnsi="Times New Roman" w:eastAsia="Times New Roman" w:cs="Times New Roman"/>
                      <w:color w:val="auto"/>
                      <w:spacing w:val="2"/>
                      <w:sz w:val="21"/>
                      <w:szCs w:val="21"/>
                      <w:highlight w:val="none"/>
                    </w:rPr>
                    <w:t>g/t-</w:t>
                  </w:r>
                  <w:r>
                    <w:rPr>
                      <w:rFonts w:hint="default"/>
                      <w:color w:val="auto"/>
                      <w:spacing w:val="2"/>
                      <w:sz w:val="21"/>
                      <w:szCs w:val="21"/>
                      <w:highlight w:val="none"/>
                    </w:rPr>
                    <w:t>原料）</w:t>
                  </w:r>
                </w:p>
              </w:tc>
              <w:tc>
                <w:tcPr>
                  <w:tcW w:w="954" w:type="pct"/>
                  <w:tcBorders>
                    <w:tl2br w:val="nil"/>
                    <w:tr2bl w:val="nil"/>
                  </w:tcBorders>
                  <w:vAlign w:val="center"/>
                </w:tcPr>
                <w:p w14:paraId="069AB8D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6"/>
                      <w:sz w:val="21"/>
                      <w:szCs w:val="21"/>
                      <w:highlight w:val="none"/>
                    </w:rPr>
                  </w:pPr>
                  <w:r>
                    <w:rPr>
                      <w:rFonts w:hint="default"/>
                      <w:color w:val="auto"/>
                      <w:spacing w:val="6"/>
                      <w:sz w:val="21"/>
                      <w:szCs w:val="21"/>
                      <w:highlight w:val="none"/>
                    </w:rPr>
                    <w:t>产生量</w:t>
                  </w:r>
                </w:p>
                <w:p w14:paraId="11353AF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1"/>
                      <w:sz w:val="21"/>
                      <w:szCs w:val="21"/>
                      <w:highlight w:val="none"/>
                    </w:rPr>
                    <w:t>（</w:t>
                  </w:r>
                  <w:r>
                    <w:rPr>
                      <w:rFonts w:hint="default" w:ascii="Times New Roman" w:hAnsi="Times New Roman" w:eastAsia="Times New Roman" w:cs="Times New Roman"/>
                      <w:color w:val="auto"/>
                      <w:spacing w:val="-1"/>
                      <w:sz w:val="21"/>
                      <w:szCs w:val="21"/>
                      <w:highlight w:val="none"/>
                    </w:rPr>
                    <w:t>t/a</w:t>
                  </w:r>
                  <w:r>
                    <w:rPr>
                      <w:rFonts w:hint="default"/>
                      <w:color w:val="auto"/>
                      <w:spacing w:val="-1"/>
                      <w:sz w:val="21"/>
                      <w:szCs w:val="21"/>
                      <w:highlight w:val="none"/>
                    </w:rPr>
                    <w:t>）</w:t>
                  </w:r>
                </w:p>
              </w:tc>
              <w:tc>
                <w:tcPr>
                  <w:tcW w:w="1083" w:type="pct"/>
                  <w:tcBorders>
                    <w:tl2br w:val="nil"/>
                    <w:tr2bl w:val="nil"/>
                  </w:tcBorders>
                  <w:vAlign w:val="center"/>
                </w:tcPr>
                <w:p w14:paraId="3F41DE3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7"/>
                      <w:sz w:val="21"/>
                      <w:szCs w:val="21"/>
                      <w:highlight w:val="none"/>
                    </w:rPr>
                  </w:pPr>
                  <w:r>
                    <w:rPr>
                      <w:rFonts w:hint="default"/>
                      <w:color w:val="auto"/>
                      <w:spacing w:val="7"/>
                      <w:sz w:val="21"/>
                      <w:szCs w:val="21"/>
                      <w:highlight w:val="none"/>
                    </w:rPr>
                    <w:t>产生速率</w:t>
                  </w:r>
                </w:p>
                <w:p w14:paraId="23C9A82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pacing w:val="1"/>
                      <w:sz w:val="21"/>
                      <w:szCs w:val="21"/>
                      <w:highlight w:val="none"/>
                    </w:rPr>
                    <w:t>（</w:t>
                  </w:r>
                  <w:r>
                    <w:rPr>
                      <w:rFonts w:hint="default" w:ascii="Times New Roman" w:hAnsi="Times New Roman" w:eastAsia="Times New Roman" w:cs="Times New Roman"/>
                      <w:color w:val="auto"/>
                      <w:sz w:val="21"/>
                      <w:szCs w:val="21"/>
                      <w:highlight w:val="none"/>
                    </w:rPr>
                    <w:t>kg</w:t>
                  </w:r>
                  <w:r>
                    <w:rPr>
                      <w:rFonts w:hint="default" w:ascii="Times New Roman" w:hAnsi="Times New Roman" w:eastAsia="Times New Roman" w:cs="Times New Roman"/>
                      <w:color w:val="auto"/>
                      <w:spacing w:val="1"/>
                      <w:sz w:val="21"/>
                      <w:szCs w:val="21"/>
                      <w:highlight w:val="none"/>
                    </w:rPr>
                    <w:t>/h</w:t>
                  </w:r>
                  <w:r>
                    <w:rPr>
                      <w:rFonts w:hint="default"/>
                      <w:color w:val="auto"/>
                      <w:spacing w:val="1"/>
                      <w:sz w:val="21"/>
                      <w:szCs w:val="21"/>
                      <w:highlight w:val="none"/>
                    </w:rPr>
                    <w:t>）</w:t>
                  </w:r>
                </w:p>
              </w:tc>
              <w:tc>
                <w:tcPr>
                  <w:tcW w:w="982" w:type="pct"/>
                  <w:tcBorders>
                    <w:tl2br w:val="nil"/>
                    <w:tr2bl w:val="nil"/>
                  </w:tcBorders>
                  <w:vAlign w:val="center"/>
                </w:tcPr>
                <w:p w14:paraId="5F11484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pacing w:val="6"/>
                      <w:sz w:val="21"/>
                      <w:szCs w:val="21"/>
                      <w:highlight w:val="none"/>
                    </w:rPr>
                  </w:pPr>
                  <w:r>
                    <w:rPr>
                      <w:rFonts w:hint="default"/>
                      <w:color w:val="auto"/>
                      <w:spacing w:val="6"/>
                      <w:sz w:val="21"/>
                      <w:szCs w:val="21"/>
                      <w:highlight w:val="none"/>
                    </w:rPr>
                    <w:t>工作时间</w:t>
                  </w:r>
                </w:p>
                <w:p w14:paraId="7798CD4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color w:val="auto"/>
                      <w:sz w:val="21"/>
                      <w:szCs w:val="21"/>
                      <w:highlight w:val="none"/>
                    </w:rPr>
                  </w:pPr>
                  <w:r>
                    <w:rPr>
                      <w:rFonts w:hint="default"/>
                      <w:color w:val="auto"/>
                      <w:sz w:val="21"/>
                      <w:szCs w:val="21"/>
                      <w:highlight w:val="none"/>
                    </w:rPr>
                    <w:t>（</w:t>
                  </w:r>
                  <w:r>
                    <w:rPr>
                      <w:rFonts w:hint="default" w:ascii="Times New Roman" w:hAnsi="Times New Roman" w:eastAsia="Times New Roman" w:cs="Times New Roman"/>
                      <w:color w:val="auto"/>
                      <w:sz w:val="21"/>
                      <w:szCs w:val="21"/>
                      <w:highlight w:val="none"/>
                    </w:rPr>
                    <w:t>h/a</w:t>
                  </w:r>
                  <w:r>
                    <w:rPr>
                      <w:rFonts w:hint="default"/>
                      <w:color w:val="auto"/>
                      <w:sz w:val="21"/>
                      <w:szCs w:val="21"/>
                      <w:highlight w:val="none"/>
                    </w:rPr>
                    <w:t>）</w:t>
                  </w:r>
                </w:p>
              </w:tc>
            </w:tr>
            <w:tr w14:paraId="74B78CF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402" w:hRule="atLeast"/>
              </w:trPr>
              <w:tc>
                <w:tcPr>
                  <w:tcW w:w="944" w:type="pct"/>
                  <w:tcBorders>
                    <w:tl2br w:val="nil"/>
                    <w:tr2bl w:val="nil"/>
                  </w:tcBorders>
                  <w:vAlign w:val="center"/>
                </w:tcPr>
                <w:p w14:paraId="346A877F">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150000</w:t>
                  </w:r>
                </w:p>
              </w:tc>
              <w:tc>
                <w:tcPr>
                  <w:tcW w:w="1033" w:type="pct"/>
                  <w:tcBorders>
                    <w:tl2br w:val="nil"/>
                    <w:tr2bl w:val="nil"/>
                  </w:tcBorders>
                  <w:vAlign w:val="center"/>
                </w:tcPr>
                <w:p w14:paraId="24C000E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Times New Roman" w:cs="Times New Roman"/>
                      <w:color w:val="auto"/>
                      <w:sz w:val="21"/>
                      <w:szCs w:val="21"/>
                      <w:highlight w:val="none"/>
                    </w:rPr>
                  </w:pPr>
                  <w:r>
                    <w:rPr>
                      <w:rFonts w:hint="default" w:ascii="Times New Roman" w:hAnsi="Times New Roman" w:eastAsia="Times New Roman" w:cs="Times New Roman"/>
                      <w:color w:val="auto"/>
                      <w:sz w:val="21"/>
                      <w:szCs w:val="21"/>
                      <w:highlight w:val="none"/>
                    </w:rPr>
                    <w:t>8.2</w:t>
                  </w:r>
                </w:p>
              </w:tc>
              <w:tc>
                <w:tcPr>
                  <w:tcW w:w="954" w:type="pct"/>
                  <w:tcBorders>
                    <w:tl2br w:val="nil"/>
                    <w:tr2bl w:val="nil"/>
                  </w:tcBorders>
                  <w:vAlign w:val="center"/>
                </w:tcPr>
                <w:p w14:paraId="7C911B04">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pacing w:val="3"/>
                      <w:sz w:val="21"/>
                      <w:szCs w:val="21"/>
                      <w:highlight w:val="none"/>
                      <w:lang w:val="en-US" w:eastAsia="zh-CN"/>
                    </w:rPr>
                    <w:t>1.23</w:t>
                  </w:r>
                </w:p>
              </w:tc>
              <w:tc>
                <w:tcPr>
                  <w:tcW w:w="1083" w:type="pct"/>
                  <w:tcBorders>
                    <w:tl2br w:val="nil"/>
                    <w:tr2bl w:val="nil"/>
                  </w:tcBorders>
                  <w:vAlign w:val="center"/>
                </w:tcPr>
                <w:p w14:paraId="123B582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0.615</w:t>
                  </w:r>
                </w:p>
              </w:tc>
              <w:tc>
                <w:tcPr>
                  <w:tcW w:w="982" w:type="pct"/>
                  <w:tcBorders>
                    <w:tl2br w:val="nil"/>
                    <w:tr2bl w:val="nil"/>
                  </w:tcBorders>
                  <w:vAlign w:val="center"/>
                </w:tcPr>
                <w:p w14:paraId="083E88F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eastAsia="宋体" w:cs="Times New Roman"/>
                      <w:color w:val="auto"/>
                      <w:spacing w:val="4"/>
                      <w:sz w:val="21"/>
                      <w:szCs w:val="21"/>
                      <w:highlight w:val="none"/>
                      <w:lang w:val="en-US" w:eastAsia="zh-CN"/>
                    </w:rPr>
                    <w:t>2000</w:t>
                  </w:r>
                </w:p>
              </w:tc>
            </w:tr>
          </w:tbl>
          <w:p w14:paraId="567FBCF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本项目拟在</w:t>
            </w:r>
            <w:r>
              <w:rPr>
                <w:rFonts w:hint="eastAsia" w:cs="宋体"/>
                <w:color w:val="auto"/>
                <w:spacing w:val="2"/>
                <w:highlight w:val="none"/>
                <w:lang w:val="en-US" w:eastAsia="zh-CN"/>
              </w:rPr>
              <w:t>废钢剪切、破碎设备</w:t>
            </w:r>
            <w:r>
              <w:rPr>
                <w:rFonts w:hint="default" w:ascii="Times New Roman" w:hAnsi="Times New Roman" w:eastAsia="宋体" w:cs="宋体"/>
                <w:color w:val="auto"/>
                <w:spacing w:val="2"/>
                <w:highlight w:val="none"/>
              </w:rPr>
              <w:t>上方设置集气罩，产生的粉尘收集后，经布袋除尘器处理后，由1根</w:t>
            </w:r>
            <w:r>
              <w:rPr>
                <w:rFonts w:hint="eastAsia" w:cs="宋体"/>
                <w:color w:val="auto"/>
                <w:spacing w:val="2"/>
                <w:highlight w:val="none"/>
                <w:lang w:val="en-US" w:eastAsia="zh-CN"/>
              </w:rPr>
              <w:t>24m</w:t>
            </w:r>
            <w:r>
              <w:rPr>
                <w:rFonts w:hint="default" w:ascii="Times New Roman" w:hAnsi="Times New Roman" w:eastAsia="宋体" w:cs="宋体"/>
                <w:color w:val="auto"/>
                <w:spacing w:val="2"/>
                <w:highlight w:val="none"/>
              </w:rPr>
              <w:t>高排气筒</w:t>
            </w:r>
            <w:r>
              <w:rPr>
                <w:rFonts w:hint="eastAsia" w:ascii="Times New Roman" w:hAnsi="Times New Roman" w:eastAsia="宋体" w:cs="宋体"/>
                <w:color w:val="auto"/>
                <w:spacing w:val="2"/>
                <w:highlight w:val="none"/>
                <w:lang w:val="en-US" w:eastAsia="zh-CN"/>
              </w:rPr>
              <w:t>DA00</w:t>
            </w:r>
            <w:r>
              <w:rPr>
                <w:rFonts w:hint="eastAsia" w:cs="宋体"/>
                <w:color w:val="auto"/>
                <w:spacing w:val="2"/>
                <w:highlight w:val="none"/>
                <w:lang w:val="en-US" w:eastAsia="zh-CN"/>
              </w:rPr>
              <w:t>3</w:t>
            </w:r>
            <w:r>
              <w:rPr>
                <w:rFonts w:hint="default" w:ascii="Times New Roman" w:hAnsi="Times New Roman" w:eastAsia="宋体" w:cs="宋体"/>
                <w:color w:val="auto"/>
                <w:spacing w:val="2"/>
                <w:highlight w:val="none"/>
              </w:rPr>
              <w:t>有组织排放。</w:t>
            </w:r>
          </w:p>
          <w:p w14:paraId="4DFA5E2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参考《袋式除尘工程通用技术规范》（HJ2020-2012）顶吸罩捕集效率不低于90% ，本次评价收集效率以90%计算</w:t>
            </w:r>
            <w:r>
              <w:rPr>
                <w:rFonts w:hint="eastAsia" w:ascii="Times New Roman" w:hAnsi="Times New Roman" w:eastAsia="宋体" w:cs="宋体"/>
                <w:color w:val="auto"/>
                <w:spacing w:val="2"/>
                <w:highlight w:val="none"/>
                <w:lang w:eastAsia="zh-CN"/>
              </w:rPr>
              <w:t>；</w:t>
            </w:r>
            <w:r>
              <w:rPr>
                <w:rFonts w:hint="default" w:ascii="Times New Roman" w:hAnsi="Times New Roman" w:eastAsia="宋体" w:cs="宋体"/>
                <w:color w:val="auto"/>
                <w:spacing w:val="2"/>
                <w:highlight w:val="none"/>
              </w:rPr>
              <w:t>参考《排放源统计调查产排污核算方法和系数手册》中“42 废弃资源综合利用行业系数手册 ”布袋除尘器处理效率为 95%，故本次评价布袋除尘器处理效率以95%计算。</w:t>
            </w:r>
          </w:p>
          <w:p w14:paraId="7D1F46A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8" w:firstLineChars="200"/>
              <w:jc w:val="both"/>
              <w:textAlignment w:val="auto"/>
              <w:rPr>
                <w:rFonts w:hint="default" w:ascii="Times New Roman" w:hAnsi="Times New Roman" w:eastAsia="宋体" w:cs="宋体"/>
                <w:color w:val="auto"/>
                <w:spacing w:val="2"/>
                <w:highlight w:val="none"/>
              </w:rPr>
            </w:pPr>
            <w:r>
              <w:rPr>
                <w:rFonts w:hint="default" w:ascii="Times New Roman" w:hAnsi="Times New Roman" w:eastAsia="宋体" w:cs="宋体"/>
                <w:color w:val="auto"/>
                <w:spacing w:val="2"/>
                <w:highlight w:val="none"/>
              </w:rPr>
              <w:t>经计算，粉尘有组织排放量</w:t>
            </w:r>
            <w:r>
              <w:rPr>
                <w:rFonts w:hint="eastAsia" w:cs="宋体"/>
                <w:color w:val="auto"/>
                <w:spacing w:val="2"/>
                <w:highlight w:val="none"/>
                <w:lang w:val="en-US" w:eastAsia="zh-CN"/>
              </w:rPr>
              <w:t>约</w:t>
            </w:r>
            <w:r>
              <w:rPr>
                <w:rFonts w:hint="default" w:ascii="Times New Roman" w:hAnsi="Times New Roman" w:eastAsia="宋体" w:cs="宋体"/>
                <w:color w:val="auto"/>
                <w:spacing w:val="2"/>
                <w:highlight w:val="none"/>
              </w:rPr>
              <w:t>为</w:t>
            </w:r>
            <w:r>
              <w:rPr>
                <w:rFonts w:hint="eastAsia" w:cs="宋体"/>
                <w:color w:val="auto"/>
                <w:spacing w:val="2"/>
                <w:highlight w:val="none"/>
                <w:lang w:val="en-US" w:eastAsia="zh-CN"/>
              </w:rPr>
              <w:t>0.055</w:t>
            </w:r>
            <w:r>
              <w:rPr>
                <w:rFonts w:hint="default" w:ascii="Times New Roman" w:hAnsi="Times New Roman" w:eastAsia="宋体" w:cs="宋体"/>
                <w:color w:val="auto"/>
                <w:spacing w:val="2"/>
                <w:highlight w:val="none"/>
              </w:rPr>
              <w:t>t/a，排放速率</w:t>
            </w:r>
            <w:r>
              <w:rPr>
                <w:rFonts w:hint="eastAsia" w:cs="宋体"/>
                <w:color w:val="auto"/>
                <w:spacing w:val="2"/>
                <w:highlight w:val="none"/>
                <w:lang w:val="en-US" w:eastAsia="zh-CN"/>
              </w:rPr>
              <w:t>约</w:t>
            </w:r>
            <w:r>
              <w:rPr>
                <w:rFonts w:hint="default" w:ascii="Times New Roman" w:hAnsi="Times New Roman" w:eastAsia="宋体" w:cs="宋体"/>
                <w:color w:val="auto"/>
                <w:spacing w:val="2"/>
                <w:highlight w:val="none"/>
              </w:rPr>
              <w:t>为</w:t>
            </w:r>
            <w:r>
              <w:rPr>
                <w:rFonts w:hint="eastAsia" w:cs="宋体"/>
                <w:color w:val="auto"/>
                <w:spacing w:val="2"/>
                <w:highlight w:val="none"/>
                <w:lang w:val="en-US" w:eastAsia="zh-CN"/>
              </w:rPr>
              <w:t>0.0275</w:t>
            </w:r>
            <w:r>
              <w:rPr>
                <w:rFonts w:hint="default" w:ascii="Times New Roman" w:hAnsi="Times New Roman" w:eastAsia="宋体" w:cs="宋体"/>
                <w:color w:val="auto"/>
                <w:spacing w:val="2"/>
                <w:highlight w:val="none"/>
              </w:rPr>
              <w:t>kg/h；无组织排放量为</w:t>
            </w:r>
            <w:r>
              <w:rPr>
                <w:rFonts w:hint="eastAsia" w:cs="宋体"/>
                <w:color w:val="auto"/>
                <w:spacing w:val="2"/>
                <w:highlight w:val="none"/>
                <w:lang w:val="en-US" w:eastAsia="zh-CN"/>
              </w:rPr>
              <w:t>0.123</w:t>
            </w:r>
            <w:r>
              <w:rPr>
                <w:rFonts w:hint="default" w:ascii="Times New Roman" w:hAnsi="Times New Roman" w:eastAsia="宋体" w:cs="宋体"/>
                <w:color w:val="auto"/>
                <w:spacing w:val="2"/>
                <w:highlight w:val="none"/>
              </w:rPr>
              <w:t>t/a ，排放速率为</w:t>
            </w:r>
            <w:r>
              <w:rPr>
                <w:rFonts w:hint="eastAsia" w:cs="宋体"/>
                <w:color w:val="auto"/>
                <w:spacing w:val="2"/>
                <w:highlight w:val="none"/>
                <w:lang w:val="en-US" w:eastAsia="zh-CN"/>
              </w:rPr>
              <w:t>0.0615</w:t>
            </w:r>
            <w:r>
              <w:rPr>
                <w:rFonts w:hint="default" w:ascii="Times New Roman" w:hAnsi="Times New Roman" w:eastAsia="宋体" w:cs="宋体"/>
                <w:color w:val="auto"/>
                <w:spacing w:val="2"/>
                <w:highlight w:val="none"/>
              </w:rPr>
              <w:t>kg/h。</w:t>
            </w:r>
          </w:p>
          <w:p w14:paraId="0C7B29DA">
            <w:pPr>
              <w:keepNext w:val="0"/>
              <w:keepLines w:val="0"/>
              <w:widowControl/>
              <w:suppressLineNumbers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auto"/>
                <w:kern w:val="2"/>
                <w:sz w:val="24"/>
                <w:szCs w:val="24"/>
                <w:highlight w:val="none"/>
                <w:lang w:val="en-US" w:eastAsia="zh-CN"/>
              </w:rPr>
            </w:pPr>
            <w:r>
              <w:rPr>
                <w:rFonts w:hint="eastAsia" w:cs="Times New Roman"/>
                <w:b/>
                <w:bCs/>
                <w:color w:val="auto"/>
                <w:kern w:val="2"/>
                <w:sz w:val="24"/>
                <w:szCs w:val="24"/>
                <w:highlight w:val="none"/>
                <w:lang w:val="en-US" w:eastAsia="zh-CN"/>
              </w:rPr>
              <w:t>⑥</w:t>
            </w:r>
            <w:r>
              <w:rPr>
                <w:rFonts w:hint="eastAsia" w:ascii="Times New Roman" w:hAnsi="Times New Roman" w:eastAsia="宋体" w:cs="Times New Roman"/>
                <w:b/>
                <w:bCs/>
                <w:color w:val="auto"/>
                <w:kern w:val="2"/>
                <w:sz w:val="24"/>
                <w:szCs w:val="24"/>
                <w:highlight w:val="none"/>
                <w:lang w:val="en-US" w:eastAsia="zh-CN"/>
              </w:rPr>
              <w:t>食堂油烟</w:t>
            </w:r>
          </w:p>
          <w:p w14:paraId="4412B90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宋体"/>
                <w:color w:val="auto"/>
                <w:spacing w:val="2"/>
                <w:highlight w:val="none"/>
                <w:lang w:val="en-US" w:eastAsia="zh-CN"/>
              </w:rPr>
            </w:pPr>
            <w:r>
              <w:rPr>
                <w:rFonts w:hint="default" w:ascii="Times New Roman" w:hAnsi="Times New Roman" w:eastAsia="宋体" w:cs="Times New Roman"/>
                <w:color w:val="auto"/>
                <w:kern w:val="2"/>
                <w:sz w:val="24"/>
                <w:szCs w:val="24"/>
                <w:highlight w:val="none"/>
                <w:lang w:val="en-US" w:eastAsia="zh-CN"/>
              </w:rPr>
              <w:t>本项目运营期食堂共设置2个灶头，属于小型规模食堂，主要为员工提供中餐</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本项目员工人数为</w:t>
            </w:r>
            <w:r>
              <w:rPr>
                <w:rFonts w:hint="eastAsia" w:ascii="Times New Roman" w:hAnsi="Times New Roman" w:cs="Times New Roman"/>
                <w:color w:val="auto"/>
                <w:kern w:val="2"/>
                <w:sz w:val="24"/>
                <w:szCs w:val="24"/>
                <w:highlight w:val="none"/>
                <w:lang w:val="en-US" w:eastAsia="zh-CN"/>
              </w:rPr>
              <w:t>20</w:t>
            </w:r>
            <w:r>
              <w:rPr>
                <w:rFonts w:hint="default" w:ascii="Times New Roman" w:hAnsi="Times New Roman" w:eastAsia="宋体" w:cs="Times New Roman"/>
                <w:color w:val="auto"/>
                <w:kern w:val="2"/>
                <w:sz w:val="24"/>
                <w:szCs w:val="24"/>
                <w:highlight w:val="none"/>
                <w:lang w:val="en-US" w:eastAsia="zh-CN"/>
              </w:rPr>
              <w:t>人。根据对餐饮行业的调查可知，人均食用油消耗量按0.03kg</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人·天计，则食用油消耗量为</w:t>
            </w:r>
            <w:r>
              <w:rPr>
                <w:rFonts w:hint="eastAsia" w:ascii="Times New Roman" w:hAnsi="Times New Roman" w:cs="Times New Roman"/>
                <w:color w:val="auto"/>
                <w:kern w:val="2"/>
                <w:sz w:val="24"/>
                <w:szCs w:val="24"/>
                <w:highlight w:val="none"/>
                <w:lang w:val="en-US" w:eastAsia="zh-CN"/>
              </w:rPr>
              <w:t>0.6</w:t>
            </w:r>
            <w:r>
              <w:rPr>
                <w:rFonts w:hint="default" w:ascii="Times New Roman" w:hAnsi="Times New Roman" w:eastAsia="宋体" w:cs="Times New Roman"/>
                <w:color w:val="auto"/>
                <w:kern w:val="2"/>
                <w:sz w:val="24"/>
                <w:szCs w:val="24"/>
                <w:highlight w:val="none"/>
                <w:lang w:val="en-US" w:eastAsia="zh-CN"/>
              </w:rPr>
              <w:t>kg/d</w:t>
            </w:r>
            <w:r>
              <w:rPr>
                <w:rFonts w:hint="eastAsia" w:ascii="Times New Roman" w:hAnsi="Times New Roman" w:eastAsia="宋体" w:cs="Times New Roman"/>
                <w:color w:val="auto"/>
                <w:kern w:val="2"/>
                <w:sz w:val="24"/>
                <w:szCs w:val="24"/>
                <w:highlight w:val="none"/>
                <w:lang w:val="en-US" w:eastAsia="zh-CN"/>
              </w:rPr>
              <w:t>（</w:t>
            </w:r>
            <w:r>
              <w:rPr>
                <w:rFonts w:hint="eastAsia" w:ascii="Times New Roman" w:hAnsi="Times New Roman" w:cs="Times New Roman"/>
                <w:color w:val="auto"/>
                <w:kern w:val="2"/>
                <w:sz w:val="24"/>
                <w:szCs w:val="24"/>
                <w:highlight w:val="none"/>
                <w:lang w:val="en-US" w:eastAsia="zh-CN"/>
              </w:rPr>
              <w:t>150</w:t>
            </w:r>
            <w:r>
              <w:rPr>
                <w:rFonts w:hint="default" w:ascii="Times New Roman" w:hAnsi="Times New Roman" w:eastAsia="宋体" w:cs="Times New Roman"/>
                <w:color w:val="auto"/>
                <w:kern w:val="2"/>
                <w:sz w:val="24"/>
                <w:szCs w:val="24"/>
                <w:highlight w:val="none"/>
                <w:lang w:val="en-US" w:eastAsia="zh-CN"/>
              </w:rPr>
              <w:t>kg/a</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，油烟的产生量约占使用量的</w:t>
            </w:r>
            <w:r>
              <w:rPr>
                <w:rFonts w:hint="eastAsia" w:ascii="Times New Roman" w:hAnsi="Times New Roman" w:eastAsia="宋体" w:cs="Times New Roman"/>
                <w:color w:val="auto"/>
                <w:kern w:val="2"/>
                <w:sz w:val="24"/>
                <w:szCs w:val="24"/>
                <w:highlight w:val="none"/>
                <w:lang w:val="en-US" w:eastAsia="zh-CN"/>
              </w:rPr>
              <w:t>2</w:t>
            </w:r>
            <w:r>
              <w:rPr>
                <w:rFonts w:hint="default" w:ascii="Times New Roman" w:hAnsi="Times New Roman" w:eastAsia="宋体" w:cs="Times New Roman"/>
                <w:color w:val="auto"/>
                <w:kern w:val="2"/>
                <w:sz w:val="24"/>
                <w:szCs w:val="24"/>
                <w:highlight w:val="none"/>
                <w:lang w:val="en-US" w:eastAsia="zh-CN"/>
              </w:rPr>
              <w:t>%，则油烟的产生量为</w:t>
            </w:r>
            <w:r>
              <w:rPr>
                <w:rFonts w:hint="eastAsia" w:ascii="Times New Roman" w:hAnsi="Times New Roman"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lang w:val="en-US" w:eastAsia="zh-CN"/>
              </w:rPr>
              <w:t>kg/a，</w:t>
            </w:r>
            <w:r>
              <w:rPr>
                <w:rFonts w:hint="eastAsia" w:ascii="Times New Roman" w:hAnsi="Times New Roman" w:eastAsia="宋体" w:cs="Times New Roman"/>
                <w:color w:val="auto"/>
                <w:kern w:val="2"/>
                <w:sz w:val="24"/>
                <w:szCs w:val="24"/>
                <w:highlight w:val="none"/>
                <w:lang w:val="en-US" w:eastAsia="zh-CN"/>
              </w:rPr>
              <w:t>食堂每天按运行</w:t>
            </w:r>
            <w:r>
              <w:rPr>
                <w:rFonts w:hint="eastAsia" w:ascii="Times New Roman" w:hAnsi="Times New Roman" w:cs="Times New Roman"/>
                <w:color w:val="auto"/>
                <w:kern w:val="2"/>
                <w:sz w:val="24"/>
                <w:szCs w:val="24"/>
                <w:highlight w:val="none"/>
                <w:lang w:val="en-US" w:eastAsia="zh-CN"/>
              </w:rPr>
              <w:t>2</w:t>
            </w:r>
            <w:r>
              <w:rPr>
                <w:rFonts w:hint="eastAsia" w:ascii="Times New Roman" w:hAnsi="Times New Roman" w:eastAsia="宋体" w:cs="Times New Roman"/>
                <w:color w:val="auto"/>
                <w:kern w:val="2"/>
                <w:sz w:val="24"/>
                <w:szCs w:val="24"/>
                <w:highlight w:val="none"/>
                <w:lang w:val="en-US" w:eastAsia="zh-CN"/>
              </w:rPr>
              <w:t>小时计，则油烟</w:t>
            </w:r>
            <w:r>
              <w:rPr>
                <w:rFonts w:hint="default" w:ascii="Times New Roman" w:hAnsi="Times New Roman" w:eastAsia="宋体" w:cs="Times New Roman"/>
                <w:color w:val="auto"/>
                <w:kern w:val="2"/>
                <w:sz w:val="24"/>
                <w:szCs w:val="24"/>
                <w:highlight w:val="none"/>
                <w:lang w:val="en-US" w:eastAsia="zh-CN"/>
              </w:rPr>
              <w:t>产生速率为</w:t>
            </w:r>
            <w:r>
              <w:rPr>
                <w:rFonts w:hint="eastAsia" w:ascii="Times New Roman" w:hAnsi="Times New Roman" w:cs="Times New Roman"/>
                <w:color w:val="auto"/>
                <w:kern w:val="2"/>
                <w:sz w:val="24"/>
                <w:szCs w:val="24"/>
                <w:highlight w:val="none"/>
                <w:lang w:val="en-US" w:eastAsia="zh-CN"/>
              </w:rPr>
              <w:t>0.006</w:t>
            </w:r>
            <w:r>
              <w:rPr>
                <w:rFonts w:hint="default" w:ascii="Times New Roman" w:hAnsi="Times New Roman" w:eastAsia="宋体" w:cs="Times New Roman"/>
                <w:color w:val="auto"/>
                <w:kern w:val="2"/>
                <w:sz w:val="24"/>
                <w:szCs w:val="24"/>
                <w:highlight w:val="none"/>
                <w:lang w:val="en-US" w:eastAsia="zh-CN"/>
              </w:rPr>
              <w:t>kg</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h，风机风量为2000m</w:t>
            </w:r>
            <w:r>
              <w:rPr>
                <w:rFonts w:hint="default" w:ascii="Times New Roman" w:hAnsi="Times New Roman" w:eastAsia="宋体" w:cs="Times New Roman"/>
                <w:color w:val="auto"/>
                <w:kern w:val="2"/>
                <w:sz w:val="24"/>
                <w:szCs w:val="24"/>
                <w:highlight w:val="none"/>
                <w:vertAlign w:val="superscript"/>
                <w:lang w:val="en-US" w:eastAsia="zh-CN"/>
              </w:rPr>
              <w:t>3</w:t>
            </w:r>
            <w:r>
              <w:rPr>
                <w:rFonts w:hint="eastAsia" w:ascii="Times New Roman" w:hAnsi="Times New Roman" w:eastAsia="宋体" w:cs="Times New Roman"/>
                <w:color w:val="auto"/>
                <w:kern w:val="2"/>
                <w:sz w:val="24"/>
                <w:szCs w:val="24"/>
                <w:highlight w:val="none"/>
                <w:vertAlign w:val="baseline"/>
                <w:lang w:val="en-US" w:eastAsia="zh-CN"/>
              </w:rPr>
              <w:t>/</w:t>
            </w:r>
            <w:r>
              <w:rPr>
                <w:rFonts w:hint="default" w:ascii="Times New Roman" w:hAnsi="Times New Roman" w:eastAsia="宋体" w:cs="Times New Roman"/>
                <w:color w:val="auto"/>
                <w:kern w:val="2"/>
                <w:sz w:val="24"/>
                <w:szCs w:val="24"/>
                <w:highlight w:val="none"/>
                <w:lang w:val="en-US" w:eastAsia="zh-CN"/>
              </w:rPr>
              <w:t>h，则产生浓度为</w:t>
            </w:r>
            <w:r>
              <w:rPr>
                <w:rFonts w:hint="eastAsia" w:ascii="Times New Roman" w:hAnsi="Times New Roman" w:cs="Times New Roman"/>
                <w:color w:val="auto"/>
                <w:kern w:val="2"/>
                <w:sz w:val="24"/>
                <w:szCs w:val="24"/>
                <w:highlight w:val="none"/>
                <w:lang w:val="en-US" w:eastAsia="zh-CN"/>
              </w:rPr>
              <w:t>3</w:t>
            </w:r>
            <w:r>
              <w:rPr>
                <w:rFonts w:hint="default" w:ascii="Times New Roman" w:hAnsi="Times New Roman" w:eastAsia="宋体" w:cs="Times New Roman"/>
                <w:color w:val="auto"/>
                <w:kern w:val="2"/>
                <w:sz w:val="24"/>
                <w:szCs w:val="24"/>
                <w:highlight w:val="none"/>
                <w:lang w:val="en-US" w:eastAsia="zh-CN"/>
              </w:rPr>
              <w:t>mg/m</w:t>
            </w:r>
            <w:r>
              <w:rPr>
                <w:rFonts w:hint="eastAsia" w:ascii="Times New Roman" w:hAnsi="Times New Roman" w:eastAsia="宋体" w:cs="Times New Roman"/>
                <w:color w:val="auto"/>
                <w:kern w:val="2"/>
                <w:sz w:val="24"/>
                <w:szCs w:val="24"/>
                <w:highlight w:val="none"/>
                <w:vertAlign w:val="superscript"/>
                <w:lang w:val="en-US" w:eastAsia="zh-CN"/>
              </w:rPr>
              <w:t>3</w:t>
            </w:r>
            <w:r>
              <w:rPr>
                <w:rFonts w:hint="default" w:ascii="Times New Roman" w:hAnsi="Times New Roman" w:eastAsia="宋体" w:cs="Times New Roman"/>
                <w:color w:val="auto"/>
                <w:kern w:val="2"/>
                <w:sz w:val="24"/>
                <w:szCs w:val="24"/>
                <w:highlight w:val="none"/>
                <w:lang w:val="en-US" w:eastAsia="zh-CN"/>
              </w:rPr>
              <w:t>。根据《饮食业油烟排放标准》</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GB18483-2001</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小型标准要求，油烟净化设施最低去除率为60%，故本项目产生的食堂油烟采用净化效率为60%的油烟净化器进行处理，处理后油烟排放量为</w:t>
            </w:r>
            <w:r>
              <w:rPr>
                <w:rFonts w:hint="eastAsia" w:ascii="Times New Roman" w:hAnsi="Times New Roman" w:cs="Times New Roman"/>
                <w:color w:val="auto"/>
                <w:kern w:val="2"/>
                <w:sz w:val="24"/>
                <w:szCs w:val="24"/>
                <w:highlight w:val="none"/>
                <w:lang w:val="en-US" w:eastAsia="zh-CN"/>
              </w:rPr>
              <w:t>1.2</w:t>
            </w:r>
            <w:r>
              <w:rPr>
                <w:rFonts w:hint="default" w:ascii="Times New Roman" w:hAnsi="Times New Roman" w:eastAsia="宋体" w:cs="Times New Roman"/>
                <w:color w:val="auto"/>
                <w:kern w:val="2"/>
                <w:sz w:val="24"/>
                <w:szCs w:val="24"/>
                <w:highlight w:val="none"/>
                <w:lang w:val="en-US" w:eastAsia="zh-CN"/>
              </w:rPr>
              <w:t>kg</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a，排放速率为</w:t>
            </w:r>
            <w:r>
              <w:rPr>
                <w:rFonts w:hint="eastAsia" w:ascii="Times New Roman" w:hAnsi="Times New Roman" w:cs="Times New Roman"/>
                <w:color w:val="auto"/>
                <w:kern w:val="2"/>
                <w:sz w:val="24"/>
                <w:szCs w:val="24"/>
                <w:highlight w:val="none"/>
                <w:lang w:val="en-US" w:eastAsia="zh-CN"/>
              </w:rPr>
              <w:t>0.0024</w:t>
            </w:r>
            <w:r>
              <w:rPr>
                <w:rFonts w:hint="default" w:ascii="Times New Roman" w:hAnsi="Times New Roman" w:eastAsia="宋体" w:cs="Times New Roman"/>
                <w:color w:val="auto"/>
                <w:kern w:val="2"/>
                <w:sz w:val="24"/>
                <w:szCs w:val="24"/>
                <w:highlight w:val="none"/>
                <w:lang w:val="en-US" w:eastAsia="zh-CN"/>
              </w:rPr>
              <w:t>kg/h，排放浓度</w:t>
            </w:r>
            <w:r>
              <w:rPr>
                <w:rFonts w:hint="eastAsia" w:ascii="Times New Roman" w:hAnsi="Times New Roman" w:cs="Times New Roman"/>
                <w:color w:val="auto"/>
                <w:kern w:val="2"/>
                <w:sz w:val="24"/>
                <w:szCs w:val="24"/>
                <w:highlight w:val="none"/>
                <w:lang w:val="en-US" w:eastAsia="zh-CN"/>
              </w:rPr>
              <w:t>1.2</w:t>
            </w:r>
            <w:r>
              <w:rPr>
                <w:rFonts w:hint="default" w:ascii="Times New Roman" w:hAnsi="Times New Roman" w:eastAsia="宋体" w:cs="Times New Roman"/>
                <w:color w:val="auto"/>
                <w:kern w:val="2"/>
                <w:sz w:val="24"/>
                <w:szCs w:val="24"/>
                <w:highlight w:val="none"/>
                <w:lang w:val="en-US" w:eastAsia="zh-CN"/>
              </w:rPr>
              <w:t>mg/m</w:t>
            </w:r>
            <w:r>
              <w:rPr>
                <w:rFonts w:hint="eastAsia" w:ascii="Times New Roman" w:hAnsi="Times New Roman" w:eastAsia="宋体" w:cs="Times New Roman"/>
                <w:color w:val="auto"/>
                <w:kern w:val="2"/>
                <w:sz w:val="24"/>
                <w:szCs w:val="24"/>
                <w:highlight w:val="none"/>
                <w:vertAlign w:val="superscript"/>
                <w:lang w:val="en-US" w:eastAsia="zh-CN"/>
              </w:rPr>
              <w:t>3</w:t>
            </w:r>
            <w:r>
              <w:rPr>
                <w:rFonts w:hint="default" w:ascii="Times New Roman" w:hAnsi="Times New Roman" w:eastAsia="宋体" w:cs="Times New Roman"/>
                <w:color w:val="auto"/>
                <w:kern w:val="2"/>
                <w:sz w:val="24"/>
                <w:szCs w:val="24"/>
                <w:highlight w:val="none"/>
                <w:lang w:val="en-US" w:eastAsia="zh-CN"/>
              </w:rPr>
              <w:t>，经高出楼顶排放口达标排放。根据《饮食环境保护技术规范》</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HJ554-2010</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，“饮食业单位所在建筑物高度小于等于</w:t>
            </w:r>
            <w:r>
              <w:rPr>
                <w:rFonts w:hint="eastAsia" w:cs="Times New Roman"/>
                <w:color w:val="auto"/>
                <w:kern w:val="2"/>
                <w:sz w:val="24"/>
                <w:szCs w:val="24"/>
                <w:highlight w:val="none"/>
                <w:lang w:val="en-US" w:eastAsia="zh-CN"/>
              </w:rPr>
              <w:t>15m</w:t>
            </w:r>
            <w:r>
              <w:rPr>
                <w:rFonts w:hint="default" w:ascii="Times New Roman" w:hAnsi="Times New Roman" w:eastAsia="宋体" w:cs="Times New Roman"/>
                <w:color w:val="auto"/>
                <w:kern w:val="2"/>
                <w:sz w:val="24"/>
                <w:szCs w:val="24"/>
                <w:highlight w:val="none"/>
                <w:lang w:val="en-US" w:eastAsia="zh-CN"/>
              </w:rPr>
              <w:t>时，油烟排放口应高出屋顶”，</w:t>
            </w:r>
            <w:r>
              <w:rPr>
                <w:rFonts w:hint="eastAsia" w:ascii="Times New Roman" w:hAnsi="Times New Roman" w:eastAsia="宋体" w:cs="Times New Roman"/>
                <w:color w:val="auto"/>
                <w:kern w:val="2"/>
                <w:sz w:val="24"/>
                <w:szCs w:val="24"/>
                <w:highlight w:val="none"/>
                <w:lang w:val="en-US" w:eastAsia="zh-CN"/>
              </w:rPr>
              <w:t>食堂</w:t>
            </w:r>
            <w:r>
              <w:rPr>
                <w:rFonts w:hint="default" w:ascii="Times New Roman" w:hAnsi="Times New Roman" w:eastAsia="宋体" w:cs="Times New Roman"/>
                <w:color w:val="auto"/>
                <w:kern w:val="2"/>
                <w:sz w:val="24"/>
                <w:szCs w:val="24"/>
                <w:highlight w:val="none"/>
                <w:lang w:val="en-US" w:eastAsia="zh-CN"/>
              </w:rPr>
              <w:t>所在建筑</w:t>
            </w:r>
            <w:r>
              <w:rPr>
                <w:rFonts w:hint="eastAsia" w:ascii="Times New Roman" w:hAnsi="Times New Roman" w:eastAsia="宋体" w:cs="Times New Roman"/>
                <w:color w:val="auto"/>
                <w:kern w:val="2"/>
                <w:sz w:val="24"/>
                <w:szCs w:val="24"/>
                <w:highlight w:val="none"/>
                <w:lang w:val="en-US" w:eastAsia="zh-CN"/>
              </w:rPr>
              <w:t>高度</w:t>
            </w:r>
            <w:r>
              <w:rPr>
                <w:rFonts w:hint="eastAsia" w:ascii="Times New Roman" w:hAnsi="Times New Roman" w:cs="Times New Roman"/>
                <w:color w:val="auto"/>
                <w:kern w:val="2"/>
                <w:sz w:val="24"/>
                <w:szCs w:val="24"/>
                <w:highlight w:val="none"/>
                <w:lang w:val="en-US" w:eastAsia="zh-CN"/>
              </w:rPr>
              <w:t>小于</w:t>
            </w:r>
            <w:r>
              <w:rPr>
                <w:rFonts w:hint="eastAsia" w:cs="Times New Roman"/>
                <w:color w:val="auto"/>
                <w:kern w:val="2"/>
                <w:sz w:val="24"/>
                <w:szCs w:val="24"/>
                <w:highlight w:val="none"/>
                <w:lang w:val="en-US" w:eastAsia="zh-CN"/>
              </w:rPr>
              <w:t>15m</w:t>
            </w:r>
            <w:r>
              <w:rPr>
                <w:rFonts w:hint="default" w:ascii="Times New Roman" w:hAnsi="Times New Roman" w:eastAsia="宋体"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因此</w:t>
            </w:r>
            <w:r>
              <w:rPr>
                <w:rFonts w:hint="default" w:ascii="Times New Roman" w:hAnsi="Times New Roman" w:eastAsia="宋体" w:cs="Times New Roman"/>
                <w:color w:val="auto"/>
                <w:kern w:val="2"/>
                <w:sz w:val="24"/>
                <w:szCs w:val="24"/>
                <w:highlight w:val="none"/>
                <w:lang w:val="en-US" w:eastAsia="zh-CN"/>
              </w:rPr>
              <w:t>油烟排放口高出屋顶即可。</w:t>
            </w:r>
          </w:p>
          <w:p w14:paraId="1A27A1B9">
            <w:pPr>
              <w:keepNext w:val="0"/>
              <w:keepLines w:val="0"/>
              <w:widowControl/>
              <w:suppressLineNumbers w:val="0"/>
              <w:spacing w:before="0" w:beforeAutospacing="0" w:after="0" w:afterAutospacing="0" w:line="360" w:lineRule="auto"/>
              <w:ind w:left="0" w:right="0" w:firstLine="482" w:firstLineChars="200"/>
              <w:jc w:val="left"/>
              <w:rPr>
                <w:rFonts w:hint="default" w:ascii="Times New Roman" w:hAnsi="Times New Roman" w:eastAsia="宋体" w:cs="Times New Roman"/>
                <w:color w:val="auto"/>
                <w:sz w:val="24"/>
                <w:szCs w:val="24"/>
                <w:highlight w:val="none"/>
              </w:rPr>
            </w:pPr>
            <w:r>
              <w:rPr>
                <w:rFonts w:hint="eastAsia" w:cs="Times New Roman"/>
                <w:b/>
                <w:bCs/>
                <w:color w:val="auto"/>
                <w:kern w:val="0"/>
                <w:sz w:val="24"/>
                <w:szCs w:val="24"/>
                <w:highlight w:val="none"/>
                <w:lang w:val="en-US" w:eastAsia="zh-CN" w:bidi="ar"/>
              </w:rPr>
              <w:t>⑦</w:t>
            </w:r>
            <w:r>
              <w:rPr>
                <w:rFonts w:hint="default" w:ascii="Times New Roman" w:hAnsi="Times New Roman" w:eastAsia="宋体" w:cs="Times New Roman"/>
                <w:b/>
                <w:bCs/>
                <w:color w:val="auto"/>
                <w:kern w:val="0"/>
                <w:sz w:val="24"/>
                <w:szCs w:val="24"/>
                <w:highlight w:val="none"/>
                <w:lang w:bidi="ar"/>
              </w:rPr>
              <w:t xml:space="preserve">安全气囊引爆工序废气 </w:t>
            </w:r>
          </w:p>
          <w:p w14:paraId="6AC88A5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outlineLvl w:val="9"/>
              <w:rPr>
                <w:rFonts w:hint="default" w:ascii="Times New Roman" w:hAnsi="Times New Roman" w:eastAsia="宋体" w:cs="Times New Roman"/>
                <w:color w:val="auto"/>
                <w:kern w:val="0"/>
                <w:sz w:val="24"/>
                <w:highlight w:val="none"/>
                <w:lang w:bidi="ar"/>
              </w:rPr>
            </w:pPr>
            <w:r>
              <w:rPr>
                <w:rFonts w:hint="default" w:ascii="Times New Roman" w:hAnsi="Times New Roman" w:eastAsia="宋体" w:cs="Times New Roman"/>
                <w:color w:val="auto"/>
                <w:kern w:val="0"/>
                <w:sz w:val="24"/>
                <w:highlight w:val="none"/>
                <w:lang w:bidi="ar"/>
              </w:rPr>
              <w:t>由前述工艺流程说明可知，安全气囊引爆时首先是叠氮化钠分解为金属钠和氮气的混合物，然后金属钠和硝酸钾反应释放出更多的氮气并形成氧化钾和氧化钠。这些氧化物会立即与二氧化硅结合，形成无害的硅酸钠玻璃。当安全气囊引爆工作完成后，打开引爆装置，引爆过程产生的氮气呈无组织形式排放，氮气为空气中常见的惰性气体，不作为</w:t>
            </w:r>
            <w:r>
              <w:rPr>
                <w:rFonts w:hint="eastAsia" w:cs="Times New Roman"/>
                <w:color w:val="auto"/>
                <w:kern w:val="0"/>
                <w:sz w:val="24"/>
                <w:highlight w:val="none"/>
                <w:lang w:eastAsia="zh-CN" w:bidi="ar"/>
              </w:rPr>
              <w:t>大气污染</w:t>
            </w:r>
            <w:r>
              <w:rPr>
                <w:rFonts w:hint="default" w:ascii="Times New Roman" w:hAnsi="Times New Roman" w:eastAsia="宋体" w:cs="Times New Roman"/>
                <w:color w:val="auto"/>
                <w:kern w:val="0"/>
                <w:sz w:val="24"/>
                <w:highlight w:val="none"/>
                <w:lang w:bidi="ar"/>
              </w:rPr>
              <w:t>因子对待。</w:t>
            </w:r>
          </w:p>
          <w:p w14:paraId="4B9AB810">
            <w:pPr>
              <w:keepNext w:val="0"/>
              <w:keepLines w:val="0"/>
              <w:widowControl/>
              <w:suppressLineNumbers w:val="0"/>
              <w:spacing w:before="0" w:beforeAutospacing="0" w:after="0" w:afterAutospacing="0" w:line="360" w:lineRule="auto"/>
              <w:ind w:left="0" w:right="0" w:firstLine="482" w:firstLineChars="200"/>
              <w:jc w:val="left"/>
              <w:rPr>
                <w:rFonts w:hint="eastAsia" w:ascii="Times New Roman" w:hAnsi="Times New Roman" w:eastAsia="宋体" w:cs="Times New Roman"/>
                <w:b/>
                <w:bCs/>
                <w:color w:val="auto"/>
                <w:kern w:val="0"/>
                <w:sz w:val="24"/>
                <w:szCs w:val="24"/>
                <w:highlight w:val="none"/>
                <w:lang w:val="en-US" w:eastAsia="zh-CN" w:bidi="ar"/>
              </w:rPr>
            </w:pPr>
            <w:r>
              <w:rPr>
                <w:rFonts w:hint="eastAsia" w:cs="Times New Roman"/>
                <w:b/>
                <w:bCs/>
                <w:color w:val="auto"/>
                <w:kern w:val="0"/>
                <w:sz w:val="24"/>
                <w:szCs w:val="24"/>
                <w:highlight w:val="none"/>
                <w:lang w:val="en-US" w:eastAsia="zh-CN" w:bidi="ar"/>
              </w:rPr>
              <w:t>⑧</w:t>
            </w:r>
            <w:r>
              <w:rPr>
                <w:rFonts w:hint="eastAsia" w:ascii="Times New Roman" w:hAnsi="Times New Roman" w:eastAsia="宋体" w:cs="Times New Roman"/>
                <w:b/>
                <w:bCs/>
                <w:color w:val="auto"/>
                <w:kern w:val="0"/>
                <w:sz w:val="24"/>
                <w:szCs w:val="24"/>
                <w:highlight w:val="none"/>
                <w:lang w:val="en-US" w:eastAsia="zh-CN" w:bidi="ar"/>
              </w:rPr>
              <w:t>硫酸雾</w:t>
            </w:r>
          </w:p>
          <w:p w14:paraId="03640F3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highlight w:val="none"/>
                <w:lang w:bidi="ar"/>
              </w:rPr>
              <w:t>本项目仅对蓄电池进行整体的拆除、贮存，不对蓄电池进一步的拆解、加工。项目拆解过程严格按照《报废机动车回收拆解企业技术规范》（GB22128-2019）和《报废机动车拆解企业污染控制技术规范》（HJ348-2022）有关规定执行，因此，正常操作流程进行拆除时，不会发生损坏、液体泄漏产生硫酸雾。此情况仅为事故状态下，当遇到破损的铅蓄电池才有可能出现泄漏的情况，泄漏量较小，故本次评价不对其开展定量分析</w:t>
            </w:r>
            <w:r>
              <w:rPr>
                <w:rFonts w:hint="eastAsia" w:ascii="Times New Roman" w:hAnsi="Times New Roman" w:eastAsia="宋体" w:cs="Times New Roman"/>
                <w:color w:val="auto"/>
                <w:kern w:val="0"/>
                <w:sz w:val="24"/>
                <w:highlight w:val="none"/>
                <w:lang w:eastAsia="zh-CN" w:bidi="ar"/>
              </w:rPr>
              <w:t>。</w:t>
            </w:r>
          </w:p>
          <w:p w14:paraId="791E1E7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outlineLvl w:val="9"/>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本项目废气污染物产排及治理措施详见</w:t>
            </w:r>
            <w:r>
              <w:rPr>
                <w:rFonts w:hint="eastAsia" w:ascii="Times New Roman" w:hAnsi="Times New Roman" w:eastAsia="宋体" w:cs="Times New Roman"/>
                <w:color w:val="auto"/>
                <w:sz w:val="24"/>
                <w:szCs w:val="24"/>
                <w:highlight w:val="none"/>
                <w:lang w:val="en-US" w:eastAsia="zh-CN"/>
              </w:rPr>
              <w:t>下表。</w:t>
            </w:r>
          </w:p>
          <w:p w14:paraId="010F9E8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0" w:firstLineChars="0"/>
              <w:jc w:val="center"/>
              <w:textAlignment w:val="auto"/>
              <w:rPr>
                <w:rFonts w:hint="default" w:ascii="Times New Roman" w:hAnsi="Times New Roman" w:eastAsia="宋体" w:cs="Times New Roman"/>
                <w:color w:val="auto"/>
                <w:sz w:val="24"/>
                <w:szCs w:val="24"/>
                <w:highlight w:val="none"/>
                <w:lang w:val="en-US" w:eastAsia="zh-CN"/>
              </w:rPr>
            </w:pPr>
            <w:r>
              <w:rPr>
                <w:rFonts w:hint="default"/>
                <w:b/>
                <w:bCs/>
                <w:color w:val="auto"/>
                <w:spacing w:val="-2"/>
                <w:sz w:val="21"/>
                <w:szCs w:val="21"/>
                <w:highlight w:val="none"/>
              </w:rPr>
              <w:t>表</w:t>
            </w:r>
            <w:r>
              <w:rPr>
                <w:rFonts w:hint="eastAsia"/>
                <w:b/>
                <w:bCs/>
                <w:color w:val="auto"/>
                <w:spacing w:val="-2"/>
                <w:sz w:val="21"/>
                <w:szCs w:val="21"/>
                <w:highlight w:val="none"/>
                <w:lang w:val="en-US" w:eastAsia="zh-CN"/>
              </w:rPr>
              <w:t>4-5</w:t>
            </w:r>
            <w:r>
              <w:rPr>
                <w:rFonts w:hint="default" w:ascii="Times New Roman" w:hAnsi="Times New Roman" w:eastAsia="Times New Roman" w:cs="Times New Roman"/>
                <w:b/>
                <w:bCs/>
                <w:color w:val="auto"/>
                <w:spacing w:val="-2"/>
                <w:sz w:val="21"/>
                <w:szCs w:val="21"/>
                <w:highlight w:val="none"/>
              </w:rPr>
              <w:t xml:space="preserve"> </w:t>
            </w:r>
            <w:r>
              <w:rPr>
                <w:rFonts w:hint="eastAsia" w:eastAsia="宋体" w:cs="Times New Roman"/>
                <w:b/>
                <w:bCs/>
                <w:color w:val="auto"/>
                <w:spacing w:val="-2"/>
                <w:sz w:val="21"/>
                <w:szCs w:val="21"/>
                <w:highlight w:val="none"/>
                <w:lang w:val="en-US" w:eastAsia="zh-CN"/>
              </w:rPr>
              <w:t>废气污染物产排</w:t>
            </w:r>
            <w:r>
              <w:rPr>
                <w:rFonts w:hint="default"/>
                <w:b/>
                <w:bCs/>
                <w:color w:val="auto"/>
                <w:spacing w:val="-2"/>
                <w:sz w:val="21"/>
                <w:szCs w:val="21"/>
                <w:highlight w:val="none"/>
              </w:rPr>
              <w:t>情况</w:t>
            </w:r>
            <w:r>
              <w:rPr>
                <w:rFonts w:hint="eastAsia"/>
                <w:b/>
                <w:bCs/>
                <w:color w:val="auto"/>
                <w:spacing w:val="-2"/>
                <w:sz w:val="21"/>
                <w:szCs w:val="21"/>
                <w:highlight w:val="none"/>
                <w:lang w:val="en-US" w:eastAsia="zh-CN"/>
              </w:rPr>
              <w:t>汇总</w:t>
            </w:r>
            <w:r>
              <w:rPr>
                <w:rFonts w:hint="default"/>
                <w:b/>
                <w:bCs/>
                <w:color w:val="auto"/>
                <w:spacing w:val="-2"/>
                <w:sz w:val="21"/>
                <w:szCs w:val="21"/>
                <w:highlight w:val="none"/>
              </w:rPr>
              <w:t>表</w:t>
            </w:r>
          </w:p>
          <w:tbl>
            <w:tblPr>
              <w:tblStyle w:val="27"/>
              <w:tblW w:w="4995"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612"/>
              <w:gridCol w:w="1147"/>
              <w:gridCol w:w="1105"/>
              <w:gridCol w:w="900"/>
              <w:gridCol w:w="918"/>
              <w:gridCol w:w="1289"/>
              <w:gridCol w:w="855"/>
              <w:gridCol w:w="815"/>
              <w:gridCol w:w="853"/>
              <w:gridCol w:w="623"/>
            </w:tblGrid>
            <w:tr w14:paraId="54D87B5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tcBorders>
                    <w:tl2br w:val="nil"/>
                    <w:tr2bl w:val="nil"/>
                  </w:tcBorders>
                  <w:noWrap w:val="0"/>
                  <w:vAlign w:val="center"/>
                </w:tcPr>
                <w:p w14:paraId="042BB10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eastAsia" w:cs="Times New Roman"/>
                      <w:b/>
                      <w:bCs/>
                      <w:color w:val="auto"/>
                      <w:kern w:val="2"/>
                      <w:sz w:val="18"/>
                      <w:szCs w:val="18"/>
                      <w:highlight w:val="none"/>
                      <w:lang w:val="en-US" w:eastAsia="zh-CN" w:bidi="ar-SA"/>
                    </w:rPr>
                    <w:t>排放方式</w:t>
                  </w:r>
                </w:p>
              </w:tc>
              <w:tc>
                <w:tcPr>
                  <w:tcW w:w="635" w:type="pct"/>
                  <w:tcBorders>
                    <w:tl2br w:val="nil"/>
                    <w:tr2bl w:val="nil"/>
                  </w:tcBorders>
                  <w:noWrap w:val="0"/>
                  <w:vAlign w:val="center"/>
                </w:tcPr>
                <w:p w14:paraId="14A5C2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产污</w:t>
                  </w:r>
                </w:p>
                <w:p w14:paraId="586123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环节</w:t>
                  </w:r>
                </w:p>
              </w:tc>
              <w:tc>
                <w:tcPr>
                  <w:tcW w:w="612" w:type="pct"/>
                  <w:tcBorders>
                    <w:tl2br w:val="nil"/>
                    <w:tr2bl w:val="nil"/>
                  </w:tcBorders>
                  <w:noWrap w:val="0"/>
                  <w:vAlign w:val="center"/>
                </w:tcPr>
                <w:p w14:paraId="526652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污染物种类</w:t>
                  </w:r>
                </w:p>
              </w:tc>
              <w:tc>
                <w:tcPr>
                  <w:tcW w:w="500" w:type="pct"/>
                  <w:tcBorders>
                    <w:tl2br w:val="nil"/>
                    <w:tr2bl w:val="nil"/>
                  </w:tcBorders>
                  <w:noWrap w:val="0"/>
                  <w:vAlign w:val="center"/>
                </w:tcPr>
                <w:p w14:paraId="7EB7319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产生量（t/a）</w:t>
                  </w:r>
                </w:p>
              </w:tc>
              <w:tc>
                <w:tcPr>
                  <w:tcW w:w="444" w:type="pct"/>
                  <w:tcBorders>
                    <w:tl2br w:val="nil"/>
                    <w:tr2bl w:val="nil"/>
                  </w:tcBorders>
                  <w:noWrap w:val="0"/>
                  <w:vAlign w:val="center"/>
                </w:tcPr>
                <w:p w14:paraId="3495C3B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eastAsia" w:cs="Times New Roman"/>
                      <w:b/>
                      <w:bCs/>
                      <w:color w:val="auto"/>
                      <w:kern w:val="2"/>
                      <w:sz w:val="18"/>
                      <w:szCs w:val="18"/>
                      <w:highlight w:val="none"/>
                      <w:lang w:val="en-US" w:eastAsia="zh-CN" w:bidi="ar-SA"/>
                    </w:rPr>
                    <w:t>产生速率（kg/h）</w:t>
                  </w:r>
                </w:p>
              </w:tc>
              <w:tc>
                <w:tcPr>
                  <w:tcW w:w="713" w:type="pct"/>
                  <w:tcBorders>
                    <w:tl2br w:val="nil"/>
                    <w:tr2bl w:val="nil"/>
                  </w:tcBorders>
                  <w:noWrap w:val="0"/>
                  <w:vAlign w:val="center"/>
                </w:tcPr>
                <w:p w14:paraId="442B29A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治理措施</w:t>
                  </w:r>
                </w:p>
              </w:tc>
              <w:tc>
                <w:tcPr>
                  <w:tcW w:w="475" w:type="pct"/>
                  <w:tcBorders>
                    <w:tl2br w:val="nil"/>
                    <w:tr2bl w:val="nil"/>
                  </w:tcBorders>
                  <w:noWrap w:val="0"/>
                  <w:vAlign w:val="center"/>
                </w:tcPr>
                <w:p w14:paraId="4FF62E3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排放量（t/a）</w:t>
                  </w:r>
                </w:p>
              </w:tc>
              <w:tc>
                <w:tcPr>
                  <w:tcW w:w="453" w:type="pct"/>
                  <w:tcBorders>
                    <w:tl2br w:val="nil"/>
                    <w:tr2bl w:val="nil"/>
                  </w:tcBorders>
                  <w:noWrap w:val="0"/>
                  <w:vAlign w:val="center"/>
                </w:tcPr>
                <w:p w14:paraId="5CC4A86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排放浓度mg/m</w:t>
                  </w:r>
                  <w:r>
                    <w:rPr>
                      <w:rFonts w:hint="default" w:ascii="Times New Roman" w:hAnsi="Times New Roman" w:eastAsia="宋体" w:cs="Times New Roman"/>
                      <w:b/>
                      <w:bCs/>
                      <w:color w:val="auto"/>
                      <w:kern w:val="2"/>
                      <w:sz w:val="18"/>
                      <w:szCs w:val="18"/>
                      <w:highlight w:val="none"/>
                      <w:vertAlign w:val="superscript"/>
                      <w:lang w:val="en-US" w:eastAsia="zh-CN" w:bidi="ar-SA"/>
                    </w:rPr>
                    <w:t>3</w:t>
                  </w:r>
                </w:p>
              </w:tc>
              <w:tc>
                <w:tcPr>
                  <w:tcW w:w="474" w:type="pct"/>
                  <w:tcBorders>
                    <w:tl2br w:val="nil"/>
                    <w:tr2bl w:val="nil"/>
                  </w:tcBorders>
                  <w:noWrap w:val="0"/>
                  <w:vAlign w:val="center"/>
                </w:tcPr>
                <w:p w14:paraId="10A94DE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eastAsia" w:cs="Times New Roman"/>
                      <w:b/>
                      <w:bCs/>
                      <w:color w:val="auto"/>
                      <w:kern w:val="2"/>
                      <w:sz w:val="18"/>
                      <w:szCs w:val="18"/>
                      <w:highlight w:val="none"/>
                      <w:lang w:val="en-US" w:eastAsia="zh-CN" w:bidi="ar-SA"/>
                    </w:rPr>
                    <w:t>排放速率</w:t>
                  </w:r>
                </w:p>
              </w:tc>
              <w:tc>
                <w:tcPr>
                  <w:tcW w:w="348" w:type="pct"/>
                  <w:tcBorders>
                    <w:tl2br w:val="nil"/>
                    <w:tr2bl w:val="nil"/>
                  </w:tcBorders>
                  <w:noWrap w:val="0"/>
                  <w:vAlign w:val="center"/>
                </w:tcPr>
                <w:p w14:paraId="4839E8F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运行时间</w:t>
                  </w:r>
                  <w:r>
                    <w:rPr>
                      <w:rFonts w:hint="default" w:ascii="Times New Roman" w:hAnsi="Times New Roman" w:eastAsia="宋体" w:cs="Times New Roman"/>
                      <w:b w:val="0"/>
                      <w:bCs w:val="0"/>
                      <w:color w:val="auto"/>
                      <w:kern w:val="2"/>
                      <w:sz w:val="18"/>
                      <w:szCs w:val="18"/>
                      <w:highlight w:val="none"/>
                      <w:lang w:val="en-US" w:eastAsia="zh-CN" w:bidi="ar-SA"/>
                    </w:rPr>
                    <w:t>h</w:t>
                  </w:r>
                </w:p>
              </w:tc>
            </w:tr>
            <w:tr w14:paraId="25B4F0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restart"/>
                  <w:tcBorders>
                    <w:tl2br w:val="nil"/>
                    <w:tr2bl w:val="nil"/>
                  </w:tcBorders>
                  <w:noWrap w:val="0"/>
                  <w:vAlign w:val="center"/>
                </w:tcPr>
                <w:p w14:paraId="0FA9E6A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有组织</w:t>
                  </w:r>
                </w:p>
              </w:tc>
              <w:tc>
                <w:tcPr>
                  <w:tcW w:w="635" w:type="pct"/>
                  <w:tcBorders>
                    <w:tl2br w:val="nil"/>
                    <w:tr2bl w:val="nil"/>
                  </w:tcBorders>
                  <w:noWrap w:val="0"/>
                  <w:vAlign w:val="center"/>
                </w:tcPr>
                <w:p w14:paraId="12A684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废油液抽取</w:t>
                  </w:r>
                  <w:r>
                    <w:rPr>
                      <w:rFonts w:hint="eastAsia" w:cs="Times New Roman"/>
                      <w:b w:val="0"/>
                      <w:bCs w:val="0"/>
                      <w:color w:val="auto"/>
                      <w:sz w:val="18"/>
                      <w:szCs w:val="18"/>
                      <w:highlight w:val="none"/>
                      <w:lang w:val="en-US" w:eastAsia="zh-CN"/>
                    </w:rPr>
                    <w:t>工序</w:t>
                  </w:r>
                </w:p>
              </w:tc>
              <w:tc>
                <w:tcPr>
                  <w:tcW w:w="612" w:type="pct"/>
                  <w:tcBorders>
                    <w:tl2br w:val="nil"/>
                    <w:tr2bl w:val="nil"/>
                  </w:tcBorders>
                  <w:noWrap w:val="0"/>
                  <w:vAlign w:val="center"/>
                </w:tcPr>
                <w:p w14:paraId="5BFCFB0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非甲烷总烃</w:t>
                  </w:r>
                </w:p>
              </w:tc>
              <w:tc>
                <w:tcPr>
                  <w:tcW w:w="500" w:type="pct"/>
                  <w:tcBorders>
                    <w:tl2br w:val="nil"/>
                    <w:tr2bl w:val="nil"/>
                  </w:tcBorders>
                  <w:noWrap w:val="0"/>
                  <w:vAlign w:val="center"/>
                </w:tcPr>
                <w:p w14:paraId="78FE7CD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0.436</w:t>
                  </w:r>
                </w:p>
              </w:tc>
              <w:tc>
                <w:tcPr>
                  <w:tcW w:w="444" w:type="pct"/>
                  <w:tcBorders>
                    <w:tl2br w:val="nil"/>
                    <w:tr2bl w:val="nil"/>
                  </w:tcBorders>
                  <w:noWrap w:val="0"/>
                  <w:vAlign w:val="center"/>
                </w:tcPr>
                <w:p w14:paraId="1235F0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0.218</w:t>
                  </w:r>
                </w:p>
              </w:tc>
              <w:tc>
                <w:tcPr>
                  <w:tcW w:w="713" w:type="pct"/>
                  <w:vMerge w:val="restart"/>
                  <w:tcBorders>
                    <w:tl2br w:val="nil"/>
                    <w:tr2bl w:val="nil"/>
                  </w:tcBorders>
                  <w:noWrap w:val="0"/>
                  <w:vAlign w:val="center"/>
                </w:tcPr>
                <w:p w14:paraId="4EAB8F9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集气罩+</w:t>
                  </w:r>
                  <w:r>
                    <w:rPr>
                      <w:rFonts w:hint="eastAsia" w:cs="Times New Roman"/>
                      <w:b w:val="0"/>
                      <w:bCs w:val="0"/>
                      <w:color w:val="auto"/>
                      <w:kern w:val="2"/>
                      <w:sz w:val="18"/>
                      <w:szCs w:val="18"/>
                      <w:highlight w:val="none"/>
                      <w:lang w:val="en-US" w:eastAsia="zh-CN" w:bidi="ar-SA"/>
                    </w:rPr>
                    <w:t>二级</w:t>
                  </w:r>
                  <w:r>
                    <w:rPr>
                      <w:rFonts w:hint="default" w:ascii="Times New Roman" w:hAnsi="Times New Roman" w:eastAsia="宋体" w:cs="Times New Roman"/>
                      <w:b w:val="0"/>
                      <w:bCs w:val="0"/>
                      <w:color w:val="auto"/>
                      <w:kern w:val="2"/>
                      <w:sz w:val="18"/>
                      <w:szCs w:val="18"/>
                      <w:highlight w:val="none"/>
                      <w:lang w:val="en-US" w:eastAsia="zh-CN" w:bidi="ar-SA"/>
                    </w:rPr>
                    <w:t>活性炭吸附装置+</w:t>
                  </w:r>
                  <w:r>
                    <w:rPr>
                      <w:rFonts w:hint="eastAsia" w:cs="Times New Roman"/>
                      <w:b w:val="0"/>
                      <w:bCs w:val="0"/>
                      <w:color w:val="auto"/>
                      <w:kern w:val="2"/>
                      <w:sz w:val="18"/>
                      <w:szCs w:val="18"/>
                      <w:highlight w:val="none"/>
                      <w:lang w:val="en-US" w:eastAsia="zh-CN" w:bidi="ar-SA"/>
                    </w:rPr>
                    <w:t>24m</w:t>
                  </w:r>
                  <w:r>
                    <w:rPr>
                      <w:rFonts w:hint="default" w:ascii="Times New Roman" w:hAnsi="Times New Roman" w:eastAsia="宋体" w:cs="Times New Roman"/>
                      <w:b w:val="0"/>
                      <w:bCs w:val="0"/>
                      <w:color w:val="auto"/>
                      <w:kern w:val="2"/>
                      <w:sz w:val="18"/>
                      <w:szCs w:val="18"/>
                      <w:highlight w:val="none"/>
                      <w:lang w:val="en-US" w:eastAsia="zh-CN" w:bidi="ar-SA"/>
                    </w:rPr>
                    <w:t>高排气筒（DA001）排放，</w:t>
                  </w:r>
                  <w:r>
                    <w:rPr>
                      <w:rFonts w:hint="eastAsia" w:cs="Times New Roman"/>
                      <w:b w:val="0"/>
                      <w:bCs w:val="0"/>
                      <w:color w:val="auto"/>
                      <w:kern w:val="2"/>
                      <w:sz w:val="18"/>
                      <w:szCs w:val="18"/>
                      <w:highlight w:val="none"/>
                      <w:lang w:val="en-US" w:eastAsia="zh-CN" w:bidi="ar-SA"/>
                    </w:rPr>
                    <w:t>集气罩</w:t>
                  </w:r>
                  <w:r>
                    <w:rPr>
                      <w:rFonts w:hint="default" w:ascii="Times New Roman" w:hAnsi="Times New Roman" w:eastAsia="宋体" w:cs="Times New Roman"/>
                      <w:b w:val="0"/>
                      <w:bCs w:val="0"/>
                      <w:color w:val="auto"/>
                      <w:kern w:val="2"/>
                      <w:sz w:val="18"/>
                      <w:szCs w:val="18"/>
                      <w:highlight w:val="none"/>
                      <w:lang w:val="en-US" w:eastAsia="zh-CN" w:bidi="ar-SA"/>
                    </w:rPr>
                    <w:t>收集效率</w:t>
                  </w:r>
                  <w:r>
                    <w:rPr>
                      <w:rFonts w:hint="eastAsia" w:cs="Times New Roman"/>
                      <w:b w:val="0"/>
                      <w:bCs w:val="0"/>
                      <w:color w:val="auto"/>
                      <w:kern w:val="2"/>
                      <w:sz w:val="18"/>
                      <w:szCs w:val="18"/>
                      <w:highlight w:val="none"/>
                      <w:lang w:val="en-US" w:eastAsia="zh-CN" w:bidi="ar-SA"/>
                    </w:rPr>
                    <w:t>30</w:t>
                  </w:r>
                  <w:r>
                    <w:rPr>
                      <w:rFonts w:hint="default" w:ascii="Times New Roman" w:hAnsi="Times New Roman" w:eastAsia="宋体" w:cs="Times New Roman"/>
                      <w:b w:val="0"/>
                      <w:bCs w:val="0"/>
                      <w:color w:val="auto"/>
                      <w:kern w:val="2"/>
                      <w:sz w:val="18"/>
                      <w:szCs w:val="18"/>
                      <w:highlight w:val="none"/>
                      <w:lang w:val="en-US" w:eastAsia="zh-CN" w:bidi="ar-SA"/>
                    </w:rPr>
                    <w:t>%</w:t>
                  </w:r>
                  <w:r>
                    <w:rPr>
                      <w:rFonts w:hint="eastAsia" w:cs="Times New Roman"/>
                      <w:b w:val="0"/>
                      <w:bCs w:val="0"/>
                      <w:color w:val="auto"/>
                      <w:kern w:val="2"/>
                      <w:sz w:val="18"/>
                      <w:szCs w:val="18"/>
                      <w:highlight w:val="none"/>
                      <w:lang w:val="en-US" w:eastAsia="zh-CN" w:bidi="ar-SA"/>
                    </w:rPr>
                    <w:t>（危废库废气收集效率为90%）</w:t>
                  </w:r>
                  <w:r>
                    <w:rPr>
                      <w:rFonts w:hint="default" w:ascii="Times New Roman" w:hAnsi="Times New Roman" w:eastAsia="宋体" w:cs="Times New Roman"/>
                      <w:b w:val="0"/>
                      <w:bCs w:val="0"/>
                      <w:color w:val="auto"/>
                      <w:kern w:val="2"/>
                      <w:sz w:val="18"/>
                      <w:szCs w:val="18"/>
                      <w:highlight w:val="none"/>
                      <w:lang w:val="en-US" w:eastAsia="zh-CN" w:bidi="ar-SA"/>
                    </w:rPr>
                    <w:t>，处理效率</w:t>
                  </w:r>
                  <w:r>
                    <w:rPr>
                      <w:rFonts w:hint="eastAsia" w:cs="Times New Roman"/>
                      <w:b w:val="0"/>
                      <w:bCs w:val="0"/>
                      <w:color w:val="auto"/>
                      <w:kern w:val="2"/>
                      <w:sz w:val="18"/>
                      <w:szCs w:val="18"/>
                      <w:highlight w:val="none"/>
                      <w:lang w:val="en-US" w:eastAsia="zh-CN" w:bidi="ar-SA"/>
                    </w:rPr>
                    <w:t>70</w:t>
                  </w:r>
                  <w:r>
                    <w:rPr>
                      <w:rFonts w:hint="default" w:ascii="Times New Roman" w:hAnsi="Times New Roman" w:eastAsia="宋体" w:cs="Times New Roman"/>
                      <w:b w:val="0"/>
                      <w:bCs w:val="0"/>
                      <w:color w:val="auto"/>
                      <w:kern w:val="2"/>
                      <w:sz w:val="18"/>
                      <w:szCs w:val="18"/>
                      <w:highlight w:val="none"/>
                      <w:lang w:val="en-US" w:eastAsia="zh-CN" w:bidi="ar-SA"/>
                    </w:rPr>
                    <w:t>%</w:t>
                  </w:r>
                  <w:r>
                    <w:rPr>
                      <w:rFonts w:hint="eastAsia" w:cs="Times New Roman"/>
                      <w:b w:val="0"/>
                      <w:bCs w:val="0"/>
                      <w:color w:val="auto"/>
                      <w:kern w:val="2"/>
                      <w:sz w:val="18"/>
                      <w:szCs w:val="18"/>
                      <w:highlight w:val="none"/>
                      <w:lang w:val="en-US" w:eastAsia="zh-CN" w:bidi="ar-SA"/>
                    </w:rPr>
                    <w:t>，配套风机风量5000m</w:t>
                  </w:r>
                  <w:r>
                    <w:rPr>
                      <w:rFonts w:hint="eastAsia" w:cs="Times New Roman"/>
                      <w:b w:val="0"/>
                      <w:bCs w:val="0"/>
                      <w:color w:val="auto"/>
                      <w:kern w:val="2"/>
                      <w:sz w:val="18"/>
                      <w:szCs w:val="18"/>
                      <w:highlight w:val="none"/>
                      <w:vertAlign w:val="superscript"/>
                      <w:lang w:val="en-US" w:eastAsia="zh-CN" w:bidi="ar-SA"/>
                    </w:rPr>
                    <w:t>3</w:t>
                  </w:r>
                  <w:r>
                    <w:rPr>
                      <w:rFonts w:hint="eastAsia" w:cs="Times New Roman"/>
                      <w:b w:val="0"/>
                      <w:bCs w:val="0"/>
                      <w:color w:val="auto"/>
                      <w:kern w:val="2"/>
                      <w:sz w:val="18"/>
                      <w:szCs w:val="18"/>
                      <w:highlight w:val="none"/>
                      <w:lang w:val="en-US" w:eastAsia="zh-CN" w:bidi="ar-SA"/>
                    </w:rPr>
                    <w:t>/h</w:t>
                  </w:r>
                </w:p>
              </w:tc>
              <w:tc>
                <w:tcPr>
                  <w:tcW w:w="475" w:type="pct"/>
                  <w:tcBorders>
                    <w:tl2br w:val="nil"/>
                    <w:tr2bl w:val="nil"/>
                  </w:tcBorders>
                  <w:noWrap w:val="0"/>
                  <w:vAlign w:val="center"/>
                </w:tcPr>
                <w:p w14:paraId="4BC8A58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0.04</w:t>
                  </w:r>
                </w:p>
              </w:tc>
              <w:tc>
                <w:tcPr>
                  <w:tcW w:w="453" w:type="pct"/>
                  <w:tcBorders>
                    <w:tl2br w:val="nil"/>
                    <w:tr2bl w:val="nil"/>
                  </w:tcBorders>
                  <w:noWrap w:val="0"/>
                  <w:vAlign w:val="center"/>
                </w:tcPr>
                <w:p w14:paraId="1617293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4</w:t>
                  </w:r>
                </w:p>
              </w:tc>
              <w:tc>
                <w:tcPr>
                  <w:tcW w:w="474" w:type="pct"/>
                  <w:tcBorders>
                    <w:tl2br w:val="nil"/>
                    <w:tr2bl w:val="nil"/>
                  </w:tcBorders>
                  <w:noWrap w:val="0"/>
                  <w:vAlign w:val="center"/>
                </w:tcPr>
                <w:p w14:paraId="2CB8230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0.02</w:t>
                  </w:r>
                </w:p>
              </w:tc>
              <w:tc>
                <w:tcPr>
                  <w:tcW w:w="348" w:type="pct"/>
                  <w:tcBorders>
                    <w:tl2br w:val="nil"/>
                    <w:tr2bl w:val="nil"/>
                  </w:tcBorders>
                  <w:noWrap w:val="0"/>
                  <w:vAlign w:val="center"/>
                </w:tcPr>
                <w:p w14:paraId="2D0B612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0397C80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0EE9836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sz w:val="18"/>
                      <w:szCs w:val="18"/>
                      <w:highlight w:val="none"/>
                      <w:lang w:val="en-US" w:eastAsia="zh-CN"/>
                    </w:rPr>
                  </w:pPr>
                </w:p>
              </w:tc>
              <w:tc>
                <w:tcPr>
                  <w:tcW w:w="635" w:type="pct"/>
                  <w:tcBorders>
                    <w:tl2br w:val="nil"/>
                    <w:tr2bl w:val="nil"/>
                  </w:tcBorders>
                  <w:noWrap w:val="0"/>
                  <w:vAlign w:val="center"/>
                </w:tcPr>
                <w:p w14:paraId="667DE46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制冷剂回收工序</w:t>
                  </w:r>
                </w:p>
              </w:tc>
              <w:tc>
                <w:tcPr>
                  <w:tcW w:w="612" w:type="pct"/>
                  <w:tcBorders>
                    <w:tl2br w:val="nil"/>
                    <w:tr2bl w:val="nil"/>
                  </w:tcBorders>
                  <w:noWrap w:val="0"/>
                  <w:vAlign w:val="center"/>
                </w:tcPr>
                <w:p w14:paraId="34460F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非甲烷总烃</w:t>
                  </w:r>
                </w:p>
              </w:tc>
              <w:tc>
                <w:tcPr>
                  <w:tcW w:w="500" w:type="pct"/>
                  <w:tcBorders>
                    <w:tl2br w:val="nil"/>
                    <w:tr2bl w:val="nil"/>
                  </w:tcBorders>
                  <w:noWrap w:val="0"/>
                  <w:vAlign w:val="center"/>
                </w:tcPr>
                <w:p w14:paraId="25BE9B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0.02</w:t>
                  </w:r>
                </w:p>
              </w:tc>
              <w:tc>
                <w:tcPr>
                  <w:tcW w:w="444" w:type="pct"/>
                  <w:tcBorders>
                    <w:tl2br w:val="nil"/>
                    <w:tr2bl w:val="nil"/>
                  </w:tcBorders>
                  <w:noWrap w:val="0"/>
                  <w:vAlign w:val="center"/>
                </w:tcPr>
                <w:p w14:paraId="07D75DB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0.01</w:t>
                  </w:r>
                </w:p>
              </w:tc>
              <w:tc>
                <w:tcPr>
                  <w:tcW w:w="713" w:type="pct"/>
                  <w:vMerge w:val="continue"/>
                  <w:tcBorders>
                    <w:tl2br w:val="nil"/>
                    <w:tr2bl w:val="nil"/>
                  </w:tcBorders>
                  <w:noWrap w:val="0"/>
                  <w:vAlign w:val="center"/>
                </w:tcPr>
                <w:p w14:paraId="68E12E2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p>
              </w:tc>
              <w:tc>
                <w:tcPr>
                  <w:tcW w:w="475" w:type="pct"/>
                  <w:tcBorders>
                    <w:tl2br w:val="nil"/>
                    <w:tr2bl w:val="nil"/>
                  </w:tcBorders>
                  <w:noWrap w:val="0"/>
                  <w:vAlign w:val="center"/>
                </w:tcPr>
                <w:p w14:paraId="7DBEF33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0.0018</w:t>
                  </w:r>
                </w:p>
              </w:tc>
              <w:tc>
                <w:tcPr>
                  <w:tcW w:w="453" w:type="pct"/>
                  <w:tcBorders>
                    <w:tl2br w:val="nil"/>
                    <w:tr2bl w:val="nil"/>
                  </w:tcBorders>
                  <w:noWrap w:val="0"/>
                  <w:vAlign w:val="center"/>
                </w:tcPr>
                <w:p w14:paraId="3AFE7F0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0.18</w:t>
                  </w:r>
                </w:p>
              </w:tc>
              <w:tc>
                <w:tcPr>
                  <w:tcW w:w="474" w:type="pct"/>
                  <w:tcBorders>
                    <w:tl2br w:val="nil"/>
                    <w:tr2bl w:val="nil"/>
                  </w:tcBorders>
                  <w:noWrap w:val="0"/>
                  <w:vAlign w:val="center"/>
                </w:tcPr>
                <w:p w14:paraId="665E68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0.0009</w:t>
                  </w:r>
                </w:p>
              </w:tc>
              <w:tc>
                <w:tcPr>
                  <w:tcW w:w="348" w:type="pct"/>
                  <w:tcBorders>
                    <w:tl2br w:val="nil"/>
                    <w:tr2bl w:val="nil"/>
                  </w:tcBorders>
                  <w:noWrap w:val="0"/>
                  <w:vAlign w:val="center"/>
                </w:tcPr>
                <w:p w14:paraId="5D2C52C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31F253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6311B4C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eastAsia" w:cs="Times New Roman"/>
                      <w:b w:val="0"/>
                      <w:bCs w:val="0"/>
                      <w:color w:val="auto"/>
                      <w:sz w:val="18"/>
                      <w:szCs w:val="18"/>
                      <w:highlight w:val="none"/>
                      <w:lang w:val="en-US" w:eastAsia="zh-CN"/>
                    </w:rPr>
                  </w:pPr>
                </w:p>
              </w:tc>
              <w:tc>
                <w:tcPr>
                  <w:tcW w:w="635" w:type="pct"/>
                  <w:tcBorders>
                    <w:tl2br w:val="nil"/>
                    <w:tr2bl w:val="nil"/>
                  </w:tcBorders>
                  <w:noWrap w:val="0"/>
                  <w:vAlign w:val="center"/>
                </w:tcPr>
                <w:p w14:paraId="3C772E5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危废贮存库</w:t>
                  </w:r>
                </w:p>
              </w:tc>
              <w:tc>
                <w:tcPr>
                  <w:tcW w:w="612" w:type="pct"/>
                  <w:tcBorders>
                    <w:tl2br w:val="nil"/>
                    <w:tr2bl w:val="nil"/>
                  </w:tcBorders>
                  <w:noWrap w:val="0"/>
                  <w:vAlign w:val="center"/>
                </w:tcPr>
                <w:p w14:paraId="7BD42AE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非甲烷总烃</w:t>
                  </w:r>
                </w:p>
              </w:tc>
              <w:tc>
                <w:tcPr>
                  <w:tcW w:w="500" w:type="pct"/>
                  <w:tcBorders>
                    <w:tl2br w:val="nil"/>
                    <w:tr2bl w:val="nil"/>
                  </w:tcBorders>
                  <w:noWrap w:val="0"/>
                  <w:vAlign w:val="center"/>
                </w:tcPr>
                <w:p w14:paraId="10E5611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0.06</w:t>
                  </w:r>
                </w:p>
              </w:tc>
              <w:tc>
                <w:tcPr>
                  <w:tcW w:w="444" w:type="pct"/>
                  <w:tcBorders>
                    <w:tl2br w:val="nil"/>
                    <w:tr2bl w:val="nil"/>
                  </w:tcBorders>
                  <w:noWrap w:val="0"/>
                  <w:vAlign w:val="center"/>
                </w:tcPr>
                <w:p w14:paraId="089E600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0.0068</w:t>
                  </w:r>
                </w:p>
              </w:tc>
              <w:tc>
                <w:tcPr>
                  <w:tcW w:w="713" w:type="pct"/>
                  <w:vMerge w:val="continue"/>
                  <w:tcBorders>
                    <w:tl2br w:val="nil"/>
                    <w:tr2bl w:val="nil"/>
                  </w:tcBorders>
                  <w:noWrap w:val="0"/>
                  <w:vAlign w:val="center"/>
                </w:tcPr>
                <w:p w14:paraId="4229BDA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p>
              </w:tc>
              <w:tc>
                <w:tcPr>
                  <w:tcW w:w="475" w:type="pct"/>
                  <w:tcBorders>
                    <w:tl2br w:val="nil"/>
                    <w:tr2bl w:val="nil"/>
                  </w:tcBorders>
                  <w:noWrap w:val="0"/>
                  <w:vAlign w:val="center"/>
                </w:tcPr>
                <w:p w14:paraId="2D25F01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0.0162</w:t>
                  </w:r>
                </w:p>
              </w:tc>
              <w:tc>
                <w:tcPr>
                  <w:tcW w:w="453" w:type="pct"/>
                  <w:tcBorders>
                    <w:tl2br w:val="nil"/>
                    <w:tr2bl w:val="nil"/>
                  </w:tcBorders>
                  <w:noWrap w:val="0"/>
                  <w:vAlign w:val="center"/>
                </w:tcPr>
                <w:p w14:paraId="0D2296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0.36</w:t>
                  </w:r>
                </w:p>
              </w:tc>
              <w:tc>
                <w:tcPr>
                  <w:tcW w:w="474" w:type="pct"/>
                  <w:tcBorders>
                    <w:tl2br w:val="nil"/>
                    <w:tr2bl w:val="nil"/>
                  </w:tcBorders>
                  <w:noWrap w:val="0"/>
                  <w:vAlign w:val="center"/>
                </w:tcPr>
                <w:p w14:paraId="6B80AD7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0.0018</w:t>
                  </w:r>
                </w:p>
              </w:tc>
              <w:tc>
                <w:tcPr>
                  <w:tcW w:w="348" w:type="pct"/>
                  <w:tcBorders>
                    <w:tl2br w:val="nil"/>
                    <w:tr2bl w:val="nil"/>
                  </w:tcBorders>
                  <w:noWrap w:val="0"/>
                  <w:vAlign w:val="center"/>
                </w:tcPr>
                <w:p w14:paraId="22BEF6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8760</w:t>
                  </w:r>
                </w:p>
              </w:tc>
            </w:tr>
            <w:tr w14:paraId="60B89D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22" w:hRule="atLeast"/>
              </w:trPr>
              <w:tc>
                <w:tcPr>
                  <w:tcW w:w="342" w:type="pct"/>
                  <w:vMerge w:val="continue"/>
                  <w:tcBorders>
                    <w:tl2br w:val="nil"/>
                    <w:tr2bl w:val="nil"/>
                  </w:tcBorders>
                  <w:noWrap w:val="0"/>
                  <w:vAlign w:val="center"/>
                </w:tcPr>
                <w:p w14:paraId="03DE2B9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eastAsia" w:cs="Times New Roman"/>
                      <w:b w:val="0"/>
                      <w:bCs w:val="0"/>
                      <w:color w:val="auto"/>
                      <w:sz w:val="18"/>
                      <w:szCs w:val="18"/>
                      <w:highlight w:val="none"/>
                      <w:lang w:val="en-US" w:eastAsia="zh-CN"/>
                    </w:rPr>
                  </w:pPr>
                </w:p>
              </w:tc>
              <w:tc>
                <w:tcPr>
                  <w:tcW w:w="635" w:type="pct"/>
                  <w:tcBorders>
                    <w:tl2br w:val="nil"/>
                    <w:tr2bl w:val="nil"/>
                  </w:tcBorders>
                  <w:noWrap w:val="0"/>
                  <w:vAlign w:val="center"/>
                </w:tcPr>
                <w:p w14:paraId="1BBB99A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车辆剪切、切割工序</w:t>
                  </w:r>
                </w:p>
              </w:tc>
              <w:tc>
                <w:tcPr>
                  <w:tcW w:w="612" w:type="pct"/>
                  <w:tcBorders>
                    <w:tl2br w:val="nil"/>
                    <w:tr2bl w:val="nil"/>
                  </w:tcBorders>
                  <w:noWrap w:val="0"/>
                  <w:vAlign w:val="center"/>
                </w:tcPr>
                <w:p w14:paraId="7A52FDB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颗粒物</w:t>
                  </w:r>
                </w:p>
              </w:tc>
              <w:tc>
                <w:tcPr>
                  <w:tcW w:w="500" w:type="pct"/>
                  <w:tcBorders>
                    <w:tl2br w:val="nil"/>
                    <w:tr2bl w:val="nil"/>
                  </w:tcBorders>
                  <w:noWrap w:val="0"/>
                  <w:vAlign w:val="center"/>
                </w:tcPr>
                <w:p w14:paraId="49C261C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0.085</w:t>
                  </w:r>
                </w:p>
              </w:tc>
              <w:tc>
                <w:tcPr>
                  <w:tcW w:w="444" w:type="pct"/>
                  <w:tcBorders>
                    <w:tl2br w:val="nil"/>
                    <w:tr2bl w:val="nil"/>
                  </w:tcBorders>
                  <w:noWrap w:val="0"/>
                  <w:vAlign w:val="center"/>
                </w:tcPr>
                <w:p w14:paraId="0AE3396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0.0425</w:t>
                  </w:r>
                </w:p>
              </w:tc>
              <w:tc>
                <w:tcPr>
                  <w:tcW w:w="713" w:type="pct"/>
                  <w:tcBorders>
                    <w:tl2br w:val="nil"/>
                    <w:tr2bl w:val="nil"/>
                  </w:tcBorders>
                  <w:noWrap w:val="0"/>
                  <w:vAlign w:val="center"/>
                </w:tcPr>
                <w:p w14:paraId="3C17B3C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集气罩+布袋除尘器+</w:t>
                  </w:r>
                  <w:r>
                    <w:rPr>
                      <w:rFonts w:hint="eastAsia" w:cs="Times New Roman"/>
                      <w:b w:val="0"/>
                      <w:bCs w:val="0"/>
                      <w:color w:val="auto"/>
                      <w:kern w:val="2"/>
                      <w:sz w:val="18"/>
                      <w:szCs w:val="18"/>
                      <w:highlight w:val="none"/>
                      <w:lang w:val="en-US" w:eastAsia="zh-CN" w:bidi="ar-SA"/>
                    </w:rPr>
                    <w:t>24m</w:t>
                  </w:r>
                  <w:r>
                    <w:rPr>
                      <w:rFonts w:hint="default" w:ascii="Times New Roman" w:hAnsi="Times New Roman" w:eastAsia="宋体" w:cs="Times New Roman"/>
                      <w:b w:val="0"/>
                      <w:bCs w:val="0"/>
                      <w:color w:val="auto"/>
                      <w:kern w:val="2"/>
                      <w:sz w:val="18"/>
                      <w:szCs w:val="18"/>
                      <w:highlight w:val="none"/>
                      <w:lang w:val="en-US" w:eastAsia="zh-CN" w:bidi="ar-SA"/>
                    </w:rPr>
                    <w:t>高排气筒（DA00</w:t>
                  </w:r>
                  <w:r>
                    <w:rPr>
                      <w:rFonts w:hint="eastAsia" w:cs="Times New Roman"/>
                      <w:b w:val="0"/>
                      <w:bCs w:val="0"/>
                      <w:color w:val="auto"/>
                      <w:kern w:val="2"/>
                      <w:sz w:val="18"/>
                      <w:szCs w:val="18"/>
                      <w:highlight w:val="none"/>
                      <w:lang w:val="en-US" w:eastAsia="zh-CN" w:bidi="ar-SA"/>
                    </w:rPr>
                    <w:t>2</w:t>
                  </w:r>
                  <w:r>
                    <w:rPr>
                      <w:rFonts w:hint="default" w:ascii="Times New Roman" w:hAnsi="Times New Roman" w:eastAsia="宋体" w:cs="Times New Roman"/>
                      <w:b w:val="0"/>
                      <w:bCs w:val="0"/>
                      <w:color w:val="auto"/>
                      <w:kern w:val="2"/>
                      <w:sz w:val="18"/>
                      <w:szCs w:val="18"/>
                      <w:highlight w:val="none"/>
                      <w:lang w:val="en-US" w:eastAsia="zh-CN" w:bidi="ar-SA"/>
                    </w:rPr>
                    <w:t>）排放，收集效率90%，处理效率95%</w:t>
                  </w:r>
                  <w:r>
                    <w:rPr>
                      <w:rFonts w:hint="eastAsia" w:cs="Times New Roman"/>
                      <w:b w:val="0"/>
                      <w:bCs w:val="0"/>
                      <w:color w:val="auto"/>
                      <w:kern w:val="2"/>
                      <w:sz w:val="18"/>
                      <w:szCs w:val="18"/>
                      <w:highlight w:val="none"/>
                      <w:lang w:val="en-US" w:eastAsia="zh-CN" w:bidi="ar-SA"/>
                    </w:rPr>
                    <w:t>，配套风机风量10000m</w:t>
                  </w:r>
                  <w:r>
                    <w:rPr>
                      <w:rFonts w:hint="eastAsia" w:cs="Times New Roman"/>
                      <w:b w:val="0"/>
                      <w:bCs w:val="0"/>
                      <w:color w:val="auto"/>
                      <w:kern w:val="2"/>
                      <w:sz w:val="18"/>
                      <w:szCs w:val="18"/>
                      <w:highlight w:val="none"/>
                      <w:vertAlign w:val="superscript"/>
                      <w:lang w:val="en-US" w:eastAsia="zh-CN" w:bidi="ar-SA"/>
                    </w:rPr>
                    <w:t>3</w:t>
                  </w:r>
                  <w:r>
                    <w:rPr>
                      <w:rFonts w:hint="eastAsia" w:cs="Times New Roman"/>
                      <w:b w:val="0"/>
                      <w:bCs w:val="0"/>
                      <w:color w:val="auto"/>
                      <w:kern w:val="2"/>
                      <w:sz w:val="18"/>
                      <w:szCs w:val="18"/>
                      <w:highlight w:val="none"/>
                      <w:lang w:val="en-US" w:eastAsia="zh-CN" w:bidi="ar-SA"/>
                    </w:rPr>
                    <w:t>/h</w:t>
                  </w:r>
                </w:p>
              </w:tc>
              <w:tc>
                <w:tcPr>
                  <w:tcW w:w="475" w:type="pct"/>
                  <w:tcBorders>
                    <w:tl2br w:val="nil"/>
                    <w:tr2bl w:val="nil"/>
                  </w:tcBorders>
                  <w:noWrap w:val="0"/>
                  <w:vAlign w:val="center"/>
                </w:tcPr>
                <w:p w14:paraId="5E47835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0.0038</w:t>
                  </w:r>
                </w:p>
              </w:tc>
              <w:tc>
                <w:tcPr>
                  <w:tcW w:w="453" w:type="pct"/>
                  <w:tcBorders>
                    <w:tl2br w:val="nil"/>
                    <w:tr2bl w:val="nil"/>
                  </w:tcBorders>
                  <w:noWrap w:val="0"/>
                  <w:vAlign w:val="center"/>
                </w:tcPr>
                <w:p w14:paraId="5D2BC6B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0.19</w:t>
                  </w:r>
                </w:p>
              </w:tc>
              <w:tc>
                <w:tcPr>
                  <w:tcW w:w="474" w:type="pct"/>
                  <w:tcBorders>
                    <w:tl2br w:val="nil"/>
                    <w:tr2bl w:val="nil"/>
                  </w:tcBorders>
                  <w:noWrap w:val="0"/>
                  <w:vAlign w:val="center"/>
                </w:tcPr>
                <w:p w14:paraId="7FAC15C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0.0019</w:t>
                  </w:r>
                </w:p>
              </w:tc>
              <w:tc>
                <w:tcPr>
                  <w:tcW w:w="348" w:type="pct"/>
                  <w:tcBorders>
                    <w:tl2br w:val="nil"/>
                    <w:tr2bl w:val="nil"/>
                  </w:tcBorders>
                  <w:noWrap w:val="0"/>
                  <w:vAlign w:val="center"/>
                </w:tcPr>
                <w:p w14:paraId="77219D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461A0B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678F41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eastAsia" w:cs="Times New Roman"/>
                      <w:b w:val="0"/>
                      <w:bCs w:val="0"/>
                      <w:color w:val="auto"/>
                      <w:sz w:val="18"/>
                      <w:szCs w:val="18"/>
                      <w:highlight w:val="none"/>
                      <w:lang w:val="en-US" w:eastAsia="zh-CN"/>
                    </w:rPr>
                  </w:pPr>
                </w:p>
              </w:tc>
              <w:tc>
                <w:tcPr>
                  <w:tcW w:w="635" w:type="pct"/>
                  <w:tcBorders>
                    <w:tl2br w:val="nil"/>
                    <w:tr2bl w:val="nil"/>
                  </w:tcBorders>
                  <w:noWrap w:val="0"/>
                  <w:vAlign w:val="center"/>
                </w:tcPr>
                <w:p w14:paraId="5765FB7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废钢剪切、破碎工序</w:t>
                  </w:r>
                </w:p>
              </w:tc>
              <w:tc>
                <w:tcPr>
                  <w:tcW w:w="612" w:type="pct"/>
                  <w:tcBorders>
                    <w:tl2br w:val="nil"/>
                    <w:tr2bl w:val="nil"/>
                  </w:tcBorders>
                  <w:noWrap w:val="0"/>
                  <w:vAlign w:val="center"/>
                </w:tcPr>
                <w:p w14:paraId="1D5768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bidi="ar-SA"/>
                    </w:rPr>
                    <w:t>颗粒物</w:t>
                  </w:r>
                </w:p>
              </w:tc>
              <w:tc>
                <w:tcPr>
                  <w:tcW w:w="500" w:type="pct"/>
                  <w:tcBorders>
                    <w:tl2br w:val="nil"/>
                    <w:tr2bl w:val="nil"/>
                  </w:tcBorders>
                  <w:noWrap w:val="0"/>
                  <w:vAlign w:val="center"/>
                </w:tcPr>
                <w:p w14:paraId="646C3E0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1.23</w:t>
                  </w:r>
                </w:p>
              </w:tc>
              <w:tc>
                <w:tcPr>
                  <w:tcW w:w="444" w:type="pct"/>
                  <w:tcBorders>
                    <w:tl2br w:val="nil"/>
                    <w:tr2bl w:val="nil"/>
                  </w:tcBorders>
                  <w:noWrap w:val="0"/>
                  <w:vAlign w:val="center"/>
                </w:tcPr>
                <w:p w14:paraId="32E9BC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0.615</w:t>
                  </w:r>
                </w:p>
              </w:tc>
              <w:tc>
                <w:tcPr>
                  <w:tcW w:w="713" w:type="pct"/>
                  <w:tcBorders>
                    <w:tl2br w:val="nil"/>
                    <w:tr2bl w:val="nil"/>
                  </w:tcBorders>
                  <w:noWrap w:val="0"/>
                  <w:vAlign w:val="center"/>
                </w:tcPr>
                <w:p w14:paraId="2FCD8F5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集气罩+布袋除尘器+</w:t>
                  </w:r>
                  <w:r>
                    <w:rPr>
                      <w:rFonts w:hint="eastAsia" w:cs="Times New Roman"/>
                      <w:b w:val="0"/>
                      <w:bCs w:val="0"/>
                      <w:color w:val="auto"/>
                      <w:kern w:val="2"/>
                      <w:sz w:val="18"/>
                      <w:szCs w:val="18"/>
                      <w:highlight w:val="none"/>
                      <w:lang w:val="en-US" w:eastAsia="zh-CN" w:bidi="ar-SA"/>
                    </w:rPr>
                    <w:t>24m</w:t>
                  </w:r>
                  <w:r>
                    <w:rPr>
                      <w:rFonts w:hint="default" w:ascii="Times New Roman" w:hAnsi="Times New Roman" w:eastAsia="宋体" w:cs="Times New Roman"/>
                      <w:b w:val="0"/>
                      <w:bCs w:val="0"/>
                      <w:color w:val="auto"/>
                      <w:kern w:val="2"/>
                      <w:sz w:val="18"/>
                      <w:szCs w:val="18"/>
                      <w:highlight w:val="none"/>
                      <w:lang w:val="en-US" w:eastAsia="zh-CN" w:bidi="ar-SA"/>
                    </w:rPr>
                    <w:t>高排气筒（DA00</w:t>
                  </w:r>
                  <w:r>
                    <w:rPr>
                      <w:rFonts w:hint="eastAsia" w:cs="Times New Roman"/>
                      <w:b w:val="0"/>
                      <w:bCs w:val="0"/>
                      <w:color w:val="auto"/>
                      <w:kern w:val="2"/>
                      <w:sz w:val="18"/>
                      <w:szCs w:val="18"/>
                      <w:highlight w:val="none"/>
                      <w:lang w:val="en-US" w:eastAsia="zh-CN" w:bidi="ar-SA"/>
                    </w:rPr>
                    <w:t>3</w:t>
                  </w:r>
                  <w:r>
                    <w:rPr>
                      <w:rFonts w:hint="default" w:ascii="Times New Roman" w:hAnsi="Times New Roman" w:eastAsia="宋体" w:cs="Times New Roman"/>
                      <w:b w:val="0"/>
                      <w:bCs w:val="0"/>
                      <w:color w:val="auto"/>
                      <w:kern w:val="2"/>
                      <w:sz w:val="18"/>
                      <w:szCs w:val="18"/>
                      <w:highlight w:val="none"/>
                      <w:lang w:val="en-US" w:eastAsia="zh-CN" w:bidi="ar-SA"/>
                    </w:rPr>
                    <w:t>）排放，收集效率90%，处理效率95%</w:t>
                  </w:r>
                  <w:r>
                    <w:rPr>
                      <w:rFonts w:hint="eastAsia" w:cs="Times New Roman"/>
                      <w:b w:val="0"/>
                      <w:bCs w:val="0"/>
                      <w:color w:val="auto"/>
                      <w:kern w:val="2"/>
                      <w:sz w:val="18"/>
                      <w:szCs w:val="18"/>
                      <w:highlight w:val="none"/>
                      <w:lang w:val="en-US" w:eastAsia="zh-CN" w:bidi="ar-SA"/>
                    </w:rPr>
                    <w:t>，配套风机风量15000m</w:t>
                  </w:r>
                  <w:r>
                    <w:rPr>
                      <w:rFonts w:hint="eastAsia" w:cs="Times New Roman"/>
                      <w:b w:val="0"/>
                      <w:bCs w:val="0"/>
                      <w:color w:val="auto"/>
                      <w:kern w:val="2"/>
                      <w:sz w:val="18"/>
                      <w:szCs w:val="18"/>
                      <w:highlight w:val="none"/>
                      <w:vertAlign w:val="superscript"/>
                      <w:lang w:val="en-US" w:eastAsia="zh-CN" w:bidi="ar-SA"/>
                    </w:rPr>
                    <w:t>3</w:t>
                  </w:r>
                  <w:r>
                    <w:rPr>
                      <w:rFonts w:hint="eastAsia" w:cs="Times New Roman"/>
                      <w:b w:val="0"/>
                      <w:bCs w:val="0"/>
                      <w:color w:val="auto"/>
                      <w:kern w:val="2"/>
                      <w:sz w:val="18"/>
                      <w:szCs w:val="18"/>
                      <w:highlight w:val="none"/>
                      <w:lang w:val="en-US" w:eastAsia="zh-CN" w:bidi="ar-SA"/>
                    </w:rPr>
                    <w:t>/h</w:t>
                  </w:r>
                </w:p>
              </w:tc>
              <w:tc>
                <w:tcPr>
                  <w:tcW w:w="475" w:type="pct"/>
                  <w:tcBorders>
                    <w:tl2br w:val="nil"/>
                    <w:tr2bl w:val="nil"/>
                  </w:tcBorders>
                  <w:noWrap w:val="0"/>
                  <w:vAlign w:val="center"/>
                </w:tcPr>
                <w:p w14:paraId="05F5B22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0.055</w:t>
                  </w:r>
                </w:p>
              </w:tc>
              <w:tc>
                <w:tcPr>
                  <w:tcW w:w="453" w:type="pct"/>
                  <w:tcBorders>
                    <w:tl2br w:val="nil"/>
                    <w:tr2bl w:val="nil"/>
                  </w:tcBorders>
                  <w:noWrap w:val="0"/>
                  <w:vAlign w:val="center"/>
                </w:tcPr>
                <w:p w14:paraId="65234F6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1.83</w:t>
                  </w:r>
                </w:p>
              </w:tc>
              <w:tc>
                <w:tcPr>
                  <w:tcW w:w="474" w:type="pct"/>
                  <w:tcBorders>
                    <w:tl2br w:val="nil"/>
                    <w:tr2bl w:val="nil"/>
                  </w:tcBorders>
                  <w:noWrap w:val="0"/>
                  <w:vAlign w:val="center"/>
                </w:tcPr>
                <w:p w14:paraId="34D2D09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0.0275</w:t>
                  </w:r>
                </w:p>
              </w:tc>
              <w:tc>
                <w:tcPr>
                  <w:tcW w:w="348" w:type="pct"/>
                  <w:tcBorders>
                    <w:tl2br w:val="nil"/>
                    <w:tr2bl w:val="nil"/>
                  </w:tcBorders>
                  <w:noWrap w:val="0"/>
                  <w:vAlign w:val="center"/>
                </w:tcPr>
                <w:p w14:paraId="3F3C0E8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5D329B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977" w:type="pct"/>
                  <w:gridSpan w:val="2"/>
                  <w:tcBorders>
                    <w:tl2br w:val="nil"/>
                    <w:tr2bl w:val="nil"/>
                  </w:tcBorders>
                  <w:noWrap w:val="0"/>
                  <w:vAlign w:val="center"/>
                </w:tcPr>
                <w:p w14:paraId="539D36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eastAsia"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食堂</w:t>
                  </w:r>
                </w:p>
              </w:tc>
              <w:tc>
                <w:tcPr>
                  <w:tcW w:w="612" w:type="pct"/>
                  <w:tcBorders>
                    <w:tl2br w:val="nil"/>
                    <w:tr2bl w:val="nil"/>
                  </w:tcBorders>
                  <w:noWrap w:val="0"/>
                  <w:vAlign w:val="center"/>
                </w:tcPr>
                <w:p w14:paraId="64C5995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eastAsia" w:cs="Times New Roman"/>
                      <w:b w:val="0"/>
                      <w:bCs w:val="0"/>
                      <w:color w:val="auto"/>
                      <w:kern w:val="0"/>
                      <w:sz w:val="18"/>
                      <w:szCs w:val="18"/>
                      <w:highlight w:val="none"/>
                      <w:lang w:val="en-US" w:eastAsia="zh-CN" w:bidi="ar-SA"/>
                    </w:rPr>
                    <w:t>食堂油烟</w:t>
                  </w:r>
                </w:p>
              </w:tc>
              <w:tc>
                <w:tcPr>
                  <w:tcW w:w="500" w:type="pct"/>
                  <w:tcBorders>
                    <w:tl2br w:val="nil"/>
                    <w:tr2bl w:val="nil"/>
                  </w:tcBorders>
                  <w:noWrap w:val="0"/>
                  <w:vAlign w:val="center"/>
                </w:tcPr>
                <w:p w14:paraId="5F6908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0.003</w:t>
                  </w:r>
                </w:p>
              </w:tc>
              <w:tc>
                <w:tcPr>
                  <w:tcW w:w="444" w:type="pct"/>
                  <w:tcBorders>
                    <w:tl2br w:val="nil"/>
                    <w:tr2bl w:val="nil"/>
                  </w:tcBorders>
                  <w:noWrap w:val="0"/>
                  <w:vAlign w:val="center"/>
                </w:tcPr>
                <w:p w14:paraId="0529B5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0.006</w:t>
                  </w:r>
                </w:p>
              </w:tc>
              <w:tc>
                <w:tcPr>
                  <w:tcW w:w="713" w:type="pct"/>
                  <w:tcBorders>
                    <w:tl2br w:val="nil"/>
                    <w:tr2bl w:val="nil"/>
                  </w:tcBorders>
                  <w:noWrap w:val="0"/>
                  <w:vAlign w:val="center"/>
                </w:tcPr>
                <w:p w14:paraId="0A19AF8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食堂油烟经油烟净化装置处理后，高出屋顶排放，配套风机风量2000m</w:t>
                  </w:r>
                  <w:r>
                    <w:rPr>
                      <w:rFonts w:hint="eastAsia" w:cs="Times New Roman"/>
                      <w:b w:val="0"/>
                      <w:bCs w:val="0"/>
                      <w:color w:val="auto"/>
                      <w:kern w:val="2"/>
                      <w:sz w:val="18"/>
                      <w:szCs w:val="18"/>
                      <w:highlight w:val="none"/>
                      <w:vertAlign w:val="superscript"/>
                      <w:lang w:val="en-US" w:eastAsia="zh-CN" w:bidi="ar-SA"/>
                    </w:rPr>
                    <w:t>3</w:t>
                  </w:r>
                  <w:r>
                    <w:rPr>
                      <w:rFonts w:hint="eastAsia" w:cs="Times New Roman"/>
                      <w:b w:val="0"/>
                      <w:bCs w:val="0"/>
                      <w:color w:val="auto"/>
                      <w:kern w:val="2"/>
                      <w:sz w:val="18"/>
                      <w:szCs w:val="18"/>
                      <w:highlight w:val="none"/>
                      <w:lang w:val="en-US" w:eastAsia="zh-CN" w:bidi="ar-SA"/>
                    </w:rPr>
                    <w:t>/h</w:t>
                  </w:r>
                </w:p>
              </w:tc>
              <w:tc>
                <w:tcPr>
                  <w:tcW w:w="475" w:type="pct"/>
                  <w:tcBorders>
                    <w:tl2br w:val="nil"/>
                    <w:tr2bl w:val="nil"/>
                  </w:tcBorders>
                  <w:noWrap w:val="0"/>
                  <w:vAlign w:val="center"/>
                </w:tcPr>
                <w:p w14:paraId="4B367C1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0.0012</w:t>
                  </w:r>
                </w:p>
              </w:tc>
              <w:tc>
                <w:tcPr>
                  <w:tcW w:w="453" w:type="pct"/>
                  <w:tcBorders>
                    <w:tl2br w:val="nil"/>
                    <w:tr2bl w:val="nil"/>
                  </w:tcBorders>
                  <w:noWrap w:val="0"/>
                  <w:vAlign w:val="center"/>
                </w:tcPr>
                <w:p w14:paraId="1D7C96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1.2</w:t>
                  </w:r>
                </w:p>
              </w:tc>
              <w:tc>
                <w:tcPr>
                  <w:tcW w:w="474" w:type="pct"/>
                  <w:tcBorders>
                    <w:tl2br w:val="nil"/>
                    <w:tr2bl w:val="nil"/>
                  </w:tcBorders>
                  <w:noWrap w:val="0"/>
                  <w:vAlign w:val="center"/>
                </w:tcPr>
                <w:p w14:paraId="0574538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0.0024</w:t>
                  </w:r>
                </w:p>
              </w:tc>
              <w:tc>
                <w:tcPr>
                  <w:tcW w:w="348" w:type="pct"/>
                  <w:tcBorders>
                    <w:tl2br w:val="nil"/>
                    <w:tr2bl w:val="nil"/>
                  </w:tcBorders>
                  <w:noWrap w:val="0"/>
                  <w:vAlign w:val="center"/>
                </w:tcPr>
                <w:p w14:paraId="14CA8E9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500</w:t>
                  </w:r>
                </w:p>
              </w:tc>
            </w:tr>
            <w:tr w14:paraId="7AD5C9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restart"/>
                  <w:tcBorders>
                    <w:tl2br w:val="nil"/>
                    <w:tr2bl w:val="nil"/>
                  </w:tcBorders>
                  <w:noWrap w:val="0"/>
                  <w:vAlign w:val="center"/>
                </w:tcPr>
                <w:p w14:paraId="3C16F6B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无组织</w:t>
                  </w:r>
                </w:p>
              </w:tc>
              <w:tc>
                <w:tcPr>
                  <w:tcW w:w="635" w:type="pct"/>
                  <w:tcBorders>
                    <w:tl2br w:val="nil"/>
                    <w:tr2bl w:val="nil"/>
                  </w:tcBorders>
                  <w:shd w:val="clear" w:color="auto" w:fill="auto"/>
                  <w:noWrap w:val="0"/>
                  <w:vAlign w:val="center"/>
                </w:tcPr>
                <w:p w14:paraId="5D9501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废油液抽取</w:t>
                  </w:r>
                  <w:r>
                    <w:rPr>
                      <w:rFonts w:hint="eastAsia" w:cs="Times New Roman"/>
                      <w:b w:val="0"/>
                      <w:bCs w:val="0"/>
                      <w:color w:val="auto"/>
                      <w:sz w:val="18"/>
                      <w:szCs w:val="18"/>
                      <w:highlight w:val="none"/>
                      <w:lang w:val="en-US" w:eastAsia="zh-CN"/>
                    </w:rPr>
                    <w:t>工序</w:t>
                  </w:r>
                </w:p>
              </w:tc>
              <w:tc>
                <w:tcPr>
                  <w:tcW w:w="612" w:type="pct"/>
                  <w:tcBorders>
                    <w:tl2br w:val="nil"/>
                    <w:tr2bl w:val="nil"/>
                  </w:tcBorders>
                  <w:noWrap w:val="0"/>
                  <w:vAlign w:val="center"/>
                </w:tcPr>
                <w:p w14:paraId="0A60EA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sz w:val="18"/>
                      <w:szCs w:val="18"/>
                      <w:highlight w:val="none"/>
                      <w:lang w:val="en-US" w:eastAsia="zh-CN"/>
                    </w:rPr>
                  </w:pPr>
                  <w:r>
                    <w:rPr>
                      <w:rFonts w:hint="default" w:ascii="Times New Roman" w:hAnsi="Times New Roman" w:eastAsia="宋体" w:cs="Times New Roman"/>
                      <w:b w:val="0"/>
                      <w:bCs w:val="0"/>
                      <w:color w:val="auto"/>
                      <w:kern w:val="0"/>
                      <w:sz w:val="18"/>
                      <w:szCs w:val="18"/>
                      <w:highlight w:val="none"/>
                      <w:lang w:val="en-US" w:eastAsia="zh-CN" w:bidi="ar-SA"/>
                    </w:rPr>
                    <w:t>非甲烷总烃</w:t>
                  </w:r>
                </w:p>
              </w:tc>
              <w:tc>
                <w:tcPr>
                  <w:tcW w:w="500" w:type="pct"/>
                  <w:tcBorders>
                    <w:tl2br w:val="nil"/>
                    <w:tr2bl w:val="nil"/>
                  </w:tcBorders>
                  <w:noWrap w:val="0"/>
                  <w:vAlign w:val="center"/>
                </w:tcPr>
                <w:p w14:paraId="3911C70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0.3052</w:t>
                  </w:r>
                </w:p>
              </w:tc>
              <w:tc>
                <w:tcPr>
                  <w:tcW w:w="444" w:type="pct"/>
                  <w:tcBorders>
                    <w:tl2br w:val="nil"/>
                    <w:tr2bl w:val="nil"/>
                  </w:tcBorders>
                  <w:noWrap w:val="0"/>
                  <w:vAlign w:val="center"/>
                </w:tcPr>
                <w:p w14:paraId="139A617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713" w:type="pct"/>
                  <w:vMerge w:val="restart"/>
                  <w:tcBorders>
                    <w:tl2br w:val="nil"/>
                    <w:tr2bl w:val="nil"/>
                  </w:tcBorders>
                  <w:noWrap w:val="0"/>
                  <w:vAlign w:val="center"/>
                </w:tcPr>
                <w:p w14:paraId="3DFAE6D1">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封闭</w:t>
                  </w:r>
                  <w:r>
                    <w:rPr>
                      <w:rFonts w:hint="default" w:ascii="Times New Roman" w:hAnsi="Times New Roman" w:eastAsia="宋体" w:cs="Times New Roman"/>
                      <w:b w:val="0"/>
                      <w:bCs w:val="0"/>
                      <w:color w:val="auto"/>
                      <w:kern w:val="2"/>
                      <w:sz w:val="18"/>
                      <w:szCs w:val="18"/>
                      <w:highlight w:val="none"/>
                      <w:lang w:val="en-US" w:eastAsia="zh-CN" w:bidi="ar-SA"/>
                    </w:rPr>
                    <w:t>车间，加强废气收集</w:t>
                  </w:r>
                  <w:r>
                    <w:rPr>
                      <w:rFonts w:hint="eastAsia" w:cs="Times New Roman"/>
                      <w:b w:val="0"/>
                      <w:bCs w:val="0"/>
                      <w:color w:val="auto"/>
                      <w:kern w:val="2"/>
                      <w:sz w:val="18"/>
                      <w:szCs w:val="18"/>
                      <w:highlight w:val="none"/>
                      <w:lang w:val="en-US" w:eastAsia="zh-CN" w:bidi="ar-SA"/>
                    </w:rPr>
                    <w:t>。定期清扫积尘</w:t>
                  </w:r>
                </w:p>
              </w:tc>
              <w:tc>
                <w:tcPr>
                  <w:tcW w:w="475" w:type="pct"/>
                  <w:tcBorders>
                    <w:tl2br w:val="nil"/>
                    <w:tr2bl w:val="nil"/>
                  </w:tcBorders>
                  <w:shd w:val="clear" w:color="auto" w:fill="auto"/>
                  <w:noWrap w:val="0"/>
                  <w:vAlign w:val="center"/>
                </w:tcPr>
                <w:p w14:paraId="253B48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sz w:val="18"/>
                      <w:szCs w:val="18"/>
                      <w:highlight w:val="none"/>
                      <w:lang w:val="en-US" w:eastAsia="zh-CN"/>
                    </w:rPr>
                    <w:t>0.3052</w:t>
                  </w:r>
                </w:p>
              </w:tc>
              <w:tc>
                <w:tcPr>
                  <w:tcW w:w="453" w:type="pct"/>
                  <w:tcBorders>
                    <w:tl2br w:val="nil"/>
                    <w:tr2bl w:val="nil"/>
                  </w:tcBorders>
                  <w:noWrap w:val="0"/>
                  <w:vAlign w:val="center"/>
                </w:tcPr>
                <w:p w14:paraId="4B024B6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474" w:type="pct"/>
                  <w:tcBorders>
                    <w:tl2br w:val="nil"/>
                    <w:tr2bl w:val="nil"/>
                  </w:tcBorders>
                  <w:noWrap w:val="0"/>
                  <w:vAlign w:val="center"/>
                </w:tcPr>
                <w:p w14:paraId="31B0C54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0.127</w:t>
                  </w:r>
                </w:p>
              </w:tc>
              <w:tc>
                <w:tcPr>
                  <w:tcW w:w="348" w:type="pct"/>
                  <w:tcBorders>
                    <w:tl2br w:val="nil"/>
                    <w:tr2bl w:val="nil"/>
                  </w:tcBorders>
                  <w:noWrap w:val="0"/>
                  <w:vAlign w:val="center"/>
                </w:tcPr>
                <w:p w14:paraId="6AEECA4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1AA2E9A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1009A5E8">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p>
              </w:tc>
              <w:tc>
                <w:tcPr>
                  <w:tcW w:w="635" w:type="pct"/>
                  <w:tcBorders>
                    <w:tl2br w:val="nil"/>
                    <w:tr2bl w:val="nil"/>
                  </w:tcBorders>
                  <w:shd w:val="clear" w:color="auto" w:fill="auto"/>
                  <w:noWrap w:val="0"/>
                  <w:vAlign w:val="center"/>
                </w:tcPr>
                <w:p w14:paraId="24AE42B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sz w:val="18"/>
                      <w:szCs w:val="18"/>
                      <w:highlight w:val="none"/>
                      <w:lang w:val="en-US" w:eastAsia="zh-CN"/>
                    </w:rPr>
                    <w:t>制冷剂回收工序</w:t>
                  </w:r>
                </w:p>
              </w:tc>
              <w:tc>
                <w:tcPr>
                  <w:tcW w:w="612" w:type="pct"/>
                  <w:tcBorders>
                    <w:tl2br w:val="nil"/>
                    <w:tr2bl w:val="nil"/>
                  </w:tcBorders>
                  <w:noWrap w:val="0"/>
                  <w:vAlign w:val="center"/>
                </w:tcPr>
                <w:p w14:paraId="0A30EBF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非甲烷总烃</w:t>
                  </w:r>
                </w:p>
              </w:tc>
              <w:tc>
                <w:tcPr>
                  <w:tcW w:w="500" w:type="pct"/>
                  <w:tcBorders>
                    <w:tl2br w:val="nil"/>
                    <w:tr2bl w:val="nil"/>
                  </w:tcBorders>
                  <w:noWrap w:val="0"/>
                  <w:vAlign w:val="center"/>
                </w:tcPr>
                <w:p w14:paraId="7F41AF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0.014</w:t>
                  </w:r>
                </w:p>
              </w:tc>
              <w:tc>
                <w:tcPr>
                  <w:tcW w:w="444" w:type="pct"/>
                  <w:tcBorders>
                    <w:tl2br w:val="nil"/>
                    <w:tr2bl w:val="nil"/>
                  </w:tcBorders>
                  <w:noWrap w:val="0"/>
                  <w:vAlign w:val="center"/>
                </w:tcPr>
                <w:p w14:paraId="38414D7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713" w:type="pct"/>
                  <w:vMerge w:val="continue"/>
                  <w:tcBorders>
                    <w:tl2br w:val="nil"/>
                    <w:tr2bl w:val="nil"/>
                  </w:tcBorders>
                  <w:noWrap w:val="0"/>
                  <w:vAlign w:val="center"/>
                </w:tcPr>
                <w:p w14:paraId="1CF9970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p>
              </w:tc>
              <w:tc>
                <w:tcPr>
                  <w:tcW w:w="475" w:type="pct"/>
                  <w:tcBorders>
                    <w:tl2br w:val="nil"/>
                    <w:tr2bl w:val="nil"/>
                  </w:tcBorders>
                  <w:shd w:val="clear" w:color="auto" w:fill="auto"/>
                  <w:noWrap w:val="0"/>
                  <w:vAlign w:val="center"/>
                </w:tcPr>
                <w:p w14:paraId="0A0E658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0.014</w:t>
                  </w:r>
                </w:p>
              </w:tc>
              <w:tc>
                <w:tcPr>
                  <w:tcW w:w="453" w:type="pct"/>
                  <w:tcBorders>
                    <w:tl2br w:val="nil"/>
                    <w:tr2bl w:val="nil"/>
                  </w:tcBorders>
                  <w:noWrap w:val="0"/>
                  <w:vAlign w:val="center"/>
                </w:tcPr>
                <w:p w14:paraId="66814A0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474" w:type="pct"/>
                  <w:tcBorders>
                    <w:tl2br w:val="nil"/>
                    <w:tr2bl w:val="nil"/>
                  </w:tcBorders>
                  <w:noWrap w:val="0"/>
                  <w:vAlign w:val="center"/>
                </w:tcPr>
                <w:p w14:paraId="0C974C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0.007</w:t>
                  </w:r>
                </w:p>
              </w:tc>
              <w:tc>
                <w:tcPr>
                  <w:tcW w:w="348" w:type="pct"/>
                  <w:tcBorders>
                    <w:tl2br w:val="nil"/>
                    <w:tr2bl w:val="nil"/>
                  </w:tcBorders>
                  <w:noWrap w:val="0"/>
                  <w:vAlign w:val="center"/>
                </w:tcPr>
                <w:p w14:paraId="4165C8AB">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5898AF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1AC19B2A">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sz w:val="18"/>
                      <w:szCs w:val="18"/>
                      <w:highlight w:val="none"/>
                      <w:u w:val="none" w:color="auto"/>
                      <w:lang w:bidi="zh-CN"/>
                    </w:rPr>
                  </w:pPr>
                </w:p>
              </w:tc>
              <w:tc>
                <w:tcPr>
                  <w:tcW w:w="635" w:type="pct"/>
                  <w:tcBorders>
                    <w:tl2br w:val="nil"/>
                    <w:tr2bl w:val="nil"/>
                  </w:tcBorders>
                  <w:shd w:val="clear" w:color="auto" w:fill="auto"/>
                  <w:noWrap w:val="0"/>
                  <w:vAlign w:val="center"/>
                </w:tcPr>
                <w:p w14:paraId="03E46C7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sz w:val="18"/>
                      <w:szCs w:val="18"/>
                      <w:highlight w:val="none"/>
                      <w:lang w:val="en-US" w:eastAsia="zh-CN"/>
                    </w:rPr>
                    <w:t>危废贮存库</w:t>
                  </w:r>
                </w:p>
              </w:tc>
              <w:tc>
                <w:tcPr>
                  <w:tcW w:w="612" w:type="pct"/>
                  <w:tcBorders>
                    <w:tl2br w:val="nil"/>
                    <w:tr2bl w:val="nil"/>
                  </w:tcBorders>
                  <w:noWrap w:val="0"/>
                  <w:vAlign w:val="center"/>
                </w:tcPr>
                <w:p w14:paraId="07F1850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非甲烷总烃</w:t>
                  </w:r>
                </w:p>
              </w:tc>
              <w:tc>
                <w:tcPr>
                  <w:tcW w:w="500" w:type="pct"/>
                  <w:tcBorders>
                    <w:tl2br w:val="nil"/>
                    <w:tr2bl w:val="nil"/>
                  </w:tcBorders>
                  <w:noWrap w:val="0"/>
                  <w:vAlign w:val="center"/>
                </w:tcPr>
                <w:p w14:paraId="128BA93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0.006</w:t>
                  </w:r>
                </w:p>
              </w:tc>
              <w:tc>
                <w:tcPr>
                  <w:tcW w:w="444" w:type="pct"/>
                  <w:tcBorders>
                    <w:tl2br w:val="nil"/>
                    <w:tr2bl w:val="nil"/>
                  </w:tcBorders>
                  <w:noWrap w:val="0"/>
                  <w:vAlign w:val="center"/>
                </w:tcPr>
                <w:p w14:paraId="41D7E9E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713" w:type="pct"/>
                  <w:vMerge w:val="continue"/>
                  <w:tcBorders>
                    <w:tl2br w:val="nil"/>
                    <w:tr2bl w:val="nil"/>
                  </w:tcBorders>
                  <w:noWrap w:val="0"/>
                  <w:vAlign w:val="center"/>
                </w:tcPr>
                <w:p w14:paraId="77C6F67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p>
              </w:tc>
              <w:tc>
                <w:tcPr>
                  <w:tcW w:w="475" w:type="pct"/>
                  <w:tcBorders>
                    <w:tl2br w:val="nil"/>
                    <w:tr2bl w:val="nil"/>
                  </w:tcBorders>
                  <w:shd w:val="clear" w:color="auto" w:fill="auto"/>
                  <w:noWrap w:val="0"/>
                  <w:vAlign w:val="center"/>
                </w:tcPr>
                <w:p w14:paraId="50E08C9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0.006</w:t>
                  </w:r>
                </w:p>
              </w:tc>
              <w:tc>
                <w:tcPr>
                  <w:tcW w:w="453" w:type="pct"/>
                  <w:tcBorders>
                    <w:tl2br w:val="nil"/>
                    <w:tr2bl w:val="nil"/>
                  </w:tcBorders>
                  <w:noWrap w:val="0"/>
                  <w:vAlign w:val="center"/>
                </w:tcPr>
                <w:p w14:paraId="27E73CD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474" w:type="pct"/>
                  <w:tcBorders>
                    <w:tl2br w:val="nil"/>
                    <w:tr2bl w:val="nil"/>
                  </w:tcBorders>
                  <w:noWrap w:val="0"/>
                  <w:vAlign w:val="center"/>
                </w:tcPr>
                <w:p w14:paraId="292DD5E7">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0.00068</w:t>
                  </w:r>
                </w:p>
              </w:tc>
              <w:tc>
                <w:tcPr>
                  <w:tcW w:w="348" w:type="pct"/>
                  <w:tcBorders>
                    <w:tl2br w:val="nil"/>
                    <w:tr2bl w:val="nil"/>
                  </w:tcBorders>
                  <w:noWrap w:val="0"/>
                  <w:vAlign w:val="center"/>
                </w:tcPr>
                <w:p w14:paraId="7268133F">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8760</w:t>
                  </w:r>
                </w:p>
              </w:tc>
            </w:tr>
            <w:tr w14:paraId="1D55FD4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1E82F9A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eastAsia="zh-CN" w:bidi="ar"/>
                    </w:rPr>
                  </w:pPr>
                </w:p>
              </w:tc>
              <w:tc>
                <w:tcPr>
                  <w:tcW w:w="635" w:type="pct"/>
                  <w:tcBorders>
                    <w:tl2br w:val="nil"/>
                    <w:tr2bl w:val="nil"/>
                  </w:tcBorders>
                  <w:shd w:val="clear" w:color="auto" w:fill="auto"/>
                  <w:noWrap w:val="0"/>
                  <w:vAlign w:val="center"/>
                </w:tcPr>
                <w:p w14:paraId="709B26E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sz w:val="18"/>
                      <w:szCs w:val="18"/>
                      <w:highlight w:val="none"/>
                      <w:lang w:val="en-US" w:eastAsia="zh-CN"/>
                    </w:rPr>
                    <w:t>车辆剪切、切割工序</w:t>
                  </w:r>
                </w:p>
              </w:tc>
              <w:tc>
                <w:tcPr>
                  <w:tcW w:w="612" w:type="pct"/>
                  <w:tcBorders>
                    <w:tl2br w:val="nil"/>
                    <w:tr2bl w:val="nil"/>
                  </w:tcBorders>
                  <w:noWrap w:val="0"/>
                  <w:vAlign w:val="center"/>
                </w:tcPr>
                <w:p w14:paraId="1A654FB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颗粒物</w:t>
                  </w:r>
                </w:p>
              </w:tc>
              <w:tc>
                <w:tcPr>
                  <w:tcW w:w="500" w:type="pct"/>
                  <w:tcBorders>
                    <w:tl2br w:val="nil"/>
                    <w:tr2bl w:val="nil"/>
                  </w:tcBorders>
                  <w:noWrap w:val="0"/>
                  <w:vAlign w:val="center"/>
                </w:tcPr>
                <w:p w14:paraId="62CA109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0.0085</w:t>
                  </w:r>
                </w:p>
              </w:tc>
              <w:tc>
                <w:tcPr>
                  <w:tcW w:w="444" w:type="pct"/>
                  <w:tcBorders>
                    <w:tl2br w:val="nil"/>
                    <w:tr2bl w:val="nil"/>
                  </w:tcBorders>
                  <w:noWrap w:val="0"/>
                  <w:vAlign w:val="center"/>
                </w:tcPr>
                <w:p w14:paraId="17B0E574">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713" w:type="pct"/>
                  <w:vMerge w:val="continue"/>
                  <w:tcBorders>
                    <w:tl2br w:val="nil"/>
                    <w:tr2bl w:val="nil"/>
                  </w:tcBorders>
                  <w:noWrap w:val="0"/>
                  <w:vAlign w:val="center"/>
                </w:tcPr>
                <w:p w14:paraId="498E849E">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p>
              </w:tc>
              <w:tc>
                <w:tcPr>
                  <w:tcW w:w="475" w:type="pct"/>
                  <w:tcBorders>
                    <w:tl2br w:val="nil"/>
                    <w:tr2bl w:val="nil"/>
                  </w:tcBorders>
                  <w:shd w:val="clear" w:color="auto" w:fill="auto"/>
                  <w:noWrap w:val="0"/>
                  <w:vAlign w:val="center"/>
                </w:tcPr>
                <w:p w14:paraId="6D0E7FF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0.0085</w:t>
                  </w:r>
                </w:p>
              </w:tc>
              <w:tc>
                <w:tcPr>
                  <w:tcW w:w="453" w:type="pct"/>
                  <w:tcBorders>
                    <w:tl2br w:val="nil"/>
                    <w:tr2bl w:val="nil"/>
                  </w:tcBorders>
                  <w:noWrap w:val="0"/>
                  <w:vAlign w:val="center"/>
                </w:tcPr>
                <w:p w14:paraId="48319282">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default" w:ascii="Times New Roman" w:hAnsi="Times New Roman" w:eastAsia="宋体" w:cs="Times New Roman"/>
                      <w:b w:val="0"/>
                      <w:bCs w:val="0"/>
                      <w:color w:val="auto"/>
                      <w:kern w:val="2"/>
                      <w:sz w:val="18"/>
                      <w:szCs w:val="18"/>
                      <w:highlight w:val="none"/>
                      <w:lang w:val="en-US" w:eastAsia="zh-CN" w:bidi="ar-SA"/>
                    </w:rPr>
                    <w:t>/</w:t>
                  </w:r>
                </w:p>
              </w:tc>
              <w:tc>
                <w:tcPr>
                  <w:tcW w:w="474" w:type="pct"/>
                  <w:tcBorders>
                    <w:tl2br w:val="nil"/>
                    <w:tr2bl w:val="nil"/>
                  </w:tcBorders>
                  <w:noWrap w:val="0"/>
                  <w:vAlign w:val="center"/>
                </w:tcPr>
                <w:p w14:paraId="267FF70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0.00425</w:t>
                  </w:r>
                </w:p>
              </w:tc>
              <w:tc>
                <w:tcPr>
                  <w:tcW w:w="348" w:type="pct"/>
                  <w:tcBorders>
                    <w:tl2br w:val="nil"/>
                    <w:tr2bl w:val="nil"/>
                  </w:tcBorders>
                  <w:noWrap w:val="0"/>
                  <w:vAlign w:val="center"/>
                </w:tcPr>
                <w:p w14:paraId="1E3C596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r w14:paraId="050EAA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342" w:type="pct"/>
                  <w:vMerge w:val="continue"/>
                  <w:tcBorders>
                    <w:tl2br w:val="nil"/>
                    <w:tr2bl w:val="nil"/>
                  </w:tcBorders>
                  <w:noWrap w:val="0"/>
                  <w:vAlign w:val="center"/>
                </w:tcPr>
                <w:p w14:paraId="4F82FC1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eastAsia="zh-CN" w:bidi="ar"/>
                    </w:rPr>
                  </w:pPr>
                </w:p>
              </w:tc>
              <w:tc>
                <w:tcPr>
                  <w:tcW w:w="635" w:type="pct"/>
                  <w:tcBorders>
                    <w:tl2br w:val="nil"/>
                    <w:tr2bl w:val="nil"/>
                  </w:tcBorders>
                  <w:shd w:val="clear" w:color="auto" w:fill="auto"/>
                  <w:noWrap w:val="0"/>
                  <w:vAlign w:val="center"/>
                </w:tcPr>
                <w:p w14:paraId="42802C13">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sz w:val="18"/>
                      <w:szCs w:val="18"/>
                      <w:highlight w:val="none"/>
                      <w:lang w:val="en-US" w:eastAsia="zh-CN"/>
                    </w:rPr>
                  </w:pPr>
                  <w:r>
                    <w:rPr>
                      <w:rFonts w:hint="eastAsia" w:cs="Times New Roman"/>
                      <w:b w:val="0"/>
                      <w:bCs w:val="0"/>
                      <w:color w:val="auto"/>
                      <w:sz w:val="18"/>
                      <w:szCs w:val="18"/>
                      <w:highlight w:val="none"/>
                      <w:lang w:val="en-US" w:eastAsia="zh-CN"/>
                    </w:rPr>
                    <w:t>废钢剪切、破碎工序</w:t>
                  </w:r>
                </w:p>
              </w:tc>
              <w:tc>
                <w:tcPr>
                  <w:tcW w:w="612" w:type="pct"/>
                  <w:tcBorders>
                    <w:tl2br w:val="nil"/>
                    <w:tr2bl w:val="nil"/>
                  </w:tcBorders>
                  <w:noWrap w:val="0"/>
                  <w:vAlign w:val="center"/>
                </w:tcPr>
                <w:p w14:paraId="785E525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0"/>
                      <w:sz w:val="18"/>
                      <w:szCs w:val="18"/>
                      <w:highlight w:val="none"/>
                      <w:lang w:val="en-US" w:eastAsia="zh-CN" w:bidi="ar-SA"/>
                    </w:rPr>
                  </w:pPr>
                  <w:r>
                    <w:rPr>
                      <w:rFonts w:hint="default" w:ascii="Times New Roman" w:hAnsi="Times New Roman" w:eastAsia="宋体" w:cs="Times New Roman"/>
                      <w:b w:val="0"/>
                      <w:bCs w:val="0"/>
                      <w:color w:val="auto"/>
                      <w:kern w:val="0"/>
                      <w:sz w:val="18"/>
                      <w:szCs w:val="18"/>
                      <w:highlight w:val="none"/>
                      <w:lang w:val="en-US" w:eastAsia="zh-CN" w:bidi="ar-SA"/>
                    </w:rPr>
                    <w:t>颗粒物</w:t>
                  </w:r>
                </w:p>
              </w:tc>
              <w:tc>
                <w:tcPr>
                  <w:tcW w:w="500" w:type="pct"/>
                  <w:tcBorders>
                    <w:tl2br w:val="nil"/>
                    <w:tr2bl w:val="nil"/>
                  </w:tcBorders>
                  <w:noWrap w:val="0"/>
                  <w:vAlign w:val="center"/>
                </w:tcPr>
                <w:p w14:paraId="083B6C5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0.123</w:t>
                  </w:r>
                </w:p>
              </w:tc>
              <w:tc>
                <w:tcPr>
                  <w:tcW w:w="444" w:type="pct"/>
                  <w:tcBorders>
                    <w:tl2br w:val="nil"/>
                    <w:tr2bl w:val="nil"/>
                  </w:tcBorders>
                  <w:noWrap w:val="0"/>
                  <w:vAlign w:val="center"/>
                </w:tcPr>
                <w:p w14:paraId="178D189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w:t>
                  </w:r>
                </w:p>
              </w:tc>
              <w:tc>
                <w:tcPr>
                  <w:tcW w:w="713" w:type="pct"/>
                  <w:vMerge w:val="continue"/>
                  <w:tcBorders>
                    <w:tl2br w:val="nil"/>
                    <w:tr2bl w:val="nil"/>
                  </w:tcBorders>
                  <w:noWrap w:val="0"/>
                  <w:vAlign w:val="center"/>
                </w:tcPr>
                <w:p w14:paraId="077C1C3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p>
              </w:tc>
              <w:tc>
                <w:tcPr>
                  <w:tcW w:w="475" w:type="pct"/>
                  <w:tcBorders>
                    <w:tl2br w:val="nil"/>
                    <w:tr2bl w:val="nil"/>
                  </w:tcBorders>
                  <w:shd w:val="clear" w:color="auto" w:fill="auto"/>
                  <w:noWrap w:val="0"/>
                  <w:vAlign w:val="center"/>
                </w:tcPr>
                <w:p w14:paraId="44654125">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0.123</w:t>
                  </w:r>
                </w:p>
              </w:tc>
              <w:tc>
                <w:tcPr>
                  <w:tcW w:w="453" w:type="pct"/>
                  <w:tcBorders>
                    <w:tl2br w:val="nil"/>
                    <w:tr2bl w:val="nil"/>
                  </w:tcBorders>
                  <w:noWrap w:val="0"/>
                  <w:vAlign w:val="center"/>
                </w:tcPr>
                <w:p w14:paraId="43DB323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w:t>
                  </w:r>
                </w:p>
              </w:tc>
              <w:tc>
                <w:tcPr>
                  <w:tcW w:w="474" w:type="pct"/>
                  <w:tcBorders>
                    <w:tl2br w:val="nil"/>
                    <w:tr2bl w:val="nil"/>
                  </w:tcBorders>
                  <w:noWrap w:val="0"/>
                  <w:vAlign w:val="center"/>
                </w:tcPr>
                <w:p w14:paraId="2CE2CCA6">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0.0615</w:t>
                  </w:r>
                </w:p>
              </w:tc>
              <w:tc>
                <w:tcPr>
                  <w:tcW w:w="348" w:type="pct"/>
                  <w:tcBorders>
                    <w:tl2br w:val="nil"/>
                    <w:tr2bl w:val="nil"/>
                  </w:tcBorders>
                  <w:noWrap w:val="0"/>
                  <w:vAlign w:val="center"/>
                </w:tcPr>
                <w:p w14:paraId="2D401510">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cs="Times New Roman"/>
                      <w:b w:val="0"/>
                      <w:bCs w:val="0"/>
                      <w:color w:val="auto"/>
                      <w:kern w:val="2"/>
                      <w:sz w:val="18"/>
                      <w:szCs w:val="18"/>
                      <w:highlight w:val="none"/>
                      <w:lang w:val="en-US" w:eastAsia="zh-CN" w:bidi="ar-SA"/>
                    </w:rPr>
                  </w:pPr>
                  <w:r>
                    <w:rPr>
                      <w:rFonts w:hint="eastAsia" w:cs="Times New Roman"/>
                      <w:b w:val="0"/>
                      <w:bCs w:val="0"/>
                      <w:color w:val="auto"/>
                      <w:kern w:val="2"/>
                      <w:sz w:val="18"/>
                      <w:szCs w:val="18"/>
                      <w:highlight w:val="none"/>
                      <w:lang w:val="en-US" w:eastAsia="zh-CN" w:bidi="ar-SA"/>
                    </w:rPr>
                    <w:t>2000</w:t>
                  </w:r>
                </w:p>
              </w:tc>
            </w:tr>
          </w:tbl>
          <w:p w14:paraId="6A34121E">
            <w:pPr>
              <w:keepNext w:val="0"/>
              <w:keepLines w:val="0"/>
              <w:widowControl/>
              <w:suppressLineNumbers w:val="0"/>
              <w:spacing w:before="0" w:beforeAutospacing="0" w:after="0" w:afterAutospacing="0" w:line="360" w:lineRule="auto"/>
              <w:ind w:left="0" w:right="0" w:firstLine="482" w:firstLineChars="200"/>
              <w:jc w:val="both"/>
              <w:rPr>
                <w:rFonts w:hint="default" w:ascii="Times New Roman" w:hAnsi="Times New Roman"/>
                <w:b/>
                <w:bCs/>
                <w:color w:val="auto"/>
                <w:kern w:val="0"/>
                <w:highlight w:val="none"/>
              </w:rPr>
            </w:pPr>
            <w:r>
              <w:rPr>
                <w:rFonts w:hint="eastAsia" w:ascii="Times New Roman" w:hAnsi="Times New Roman" w:eastAsia="宋体" w:cs="Times New Roman"/>
                <w:b/>
                <w:bCs/>
                <w:color w:val="auto"/>
                <w:kern w:val="2"/>
                <w:sz w:val="24"/>
                <w:szCs w:val="24"/>
                <w:highlight w:val="none"/>
                <w:lang w:val="en-US" w:eastAsia="zh-CN"/>
              </w:rPr>
              <w:t>1.2 废气排放口基本情况</w:t>
            </w:r>
          </w:p>
          <w:p w14:paraId="6D86B27B">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Times New Roman" w:hAnsi="Times New Roman"/>
                <w:b/>
                <w:bCs/>
                <w:color w:val="auto"/>
                <w:kern w:val="0"/>
                <w:highlight w:val="none"/>
              </w:rPr>
            </w:pPr>
            <w:r>
              <w:rPr>
                <w:rFonts w:hint="default" w:ascii="Times New Roman" w:hAnsi="Times New Roman"/>
                <w:b/>
                <w:bCs/>
                <w:color w:val="auto"/>
                <w:kern w:val="0"/>
                <w:highlight w:val="none"/>
              </w:rPr>
              <w:t>表</w:t>
            </w:r>
            <w:r>
              <w:rPr>
                <w:rFonts w:hint="eastAsia" w:ascii="Times New Roman" w:hAnsi="Times New Roman"/>
                <w:b/>
                <w:bCs/>
                <w:color w:val="auto"/>
                <w:kern w:val="0"/>
                <w:highlight w:val="none"/>
                <w:lang w:val="en-US" w:eastAsia="zh-CN"/>
              </w:rPr>
              <w:t>4-</w:t>
            </w:r>
            <w:r>
              <w:rPr>
                <w:rFonts w:hint="eastAsia"/>
                <w:b/>
                <w:bCs/>
                <w:color w:val="auto"/>
                <w:kern w:val="0"/>
                <w:highlight w:val="none"/>
                <w:lang w:val="en-US" w:eastAsia="zh-CN"/>
              </w:rPr>
              <w:t>6</w:t>
            </w:r>
            <w:r>
              <w:rPr>
                <w:rFonts w:hint="eastAsia" w:ascii="Times New Roman" w:hAnsi="Times New Roman"/>
                <w:b/>
                <w:bCs/>
                <w:color w:val="auto"/>
                <w:kern w:val="0"/>
                <w:highlight w:val="none"/>
                <w:lang w:val="en-US" w:eastAsia="zh-CN"/>
              </w:rPr>
              <w:t xml:space="preserve">  废气</w:t>
            </w:r>
            <w:r>
              <w:rPr>
                <w:rFonts w:hint="default" w:ascii="Times New Roman" w:hAnsi="Times New Roman"/>
                <w:b/>
                <w:bCs/>
                <w:color w:val="auto"/>
                <w:kern w:val="0"/>
                <w:highlight w:val="none"/>
              </w:rPr>
              <w:t>排放口基本信息一览表</w:t>
            </w:r>
          </w:p>
          <w:tbl>
            <w:tblPr>
              <w:tblStyle w:val="26"/>
              <w:tblW w:w="5000" w:type="pct"/>
              <w:tblInd w:w="5"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44"/>
              <w:gridCol w:w="1638"/>
              <w:gridCol w:w="1773"/>
              <w:gridCol w:w="836"/>
              <w:gridCol w:w="1039"/>
              <w:gridCol w:w="909"/>
              <w:gridCol w:w="848"/>
              <w:gridCol w:w="1239"/>
            </w:tblGrid>
            <w:tr w14:paraId="6C85EA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2" w:type="pct"/>
                  <w:vMerge w:val="restart"/>
                  <w:tcBorders>
                    <w:tl2br w:val="nil"/>
                    <w:tr2bl w:val="nil"/>
                  </w:tcBorders>
                  <w:noWrap w:val="0"/>
                  <w:vAlign w:val="center"/>
                </w:tcPr>
                <w:p w14:paraId="1D3BE29E">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编号</w:t>
                  </w:r>
                </w:p>
              </w:tc>
              <w:tc>
                <w:tcPr>
                  <w:tcW w:w="1868" w:type="pct"/>
                  <w:gridSpan w:val="2"/>
                  <w:tcBorders>
                    <w:tl2br w:val="nil"/>
                    <w:tr2bl w:val="nil"/>
                  </w:tcBorders>
                  <w:noWrap w:val="0"/>
                  <w:vAlign w:val="center"/>
                </w:tcPr>
                <w:p w14:paraId="78555EC4">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排气筒底部中心坐标（经纬度）</w:t>
                  </w:r>
                </w:p>
              </w:tc>
              <w:tc>
                <w:tcPr>
                  <w:tcW w:w="458" w:type="pct"/>
                  <w:vMerge w:val="restart"/>
                  <w:tcBorders>
                    <w:tl2br w:val="nil"/>
                    <w:tr2bl w:val="nil"/>
                  </w:tcBorders>
                  <w:noWrap w:val="0"/>
                  <w:vAlign w:val="center"/>
                </w:tcPr>
                <w:p w14:paraId="581D51E4">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排气筒高度/m</w:t>
                  </w:r>
                </w:p>
              </w:tc>
              <w:tc>
                <w:tcPr>
                  <w:tcW w:w="569" w:type="pct"/>
                  <w:vMerge w:val="restart"/>
                  <w:tcBorders>
                    <w:tl2br w:val="nil"/>
                    <w:tr2bl w:val="nil"/>
                  </w:tcBorders>
                  <w:noWrap w:val="0"/>
                  <w:vAlign w:val="center"/>
                </w:tcPr>
                <w:p w14:paraId="6A828E4D">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排气筒出口内径/m</w:t>
                  </w:r>
                </w:p>
              </w:tc>
              <w:tc>
                <w:tcPr>
                  <w:tcW w:w="498" w:type="pct"/>
                  <w:vMerge w:val="restart"/>
                  <w:tcBorders>
                    <w:tl2br w:val="nil"/>
                    <w:tr2bl w:val="nil"/>
                  </w:tcBorders>
                  <w:noWrap w:val="0"/>
                  <w:vAlign w:val="center"/>
                </w:tcPr>
                <w:p w14:paraId="3E3401FD">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烟气流速/m/s</w:t>
                  </w:r>
                </w:p>
              </w:tc>
              <w:tc>
                <w:tcPr>
                  <w:tcW w:w="464" w:type="pct"/>
                  <w:vMerge w:val="restart"/>
                  <w:tcBorders>
                    <w:tl2br w:val="nil"/>
                    <w:tr2bl w:val="nil"/>
                  </w:tcBorders>
                  <w:noWrap w:val="0"/>
                  <w:vAlign w:val="center"/>
                </w:tcPr>
                <w:p w14:paraId="2630EDAF">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烟气温度/℃</w:t>
                  </w:r>
                </w:p>
              </w:tc>
              <w:tc>
                <w:tcPr>
                  <w:tcW w:w="678" w:type="pct"/>
                  <w:vMerge w:val="restart"/>
                  <w:tcBorders>
                    <w:tl2br w:val="nil"/>
                    <w:tr2bl w:val="nil"/>
                  </w:tcBorders>
                  <w:noWrap w:val="0"/>
                  <w:vAlign w:val="center"/>
                </w:tcPr>
                <w:p w14:paraId="7D9A7E99">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类型</w:t>
                  </w:r>
                </w:p>
              </w:tc>
            </w:tr>
            <w:tr w14:paraId="102C381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2" w:type="pct"/>
                  <w:vMerge w:val="continue"/>
                  <w:tcBorders>
                    <w:tl2br w:val="nil"/>
                    <w:tr2bl w:val="nil"/>
                  </w:tcBorders>
                  <w:noWrap w:val="0"/>
                  <w:vAlign w:val="center"/>
                </w:tcPr>
                <w:p w14:paraId="7CEC9C6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897" w:type="pct"/>
                  <w:tcBorders>
                    <w:tl2br w:val="nil"/>
                    <w:tr2bl w:val="nil"/>
                  </w:tcBorders>
                  <w:noWrap w:val="0"/>
                  <w:vAlign w:val="center"/>
                </w:tcPr>
                <w:p w14:paraId="22B9045C">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经度</w:t>
                  </w:r>
                </w:p>
              </w:tc>
              <w:tc>
                <w:tcPr>
                  <w:tcW w:w="971" w:type="pct"/>
                  <w:tcBorders>
                    <w:tl2br w:val="nil"/>
                    <w:tr2bl w:val="nil"/>
                  </w:tcBorders>
                  <w:noWrap w:val="0"/>
                  <w:vAlign w:val="center"/>
                </w:tcPr>
                <w:p w14:paraId="57AF1C6A">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纬度</w:t>
                  </w:r>
                </w:p>
              </w:tc>
              <w:tc>
                <w:tcPr>
                  <w:tcW w:w="458" w:type="pct"/>
                  <w:vMerge w:val="continue"/>
                  <w:tcBorders>
                    <w:tl2br w:val="nil"/>
                    <w:tr2bl w:val="nil"/>
                  </w:tcBorders>
                  <w:noWrap w:val="0"/>
                  <w:vAlign w:val="center"/>
                </w:tcPr>
                <w:p w14:paraId="1177B4A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569" w:type="pct"/>
                  <w:vMerge w:val="continue"/>
                  <w:tcBorders>
                    <w:tl2br w:val="nil"/>
                    <w:tr2bl w:val="nil"/>
                  </w:tcBorders>
                  <w:noWrap w:val="0"/>
                  <w:vAlign w:val="center"/>
                </w:tcPr>
                <w:p w14:paraId="091B679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498" w:type="pct"/>
                  <w:vMerge w:val="continue"/>
                  <w:tcBorders>
                    <w:tl2br w:val="nil"/>
                    <w:tr2bl w:val="nil"/>
                  </w:tcBorders>
                  <w:noWrap w:val="0"/>
                  <w:vAlign w:val="center"/>
                </w:tcPr>
                <w:p w14:paraId="7AC4B83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464" w:type="pct"/>
                  <w:vMerge w:val="continue"/>
                  <w:tcBorders>
                    <w:tl2br w:val="nil"/>
                    <w:tr2bl w:val="nil"/>
                  </w:tcBorders>
                  <w:noWrap w:val="0"/>
                  <w:vAlign w:val="center"/>
                </w:tcPr>
                <w:p w14:paraId="04B3050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p>
              </w:tc>
              <w:tc>
                <w:tcPr>
                  <w:tcW w:w="678" w:type="pct"/>
                  <w:vMerge w:val="continue"/>
                  <w:tcBorders>
                    <w:tl2br w:val="nil"/>
                    <w:tr2bl w:val="nil"/>
                  </w:tcBorders>
                  <w:noWrap w:val="0"/>
                  <w:vAlign w:val="center"/>
                </w:tcPr>
                <w:p w14:paraId="3E5002E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rPr>
                  </w:pPr>
                </w:p>
              </w:tc>
            </w:tr>
            <w:tr w14:paraId="73D615D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2" w:type="pct"/>
                  <w:tcBorders>
                    <w:tl2br w:val="nil"/>
                    <w:tr2bl w:val="nil"/>
                  </w:tcBorders>
                  <w:noWrap w:val="0"/>
                  <w:vAlign w:val="center"/>
                </w:tcPr>
                <w:p w14:paraId="3083AA5F">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DA001</w:t>
                  </w:r>
                </w:p>
              </w:tc>
              <w:tc>
                <w:tcPr>
                  <w:tcW w:w="897" w:type="pct"/>
                  <w:tcBorders>
                    <w:tl2br w:val="nil"/>
                    <w:tr2bl w:val="nil"/>
                  </w:tcBorders>
                  <w:noWrap w:val="0"/>
                  <w:vAlign w:val="center"/>
                </w:tcPr>
                <w:p w14:paraId="1F4B7C3B">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121°35′7.300″</w:t>
                  </w:r>
                </w:p>
              </w:tc>
              <w:tc>
                <w:tcPr>
                  <w:tcW w:w="971" w:type="pct"/>
                  <w:tcBorders>
                    <w:tl2br w:val="nil"/>
                    <w:tr2bl w:val="nil"/>
                  </w:tcBorders>
                  <w:noWrap w:val="0"/>
                  <w:vAlign w:val="center"/>
                </w:tcPr>
                <w:p w14:paraId="19FF6851">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42°1′6.477″</w:t>
                  </w:r>
                </w:p>
              </w:tc>
              <w:tc>
                <w:tcPr>
                  <w:tcW w:w="458" w:type="pct"/>
                  <w:tcBorders>
                    <w:tl2br w:val="nil"/>
                    <w:tr2bl w:val="nil"/>
                  </w:tcBorders>
                  <w:noWrap w:val="0"/>
                  <w:vAlign w:val="center"/>
                </w:tcPr>
                <w:p w14:paraId="021D810B">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24</w:t>
                  </w:r>
                </w:p>
              </w:tc>
              <w:tc>
                <w:tcPr>
                  <w:tcW w:w="569" w:type="pct"/>
                  <w:tcBorders>
                    <w:tl2br w:val="nil"/>
                    <w:tr2bl w:val="nil"/>
                  </w:tcBorders>
                  <w:noWrap w:val="0"/>
                  <w:vAlign w:val="center"/>
                </w:tcPr>
                <w:p w14:paraId="1E1B7112">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0.32</w:t>
                  </w:r>
                </w:p>
              </w:tc>
              <w:tc>
                <w:tcPr>
                  <w:tcW w:w="498" w:type="pct"/>
                  <w:tcBorders>
                    <w:tl2br w:val="nil"/>
                    <w:tr2bl w:val="nil"/>
                  </w:tcBorders>
                  <w:noWrap w:val="0"/>
                  <w:vAlign w:val="center"/>
                </w:tcPr>
                <w:p w14:paraId="0086DF47">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17.27</w:t>
                  </w:r>
                </w:p>
              </w:tc>
              <w:tc>
                <w:tcPr>
                  <w:tcW w:w="464" w:type="pct"/>
                  <w:tcBorders>
                    <w:tl2br w:val="nil"/>
                    <w:tr2bl w:val="nil"/>
                  </w:tcBorders>
                  <w:noWrap w:val="0"/>
                  <w:vAlign w:val="center"/>
                </w:tcPr>
                <w:p w14:paraId="5041E085">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w:t>
                  </w:r>
                </w:p>
              </w:tc>
              <w:tc>
                <w:tcPr>
                  <w:tcW w:w="678" w:type="pct"/>
                  <w:tcBorders>
                    <w:tl2br w:val="nil"/>
                    <w:tr2bl w:val="nil"/>
                  </w:tcBorders>
                  <w:noWrap w:val="0"/>
                  <w:vAlign w:val="center"/>
                </w:tcPr>
                <w:p w14:paraId="0AF6AD38">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一般排放口</w:t>
                  </w:r>
                </w:p>
              </w:tc>
            </w:tr>
            <w:tr w14:paraId="5C93C1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2" w:type="pct"/>
                  <w:tcBorders>
                    <w:tl2br w:val="nil"/>
                    <w:tr2bl w:val="nil"/>
                  </w:tcBorders>
                  <w:noWrap w:val="0"/>
                  <w:vAlign w:val="center"/>
                </w:tcPr>
                <w:p w14:paraId="44E77D6F">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DA002</w:t>
                  </w:r>
                </w:p>
              </w:tc>
              <w:tc>
                <w:tcPr>
                  <w:tcW w:w="897" w:type="pct"/>
                  <w:tcBorders>
                    <w:tl2br w:val="nil"/>
                    <w:tr2bl w:val="nil"/>
                  </w:tcBorders>
                  <w:noWrap w:val="0"/>
                  <w:vAlign w:val="center"/>
                </w:tcPr>
                <w:p w14:paraId="526636E2">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121°35′7.638″</w:t>
                  </w:r>
                </w:p>
              </w:tc>
              <w:tc>
                <w:tcPr>
                  <w:tcW w:w="971" w:type="pct"/>
                  <w:tcBorders>
                    <w:tl2br w:val="nil"/>
                    <w:tr2bl w:val="nil"/>
                  </w:tcBorders>
                  <w:noWrap w:val="0"/>
                  <w:vAlign w:val="center"/>
                </w:tcPr>
                <w:p w14:paraId="6C453705">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42°1′6.412″</w:t>
                  </w:r>
                </w:p>
              </w:tc>
              <w:tc>
                <w:tcPr>
                  <w:tcW w:w="458" w:type="pct"/>
                  <w:tcBorders>
                    <w:tl2br w:val="nil"/>
                    <w:tr2bl w:val="nil"/>
                  </w:tcBorders>
                  <w:shd w:val="clear" w:color="auto" w:fill="auto"/>
                  <w:noWrap w:val="0"/>
                  <w:vAlign w:val="center"/>
                </w:tcPr>
                <w:p w14:paraId="5712E87F">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24</w:t>
                  </w:r>
                </w:p>
              </w:tc>
              <w:tc>
                <w:tcPr>
                  <w:tcW w:w="569" w:type="pct"/>
                  <w:tcBorders>
                    <w:tl2br w:val="nil"/>
                    <w:tr2bl w:val="nil"/>
                  </w:tcBorders>
                  <w:shd w:val="clear" w:color="auto" w:fill="auto"/>
                  <w:noWrap w:val="0"/>
                  <w:vAlign w:val="center"/>
                </w:tcPr>
                <w:p w14:paraId="5EF887AD">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0.5</w:t>
                  </w:r>
                </w:p>
              </w:tc>
              <w:tc>
                <w:tcPr>
                  <w:tcW w:w="498" w:type="pct"/>
                  <w:tcBorders>
                    <w:tl2br w:val="nil"/>
                    <w:tr2bl w:val="nil"/>
                  </w:tcBorders>
                  <w:shd w:val="clear" w:color="auto" w:fill="auto"/>
                  <w:noWrap w:val="0"/>
                  <w:vAlign w:val="center"/>
                </w:tcPr>
                <w:p w14:paraId="61969664">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14.15</w:t>
                  </w:r>
                </w:p>
              </w:tc>
              <w:tc>
                <w:tcPr>
                  <w:tcW w:w="464" w:type="pct"/>
                  <w:tcBorders>
                    <w:tl2br w:val="nil"/>
                    <w:tr2bl w:val="nil"/>
                  </w:tcBorders>
                  <w:shd w:val="clear" w:color="auto" w:fill="auto"/>
                  <w:noWrap w:val="0"/>
                  <w:vAlign w:val="center"/>
                </w:tcPr>
                <w:p w14:paraId="4C6F5A4F">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25</w:t>
                  </w:r>
                </w:p>
              </w:tc>
              <w:tc>
                <w:tcPr>
                  <w:tcW w:w="678" w:type="pct"/>
                  <w:tcBorders>
                    <w:tl2br w:val="nil"/>
                    <w:tr2bl w:val="nil"/>
                  </w:tcBorders>
                  <w:shd w:val="clear" w:color="auto" w:fill="auto"/>
                  <w:noWrap w:val="0"/>
                  <w:vAlign w:val="center"/>
                </w:tcPr>
                <w:p w14:paraId="62CB42F1">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一般排放口</w:t>
                  </w:r>
                </w:p>
              </w:tc>
            </w:tr>
            <w:tr w14:paraId="4FFC8B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62" w:type="pct"/>
                  <w:tcBorders>
                    <w:tl2br w:val="nil"/>
                    <w:tr2bl w:val="nil"/>
                  </w:tcBorders>
                  <w:noWrap w:val="0"/>
                  <w:vAlign w:val="center"/>
                </w:tcPr>
                <w:p w14:paraId="013FA724">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DA003</w:t>
                  </w:r>
                </w:p>
              </w:tc>
              <w:tc>
                <w:tcPr>
                  <w:tcW w:w="897" w:type="pct"/>
                  <w:tcBorders>
                    <w:tl2br w:val="nil"/>
                    <w:tr2bl w:val="nil"/>
                  </w:tcBorders>
                  <w:noWrap w:val="0"/>
                  <w:vAlign w:val="center"/>
                </w:tcPr>
                <w:p w14:paraId="027029F1">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121°35′7.234″</w:t>
                  </w:r>
                </w:p>
              </w:tc>
              <w:tc>
                <w:tcPr>
                  <w:tcW w:w="971" w:type="pct"/>
                  <w:tcBorders>
                    <w:tl2br w:val="nil"/>
                    <w:tr2bl w:val="nil"/>
                  </w:tcBorders>
                  <w:noWrap w:val="0"/>
                  <w:vAlign w:val="center"/>
                </w:tcPr>
                <w:p w14:paraId="2B5AA8DE">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42°0′59.777″</w:t>
                  </w:r>
                </w:p>
              </w:tc>
              <w:tc>
                <w:tcPr>
                  <w:tcW w:w="458" w:type="pct"/>
                  <w:tcBorders>
                    <w:tl2br w:val="nil"/>
                    <w:tr2bl w:val="nil"/>
                  </w:tcBorders>
                  <w:shd w:val="clear" w:color="auto" w:fill="auto"/>
                  <w:noWrap w:val="0"/>
                  <w:vAlign w:val="center"/>
                </w:tcPr>
                <w:p w14:paraId="4A9712D5">
                  <w:pPr>
                    <w:pStyle w:val="79"/>
                    <w:keepNext w:val="0"/>
                    <w:keepLines w:val="0"/>
                    <w:suppressLineNumbers w:val="0"/>
                    <w:adjustRightInd w:val="0"/>
                    <w:snapToGrid w:val="0"/>
                    <w:spacing w:before="0" w:beforeAutospacing="0" w:after="0" w:afterAutospacing="0"/>
                    <w:ind w:left="-84" w:leftChars="-40" w:right="-84" w:rightChars="-40"/>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24</w:t>
                  </w:r>
                </w:p>
              </w:tc>
              <w:tc>
                <w:tcPr>
                  <w:tcW w:w="569" w:type="pct"/>
                  <w:tcBorders>
                    <w:tl2br w:val="nil"/>
                    <w:tr2bl w:val="nil"/>
                  </w:tcBorders>
                  <w:shd w:val="clear" w:color="auto" w:fill="auto"/>
                  <w:noWrap w:val="0"/>
                  <w:vAlign w:val="center"/>
                </w:tcPr>
                <w:p w14:paraId="36CAD049">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0.6</w:t>
                  </w:r>
                </w:p>
              </w:tc>
              <w:tc>
                <w:tcPr>
                  <w:tcW w:w="498" w:type="pct"/>
                  <w:tcBorders>
                    <w:tl2br w:val="nil"/>
                    <w:tr2bl w:val="nil"/>
                  </w:tcBorders>
                  <w:shd w:val="clear" w:color="auto" w:fill="auto"/>
                  <w:noWrap w:val="0"/>
                  <w:vAlign w:val="center"/>
                </w:tcPr>
                <w:p w14:paraId="4AEF6B6E">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14.75</w:t>
                  </w:r>
                </w:p>
              </w:tc>
              <w:tc>
                <w:tcPr>
                  <w:tcW w:w="464" w:type="pct"/>
                  <w:tcBorders>
                    <w:tl2br w:val="nil"/>
                    <w:tr2bl w:val="nil"/>
                  </w:tcBorders>
                  <w:shd w:val="clear" w:color="auto" w:fill="auto"/>
                  <w:noWrap w:val="0"/>
                  <w:vAlign w:val="center"/>
                </w:tcPr>
                <w:p w14:paraId="680B2249">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25</w:t>
                  </w:r>
                </w:p>
              </w:tc>
              <w:tc>
                <w:tcPr>
                  <w:tcW w:w="678" w:type="pct"/>
                  <w:tcBorders>
                    <w:tl2br w:val="nil"/>
                    <w:tr2bl w:val="nil"/>
                  </w:tcBorders>
                  <w:shd w:val="clear" w:color="auto" w:fill="auto"/>
                  <w:noWrap w:val="0"/>
                  <w:vAlign w:val="center"/>
                </w:tcPr>
                <w:p w14:paraId="39726964">
                  <w:pPr>
                    <w:pStyle w:val="79"/>
                    <w:keepNext w:val="0"/>
                    <w:keepLines w:val="0"/>
                    <w:suppressLineNumbers w:val="0"/>
                    <w:adjustRightInd w:val="0"/>
                    <w:snapToGrid w:val="0"/>
                    <w:spacing w:before="0" w:beforeAutospacing="0" w:after="0" w:afterAutospacing="0"/>
                    <w:ind w:left="-84" w:leftChars="-40" w:right="-84" w:rightChars="-4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一般排放口</w:t>
                  </w:r>
                </w:p>
              </w:tc>
            </w:tr>
          </w:tbl>
          <w:p w14:paraId="64C372F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outlineLvl w:val="9"/>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根据《大气污染物综合排放标准》（GB16297-1996</w:t>
            </w:r>
            <w:r>
              <w:rPr>
                <w:rFonts w:hint="eastAsia"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，新污染源排气筒高度一般不低于</w:t>
            </w:r>
            <w:r>
              <w:rPr>
                <w:rFonts w:hint="eastAsia" w:cs="Times New Roman"/>
                <w:color w:val="auto"/>
                <w:kern w:val="2"/>
                <w:sz w:val="24"/>
                <w:szCs w:val="24"/>
                <w:highlight w:val="none"/>
                <w:lang w:val="en-US" w:eastAsia="zh-CN"/>
              </w:rPr>
              <w:t>15m</w:t>
            </w:r>
            <w:r>
              <w:rPr>
                <w:rFonts w:hint="eastAsia" w:ascii="Times New Roman" w:hAnsi="Times New Roman" w:eastAsia="宋体" w:cs="Times New Roman"/>
                <w:color w:val="auto"/>
                <w:kern w:val="2"/>
                <w:sz w:val="24"/>
                <w:szCs w:val="24"/>
                <w:highlight w:val="none"/>
                <w:lang w:val="en-US" w:eastAsia="zh-CN"/>
              </w:rPr>
              <w:t>，同时应高于周围200m范围内最高建筑物5m以上，本项目排气筒范围内最高建筑为项目生产车间，高度约</w:t>
            </w:r>
            <w:r>
              <w:rPr>
                <w:rFonts w:hint="eastAsia" w:cs="Times New Roman"/>
                <w:color w:val="auto"/>
                <w:kern w:val="2"/>
                <w:sz w:val="24"/>
                <w:szCs w:val="24"/>
                <w:highlight w:val="none"/>
                <w:lang w:val="en-US" w:eastAsia="zh-CN"/>
              </w:rPr>
              <w:t>19</w:t>
            </w:r>
            <w:r>
              <w:rPr>
                <w:rFonts w:hint="eastAsia" w:ascii="Times New Roman" w:hAnsi="Times New Roman" w:eastAsia="宋体" w:cs="Times New Roman"/>
                <w:color w:val="auto"/>
                <w:kern w:val="2"/>
                <w:sz w:val="24"/>
                <w:szCs w:val="24"/>
                <w:highlight w:val="none"/>
                <w:lang w:val="en-US" w:eastAsia="zh-CN"/>
              </w:rPr>
              <w:t>m，</w:t>
            </w:r>
            <w:r>
              <w:rPr>
                <w:rFonts w:hint="eastAsia" w:cs="Times New Roman"/>
                <w:color w:val="auto"/>
                <w:kern w:val="2"/>
                <w:sz w:val="24"/>
                <w:szCs w:val="24"/>
                <w:highlight w:val="none"/>
                <w:lang w:val="en-US" w:eastAsia="zh-CN"/>
              </w:rPr>
              <w:t>本项目排气筒设置高度为24m，满足高于范围内最高建筑5m的要求</w:t>
            </w:r>
            <w:r>
              <w:rPr>
                <w:rFonts w:hint="eastAsia" w:ascii="Times New Roman" w:hAnsi="Times New Roman" w:eastAsia="宋体" w:cs="Times New Roman"/>
                <w:color w:val="auto"/>
                <w:kern w:val="2"/>
                <w:sz w:val="24"/>
                <w:szCs w:val="24"/>
                <w:highlight w:val="none"/>
                <w:lang w:val="en-US" w:eastAsia="zh-CN"/>
              </w:rPr>
              <w:t>；</w:t>
            </w:r>
          </w:p>
          <w:p w14:paraId="3B00DF2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80" w:firstLineChars="200"/>
              <w:jc w:val="both"/>
              <w:textAlignment w:val="auto"/>
              <w:outlineLvl w:val="9"/>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根据《大气污染治理工程技术导则》（HJ2000-2010）中“5.3.5 排气筒的出口直径应根据出口流速确定，流速宜取</w:t>
            </w:r>
            <w:r>
              <w:rPr>
                <w:rFonts w:hint="eastAsia" w:cs="Times New Roman"/>
                <w:color w:val="auto"/>
                <w:kern w:val="2"/>
                <w:sz w:val="24"/>
                <w:szCs w:val="24"/>
                <w:highlight w:val="none"/>
                <w:lang w:val="en-US" w:eastAsia="zh-CN"/>
              </w:rPr>
              <w:t>15m</w:t>
            </w:r>
            <w:r>
              <w:rPr>
                <w:rFonts w:hint="eastAsia" w:ascii="Times New Roman" w:hAnsi="Times New Roman" w:eastAsia="宋体" w:cs="Times New Roman"/>
                <w:color w:val="auto"/>
                <w:kern w:val="2"/>
                <w:sz w:val="24"/>
                <w:szCs w:val="24"/>
                <w:highlight w:val="none"/>
                <w:lang w:val="en-US" w:eastAsia="zh-CN"/>
              </w:rPr>
              <w:t>/s左右”</w:t>
            </w:r>
            <w:r>
              <w:rPr>
                <w:rFonts w:hint="eastAsia" w:cs="Times New Roman"/>
                <w:color w:val="auto"/>
                <w:kern w:val="2"/>
                <w:sz w:val="24"/>
                <w:szCs w:val="24"/>
                <w:highlight w:val="none"/>
                <w:lang w:val="en-US" w:eastAsia="zh-CN"/>
              </w:rPr>
              <w:t>，本项目DA001排气筒烟气流速为17.27m</w:t>
            </w:r>
            <w:r>
              <w:rPr>
                <w:rFonts w:hint="eastAsia" w:ascii="Times New Roman" w:hAnsi="Times New Roman" w:eastAsia="宋体" w:cs="Times New Roman"/>
                <w:color w:val="auto"/>
                <w:kern w:val="2"/>
                <w:sz w:val="24"/>
                <w:szCs w:val="24"/>
                <w:highlight w:val="none"/>
                <w:lang w:val="en-US" w:eastAsia="zh-CN"/>
              </w:rPr>
              <w:t>/s</w:t>
            </w:r>
            <w:r>
              <w:rPr>
                <w:rFonts w:hint="eastAsia" w:cs="Times New Roman"/>
                <w:color w:val="auto"/>
                <w:kern w:val="2"/>
                <w:sz w:val="24"/>
                <w:szCs w:val="24"/>
                <w:highlight w:val="none"/>
                <w:lang w:val="en-US" w:eastAsia="zh-CN"/>
              </w:rPr>
              <w:t>，DA002排气筒烟气流速为14.15m</w:t>
            </w:r>
            <w:r>
              <w:rPr>
                <w:rFonts w:hint="eastAsia" w:ascii="Times New Roman" w:hAnsi="Times New Roman" w:eastAsia="宋体" w:cs="Times New Roman"/>
                <w:color w:val="auto"/>
                <w:kern w:val="2"/>
                <w:sz w:val="24"/>
                <w:szCs w:val="24"/>
                <w:highlight w:val="none"/>
                <w:lang w:val="en-US" w:eastAsia="zh-CN"/>
              </w:rPr>
              <w:t>/s</w:t>
            </w:r>
            <w:r>
              <w:rPr>
                <w:rFonts w:hint="eastAsia" w:cs="Times New Roman"/>
                <w:color w:val="auto"/>
                <w:kern w:val="2"/>
                <w:sz w:val="24"/>
                <w:szCs w:val="24"/>
                <w:highlight w:val="none"/>
                <w:lang w:val="en-US" w:eastAsia="zh-CN"/>
              </w:rPr>
              <w:t>，DA003排气筒烟气流速为14.74m</w:t>
            </w:r>
            <w:r>
              <w:rPr>
                <w:rFonts w:hint="eastAsia" w:ascii="Times New Roman" w:hAnsi="Times New Roman" w:eastAsia="宋体" w:cs="Times New Roman"/>
                <w:color w:val="auto"/>
                <w:kern w:val="2"/>
                <w:sz w:val="24"/>
                <w:szCs w:val="24"/>
                <w:highlight w:val="none"/>
                <w:lang w:val="en-US" w:eastAsia="zh-CN"/>
              </w:rPr>
              <w:t>/s</w:t>
            </w:r>
            <w:r>
              <w:rPr>
                <w:rFonts w:hint="eastAsia" w:cs="Times New Roman"/>
                <w:color w:val="auto"/>
                <w:kern w:val="2"/>
                <w:sz w:val="24"/>
                <w:szCs w:val="24"/>
                <w:highlight w:val="none"/>
                <w:lang w:val="en-US" w:eastAsia="zh-CN"/>
              </w:rPr>
              <w:t>，烟气流速满足要求</w:t>
            </w:r>
            <w:r>
              <w:rPr>
                <w:rFonts w:hint="eastAsia" w:ascii="Times New Roman" w:hAnsi="Times New Roman" w:eastAsia="宋体" w:cs="Times New Roman"/>
                <w:color w:val="auto"/>
                <w:kern w:val="2"/>
                <w:sz w:val="24"/>
                <w:szCs w:val="24"/>
                <w:highlight w:val="none"/>
                <w:lang w:val="en-US" w:eastAsia="zh-CN"/>
              </w:rPr>
              <w:t>。</w:t>
            </w:r>
          </w:p>
          <w:p w14:paraId="5D0083FA">
            <w:pPr>
              <w:keepNext w:val="0"/>
              <w:keepLines w:val="0"/>
              <w:widowControl/>
              <w:suppressLineNumbers w:val="0"/>
              <w:spacing w:before="0" w:beforeAutospacing="0" w:after="0" w:afterAutospacing="0" w:line="360" w:lineRule="auto"/>
              <w:ind w:left="0" w:right="0" w:firstLine="482" w:firstLineChars="200"/>
              <w:jc w:val="both"/>
              <w:rPr>
                <w:rFonts w:hint="eastAsia"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1.3 废气治理设施可行性分析</w:t>
            </w:r>
          </w:p>
          <w:p w14:paraId="0C9BF604">
            <w:pPr>
              <w:keepNext w:val="0"/>
              <w:keepLines w:val="0"/>
              <w:widowControl/>
              <w:suppressLineNumbers w:val="0"/>
              <w:spacing w:before="0" w:beforeAutospacing="0" w:after="0" w:afterAutospacing="0" w:line="360" w:lineRule="auto"/>
              <w:ind w:left="0" w:right="0" w:firstLine="482" w:firstLineChars="200"/>
              <w:jc w:val="both"/>
              <w:rPr>
                <w:rFonts w:hint="default"/>
                <w:color w:val="auto"/>
                <w:highlight w:val="none"/>
              </w:rPr>
            </w:pPr>
            <w:r>
              <w:rPr>
                <w:rFonts w:hint="eastAsia" w:ascii="Times New Roman" w:hAnsi="Times New Roman" w:eastAsia="宋体" w:cs="Times New Roman"/>
                <w:b/>
                <w:bCs/>
                <w:color w:val="auto"/>
                <w:kern w:val="2"/>
                <w:sz w:val="24"/>
                <w:szCs w:val="24"/>
                <w:highlight w:val="none"/>
                <w:lang w:val="en-US" w:eastAsia="zh-CN"/>
              </w:rPr>
              <w:t>（1）废气收集可行性分析</w:t>
            </w:r>
          </w:p>
          <w:p w14:paraId="430906C6">
            <w:pPr>
              <w:pStyle w:val="73"/>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本项目根据工艺特点及产污设备的位置合理设置集气罩的位置，项目拟在工位上方设置集气罩，集气罩与加工设备进出料端贴近，同时环保设备本着“优先开启，延后关闭 ”的原则，使废气产出后尽可能多地被收集。本项目根据产污节点合理设置集气罩，集气罩尽可能靠近并包围设备，减少敞开部分，提高捕集效率，集气罩边缘风速大于0.3m/s。</w:t>
            </w:r>
          </w:p>
          <w:p w14:paraId="26D1F4A5">
            <w:pPr>
              <w:pStyle w:val="73"/>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rPr>
              <w:t>根据《广东省生态环境厅关于印发工业源挥发性有机物和氮氧化物减排量核算方法的通知》中的《广东省工业源挥发性有机物减排量核算方法（2023年修订版）》，废气收集方式及其对应的集气效率详见下表。</w:t>
            </w:r>
          </w:p>
          <w:p w14:paraId="0D9509A3">
            <w:pPr>
              <w:keepNext w:val="0"/>
              <w:keepLines w:val="0"/>
              <w:widowControl/>
              <w:suppressLineNumbers w:val="0"/>
              <w:spacing w:before="0" w:beforeAutospacing="0" w:after="0" w:afterAutospacing="0" w:line="240" w:lineRule="auto"/>
              <w:ind w:left="0" w:right="0"/>
              <w:jc w:val="center"/>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rPr>
              <w:t>表4-7  废气收集集气效率参考值</w:t>
            </w:r>
          </w:p>
          <w:tbl>
            <w:tblPr>
              <w:tblStyle w:val="7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30"/>
              <w:gridCol w:w="2745"/>
              <w:gridCol w:w="4413"/>
              <w:gridCol w:w="944"/>
            </w:tblGrid>
            <w:tr w14:paraId="368F3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4" w:hRule="atLeast"/>
              </w:trPr>
              <w:tc>
                <w:tcPr>
                  <w:tcW w:w="564" w:type="pct"/>
                  <w:noWrap w:val="0"/>
                  <w:vAlign w:val="center"/>
                </w:tcPr>
                <w:p w14:paraId="3183C8D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4"/>
                      <w:sz w:val="21"/>
                      <w:szCs w:val="21"/>
                      <w:highlight w:val="none"/>
                    </w:rPr>
                    <w:t>废气收集类型</w:t>
                  </w:r>
                </w:p>
              </w:tc>
              <w:tc>
                <w:tcPr>
                  <w:tcW w:w="1503" w:type="pct"/>
                  <w:noWrap w:val="0"/>
                  <w:vAlign w:val="center"/>
                </w:tcPr>
                <w:p w14:paraId="1063BBD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4"/>
                      <w:sz w:val="21"/>
                      <w:szCs w:val="21"/>
                      <w:highlight w:val="none"/>
                    </w:rPr>
                    <w:t>废气收集方式</w:t>
                  </w:r>
                </w:p>
              </w:tc>
              <w:tc>
                <w:tcPr>
                  <w:tcW w:w="2416" w:type="pct"/>
                  <w:noWrap w:val="0"/>
                  <w:vAlign w:val="center"/>
                </w:tcPr>
                <w:p w14:paraId="053DC43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2"/>
                      <w:sz w:val="21"/>
                      <w:szCs w:val="21"/>
                      <w:highlight w:val="none"/>
                    </w:rPr>
                    <w:t>情况说明</w:t>
                  </w:r>
                </w:p>
              </w:tc>
              <w:tc>
                <w:tcPr>
                  <w:tcW w:w="514" w:type="pct"/>
                  <w:noWrap w:val="0"/>
                  <w:vAlign w:val="center"/>
                </w:tcPr>
                <w:p w14:paraId="5EFEBFE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b/>
                      <w:bCs/>
                      <w:color w:val="auto"/>
                      <w:spacing w:val="-5"/>
                      <w:sz w:val="21"/>
                      <w:szCs w:val="21"/>
                      <w:highlight w:val="none"/>
                    </w:rPr>
                    <w:t>集气效率</w:t>
                  </w:r>
                  <w:r>
                    <w:rPr>
                      <w:rFonts w:hint="eastAsia" w:ascii="Times New Roman" w:hAnsi="Times New Roman" w:eastAsia="宋体" w:cs="Times New Roman"/>
                      <w:b/>
                      <w:bCs/>
                      <w:color w:val="auto"/>
                      <w:spacing w:val="-5"/>
                      <w:sz w:val="21"/>
                      <w:szCs w:val="21"/>
                      <w:highlight w:val="none"/>
                      <w:lang w:eastAsia="zh-CN"/>
                    </w:rPr>
                    <w:t>（</w:t>
                  </w:r>
                  <w:r>
                    <w:rPr>
                      <w:rFonts w:hint="default" w:ascii="Times New Roman" w:hAnsi="Times New Roman" w:eastAsia="宋体" w:cs="Times New Roman"/>
                      <w:b/>
                      <w:bCs/>
                      <w:color w:val="auto"/>
                      <w:spacing w:val="-14"/>
                      <w:sz w:val="21"/>
                      <w:szCs w:val="21"/>
                      <w:highlight w:val="none"/>
                    </w:rPr>
                    <w:t>%</w:t>
                  </w:r>
                  <w:r>
                    <w:rPr>
                      <w:rFonts w:hint="eastAsia" w:ascii="Times New Roman" w:hAnsi="Times New Roman" w:eastAsia="宋体" w:cs="Times New Roman"/>
                      <w:b/>
                      <w:bCs/>
                      <w:color w:val="auto"/>
                      <w:spacing w:val="-14"/>
                      <w:sz w:val="21"/>
                      <w:szCs w:val="21"/>
                      <w:highlight w:val="none"/>
                      <w:lang w:eastAsia="zh-CN"/>
                    </w:rPr>
                    <w:t>）</w:t>
                  </w:r>
                </w:p>
              </w:tc>
            </w:tr>
            <w:tr w14:paraId="2B75D5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4" w:hRule="atLeast"/>
              </w:trPr>
              <w:tc>
                <w:tcPr>
                  <w:tcW w:w="564" w:type="pct"/>
                  <w:vMerge w:val="restart"/>
                  <w:tcBorders>
                    <w:bottom w:val="nil"/>
                  </w:tcBorders>
                  <w:noWrap w:val="0"/>
                  <w:vAlign w:val="center"/>
                </w:tcPr>
                <w:p w14:paraId="1232EA7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全密封设备/</w:t>
                  </w:r>
                  <w:r>
                    <w:rPr>
                      <w:rFonts w:hint="default" w:ascii="Times New Roman" w:hAnsi="Times New Roman" w:eastAsia="宋体" w:cs="Times New Roman"/>
                      <w:color w:val="auto"/>
                      <w:spacing w:val="11"/>
                      <w:sz w:val="21"/>
                      <w:szCs w:val="21"/>
                      <w:highlight w:val="none"/>
                    </w:rPr>
                    <w:t>空间</w:t>
                  </w:r>
                </w:p>
              </w:tc>
              <w:tc>
                <w:tcPr>
                  <w:tcW w:w="1503" w:type="pct"/>
                  <w:noWrap w:val="0"/>
                  <w:vAlign w:val="center"/>
                </w:tcPr>
                <w:p w14:paraId="318A374B">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单层密闭负压</w:t>
                  </w:r>
                </w:p>
              </w:tc>
              <w:tc>
                <w:tcPr>
                  <w:tcW w:w="2416" w:type="pct"/>
                  <w:noWrap w:val="0"/>
                  <w:vAlign w:val="center"/>
                </w:tcPr>
                <w:p w14:paraId="510C51B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VOCs产生源设置在密闭车间、密闭设备</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含反应釜</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3"/>
                      <w:sz w:val="21"/>
                      <w:szCs w:val="21"/>
                      <w:highlight w:val="none"/>
                    </w:rPr>
                    <w:t>、密闭管道内，所有开口处，包括人员或物料进出口处呈负压</w:t>
                  </w:r>
                </w:p>
              </w:tc>
              <w:tc>
                <w:tcPr>
                  <w:tcW w:w="514" w:type="pct"/>
                  <w:noWrap w:val="0"/>
                  <w:vAlign w:val="center"/>
                </w:tcPr>
                <w:p w14:paraId="0B8EC20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90</w:t>
                  </w:r>
                </w:p>
              </w:tc>
            </w:tr>
            <w:tr w14:paraId="5CA6C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561" w:hRule="atLeast"/>
              </w:trPr>
              <w:tc>
                <w:tcPr>
                  <w:tcW w:w="564" w:type="pct"/>
                  <w:vMerge w:val="continue"/>
                  <w:tcBorders>
                    <w:top w:val="nil"/>
                    <w:bottom w:val="nil"/>
                  </w:tcBorders>
                  <w:noWrap w:val="0"/>
                  <w:vAlign w:val="center"/>
                </w:tcPr>
                <w:p w14:paraId="7C147AA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503" w:type="pct"/>
                  <w:noWrap w:val="0"/>
                  <w:vAlign w:val="center"/>
                </w:tcPr>
                <w:p w14:paraId="3574170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单层密闭正压</w:t>
                  </w:r>
                </w:p>
              </w:tc>
              <w:tc>
                <w:tcPr>
                  <w:tcW w:w="2416" w:type="pct"/>
                  <w:noWrap w:val="0"/>
                  <w:vAlign w:val="center"/>
                </w:tcPr>
                <w:p w14:paraId="3F59E05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VOCs产生源设置在密闭车间内，所有开口处，包括人员或物料进出口</w:t>
                  </w:r>
                  <w:r>
                    <w:rPr>
                      <w:rFonts w:hint="default" w:ascii="Times New Roman" w:hAnsi="Times New Roman" w:eastAsia="宋体" w:cs="Times New Roman"/>
                      <w:color w:val="auto"/>
                      <w:sz w:val="21"/>
                      <w:szCs w:val="21"/>
                      <w:highlight w:val="none"/>
                    </w:rPr>
                    <w:t>处呈正压，且无明显泄漏点</w:t>
                  </w:r>
                </w:p>
              </w:tc>
              <w:tc>
                <w:tcPr>
                  <w:tcW w:w="514" w:type="pct"/>
                  <w:noWrap w:val="0"/>
                  <w:vAlign w:val="center"/>
                </w:tcPr>
                <w:p w14:paraId="1D190DA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80</w:t>
                  </w:r>
                </w:p>
              </w:tc>
            </w:tr>
            <w:tr w14:paraId="72CBE9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7" w:hRule="atLeast"/>
              </w:trPr>
              <w:tc>
                <w:tcPr>
                  <w:tcW w:w="564" w:type="pct"/>
                  <w:vMerge w:val="continue"/>
                  <w:tcBorders>
                    <w:top w:val="nil"/>
                    <w:bottom w:val="nil"/>
                  </w:tcBorders>
                  <w:noWrap w:val="0"/>
                  <w:vAlign w:val="center"/>
                </w:tcPr>
                <w:p w14:paraId="47DFE7F2">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503" w:type="pct"/>
                  <w:noWrap w:val="0"/>
                  <w:vAlign w:val="center"/>
                </w:tcPr>
                <w:p w14:paraId="554CEBC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双层密闭空间</w:t>
                  </w:r>
                </w:p>
              </w:tc>
              <w:tc>
                <w:tcPr>
                  <w:tcW w:w="2416" w:type="pct"/>
                  <w:noWrap w:val="0"/>
                  <w:vAlign w:val="center"/>
                </w:tcPr>
                <w:p w14:paraId="272D7CC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内层空间密闭正压，外层空间密闭负压</w:t>
                  </w:r>
                </w:p>
              </w:tc>
              <w:tc>
                <w:tcPr>
                  <w:tcW w:w="514" w:type="pct"/>
                  <w:noWrap w:val="0"/>
                  <w:vAlign w:val="center"/>
                </w:tcPr>
                <w:p w14:paraId="0C38CF6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position w:val="-2"/>
                      <w:sz w:val="21"/>
                      <w:szCs w:val="21"/>
                      <w:highlight w:val="none"/>
                    </w:rPr>
                    <w:t>98</w:t>
                  </w:r>
                </w:p>
              </w:tc>
            </w:tr>
            <w:tr w14:paraId="0930D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35" w:hRule="atLeast"/>
              </w:trPr>
              <w:tc>
                <w:tcPr>
                  <w:tcW w:w="564" w:type="pct"/>
                  <w:vMerge w:val="continue"/>
                  <w:tcBorders>
                    <w:top w:val="nil"/>
                  </w:tcBorders>
                  <w:noWrap w:val="0"/>
                  <w:vAlign w:val="center"/>
                </w:tcPr>
                <w:p w14:paraId="3F857B5D">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503" w:type="pct"/>
                  <w:noWrap w:val="0"/>
                  <w:vAlign w:val="center"/>
                </w:tcPr>
                <w:p w14:paraId="03D8F62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设备废气排口直连</w:t>
                  </w:r>
                </w:p>
              </w:tc>
              <w:tc>
                <w:tcPr>
                  <w:tcW w:w="2416" w:type="pct"/>
                  <w:noWrap w:val="0"/>
                  <w:vAlign w:val="center"/>
                </w:tcPr>
                <w:p w14:paraId="1E3428E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9"/>
                      <w:sz w:val="21"/>
                      <w:szCs w:val="21"/>
                      <w:highlight w:val="none"/>
                    </w:rPr>
                    <w:t>设备有固定排放管</w:t>
                  </w:r>
                  <w:r>
                    <w:rPr>
                      <w:rFonts w:hint="eastAsia" w:ascii="Times New Roman" w:hAnsi="Times New Roman" w:eastAsia="宋体" w:cs="Times New Roman"/>
                      <w:color w:val="auto"/>
                      <w:spacing w:val="-9"/>
                      <w:sz w:val="21"/>
                      <w:szCs w:val="21"/>
                      <w:highlight w:val="none"/>
                      <w:lang w:eastAsia="zh-CN"/>
                    </w:rPr>
                    <w:t>（</w:t>
                  </w:r>
                  <w:r>
                    <w:rPr>
                      <w:rFonts w:hint="default" w:ascii="Times New Roman" w:hAnsi="Times New Roman" w:eastAsia="宋体" w:cs="Times New Roman"/>
                      <w:color w:val="auto"/>
                      <w:spacing w:val="-9"/>
                      <w:sz w:val="21"/>
                      <w:szCs w:val="21"/>
                      <w:highlight w:val="none"/>
                    </w:rPr>
                    <w:t>或口</w:t>
                  </w:r>
                  <w:r>
                    <w:rPr>
                      <w:rFonts w:hint="eastAsia" w:ascii="Times New Roman" w:hAnsi="Times New Roman" w:eastAsia="宋体" w:cs="Times New Roman"/>
                      <w:color w:val="auto"/>
                      <w:spacing w:val="-9"/>
                      <w:sz w:val="21"/>
                      <w:szCs w:val="21"/>
                      <w:highlight w:val="none"/>
                      <w:lang w:eastAsia="zh-CN"/>
                    </w:rPr>
                    <w:t>）</w:t>
                  </w:r>
                  <w:r>
                    <w:rPr>
                      <w:rFonts w:hint="default" w:ascii="Times New Roman" w:hAnsi="Times New Roman" w:eastAsia="宋体" w:cs="Times New Roman"/>
                      <w:color w:val="auto"/>
                      <w:spacing w:val="-9"/>
                      <w:sz w:val="21"/>
                      <w:szCs w:val="21"/>
                      <w:highlight w:val="none"/>
                    </w:rPr>
                    <w:t>直接与风管连接，设</w:t>
                  </w:r>
                  <w:r>
                    <w:rPr>
                      <w:rFonts w:hint="default" w:ascii="Times New Roman" w:hAnsi="Times New Roman" w:eastAsia="宋体" w:cs="Times New Roman"/>
                      <w:color w:val="auto"/>
                      <w:spacing w:val="-10"/>
                      <w:sz w:val="21"/>
                      <w:szCs w:val="21"/>
                      <w:highlight w:val="none"/>
                    </w:rPr>
                    <w:t>备整体密闭只留产品进</w:t>
                  </w:r>
                  <w:r>
                    <w:rPr>
                      <w:rFonts w:hint="default" w:ascii="Times New Roman" w:hAnsi="Times New Roman" w:eastAsia="宋体" w:cs="Times New Roman"/>
                      <w:color w:val="auto"/>
                      <w:spacing w:val="-9"/>
                      <w:sz w:val="21"/>
                      <w:szCs w:val="21"/>
                      <w:highlight w:val="none"/>
                    </w:rPr>
                    <w:t>出口，且进出口处有废气收集措施，收集系统运行时周边基本无VOCs</w:t>
                  </w:r>
                  <w:r>
                    <w:rPr>
                      <w:rFonts w:hint="default" w:ascii="Times New Roman" w:hAnsi="Times New Roman" w:eastAsia="宋体" w:cs="Times New Roman"/>
                      <w:color w:val="auto"/>
                      <w:spacing w:val="24"/>
                      <w:sz w:val="21"/>
                      <w:szCs w:val="21"/>
                      <w:highlight w:val="none"/>
                    </w:rPr>
                    <w:t>散发。</w:t>
                  </w:r>
                </w:p>
              </w:tc>
              <w:tc>
                <w:tcPr>
                  <w:tcW w:w="514" w:type="pct"/>
                  <w:noWrap w:val="0"/>
                  <w:vAlign w:val="center"/>
                </w:tcPr>
                <w:p w14:paraId="6D59ACC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sz w:val="21"/>
                      <w:szCs w:val="21"/>
                      <w:highlight w:val="none"/>
                    </w:rPr>
                    <w:t>95</w:t>
                  </w:r>
                </w:p>
              </w:tc>
            </w:tr>
            <w:tr w14:paraId="49AB8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8" w:hRule="atLeast"/>
              </w:trPr>
              <w:tc>
                <w:tcPr>
                  <w:tcW w:w="564" w:type="pct"/>
                  <w:vMerge w:val="restart"/>
                  <w:tcBorders>
                    <w:bottom w:val="nil"/>
                  </w:tcBorders>
                  <w:noWrap w:val="0"/>
                  <w:vAlign w:val="center"/>
                </w:tcPr>
                <w:p w14:paraId="247E62D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半密闭型集气</w:t>
                  </w:r>
                  <w:r>
                    <w:rPr>
                      <w:rFonts w:hint="default" w:ascii="Times New Roman" w:hAnsi="Times New Roman" w:eastAsia="宋体" w:cs="Times New Roman"/>
                      <w:color w:val="auto"/>
                      <w:spacing w:val="1"/>
                      <w:sz w:val="21"/>
                      <w:szCs w:val="21"/>
                      <w:highlight w:val="none"/>
                    </w:rPr>
                    <w:t>设备</w:t>
                  </w:r>
                  <w:r>
                    <w:rPr>
                      <w:rFonts w:hint="eastAsia" w:ascii="Times New Roman" w:hAnsi="Times New Roman" w:eastAsia="宋体" w:cs="Times New Roman"/>
                      <w:color w:val="auto"/>
                      <w:spacing w:val="1"/>
                      <w:sz w:val="21"/>
                      <w:szCs w:val="21"/>
                      <w:highlight w:val="none"/>
                      <w:lang w:eastAsia="zh-CN"/>
                    </w:rPr>
                    <w:t>（</w:t>
                  </w:r>
                  <w:r>
                    <w:rPr>
                      <w:rFonts w:hint="default" w:ascii="Times New Roman" w:hAnsi="Times New Roman" w:eastAsia="宋体" w:cs="Times New Roman"/>
                      <w:color w:val="auto"/>
                      <w:spacing w:val="1"/>
                      <w:sz w:val="21"/>
                      <w:szCs w:val="21"/>
                      <w:highlight w:val="none"/>
                    </w:rPr>
                    <w:t>含排气</w:t>
                  </w:r>
                  <w:r>
                    <w:rPr>
                      <w:rFonts w:hint="default" w:ascii="Times New Roman" w:hAnsi="Times New Roman" w:eastAsia="宋体" w:cs="Times New Roman"/>
                      <w:color w:val="auto"/>
                      <w:spacing w:val="-5"/>
                      <w:sz w:val="21"/>
                      <w:szCs w:val="21"/>
                      <w:highlight w:val="none"/>
                    </w:rPr>
                    <w:t>柜</w:t>
                  </w:r>
                  <w:r>
                    <w:rPr>
                      <w:rFonts w:hint="eastAsia" w:ascii="Times New Roman" w:hAnsi="Times New Roman" w:eastAsia="宋体" w:cs="Times New Roman"/>
                      <w:color w:val="auto"/>
                      <w:spacing w:val="-5"/>
                      <w:sz w:val="21"/>
                      <w:szCs w:val="21"/>
                      <w:highlight w:val="none"/>
                      <w:lang w:eastAsia="zh-CN"/>
                    </w:rPr>
                    <w:t>）</w:t>
                  </w:r>
                </w:p>
              </w:tc>
              <w:tc>
                <w:tcPr>
                  <w:tcW w:w="1503" w:type="pct"/>
                  <w:vMerge w:val="restart"/>
                  <w:tcBorders>
                    <w:bottom w:val="nil"/>
                  </w:tcBorders>
                  <w:noWrap w:val="0"/>
                  <w:vAlign w:val="center"/>
                </w:tcPr>
                <w:p w14:paraId="3DFD82C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污染物产生点</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或生产设施</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四周及上下有围挡设施，符合以下三种情况：</w:t>
                  </w:r>
                  <w:r>
                    <w:rPr>
                      <w:rFonts w:hint="default" w:ascii="Times New Roman" w:hAnsi="Times New Roman" w:eastAsia="宋体" w:cs="Times New Roman"/>
                      <w:color w:val="auto"/>
                      <w:spacing w:val="8"/>
                      <w:sz w:val="21"/>
                      <w:szCs w:val="21"/>
                      <w:highlight w:val="none"/>
                    </w:rPr>
                    <w:t>1、仅保留1个操作工位面；</w:t>
                  </w:r>
                  <w:r>
                    <w:rPr>
                      <w:rFonts w:hint="default" w:ascii="Times New Roman" w:hAnsi="Times New Roman" w:eastAsia="宋体" w:cs="Times New Roman"/>
                      <w:color w:val="auto"/>
                      <w:spacing w:val="-16"/>
                      <w:sz w:val="21"/>
                      <w:szCs w:val="21"/>
                      <w:highlight w:val="none"/>
                    </w:rPr>
                    <w:t>2</w:t>
                  </w:r>
                  <w:r>
                    <w:rPr>
                      <w:rFonts w:hint="default" w:ascii="Times New Roman" w:hAnsi="Times New Roman" w:eastAsia="宋体" w:cs="Times New Roman"/>
                      <w:color w:val="auto"/>
                      <w:spacing w:val="-15"/>
                      <w:sz w:val="21"/>
                      <w:szCs w:val="21"/>
                      <w:highlight w:val="none"/>
                    </w:rPr>
                    <w:t>、仅保留物料进出通道，通道敞开面小</w:t>
                  </w:r>
                  <w:r>
                    <w:rPr>
                      <w:rFonts w:hint="default" w:ascii="Times New Roman" w:hAnsi="Times New Roman" w:eastAsia="宋体" w:cs="Times New Roman"/>
                      <w:color w:val="auto"/>
                      <w:spacing w:val="-14"/>
                      <w:sz w:val="21"/>
                      <w:szCs w:val="21"/>
                      <w:highlight w:val="none"/>
                    </w:rPr>
                    <w:t>于</w:t>
                  </w:r>
                  <w:r>
                    <w:rPr>
                      <w:rFonts w:hint="default" w:ascii="Times New Roman" w:hAnsi="Times New Roman" w:eastAsia="宋体" w:cs="Times New Roman"/>
                      <w:color w:val="auto"/>
                      <w:spacing w:val="-1"/>
                      <w:sz w:val="21"/>
                      <w:szCs w:val="21"/>
                      <w:highlight w:val="none"/>
                    </w:rPr>
                    <w:t>1个操作工位面。</w:t>
                  </w:r>
                </w:p>
              </w:tc>
              <w:tc>
                <w:tcPr>
                  <w:tcW w:w="2416" w:type="pct"/>
                  <w:noWrap w:val="0"/>
                  <w:vAlign w:val="center"/>
                </w:tcPr>
                <w:p w14:paraId="6337B29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敞开面控制风速不小于0.3m/s</w:t>
                  </w:r>
                </w:p>
              </w:tc>
              <w:tc>
                <w:tcPr>
                  <w:tcW w:w="514" w:type="pct"/>
                  <w:noWrap w:val="0"/>
                  <w:vAlign w:val="center"/>
                </w:tcPr>
                <w:p w14:paraId="20AFAB00">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3"/>
                      <w:position w:val="-2"/>
                      <w:sz w:val="21"/>
                      <w:szCs w:val="21"/>
                      <w:highlight w:val="none"/>
                    </w:rPr>
                    <w:t>65</w:t>
                  </w:r>
                </w:p>
              </w:tc>
            </w:tr>
            <w:tr w14:paraId="152C52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71" w:hRule="atLeast"/>
              </w:trPr>
              <w:tc>
                <w:tcPr>
                  <w:tcW w:w="564" w:type="pct"/>
                  <w:vMerge w:val="continue"/>
                  <w:tcBorders>
                    <w:top w:val="nil"/>
                  </w:tcBorders>
                  <w:noWrap w:val="0"/>
                  <w:vAlign w:val="center"/>
                </w:tcPr>
                <w:p w14:paraId="7FDF209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503" w:type="pct"/>
                  <w:vMerge w:val="continue"/>
                  <w:tcBorders>
                    <w:top w:val="nil"/>
                  </w:tcBorders>
                  <w:noWrap w:val="0"/>
                  <w:vAlign w:val="center"/>
                </w:tcPr>
                <w:p w14:paraId="0D5059B7">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416" w:type="pct"/>
                  <w:noWrap w:val="0"/>
                  <w:vAlign w:val="center"/>
                </w:tcPr>
                <w:p w14:paraId="5B05592E">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敞开面控制风速小于0.3m/s</w:t>
                  </w:r>
                </w:p>
              </w:tc>
              <w:tc>
                <w:tcPr>
                  <w:tcW w:w="514" w:type="pct"/>
                  <w:noWrap w:val="0"/>
                  <w:vAlign w:val="center"/>
                </w:tcPr>
                <w:p w14:paraId="6A8B5DE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r>
            <w:tr w14:paraId="52762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8" w:hRule="atLeast"/>
              </w:trPr>
              <w:tc>
                <w:tcPr>
                  <w:tcW w:w="564" w:type="pct"/>
                  <w:vMerge w:val="restart"/>
                  <w:tcBorders>
                    <w:bottom w:val="nil"/>
                  </w:tcBorders>
                  <w:noWrap w:val="0"/>
                  <w:vAlign w:val="center"/>
                </w:tcPr>
                <w:p w14:paraId="19A45F66">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包围型集气罩</w:t>
                  </w:r>
                </w:p>
              </w:tc>
              <w:tc>
                <w:tcPr>
                  <w:tcW w:w="1503" w:type="pct"/>
                  <w:vMerge w:val="restart"/>
                  <w:tcBorders>
                    <w:bottom w:val="nil"/>
                  </w:tcBorders>
                  <w:noWrap w:val="0"/>
                  <w:vAlign w:val="center"/>
                </w:tcPr>
                <w:p w14:paraId="70C2C98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通过软质垂帘四周围挡</w:t>
                  </w:r>
                  <w:r>
                    <w:rPr>
                      <w:rFonts w:hint="eastAsia" w:ascii="Times New Roman" w:hAnsi="Times New Roman" w:eastAsia="宋体" w:cs="Times New Roman"/>
                      <w:color w:val="auto"/>
                      <w:spacing w:val="2"/>
                      <w:sz w:val="21"/>
                      <w:szCs w:val="21"/>
                      <w:highlight w:val="none"/>
                      <w:lang w:eastAsia="zh-CN"/>
                    </w:rPr>
                    <w:t>（</w:t>
                  </w:r>
                  <w:r>
                    <w:rPr>
                      <w:rFonts w:hint="default" w:ascii="Times New Roman" w:hAnsi="Times New Roman" w:eastAsia="宋体" w:cs="Times New Roman"/>
                      <w:color w:val="auto"/>
                      <w:spacing w:val="2"/>
                      <w:sz w:val="21"/>
                      <w:szCs w:val="21"/>
                      <w:highlight w:val="none"/>
                    </w:rPr>
                    <w:t>偶有部分敞开</w:t>
                  </w:r>
                  <w:r>
                    <w:rPr>
                      <w:rFonts w:hint="eastAsia" w:ascii="Times New Roman" w:hAnsi="Times New Roman" w:eastAsia="宋体" w:cs="Times New Roman"/>
                      <w:color w:val="auto"/>
                      <w:spacing w:val="2"/>
                      <w:sz w:val="21"/>
                      <w:szCs w:val="21"/>
                      <w:highlight w:val="none"/>
                      <w:lang w:eastAsia="zh-CN"/>
                    </w:rPr>
                    <w:t>）</w:t>
                  </w:r>
                </w:p>
              </w:tc>
              <w:tc>
                <w:tcPr>
                  <w:tcW w:w="2416" w:type="pct"/>
                  <w:noWrap w:val="0"/>
                  <w:vAlign w:val="center"/>
                </w:tcPr>
                <w:p w14:paraId="2009C1A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敞开面控制风速不小于0.3m/s</w:t>
                  </w:r>
                </w:p>
              </w:tc>
              <w:tc>
                <w:tcPr>
                  <w:tcW w:w="514" w:type="pct"/>
                  <w:noWrap w:val="0"/>
                  <w:vAlign w:val="center"/>
                </w:tcPr>
                <w:p w14:paraId="2AFAF7F5">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position w:val="-2"/>
                      <w:sz w:val="21"/>
                      <w:szCs w:val="21"/>
                      <w:highlight w:val="none"/>
                    </w:rPr>
                    <w:t>50</w:t>
                  </w:r>
                </w:p>
              </w:tc>
            </w:tr>
            <w:tr w14:paraId="47420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1" w:hRule="atLeast"/>
              </w:trPr>
              <w:tc>
                <w:tcPr>
                  <w:tcW w:w="564" w:type="pct"/>
                  <w:vMerge w:val="continue"/>
                  <w:tcBorders>
                    <w:top w:val="nil"/>
                  </w:tcBorders>
                  <w:noWrap w:val="0"/>
                  <w:vAlign w:val="center"/>
                </w:tcPr>
                <w:p w14:paraId="78618CA0">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503" w:type="pct"/>
                  <w:vMerge w:val="continue"/>
                  <w:tcBorders>
                    <w:top w:val="nil"/>
                  </w:tcBorders>
                  <w:noWrap w:val="0"/>
                  <w:vAlign w:val="center"/>
                </w:tcPr>
                <w:p w14:paraId="53DE9FBE">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416" w:type="pct"/>
                  <w:noWrap w:val="0"/>
                  <w:vAlign w:val="center"/>
                </w:tcPr>
                <w:p w14:paraId="6186124D">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敞开面控制风速小于0.3m/s</w:t>
                  </w:r>
                </w:p>
              </w:tc>
              <w:tc>
                <w:tcPr>
                  <w:tcW w:w="514" w:type="pct"/>
                  <w:noWrap w:val="0"/>
                  <w:vAlign w:val="center"/>
                </w:tcPr>
                <w:p w14:paraId="6A542AE7">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position w:val="-3"/>
                      <w:sz w:val="21"/>
                      <w:szCs w:val="21"/>
                      <w:highlight w:val="none"/>
                    </w:rPr>
                    <w:t>0</w:t>
                  </w:r>
                </w:p>
              </w:tc>
            </w:tr>
            <w:tr w14:paraId="7FCF96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0" w:hRule="atLeast"/>
              </w:trPr>
              <w:tc>
                <w:tcPr>
                  <w:tcW w:w="564" w:type="pct"/>
                  <w:vMerge w:val="restart"/>
                  <w:tcBorders>
                    <w:bottom w:val="nil"/>
                  </w:tcBorders>
                  <w:noWrap w:val="0"/>
                  <w:vAlign w:val="center"/>
                </w:tcPr>
                <w:p w14:paraId="08E51C1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1"/>
                      <w:sz w:val="21"/>
                      <w:szCs w:val="21"/>
                      <w:highlight w:val="none"/>
                    </w:rPr>
                    <w:t>外部集气设备</w:t>
                  </w:r>
                </w:p>
              </w:tc>
              <w:tc>
                <w:tcPr>
                  <w:tcW w:w="1503" w:type="pct"/>
                  <w:vMerge w:val="restart"/>
                  <w:tcBorders>
                    <w:bottom w:val="nil"/>
                  </w:tcBorders>
                  <w:noWrap w:val="0"/>
                  <w:vAlign w:val="center"/>
                </w:tcPr>
                <w:p w14:paraId="21B1082A">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w w:val="53"/>
                      <w:position w:val="-4"/>
                      <w:sz w:val="21"/>
                      <w:szCs w:val="21"/>
                      <w:highlight w:val="none"/>
                    </w:rPr>
                    <w:t>—</w:t>
                  </w:r>
                  <w:r>
                    <w:rPr>
                      <w:rFonts w:hint="default" w:ascii="Times New Roman" w:hAnsi="Times New Roman" w:eastAsia="宋体" w:cs="Times New Roman"/>
                      <w:color w:val="auto"/>
                      <w:position w:val="-4"/>
                      <w:sz w:val="21"/>
                      <w:szCs w:val="21"/>
                      <w:highlight w:val="none"/>
                    </w:rPr>
                    <w:t>—</w:t>
                  </w:r>
                </w:p>
              </w:tc>
              <w:tc>
                <w:tcPr>
                  <w:tcW w:w="2416" w:type="pct"/>
                  <w:noWrap w:val="0"/>
                  <w:vAlign w:val="center"/>
                </w:tcPr>
                <w:p w14:paraId="7523D9BF">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相应工位所有VOCs逸散点控制风速不小于0.3m/s</w:t>
                  </w:r>
                </w:p>
              </w:tc>
              <w:tc>
                <w:tcPr>
                  <w:tcW w:w="514" w:type="pct"/>
                  <w:noWrap w:val="0"/>
                  <w:vAlign w:val="center"/>
                </w:tcPr>
                <w:p w14:paraId="611D4702">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4"/>
                      <w:sz w:val="21"/>
                      <w:szCs w:val="21"/>
                      <w:highlight w:val="none"/>
                    </w:rPr>
                    <w:t>30</w:t>
                  </w:r>
                </w:p>
              </w:tc>
            </w:tr>
            <w:tr w14:paraId="313E8E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564" w:type="pct"/>
                  <w:vMerge w:val="continue"/>
                  <w:tcBorders>
                    <w:top w:val="nil"/>
                  </w:tcBorders>
                  <w:noWrap w:val="0"/>
                  <w:vAlign w:val="center"/>
                </w:tcPr>
                <w:p w14:paraId="14632753">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1503" w:type="pct"/>
                  <w:vMerge w:val="continue"/>
                  <w:tcBorders>
                    <w:top w:val="nil"/>
                  </w:tcBorders>
                  <w:noWrap w:val="0"/>
                  <w:vAlign w:val="center"/>
                </w:tcPr>
                <w:p w14:paraId="3E16F87B">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p>
              </w:tc>
              <w:tc>
                <w:tcPr>
                  <w:tcW w:w="2416" w:type="pct"/>
                  <w:noWrap w:val="0"/>
                  <w:vAlign w:val="center"/>
                </w:tcPr>
                <w:p w14:paraId="697107A9">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相应工位所有VOCs逸散点控制风速小于0.3m/s</w:t>
                  </w:r>
                  <w:r>
                    <w:rPr>
                      <w:rFonts w:hint="eastAsia" w:ascii="Times New Roman" w:hAnsi="Times New Roman" w:eastAsia="宋体"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rPr>
                    <w:t>或存在强对流干扰</w:t>
                  </w:r>
                </w:p>
              </w:tc>
              <w:tc>
                <w:tcPr>
                  <w:tcW w:w="514" w:type="pct"/>
                  <w:noWrap w:val="0"/>
                  <w:vAlign w:val="center"/>
                </w:tcPr>
                <w:p w14:paraId="7B259B51">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r>
            <w:tr w14:paraId="0E1CE8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0" w:hRule="atLeast"/>
              </w:trPr>
              <w:tc>
                <w:tcPr>
                  <w:tcW w:w="564" w:type="pct"/>
                  <w:noWrap w:val="0"/>
                  <w:vAlign w:val="center"/>
                </w:tcPr>
                <w:p w14:paraId="08A38073">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2"/>
                      <w:sz w:val="21"/>
                      <w:szCs w:val="21"/>
                      <w:highlight w:val="none"/>
                    </w:rPr>
                    <w:t>无集气设施</w:t>
                  </w:r>
                </w:p>
              </w:tc>
              <w:tc>
                <w:tcPr>
                  <w:tcW w:w="1503" w:type="pct"/>
                  <w:noWrap w:val="0"/>
                  <w:vAlign w:val="center"/>
                </w:tcPr>
                <w:p w14:paraId="1371851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pacing w:val="-6"/>
                      <w:w w:val="53"/>
                      <w:position w:val="-5"/>
                      <w:sz w:val="21"/>
                      <w:szCs w:val="21"/>
                      <w:highlight w:val="none"/>
                    </w:rPr>
                    <w:t>—</w:t>
                  </w:r>
                  <w:r>
                    <w:rPr>
                      <w:rFonts w:hint="default" w:ascii="Times New Roman" w:hAnsi="Times New Roman" w:eastAsia="宋体" w:cs="Times New Roman"/>
                      <w:color w:val="auto"/>
                      <w:position w:val="-5"/>
                      <w:sz w:val="21"/>
                      <w:szCs w:val="21"/>
                      <w:highlight w:val="none"/>
                    </w:rPr>
                    <w:t>—</w:t>
                  </w:r>
                </w:p>
              </w:tc>
              <w:tc>
                <w:tcPr>
                  <w:tcW w:w="2416" w:type="pct"/>
                  <w:noWrap w:val="0"/>
                  <w:vAlign w:val="center"/>
                </w:tcPr>
                <w:p w14:paraId="4499B3AC">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eastAsia="zh-CN"/>
                    </w:rPr>
                    <w:t>1.</w:t>
                  </w:r>
                  <w:r>
                    <w:rPr>
                      <w:rFonts w:hint="default" w:ascii="Times New Roman" w:hAnsi="Times New Roman" w:eastAsia="宋体" w:cs="Times New Roman"/>
                      <w:color w:val="auto"/>
                      <w:sz w:val="21"/>
                      <w:szCs w:val="21"/>
                      <w:highlight w:val="none"/>
                    </w:rPr>
                    <w:t>无集气设施；2、集气设施运行不正常</w:t>
                  </w:r>
                </w:p>
              </w:tc>
              <w:tc>
                <w:tcPr>
                  <w:tcW w:w="514" w:type="pct"/>
                  <w:noWrap w:val="0"/>
                  <w:vAlign w:val="center"/>
                </w:tcPr>
                <w:p w14:paraId="0AC34E58">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0</w:t>
                  </w:r>
                </w:p>
              </w:tc>
            </w:tr>
            <w:tr w14:paraId="3F14E6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0" w:hRule="atLeast"/>
              </w:trPr>
              <w:tc>
                <w:tcPr>
                  <w:tcW w:w="5000" w:type="pct"/>
                  <w:gridSpan w:val="4"/>
                  <w:noWrap w:val="0"/>
                  <w:vAlign w:val="center"/>
                </w:tcPr>
                <w:p w14:paraId="76E9C194">
                  <w:pPr>
                    <w:pStyle w:val="73"/>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240" w:lineRule="auto"/>
                    <w:ind w:left="0" w:right="0" w:firstLine="0" w:firstLineChars="0"/>
                    <w:jc w:val="center"/>
                    <w:textAlignment w:val="baseline"/>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备注：同一工序具有多种废气收集类型的，该工序按照废气收集效率最</w:t>
                  </w:r>
                  <w:r>
                    <w:rPr>
                      <w:rFonts w:hint="default" w:ascii="Times New Roman" w:hAnsi="Times New Roman" w:eastAsia="宋体" w:cs="Times New Roman"/>
                      <w:color w:val="auto"/>
                      <w:spacing w:val="-1"/>
                      <w:sz w:val="21"/>
                      <w:szCs w:val="21"/>
                      <w:highlight w:val="none"/>
                    </w:rPr>
                    <w:t>高的类型取值。</w:t>
                  </w:r>
                </w:p>
              </w:tc>
            </w:tr>
          </w:tbl>
          <w:p w14:paraId="6E2E2097">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参考《广东省工业源挥发性有机物减排量核算方法（</w:t>
            </w:r>
            <w:r>
              <w:rPr>
                <w:rFonts w:hint="eastAsia" w:cs="Times New Roman"/>
                <w:color w:val="auto"/>
                <w:kern w:val="2"/>
                <w:sz w:val="24"/>
                <w:szCs w:val="24"/>
                <w:highlight w:val="none"/>
                <w:lang w:val="en-US" w:eastAsia="zh-CN" w:bidi="ar-SA"/>
              </w:rPr>
              <w:t>2023年修订版</w:t>
            </w:r>
            <w:r>
              <w:rPr>
                <w:rFonts w:hint="eastAsia" w:ascii="Times New Roman" w:hAnsi="Times New Roman" w:eastAsia="宋体" w:cs="Times New Roman"/>
                <w:color w:val="auto"/>
                <w:kern w:val="2"/>
                <w:sz w:val="24"/>
                <w:szCs w:val="24"/>
                <w:highlight w:val="none"/>
                <w:lang w:val="en-US" w:eastAsia="zh-CN" w:bidi="ar-SA"/>
              </w:rPr>
              <w:t>）》：</w:t>
            </w:r>
            <w:r>
              <w:rPr>
                <w:rFonts w:hint="eastAsia" w:cs="Times New Roman"/>
                <w:color w:val="auto"/>
                <w:kern w:val="2"/>
                <w:sz w:val="24"/>
                <w:szCs w:val="24"/>
                <w:highlight w:val="none"/>
                <w:lang w:val="en-US" w:eastAsia="zh-CN" w:bidi="ar-SA"/>
              </w:rPr>
              <w:t>本项目废油液抽取工序以及废制冷剂回收工序工位上方设置集气罩，属于上表中的“外部集气设备（控制风速不小于0.3m/s）”；本项目危废贮存库密闭，内部保持负压，属于上表中的“</w:t>
            </w:r>
            <w:r>
              <w:rPr>
                <w:rFonts w:hint="eastAsia" w:ascii="Times New Roman" w:hAnsi="Times New Roman" w:eastAsia="宋体" w:cs="Times New Roman"/>
                <w:color w:val="auto"/>
                <w:kern w:val="2"/>
                <w:sz w:val="24"/>
                <w:szCs w:val="24"/>
                <w:highlight w:val="none"/>
                <w:lang w:val="en-US" w:eastAsia="zh-CN" w:bidi="ar-SA"/>
              </w:rPr>
              <w:t>单层密闭负压</w:t>
            </w:r>
            <w:r>
              <w:rPr>
                <w:rFonts w:hint="eastAsia"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故本次评价废油液抽取工序</w:t>
            </w:r>
            <w:r>
              <w:rPr>
                <w:rFonts w:hint="eastAsia" w:cs="Times New Roman"/>
                <w:color w:val="auto"/>
                <w:kern w:val="2"/>
                <w:sz w:val="24"/>
                <w:szCs w:val="24"/>
                <w:highlight w:val="none"/>
                <w:lang w:val="en-US" w:eastAsia="zh-CN" w:bidi="ar-SA"/>
              </w:rPr>
              <w:t>以及废制冷剂回收工序</w:t>
            </w:r>
            <w:r>
              <w:rPr>
                <w:rFonts w:hint="eastAsia" w:ascii="Times New Roman" w:hAnsi="Times New Roman" w:eastAsia="宋体" w:cs="Times New Roman"/>
                <w:color w:val="auto"/>
                <w:kern w:val="2"/>
                <w:sz w:val="24"/>
                <w:szCs w:val="24"/>
                <w:highlight w:val="none"/>
                <w:lang w:val="en-US" w:eastAsia="zh-CN" w:bidi="ar-SA"/>
              </w:rPr>
              <w:t>集气罩收集效率以</w:t>
            </w:r>
            <w:r>
              <w:rPr>
                <w:rFonts w:hint="eastAsia" w:cs="Times New Roman"/>
                <w:color w:val="auto"/>
                <w:kern w:val="2"/>
                <w:sz w:val="24"/>
                <w:szCs w:val="24"/>
                <w:highlight w:val="none"/>
                <w:lang w:val="en-US" w:eastAsia="zh-CN" w:bidi="ar-SA"/>
              </w:rPr>
              <w:t>30</w:t>
            </w:r>
            <w:r>
              <w:rPr>
                <w:rFonts w:hint="eastAsia" w:ascii="Times New Roman" w:hAnsi="Times New Roman" w:eastAsia="宋体" w:cs="Times New Roman"/>
                <w:color w:val="auto"/>
                <w:kern w:val="2"/>
                <w:sz w:val="24"/>
                <w:szCs w:val="24"/>
                <w:highlight w:val="none"/>
                <w:lang w:val="en-US" w:eastAsia="zh-CN" w:bidi="ar-SA"/>
              </w:rPr>
              <w:t>%计，危废贮存库收集效率以</w:t>
            </w:r>
            <w:r>
              <w:rPr>
                <w:rFonts w:hint="eastAsia" w:cs="Times New Roman"/>
                <w:color w:val="auto"/>
                <w:kern w:val="2"/>
                <w:sz w:val="24"/>
                <w:szCs w:val="24"/>
                <w:highlight w:val="none"/>
                <w:lang w:val="en-US" w:eastAsia="zh-CN" w:bidi="ar-SA"/>
              </w:rPr>
              <w:t>90</w:t>
            </w:r>
            <w:r>
              <w:rPr>
                <w:rFonts w:hint="eastAsia" w:ascii="Times New Roman" w:hAnsi="Times New Roman" w:eastAsia="宋体" w:cs="Times New Roman"/>
                <w:color w:val="auto"/>
                <w:kern w:val="2"/>
                <w:sz w:val="24"/>
                <w:szCs w:val="24"/>
                <w:highlight w:val="none"/>
                <w:lang w:val="en-US" w:eastAsia="zh-CN" w:bidi="ar-SA"/>
              </w:rPr>
              <w:t>%计算。</w:t>
            </w:r>
          </w:p>
          <w:p w14:paraId="519A9610">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参考《袋式除尘工程通用技术规范》 （HJ2020-2012）顶吸罩捕集效率不低于 90% ，本次评价</w:t>
            </w:r>
            <w:r>
              <w:rPr>
                <w:rFonts w:hint="eastAsia" w:cs="Times New Roman"/>
                <w:color w:val="auto"/>
                <w:kern w:val="2"/>
                <w:sz w:val="24"/>
                <w:szCs w:val="24"/>
                <w:highlight w:val="none"/>
                <w:lang w:val="en-US" w:eastAsia="zh-CN" w:bidi="ar-SA"/>
              </w:rPr>
              <w:t>车辆</w:t>
            </w:r>
            <w:r>
              <w:rPr>
                <w:rFonts w:hint="eastAsia" w:ascii="Times New Roman" w:hAnsi="Times New Roman" w:eastAsia="宋体" w:cs="Times New Roman"/>
                <w:color w:val="auto"/>
                <w:kern w:val="2"/>
                <w:sz w:val="24"/>
                <w:szCs w:val="24"/>
                <w:highlight w:val="none"/>
                <w:lang w:val="en-US" w:eastAsia="zh-CN" w:bidi="ar-SA"/>
              </w:rPr>
              <w:t>切割、剪切工序</w:t>
            </w:r>
            <w:r>
              <w:rPr>
                <w:rFonts w:hint="eastAsia" w:cs="Times New Roman"/>
                <w:color w:val="auto"/>
                <w:kern w:val="2"/>
                <w:sz w:val="24"/>
                <w:szCs w:val="24"/>
                <w:highlight w:val="none"/>
                <w:lang w:val="en-US" w:eastAsia="zh-CN" w:bidi="ar-SA"/>
              </w:rPr>
              <w:t>以及废钢剪切、破碎工序集气罩</w:t>
            </w:r>
            <w:r>
              <w:rPr>
                <w:rFonts w:hint="eastAsia" w:ascii="Times New Roman" w:hAnsi="Times New Roman" w:eastAsia="宋体" w:cs="Times New Roman"/>
                <w:color w:val="auto"/>
                <w:kern w:val="2"/>
                <w:sz w:val="24"/>
                <w:szCs w:val="24"/>
                <w:highlight w:val="none"/>
                <w:lang w:val="en-US" w:eastAsia="zh-CN" w:bidi="ar-SA"/>
              </w:rPr>
              <w:t>收集效率以90%计算。</w:t>
            </w:r>
          </w:p>
          <w:p w14:paraId="21CF938C">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因此，</w:t>
            </w:r>
            <w:r>
              <w:rPr>
                <w:rFonts w:hint="eastAsia" w:cs="Times New Roman"/>
                <w:color w:val="auto"/>
                <w:kern w:val="2"/>
                <w:sz w:val="24"/>
                <w:szCs w:val="24"/>
                <w:highlight w:val="none"/>
                <w:lang w:val="en-US" w:eastAsia="zh-CN" w:bidi="ar-SA"/>
              </w:rPr>
              <w:t>本项目废气收集措施</w:t>
            </w:r>
            <w:r>
              <w:rPr>
                <w:rFonts w:hint="eastAsia" w:ascii="Times New Roman" w:hAnsi="Times New Roman" w:eastAsia="宋体" w:cs="Times New Roman"/>
                <w:color w:val="auto"/>
                <w:kern w:val="2"/>
                <w:sz w:val="24"/>
                <w:szCs w:val="24"/>
                <w:highlight w:val="none"/>
                <w:lang w:val="en-US" w:eastAsia="zh-CN" w:bidi="ar-SA"/>
              </w:rPr>
              <w:t>设置可行。</w:t>
            </w:r>
          </w:p>
          <w:p w14:paraId="56319B7A">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（2）废气治理可行性分析</w:t>
            </w:r>
          </w:p>
          <w:p w14:paraId="40C67CFB">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根据《排污许可证申请与核发技术规范 废弃资源加工工业》（HJ1034-2019）表8，本项目废气治理设施可行性分析如下：</w:t>
            </w:r>
          </w:p>
          <w:p w14:paraId="6267197F">
            <w:pPr>
              <w:keepNext w:val="0"/>
              <w:keepLines w:val="0"/>
              <w:suppressLineNumbers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b/>
                <w:bCs/>
                <w:color w:val="auto"/>
                <w:kern w:val="0"/>
                <w:sz w:val="21"/>
                <w:szCs w:val="21"/>
                <w:highlight w:val="none"/>
              </w:rPr>
              <w:t>表</w:t>
            </w:r>
            <w:r>
              <w:rPr>
                <w:rFonts w:hint="eastAsia" w:ascii="Times New Roman" w:hAnsi="Times New Roman"/>
                <w:b/>
                <w:bCs/>
                <w:color w:val="auto"/>
                <w:kern w:val="0"/>
                <w:sz w:val="21"/>
                <w:szCs w:val="21"/>
                <w:highlight w:val="none"/>
                <w:lang w:val="en-US" w:eastAsia="zh-CN"/>
              </w:rPr>
              <w:t>4-</w:t>
            </w:r>
            <w:r>
              <w:rPr>
                <w:rFonts w:hint="eastAsia"/>
                <w:b/>
                <w:bCs/>
                <w:color w:val="auto"/>
                <w:kern w:val="0"/>
                <w:sz w:val="21"/>
                <w:szCs w:val="21"/>
                <w:highlight w:val="none"/>
                <w:lang w:val="en-US" w:eastAsia="zh-CN"/>
              </w:rPr>
              <w:t xml:space="preserve">8 </w:t>
            </w:r>
            <w:r>
              <w:rPr>
                <w:rFonts w:hint="eastAsia" w:ascii="Times New Roman" w:hAnsi="Times New Roman"/>
                <w:b/>
                <w:bCs/>
                <w:color w:val="auto"/>
                <w:kern w:val="0"/>
                <w:sz w:val="21"/>
                <w:szCs w:val="21"/>
                <w:highlight w:val="none"/>
                <w:lang w:val="en-US" w:eastAsia="zh-CN"/>
              </w:rPr>
              <w:t xml:space="preserve"> </w:t>
            </w:r>
            <w:r>
              <w:rPr>
                <w:rFonts w:hint="eastAsia" w:ascii="Times New Roman" w:hAnsi="Times New Roman" w:eastAsia="宋体" w:cs="Times New Roman"/>
                <w:b/>
                <w:bCs/>
                <w:color w:val="auto"/>
                <w:kern w:val="2"/>
                <w:sz w:val="21"/>
                <w:szCs w:val="21"/>
                <w:highlight w:val="none"/>
                <w:lang w:val="en-US" w:eastAsia="zh-CN" w:bidi="ar-SA"/>
              </w:rPr>
              <w:t>废气治理设施可行性分析一览表</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822"/>
              <w:gridCol w:w="1408"/>
              <w:gridCol w:w="2148"/>
              <w:gridCol w:w="1911"/>
              <w:gridCol w:w="1823"/>
            </w:tblGrid>
            <w:tr w14:paraId="012DA4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99" w:type="pct"/>
                  <w:tcBorders>
                    <w:tl2br w:val="nil"/>
                    <w:tr2bl w:val="nil"/>
                  </w:tcBorders>
                  <w:noWrap w:val="0"/>
                  <w:vAlign w:val="center"/>
                </w:tcPr>
                <w:p w14:paraId="232D0C3F">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产排污环节</w:t>
                  </w:r>
                </w:p>
              </w:tc>
              <w:tc>
                <w:tcPr>
                  <w:tcW w:w="772" w:type="pct"/>
                  <w:tcBorders>
                    <w:tl2br w:val="nil"/>
                    <w:tr2bl w:val="nil"/>
                  </w:tcBorders>
                  <w:noWrap w:val="0"/>
                  <w:vAlign w:val="center"/>
                </w:tcPr>
                <w:p w14:paraId="20C71323">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污染物</w:t>
                  </w:r>
                </w:p>
              </w:tc>
              <w:tc>
                <w:tcPr>
                  <w:tcW w:w="1178" w:type="pct"/>
                  <w:tcBorders>
                    <w:tl2br w:val="nil"/>
                    <w:tr2bl w:val="nil"/>
                  </w:tcBorders>
                  <w:noWrap w:val="0"/>
                  <w:vAlign w:val="center"/>
                </w:tcPr>
                <w:p w14:paraId="2D91B441">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宋体" w:hAnsi="宋体" w:eastAsia="宋体" w:cs="宋体"/>
                      <w:color w:val="auto"/>
                      <w:kern w:val="2"/>
                      <w:sz w:val="21"/>
                      <w:szCs w:val="21"/>
                      <w:highlight w:val="none"/>
                      <w:vertAlign w:val="baseline"/>
                      <w:lang w:val="en-US" w:eastAsia="zh-CN" w:bidi="ar-SA"/>
                    </w:rPr>
                  </w:pPr>
                  <w:r>
                    <w:rPr>
                      <w:rFonts w:hint="eastAsia" w:ascii="宋体" w:hAnsi="宋体" w:eastAsia="宋体" w:cs="宋体"/>
                      <w:color w:val="auto"/>
                      <w:kern w:val="2"/>
                      <w:sz w:val="21"/>
                      <w:szCs w:val="21"/>
                      <w:highlight w:val="none"/>
                      <w:vertAlign w:val="baseline"/>
                      <w:lang w:val="en-US" w:eastAsia="zh-CN" w:bidi="ar-SA"/>
                    </w:rPr>
                    <w:t>可行技术</w:t>
                  </w:r>
                </w:p>
              </w:tc>
              <w:tc>
                <w:tcPr>
                  <w:tcW w:w="1048" w:type="pct"/>
                  <w:tcBorders>
                    <w:tl2br w:val="nil"/>
                    <w:tr2bl w:val="nil"/>
                  </w:tcBorders>
                  <w:noWrap w:val="0"/>
                  <w:vAlign w:val="center"/>
                </w:tcPr>
                <w:p w14:paraId="507831D0">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本项目防治措施</w:t>
                  </w:r>
                </w:p>
              </w:tc>
              <w:tc>
                <w:tcPr>
                  <w:tcW w:w="1000" w:type="pct"/>
                  <w:tcBorders>
                    <w:tl2br w:val="nil"/>
                    <w:tr2bl w:val="nil"/>
                  </w:tcBorders>
                  <w:noWrap w:val="0"/>
                  <w:vAlign w:val="center"/>
                </w:tcPr>
                <w:p w14:paraId="28E9657E">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是否为可行性技术</w:t>
                  </w:r>
                </w:p>
              </w:tc>
            </w:tr>
            <w:tr w14:paraId="2832C4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99" w:type="pct"/>
                  <w:tcBorders>
                    <w:tl2br w:val="nil"/>
                    <w:tr2bl w:val="nil"/>
                  </w:tcBorders>
                  <w:noWrap w:val="0"/>
                  <w:vAlign w:val="center"/>
                </w:tcPr>
                <w:p w14:paraId="0D10E285">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拆解预处理</w:t>
                  </w:r>
                </w:p>
              </w:tc>
              <w:tc>
                <w:tcPr>
                  <w:tcW w:w="772" w:type="pct"/>
                  <w:tcBorders>
                    <w:tl2br w:val="nil"/>
                    <w:tr2bl w:val="nil"/>
                  </w:tcBorders>
                  <w:noWrap w:val="0"/>
                  <w:vAlign w:val="center"/>
                </w:tcPr>
                <w:p w14:paraId="2A2B8E9A">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非甲烷总烃</w:t>
                  </w:r>
                </w:p>
              </w:tc>
              <w:tc>
                <w:tcPr>
                  <w:tcW w:w="1178" w:type="pct"/>
                  <w:tcBorders>
                    <w:tl2br w:val="nil"/>
                    <w:tr2bl w:val="nil"/>
                  </w:tcBorders>
                  <w:noWrap w:val="0"/>
                  <w:vAlign w:val="center"/>
                </w:tcPr>
                <w:p w14:paraId="05DF7627">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eastAsia="宋体" w:cs="宋体"/>
                      <w:color w:val="auto"/>
                      <w:kern w:val="2"/>
                      <w:sz w:val="21"/>
                      <w:szCs w:val="21"/>
                      <w:highlight w:val="none"/>
                      <w:vertAlign w:val="baseline"/>
                      <w:lang w:val="en-US" w:eastAsia="zh-CN" w:bidi="ar-SA"/>
                    </w:rPr>
                  </w:pPr>
                  <w:r>
                    <w:rPr>
                      <w:rFonts w:hint="eastAsia" w:ascii="宋体" w:hAnsi="宋体" w:cs="宋体"/>
                      <w:color w:val="auto"/>
                      <w:kern w:val="2"/>
                      <w:sz w:val="21"/>
                      <w:szCs w:val="21"/>
                      <w:highlight w:val="none"/>
                      <w:vertAlign w:val="baseline"/>
                      <w:lang w:val="en-US" w:eastAsia="zh-CN" w:bidi="ar-SA"/>
                    </w:rPr>
                    <w:t>活性炭吸附，其他</w:t>
                  </w:r>
                </w:p>
              </w:tc>
              <w:tc>
                <w:tcPr>
                  <w:tcW w:w="1048" w:type="pct"/>
                  <w:tcBorders>
                    <w:tl2br w:val="nil"/>
                    <w:tr2bl w:val="nil"/>
                  </w:tcBorders>
                  <w:noWrap w:val="0"/>
                  <w:vAlign w:val="center"/>
                </w:tcPr>
                <w:p w14:paraId="6138F768">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集气罩+</w:t>
                  </w:r>
                  <w:r>
                    <w:rPr>
                      <w:rFonts w:hint="eastAsia" w:ascii="Times New Roman" w:hAnsi="Times New Roman" w:eastAsia="宋体" w:cs="Times New Roman"/>
                      <w:color w:val="auto"/>
                      <w:kern w:val="2"/>
                      <w:sz w:val="21"/>
                      <w:szCs w:val="21"/>
                      <w:highlight w:val="none"/>
                      <w:vertAlign w:val="baseline"/>
                      <w:lang w:val="en-US" w:eastAsia="zh-CN" w:bidi="ar-SA"/>
                    </w:rPr>
                    <w:t>二级活性炭吸附</w:t>
                  </w:r>
                </w:p>
              </w:tc>
              <w:tc>
                <w:tcPr>
                  <w:tcW w:w="1000" w:type="pct"/>
                  <w:tcBorders>
                    <w:tl2br w:val="nil"/>
                    <w:tr2bl w:val="nil"/>
                  </w:tcBorders>
                  <w:noWrap w:val="0"/>
                  <w:vAlign w:val="center"/>
                </w:tcPr>
                <w:p w14:paraId="2B1FCD89">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是可行技术</w:t>
                  </w:r>
                </w:p>
              </w:tc>
            </w:tr>
            <w:tr w14:paraId="4E4CBA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999" w:type="pct"/>
                  <w:tcBorders>
                    <w:tl2br w:val="nil"/>
                    <w:tr2bl w:val="nil"/>
                  </w:tcBorders>
                  <w:noWrap w:val="0"/>
                  <w:vAlign w:val="center"/>
                </w:tcPr>
                <w:p w14:paraId="1B7F9B4F">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拆解，切割</w:t>
                  </w:r>
                </w:p>
              </w:tc>
              <w:tc>
                <w:tcPr>
                  <w:tcW w:w="772" w:type="pct"/>
                  <w:tcBorders>
                    <w:tl2br w:val="nil"/>
                    <w:tr2bl w:val="nil"/>
                  </w:tcBorders>
                  <w:noWrap w:val="0"/>
                  <w:vAlign w:val="center"/>
                </w:tcPr>
                <w:p w14:paraId="6209605B">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颗粒物</w:t>
                  </w:r>
                </w:p>
              </w:tc>
              <w:tc>
                <w:tcPr>
                  <w:tcW w:w="1178" w:type="pct"/>
                  <w:tcBorders>
                    <w:tl2br w:val="nil"/>
                    <w:tr2bl w:val="nil"/>
                  </w:tcBorders>
                  <w:noWrap w:val="0"/>
                  <w:vAlign w:val="center"/>
                </w:tcPr>
                <w:p w14:paraId="2B6BAA37">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宋体" w:hAnsi="宋体" w:cs="宋体"/>
                      <w:color w:val="auto"/>
                      <w:kern w:val="2"/>
                      <w:sz w:val="21"/>
                      <w:szCs w:val="21"/>
                      <w:highlight w:val="none"/>
                      <w:vertAlign w:val="baseline"/>
                      <w:lang w:val="en-US" w:eastAsia="zh-CN" w:bidi="ar-SA"/>
                    </w:rPr>
                  </w:pPr>
                  <w:r>
                    <w:rPr>
                      <w:rFonts w:hint="eastAsia" w:ascii="宋体" w:hAnsi="宋体" w:cs="宋体"/>
                      <w:color w:val="auto"/>
                      <w:kern w:val="2"/>
                      <w:sz w:val="21"/>
                      <w:szCs w:val="21"/>
                      <w:highlight w:val="none"/>
                      <w:vertAlign w:val="baseline"/>
                      <w:lang w:val="en-US" w:eastAsia="zh-CN" w:bidi="ar-SA"/>
                    </w:rPr>
                    <w:t>集气收集+布袋除尘器，其他</w:t>
                  </w:r>
                </w:p>
              </w:tc>
              <w:tc>
                <w:tcPr>
                  <w:tcW w:w="1048" w:type="pct"/>
                  <w:tcBorders>
                    <w:tl2br w:val="nil"/>
                    <w:tr2bl w:val="nil"/>
                  </w:tcBorders>
                  <w:noWrap w:val="0"/>
                  <w:vAlign w:val="center"/>
                </w:tcPr>
                <w:p w14:paraId="05B1F79B">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集气罩+布袋除尘器</w:t>
                  </w:r>
                </w:p>
              </w:tc>
              <w:tc>
                <w:tcPr>
                  <w:tcW w:w="1000" w:type="pct"/>
                  <w:tcBorders>
                    <w:tl2br w:val="nil"/>
                    <w:tr2bl w:val="nil"/>
                  </w:tcBorders>
                  <w:noWrap w:val="0"/>
                  <w:vAlign w:val="center"/>
                </w:tcPr>
                <w:p w14:paraId="0FCA83CA">
                  <w:pPr>
                    <w:pStyle w:val="44"/>
                    <w:keepNext w:val="0"/>
                    <w:keepLines w:val="0"/>
                    <w:pageBreakBefore w:val="0"/>
                    <w:widowControl w:val="0"/>
                    <w:suppressLineNumbers w:val="0"/>
                    <w:tabs>
                      <w:tab w:val="left" w:pos="1029"/>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是可行技术</w:t>
                  </w:r>
                </w:p>
              </w:tc>
            </w:tr>
          </w:tbl>
          <w:p w14:paraId="013DBD08">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①活性炭吸附原理：</w:t>
            </w:r>
          </w:p>
          <w:p w14:paraId="3FD91856">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活性炭在活化过程中，巨大的表面积和复杂的孔隙结构逐渐形成，活性炭的表面积主要是由微孔提供的，活性炭的吸附可分为物理吸附和化学吸附，而吸附过程正是在这些孔隙中和表面上进行的，活性炭的多孔结构提供了大量的表面积，从而使其非常容易达到吸收收集杂质的目的。就像磁力一样，所有的分子之间都具有相互引力。正因为如此，活性炭孔壁上的大量的分子可以产生强大的引力，从而达到将介质中的杂质吸引到孔径中的目的，这就是物理吸附。高效环保活性炭吸附装置可根据有害气体分子的大小，经过特殊孔径调节工艺处理，使其具备了丰富的微孔、中孔、大孔的结构特征，能够根据有害气体的分子大小自动进行调配而达到配对吸附的效果，</w:t>
            </w:r>
          </w:p>
          <w:p w14:paraId="45F888C4">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根据《挥发性有机物治理实用手册（第二版）》介绍，中低风量、温度低于50℃</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浓度小于5000mg/m</w:t>
            </w:r>
            <w:r>
              <w:rPr>
                <w:rFonts w:hint="default" w:ascii="Times New Roman" w:hAnsi="Times New Roman" w:eastAsia="宋体" w:cs="Times New Roman"/>
                <w:color w:val="auto"/>
                <w:kern w:val="2"/>
                <w:sz w:val="24"/>
                <w:szCs w:val="24"/>
                <w:highlight w:val="none"/>
                <w:vertAlign w:val="superscript"/>
                <w:lang w:val="en-US" w:eastAsia="zh-CN" w:bidi="ar-SA"/>
              </w:rPr>
              <w:t>3</w:t>
            </w:r>
            <w:r>
              <w:rPr>
                <w:rFonts w:hint="default" w:ascii="Times New Roman" w:hAnsi="Times New Roman" w:eastAsia="宋体" w:cs="Times New Roman"/>
                <w:color w:val="auto"/>
                <w:kern w:val="2"/>
                <w:sz w:val="24"/>
                <w:szCs w:val="24"/>
                <w:highlight w:val="none"/>
                <w:lang w:val="en-US" w:eastAsia="zh-CN" w:bidi="ar-SA"/>
              </w:rPr>
              <w:t>的VOCs宜采用吸附法，本项目选用碘值不低于800mg/g、比表面积不低于750m</w:t>
            </w:r>
            <w:r>
              <w:rPr>
                <w:rFonts w:hint="default"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/g，横向强度不低于0.3MPa ，纵向强度不低于0.8MPa的活性炭，符合《吸附法工业有机废气治理工程技术规范》（HJ2026-2013）技术要求。</w:t>
            </w:r>
          </w:p>
          <w:p w14:paraId="18515E8F">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参考《工业源挥发性有机物通用源项产排污核算系数手册》附表 9 挥发性有机物处理工艺处理效率表，一级活性炭吸附法处理效率为48% ，本项目采用二级活性炭吸附</w:t>
            </w:r>
            <w:r>
              <w:rPr>
                <w:rFonts w:hint="eastAsia" w:ascii="Times New Roman" w:hAnsi="Times New Roman" w:eastAsia="宋体" w:cs="Times New Roman"/>
                <w:color w:val="auto"/>
                <w:kern w:val="2"/>
                <w:sz w:val="24"/>
                <w:szCs w:val="24"/>
                <w:highlight w:val="none"/>
                <w:lang w:val="en-US" w:eastAsia="zh-CN" w:bidi="ar-SA"/>
              </w:rPr>
              <w:t>工艺</w:t>
            </w:r>
            <w:r>
              <w:rPr>
                <w:rFonts w:hint="default" w:ascii="Times New Roman" w:hAnsi="Times New Roman"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kern w:val="2"/>
                <w:sz w:val="24"/>
                <w:szCs w:val="24"/>
                <w:highlight w:val="none"/>
                <w:lang w:val="en-US" w:eastAsia="zh-CN" w:bidi="ar-SA"/>
              </w:rPr>
              <w:t>因此有机废气处理效率保守估计，取70%</w:t>
            </w:r>
            <w:r>
              <w:rPr>
                <w:rFonts w:hint="default" w:ascii="Times New Roman" w:hAnsi="Times New Roman" w:eastAsia="宋体" w:cs="Times New Roman"/>
                <w:color w:val="auto"/>
                <w:kern w:val="2"/>
                <w:sz w:val="24"/>
                <w:szCs w:val="24"/>
                <w:highlight w:val="none"/>
                <w:lang w:val="en-US" w:eastAsia="zh-CN" w:bidi="ar-SA"/>
              </w:rPr>
              <w:t>。</w:t>
            </w:r>
          </w:p>
          <w:p w14:paraId="18497D34">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default" w:ascii="Times New Roman" w:hAnsi="Times New Roman" w:cs="Times New Roman"/>
                <w:color w:val="auto"/>
                <w:sz w:val="24"/>
                <w:szCs w:val="22"/>
                <w:highlight w:val="none"/>
              </w:rPr>
            </w:pPr>
            <w:r>
              <w:rPr>
                <w:rFonts w:hint="eastAsia" w:ascii="Times New Roman" w:hAnsi="Times New Roman" w:cs="Times New Roman"/>
                <w:color w:val="auto"/>
                <w:sz w:val="24"/>
                <w:szCs w:val="22"/>
                <w:highlight w:val="none"/>
              </w:rPr>
              <w:t>根据《广东省工业源挥发性有机物减排量核算方法》</w:t>
            </w:r>
            <w:r>
              <w:rPr>
                <w:rFonts w:hint="eastAsia" w:ascii="Times New Roman" w:hAnsi="Times New Roman" w:cs="Times New Roman"/>
                <w:color w:val="auto"/>
                <w:sz w:val="24"/>
                <w:szCs w:val="22"/>
                <w:highlight w:val="none"/>
                <w:lang w:eastAsia="zh-CN"/>
              </w:rPr>
              <w:t>（</w:t>
            </w:r>
            <w:r>
              <w:rPr>
                <w:rFonts w:hint="eastAsia" w:ascii="Times New Roman" w:hAnsi="Times New Roman" w:cs="Times New Roman"/>
                <w:color w:val="auto"/>
                <w:sz w:val="24"/>
                <w:szCs w:val="22"/>
                <w:highlight w:val="none"/>
              </w:rPr>
              <w:t>2023年修订</w:t>
            </w:r>
            <w:r>
              <w:rPr>
                <w:rFonts w:hint="eastAsia" w:ascii="Times New Roman" w:hAnsi="Times New Roman" w:cs="Times New Roman"/>
                <w:color w:val="auto"/>
                <w:sz w:val="24"/>
                <w:szCs w:val="22"/>
                <w:highlight w:val="none"/>
                <w:lang w:eastAsia="zh-CN"/>
              </w:rPr>
              <w:t>）</w:t>
            </w:r>
            <w:r>
              <w:rPr>
                <w:rFonts w:hint="eastAsia" w:ascii="Times New Roman" w:hAnsi="Times New Roman" w:cs="Times New Roman"/>
                <w:color w:val="auto"/>
                <w:sz w:val="24"/>
                <w:szCs w:val="22"/>
                <w:highlight w:val="none"/>
              </w:rPr>
              <w:t>，活性炭对有机废气吸附比例一般取值15%</w:t>
            </w:r>
            <w:r>
              <w:rPr>
                <w:rFonts w:hint="eastAsia" w:ascii="Times New Roman" w:hAnsi="Times New Roman" w:cs="Times New Roman"/>
                <w:color w:val="auto"/>
                <w:sz w:val="24"/>
                <w:szCs w:val="22"/>
                <w:highlight w:val="none"/>
                <w:lang w:eastAsia="zh-CN"/>
              </w:rPr>
              <w:t>；</w:t>
            </w:r>
            <w:r>
              <w:rPr>
                <w:rFonts w:hint="eastAsia" w:ascii="Times New Roman" w:hAnsi="Times New Roman" w:cs="Times New Roman"/>
                <w:color w:val="auto"/>
                <w:sz w:val="24"/>
                <w:szCs w:val="22"/>
                <w:highlight w:val="none"/>
                <w:lang w:val="en-US" w:eastAsia="zh-CN"/>
              </w:rPr>
              <w:t>因此</w:t>
            </w:r>
            <w:r>
              <w:rPr>
                <w:rFonts w:hint="default" w:ascii="Times New Roman" w:hAnsi="Times New Roman" w:cs="Times New Roman"/>
                <w:color w:val="auto"/>
                <w:sz w:val="24"/>
                <w:szCs w:val="22"/>
                <w:highlight w:val="none"/>
              </w:rPr>
              <w:t>本项目</w:t>
            </w:r>
            <w:r>
              <w:rPr>
                <w:rFonts w:hint="eastAsia" w:ascii="Times New Roman" w:hAnsi="Times New Roman" w:cs="Times New Roman"/>
                <w:color w:val="auto"/>
                <w:sz w:val="24"/>
                <w:szCs w:val="22"/>
                <w:highlight w:val="none"/>
                <w:lang w:val="en-US" w:eastAsia="zh-CN"/>
              </w:rPr>
              <w:t>活性炭饱和吸附量按15%计</w:t>
            </w:r>
            <w:r>
              <w:rPr>
                <w:rFonts w:hint="default" w:ascii="Times New Roman" w:hAnsi="Times New Roman" w:cs="Times New Roman"/>
                <w:color w:val="auto"/>
                <w:sz w:val="24"/>
                <w:szCs w:val="22"/>
                <w:highlight w:val="none"/>
              </w:rPr>
              <w:t>。</w:t>
            </w:r>
          </w:p>
          <w:p w14:paraId="4377502E">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在本项目二级活性炭吸附装置中，活性炭填充量为0.6t，单个活性炭箱填充量为0.3t，</w:t>
            </w:r>
            <w:r>
              <w:rPr>
                <w:rFonts w:hint="eastAsia" w:ascii="Times New Roman" w:hAnsi="Times New Roman" w:cs="Times New Roman"/>
                <w:color w:val="auto"/>
                <w:kern w:val="2"/>
                <w:sz w:val="24"/>
                <w:szCs w:val="24"/>
                <w:highlight w:val="none"/>
                <w:lang w:val="en-US" w:eastAsia="zh-CN"/>
              </w:rPr>
              <w:t>活性炭箱单次</w:t>
            </w:r>
            <w:r>
              <w:rPr>
                <w:rFonts w:hint="eastAsia" w:ascii="Times New Roman" w:hAnsi="Times New Roman" w:eastAsia="宋体" w:cs="Times New Roman"/>
                <w:color w:val="auto"/>
                <w:kern w:val="2"/>
                <w:sz w:val="24"/>
                <w:szCs w:val="24"/>
                <w:highlight w:val="none"/>
                <w:lang w:val="en-US" w:eastAsia="zh-CN"/>
              </w:rPr>
              <w:t>有机废气饱和吸附量约为90kg，根据</w:t>
            </w:r>
            <w:r>
              <w:rPr>
                <w:rFonts w:hint="default" w:ascii="Times New Roman" w:hAnsi="Times New Roman" w:eastAsia="宋体" w:cs="Times New Roman"/>
                <w:color w:val="auto"/>
                <w:kern w:val="2"/>
                <w:sz w:val="24"/>
                <w:szCs w:val="24"/>
                <w:highlight w:val="none"/>
                <w:lang w:val="en-US" w:eastAsia="zh-CN"/>
              </w:rPr>
              <w:t>表</w:t>
            </w:r>
            <w:r>
              <w:rPr>
                <w:rFonts w:hint="eastAsia" w:ascii="Times New Roman" w:hAnsi="Times New Roman" w:cs="Times New Roman"/>
                <w:color w:val="auto"/>
                <w:kern w:val="2"/>
                <w:sz w:val="24"/>
                <w:szCs w:val="24"/>
                <w:highlight w:val="none"/>
                <w:lang w:val="en-US" w:eastAsia="zh-CN"/>
              </w:rPr>
              <w:t>4-4可知</w:t>
            </w:r>
            <w:r>
              <w:rPr>
                <w:rFonts w:hint="eastAsia" w:ascii="Times New Roman" w:hAnsi="Times New Roman" w:eastAsia="宋体" w:cs="Times New Roman"/>
                <w:color w:val="auto"/>
                <w:kern w:val="2"/>
                <w:sz w:val="24"/>
                <w:szCs w:val="24"/>
                <w:highlight w:val="none"/>
                <w:lang w:val="en-US" w:eastAsia="zh-CN"/>
              </w:rPr>
              <w:t>，</w:t>
            </w:r>
            <w:r>
              <w:rPr>
                <w:rFonts w:hint="eastAsia" w:ascii="Times New Roman" w:hAnsi="Times New Roman" w:cs="Times New Roman"/>
                <w:color w:val="auto"/>
                <w:kern w:val="2"/>
                <w:sz w:val="24"/>
                <w:szCs w:val="24"/>
                <w:highlight w:val="none"/>
                <w:lang w:val="en-US" w:eastAsia="zh-CN"/>
              </w:rPr>
              <w:t>二级</w:t>
            </w:r>
            <w:r>
              <w:rPr>
                <w:rFonts w:hint="eastAsia" w:ascii="Times New Roman" w:hAnsi="Times New Roman" w:eastAsia="宋体" w:cs="Times New Roman"/>
                <w:color w:val="auto"/>
                <w:kern w:val="2"/>
                <w:sz w:val="24"/>
                <w:szCs w:val="24"/>
                <w:highlight w:val="none"/>
                <w:lang w:val="en-US" w:eastAsia="zh-CN"/>
              </w:rPr>
              <w:t>活性炭吸附装置每年需要吸附的废气量约</w:t>
            </w:r>
            <w:r>
              <w:rPr>
                <w:rFonts w:hint="eastAsia" w:cs="Times New Roman"/>
                <w:color w:val="auto"/>
                <w:kern w:val="2"/>
                <w:sz w:val="24"/>
                <w:szCs w:val="24"/>
                <w:highlight w:val="none"/>
                <w:lang w:val="en-US" w:eastAsia="zh-CN"/>
              </w:rPr>
              <w:t>0.134</w:t>
            </w:r>
            <w:r>
              <w:rPr>
                <w:rFonts w:hint="eastAsia" w:ascii="Times New Roman" w:hAnsi="Times New Roman" w:eastAsia="宋体" w:cs="Times New Roman"/>
                <w:color w:val="auto"/>
                <w:kern w:val="2"/>
                <w:sz w:val="24"/>
                <w:szCs w:val="24"/>
                <w:highlight w:val="none"/>
                <w:lang w:val="en-US" w:eastAsia="zh-CN"/>
              </w:rPr>
              <w:t>t，为保证活性炭吸附效率，活性炭每年更换</w:t>
            </w:r>
            <w:r>
              <w:rPr>
                <w:rFonts w:hint="eastAsia" w:ascii="Times New Roman" w:hAnsi="Times New Roman" w:cs="Times New Roman"/>
                <w:color w:val="auto"/>
                <w:kern w:val="2"/>
                <w:sz w:val="24"/>
                <w:szCs w:val="24"/>
                <w:highlight w:val="none"/>
                <w:lang w:val="en-US" w:eastAsia="zh-CN"/>
              </w:rPr>
              <w:t>2</w:t>
            </w:r>
            <w:r>
              <w:rPr>
                <w:rFonts w:hint="eastAsia" w:ascii="Times New Roman" w:hAnsi="Times New Roman" w:eastAsia="宋体" w:cs="Times New Roman"/>
                <w:color w:val="auto"/>
                <w:kern w:val="2"/>
                <w:sz w:val="24"/>
                <w:szCs w:val="24"/>
                <w:highlight w:val="none"/>
                <w:lang w:val="en-US" w:eastAsia="zh-CN"/>
              </w:rPr>
              <w:t>次，预计废活性炭产生量为</w:t>
            </w:r>
            <w:r>
              <w:rPr>
                <w:rFonts w:hint="eastAsia" w:cs="Times New Roman"/>
                <w:color w:val="auto"/>
                <w:kern w:val="2"/>
                <w:sz w:val="24"/>
                <w:szCs w:val="24"/>
                <w:highlight w:val="none"/>
                <w:lang w:val="en-US" w:eastAsia="zh-CN"/>
              </w:rPr>
              <w:t>1.334</w:t>
            </w:r>
            <w:r>
              <w:rPr>
                <w:rFonts w:hint="eastAsia" w:ascii="Times New Roman" w:hAnsi="Times New Roman" w:eastAsia="宋体" w:cs="Times New Roman"/>
                <w:color w:val="auto"/>
                <w:kern w:val="2"/>
                <w:sz w:val="24"/>
                <w:szCs w:val="24"/>
                <w:highlight w:val="none"/>
                <w:lang w:val="en-US" w:eastAsia="zh-CN"/>
              </w:rPr>
              <w:t>t/a。</w:t>
            </w:r>
          </w:p>
          <w:p w14:paraId="6BE879D7">
            <w:pPr>
              <w:keepNext w:val="0"/>
              <w:keepLines w:val="0"/>
              <w:widowControl/>
              <w:suppressLineNumbers w:val="0"/>
              <w:spacing w:before="0" w:beforeAutospacing="0" w:after="0" w:afterAutospacing="0" w:line="360" w:lineRule="auto"/>
              <w:ind w:left="0" w:right="0" w:firstLine="482" w:firstLineChars="200"/>
              <w:jc w:val="both"/>
              <w:rPr>
                <w:rFonts w:hint="eastAsia" w:ascii="Times New Roman" w:hAnsi="Times New Roman" w:eastAsia="宋体" w:cs="Times New Roman"/>
                <w:b/>
                <w:bCs/>
                <w:color w:val="auto"/>
                <w:kern w:val="2"/>
                <w:sz w:val="24"/>
                <w:szCs w:val="24"/>
                <w:highlight w:val="none"/>
                <w:lang w:val="en-US" w:eastAsia="zh-CN"/>
              </w:rPr>
            </w:pPr>
            <w:r>
              <w:rPr>
                <w:rFonts w:hint="eastAsia" w:ascii="Times New Roman" w:hAnsi="Times New Roman" w:cs="Times New Roman"/>
                <w:b/>
                <w:bCs/>
                <w:color w:val="auto"/>
                <w:kern w:val="2"/>
                <w:sz w:val="24"/>
                <w:szCs w:val="24"/>
                <w:highlight w:val="none"/>
                <w:lang w:val="en-US" w:eastAsia="zh-CN"/>
              </w:rPr>
              <w:t>②</w:t>
            </w:r>
            <w:r>
              <w:rPr>
                <w:rFonts w:hint="eastAsia" w:ascii="Times New Roman" w:hAnsi="Times New Roman" w:eastAsia="宋体" w:cs="Times New Roman"/>
                <w:b/>
                <w:bCs/>
                <w:color w:val="auto"/>
                <w:kern w:val="2"/>
                <w:sz w:val="24"/>
                <w:szCs w:val="24"/>
                <w:highlight w:val="none"/>
                <w:lang w:val="en-US" w:eastAsia="zh-CN"/>
              </w:rPr>
              <w:t>布袋除尘器原理：</w:t>
            </w:r>
          </w:p>
          <w:p w14:paraId="6BAEF282">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布袋除尘器工作原理：含尘气体由灰斗上部进风口进入后，在挡风板的作用下，气流风板向上流动，流速降低，部分大颗粒粉尘由于惯性力的作用被分离出来落入灰斗。含尘气体进入中箱体经；滤袋的过滤，粉尘被阻留在滤袋的外表面，净化后的气体经滤袋口进入上箱体，由出风口排出。随着滤袋表面粉尘不断增加，除尘器进出口压差也随之上升。当除尘器阻力达到设定值时，控制系统发出清灰指令，清灰系统开始工作。首先电磁阀接到信号后立即开启，使小膜片上部气室的压缩空气被排除，由于小膜片两端受力的改变，</w:t>
            </w:r>
            <w:r>
              <w:rPr>
                <w:rFonts w:hint="eastAsia" w:cs="Times New Roman"/>
                <w:color w:val="auto"/>
                <w:kern w:val="2"/>
                <w:sz w:val="24"/>
                <w:szCs w:val="24"/>
                <w:highlight w:val="none"/>
                <w:lang w:val="en-US" w:eastAsia="zh-CN"/>
              </w:rPr>
              <w:t>使</w:t>
            </w:r>
            <w:r>
              <w:rPr>
                <w:rFonts w:hint="eastAsia" w:ascii="Times New Roman" w:hAnsi="Times New Roman" w:eastAsia="宋体" w:cs="Times New Roman"/>
                <w:color w:val="auto"/>
                <w:kern w:val="2"/>
                <w:sz w:val="24"/>
                <w:szCs w:val="24"/>
                <w:highlight w:val="none"/>
                <w:lang w:val="en-US" w:eastAsia="zh-CN"/>
              </w:rPr>
              <w:t>被小膜片关闭的排气通道开启，大膜片上部气室的压缩空气由此通道排出，打磨片两端受力改变，使大膜片动作将关闭输出口打开，气包内压缩空气经输出管和喷吹管入袋口，实现清灰。当控制信号停止后，电磁阀关闭，小膜片、大膜片相继复位，喷吹停止。</w:t>
            </w:r>
          </w:p>
          <w:p w14:paraId="7FCEB310">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参考《排放源统计调查产排污核算方法和系数手册》中</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42 废弃资源综合利用行业系数手册</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布袋除尘器处理效率为95%，故本次评价布袋除尘器处理效率以95%计算。</w:t>
            </w:r>
          </w:p>
          <w:p w14:paraId="72CF3E97">
            <w:pPr>
              <w:pStyle w:val="44"/>
              <w:keepNext w:val="0"/>
              <w:keepLines w:val="0"/>
              <w:suppressLineNumbers w:val="0"/>
              <w:spacing w:before="0" w:beforeAutospacing="0" w:after="0" w:afterAutospacing="0"/>
              <w:ind w:left="0" w:right="0"/>
              <w:rPr>
                <w:rFonts w:hint="default" w:ascii="Times New Roman" w:hAnsi="Times New Roman" w:cs="Times New Roman"/>
                <w:b/>
                <w:bCs/>
                <w:color w:val="auto"/>
                <w:highlight w:val="none"/>
                <w:lang w:val="en-US" w:eastAsia="zh-CN"/>
              </w:rPr>
            </w:pPr>
            <w:r>
              <w:rPr>
                <w:rFonts w:hint="eastAsia" w:ascii="Times New Roman" w:hAnsi="Times New Roman" w:cs="Times New Roman"/>
                <w:b/>
                <w:bCs/>
                <w:color w:val="auto"/>
                <w:highlight w:val="none"/>
                <w:lang w:val="en-US" w:eastAsia="zh-CN"/>
              </w:rPr>
              <w:t>③</w:t>
            </w:r>
            <w:r>
              <w:rPr>
                <w:rFonts w:hint="default" w:ascii="Times New Roman" w:hAnsi="Times New Roman" w:cs="Times New Roman"/>
                <w:b/>
                <w:bCs/>
                <w:color w:val="auto"/>
                <w:highlight w:val="none"/>
                <w:lang w:val="en-US" w:eastAsia="zh-CN"/>
              </w:rPr>
              <w:t>油烟净化装置</w:t>
            </w:r>
          </w:p>
          <w:p w14:paraId="5EDB3453">
            <w:pPr>
              <w:keepNext w:val="0"/>
              <w:keepLines w:val="0"/>
              <w:widowControl/>
              <w:suppressLineNumbers w:val="0"/>
              <w:spacing w:before="0" w:beforeAutospacing="0" w:after="0" w:afterAutospacing="0" w:line="360" w:lineRule="auto"/>
              <w:ind w:left="0" w:right="0" w:firstLine="480" w:firstLineChars="200"/>
              <w:jc w:val="both"/>
              <w:rPr>
                <w:rFonts w:hint="default"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cs="Times New Roman"/>
                <w:color w:val="auto"/>
                <w:kern w:val="2"/>
                <w:sz w:val="24"/>
                <w:szCs w:val="24"/>
                <w:highlight w:val="none"/>
                <w:lang w:val="en-US" w:eastAsia="zh-CN"/>
              </w:rPr>
              <w:t>食堂油烟经油烟净化装置处理后</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油烟满足《饮食业油烟排放标准</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试行</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》GB18483-2001</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中的小型标准，能够实现达标排放，治理措施可行。</w:t>
            </w:r>
          </w:p>
          <w:p w14:paraId="742D4DD0">
            <w:pPr>
              <w:pStyle w:val="17"/>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综上，本项目采取的废气治理设施均为国家现行的主流技术及可行技术</w:t>
            </w:r>
            <w:r>
              <w:rPr>
                <w:rFonts w:hint="eastAsia" w:ascii="Times New Roman" w:hAnsi="Times New Roman" w:cs="Times New Roman"/>
                <w:color w:val="auto"/>
                <w:kern w:val="2"/>
                <w:sz w:val="24"/>
                <w:szCs w:val="24"/>
                <w:highlight w:val="none"/>
                <w:lang w:val="en-US" w:eastAsia="zh-CN"/>
              </w:rPr>
              <w:t>。</w:t>
            </w:r>
          </w:p>
          <w:p w14:paraId="2FABEA58">
            <w:pPr>
              <w:keepNext w:val="0"/>
              <w:keepLines w:val="0"/>
              <w:widowControl/>
              <w:suppressLineNumbers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1.4 废气达标排放分析</w:t>
            </w:r>
          </w:p>
          <w:p w14:paraId="7BEFFC40">
            <w:pPr>
              <w:pStyle w:val="80"/>
              <w:keepNext w:val="0"/>
              <w:keepLines w:val="0"/>
              <w:suppressLineNumbers w:val="0"/>
              <w:snapToGrid w:val="0"/>
              <w:spacing w:before="0" w:beforeAutospacing="0" w:after="0" w:afterAutospacing="0" w:line="360" w:lineRule="auto"/>
              <w:ind w:left="0" w:right="0" w:firstLine="480"/>
              <w:rPr>
                <w:rFonts w:hint="default" w:ascii="Times New Roman" w:hAnsi="Times New Roman" w:eastAsia="宋体" w:cs="Times New Roman"/>
                <w:b w:val="0"/>
                <w:color w:val="auto"/>
                <w:kern w:val="0"/>
                <w:sz w:val="24"/>
                <w:szCs w:val="24"/>
                <w:highlight w:val="none"/>
                <w:lang w:val="en-US" w:eastAsia="zh-CN" w:bidi="ar"/>
              </w:rPr>
            </w:pPr>
            <w:r>
              <w:rPr>
                <w:rFonts w:hint="eastAsia" w:ascii="Times New Roman" w:hAnsi="Times New Roman" w:eastAsia="宋体" w:cs="Times New Roman"/>
                <w:b w:val="0"/>
                <w:color w:val="auto"/>
                <w:kern w:val="0"/>
                <w:sz w:val="24"/>
                <w:szCs w:val="24"/>
                <w:highlight w:val="none"/>
                <w:lang w:eastAsia="zh-CN" w:bidi="ar"/>
              </w:rPr>
              <w:t>（</w:t>
            </w:r>
            <w:r>
              <w:rPr>
                <w:rFonts w:hint="eastAsia" w:ascii="Times New Roman" w:hAnsi="Times New Roman" w:eastAsia="宋体" w:cs="Times New Roman"/>
                <w:b w:val="0"/>
                <w:color w:val="auto"/>
                <w:kern w:val="0"/>
                <w:sz w:val="24"/>
                <w:szCs w:val="24"/>
                <w:highlight w:val="none"/>
                <w:lang w:val="en-US" w:eastAsia="zh-CN" w:bidi="ar"/>
              </w:rPr>
              <w:t>1</w:t>
            </w:r>
            <w:r>
              <w:rPr>
                <w:rFonts w:hint="eastAsia" w:ascii="Times New Roman" w:hAnsi="Times New Roman" w:eastAsia="宋体" w:cs="Times New Roman"/>
                <w:b w:val="0"/>
                <w:color w:val="auto"/>
                <w:kern w:val="0"/>
                <w:sz w:val="24"/>
                <w:szCs w:val="24"/>
                <w:highlight w:val="none"/>
                <w:lang w:eastAsia="zh-CN" w:bidi="ar"/>
              </w:rPr>
              <w:t>）</w:t>
            </w:r>
            <w:r>
              <w:rPr>
                <w:rFonts w:hint="eastAsia" w:ascii="Times New Roman" w:hAnsi="Times New Roman" w:eastAsia="宋体" w:cs="Times New Roman"/>
                <w:b w:val="0"/>
                <w:color w:val="auto"/>
                <w:kern w:val="0"/>
                <w:sz w:val="24"/>
                <w:szCs w:val="24"/>
                <w:highlight w:val="none"/>
                <w:lang w:val="en-US" w:eastAsia="zh-CN" w:bidi="ar"/>
              </w:rPr>
              <w:t>有组织达标排放分析</w:t>
            </w:r>
          </w:p>
          <w:p w14:paraId="0CA8CB9F">
            <w:pPr>
              <w:pStyle w:val="80"/>
              <w:keepNext w:val="0"/>
              <w:keepLines w:val="0"/>
              <w:suppressLineNumbers w:val="0"/>
              <w:snapToGrid w:val="0"/>
              <w:spacing w:before="0" w:beforeAutospacing="0" w:after="0" w:afterAutospacing="0" w:line="360" w:lineRule="auto"/>
              <w:ind w:left="0" w:right="0" w:firstLine="480"/>
              <w:rPr>
                <w:rFonts w:hint="eastAsia" w:ascii="Times New Roman" w:hAnsi="Times New Roman" w:eastAsia="宋体" w:cs="Times New Roman"/>
                <w:color w:val="auto"/>
                <w:highlight w:val="none"/>
                <w:lang w:eastAsia="zh-CN"/>
              </w:rPr>
            </w:pPr>
            <w:r>
              <w:rPr>
                <w:rFonts w:hint="eastAsia" w:ascii="Times New Roman" w:hAnsi="Times New Roman" w:eastAsia="宋体" w:cs="Times New Roman"/>
                <w:b w:val="0"/>
                <w:color w:val="auto"/>
                <w:kern w:val="0"/>
                <w:sz w:val="24"/>
                <w:szCs w:val="24"/>
                <w:highlight w:val="none"/>
                <w:lang w:bidi="ar"/>
              </w:rPr>
              <w:t>本项目</w:t>
            </w:r>
            <w:r>
              <w:rPr>
                <w:rFonts w:hint="eastAsia" w:ascii="Times New Roman" w:hAnsi="Times New Roman" w:eastAsia="宋体" w:cs="Times New Roman"/>
                <w:b w:val="0"/>
                <w:color w:val="auto"/>
                <w:kern w:val="0"/>
                <w:sz w:val="24"/>
                <w:szCs w:val="24"/>
                <w:highlight w:val="none"/>
                <w:lang w:val="en-US" w:eastAsia="zh-CN" w:bidi="ar"/>
              </w:rPr>
              <w:t>有组织</w:t>
            </w:r>
            <w:r>
              <w:rPr>
                <w:rFonts w:hint="default" w:ascii="Times New Roman" w:hAnsi="Times New Roman" w:eastAsia="宋体" w:cs="Times New Roman"/>
                <w:b w:val="0"/>
                <w:color w:val="auto"/>
                <w:kern w:val="0"/>
                <w:sz w:val="24"/>
                <w:szCs w:val="24"/>
                <w:highlight w:val="none"/>
                <w:lang w:bidi="ar"/>
              </w:rPr>
              <w:t>废气达标排放情况</w:t>
            </w:r>
            <w:r>
              <w:rPr>
                <w:rFonts w:hint="eastAsia" w:ascii="Times New Roman" w:hAnsi="Times New Roman" w:eastAsia="宋体" w:cs="Times New Roman"/>
                <w:b w:val="0"/>
                <w:color w:val="auto"/>
                <w:kern w:val="0"/>
                <w:sz w:val="24"/>
                <w:szCs w:val="24"/>
                <w:highlight w:val="none"/>
                <w:lang w:val="en-US" w:eastAsia="zh-CN" w:bidi="ar"/>
              </w:rPr>
              <w:t>见下表</w:t>
            </w:r>
            <w:r>
              <w:rPr>
                <w:rFonts w:hint="eastAsia" w:ascii="Times New Roman" w:hAnsi="Times New Roman" w:eastAsia="宋体" w:cs="Times New Roman"/>
                <w:b w:val="0"/>
                <w:color w:val="auto"/>
                <w:kern w:val="0"/>
                <w:sz w:val="24"/>
                <w:szCs w:val="24"/>
                <w:highlight w:val="none"/>
                <w:lang w:eastAsia="zh-CN" w:bidi="ar"/>
              </w:rPr>
              <w:t>。</w:t>
            </w:r>
          </w:p>
          <w:p w14:paraId="4D74BD37">
            <w:pPr>
              <w:pStyle w:val="17"/>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360" w:lineRule="auto"/>
              <w:ind w:left="0" w:right="0" w:firstLine="0" w:firstLineChars="0"/>
              <w:jc w:val="center"/>
              <w:textAlignment w:val="auto"/>
              <w:rPr>
                <w:rFonts w:hint="eastAsia" w:ascii="Times New Roman" w:hAnsi="Times New Roman" w:eastAsia="宋体" w:cs="Times New Roman"/>
                <w:color w:val="auto"/>
                <w:kern w:val="2"/>
                <w:sz w:val="24"/>
                <w:szCs w:val="24"/>
                <w:highlight w:val="none"/>
                <w:lang w:val="en-US" w:eastAsia="zh-CN"/>
              </w:rPr>
            </w:pPr>
            <w:r>
              <w:rPr>
                <w:rFonts w:hint="default" w:ascii="Times New Roman" w:hAnsi="Times New Roman" w:eastAsia="宋体"/>
                <w:b/>
                <w:bCs/>
                <w:color w:val="auto"/>
                <w:sz w:val="21"/>
                <w:szCs w:val="21"/>
                <w:highlight w:val="none"/>
              </w:rPr>
              <w:t>表4-</w:t>
            </w:r>
            <w:r>
              <w:rPr>
                <w:rFonts w:hint="eastAsia"/>
                <w:b/>
                <w:bCs/>
                <w:color w:val="auto"/>
                <w:sz w:val="21"/>
                <w:szCs w:val="21"/>
                <w:highlight w:val="none"/>
                <w:lang w:val="en-US" w:eastAsia="zh-CN"/>
              </w:rPr>
              <w:t>9</w:t>
            </w:r>
            <w:r>
              <w:rPr>
                <w:rFonts w:hint="default" w:ascii="Times New Roman" w:hAnsi="Times New Roman" w:eastAsia="宋体"/>
                <w:b/>
                <w:bCs/>
                <w:color w:val="auto"/>
                <w:sz w:val="21"/>
                <w:szCs w:val="21"/>
                <w:highlight w:val="none"/>
              </w:rPr>
              <w:t xml:space="preserve">  </w:t>
            </w:r>
            <w:r>
              <w:rPr>
                <w:rFonts w:hint="eastAsia" w:ascii="Times New Roman" w:hAnsi="Times New Roman" w:eastAsia="宋体"/>
                <w:b/>
                <w:bCs/>
                <w:color w:val="auto"/>
                <w:sz w:val="21"/>
                <w:szCs w:val="21"/>
                <w:highlight w:val="none"/>
                <w:lang w:val="en-US" w:eastAsia="zh-CN"/>
              </w:rPr>
              <w:t>有组织</w:t>
            </w:r>
            <w:r>
              <w:rPr>
                <w:rFonts w:hint="default" w:ascii="Times New Roman" w:hAnsi="Times New Roman" w:eastAsia="宋体"/>
                <w:b/>
                <w:bCs/>
                <w:color w:val="auto"/>
                <w:sz w:val="21"/>
                <w:szCs w:val="21"/>
                <w:highlight w:val="none"/>
              </w:rPr>
              <w:t>废气</w:t>
            </w:r>
            <w:r>
              <w:rPr>
                <w:rFonts w:hint="eastAsia" w:ascii="Times New Roman" w:hAnsi="Times New Roman" w:eastAsia="宋体"/>
                <w:b/>
                <w:bCs/>
                <w:color w:val="auto"/>
                <w:sz w:val="21"/>
                <w:szCs w:val="21"/>
                <w:highlight w:val="none"/>
                <w:lang w:val="en-US" w:eastAsia="zh-CN"/>
              </w:rPr>
              <w:t>达标排放情况一览表</w:t>
            </w:r>
          </w:p>
          <w:tbl>
            <w:tblPr>
              <w:tblStyle w:val="26"/>
              <w:tblW w:w="4997"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958"/>
              <w:gridCol w:w="1088"/>
              <w:gridCol w:w="1071"/>
              <w:gridCol w:w="1328"/>
              <w:gridCol w:w="1270"/>
              <w:gridCol w:w="1283"/>
              <w:gridCol w:w="1374"/>
              <w:gridCol w:w="739"/>
            </w:tblGrid>
            <w:tr w14:paraId="038887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restart"/>
                  <w:noWrap w:val="0"/>
                  <w:vAlign w:val="center"/>
                </w:tcPr>
                <w:p w14:paraId="650851CF">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排气筒</w:t>
                  </w:r>
                </w:p>
              </w:tc>
              <w:tc>
                <w:tcPr>
                  <w:tcW w:w="597" w:type="pct"/>
                  <w:vMerge w:val="restart"/>
                  <w:noWrap w:val="0"/>
                  <w:vAlign w:val="center"/>
                </w:tcPr>
                <w:p w14:paraId="6C5A6B28">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w:t>
                  </w:r>
                </w:p>
              </w:tc>
              <w:tc>
                <w:tcPr>
                  <w:tcW w:w="1317" w:type="pct"/>
                  <w:gridSpan w:val="2"/>
                  <w:noWrap w:val="0"/>
                  <w:vAlign w:val="center"/>
                </w:tcPr>
                <w:p w14:paraId="1ABE3AB5">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lang w:val="en-US" w:eastAsia="zh-CN"/>
                    </w:rPr>
                    <w:t>本项目</w:t>
                  </w:r>
                  <w:r>
                    <w:rPr>
                      <w:rFonts w:hint="default" w:ascii="Times New Roman" w:hAnsi="Times New Roman" w:eastAsia="宋体" w:cs="Times New Roman"/>
                      <w:b/>
                      <w:bCs/>
                      <w:color w:val="auto"/>
                      <w:sz w:val="21"/>
                      <w:szCs w:val="21"/>
                      <w:highlight w:val="none"/>
                    </w:rPr>
                    <w:t>排放情况</w:t>
                  </w:r>
                </w:p>
              </w:tc>
              <w:tc>
                <w:tcPr>
                  <w:tcW w:w="1401" w:type="pct"/>
                  <w:gridSpan w:val="2"/>
                  <w:noWrap w:val="0"/>
                  <w:vAlign w:val="center"/>
                </w:tcPr>
                <w:p w14:paraId="4AC07528">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标准限值</w:t>
                  </w:r>
                </w:p>
              </w:tc>
              <w:tc>
                <w:tcPr>
                  <w:tcW w:w="754" w:type="pct"/>
                  <w:vMerge w:val="restart"/>
                  <w:noWrap w:val="0"/>
                  <w:vAlign w:val="center"/>
                </w:tcPr>
                <w:p w14:paraId="7E32DA51">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标准来源</w:t>
                  </w:r>
                </w:p>
              </w:tc>
              <w:tc>
                <w:tcPr>
                  <w:tcW w:w="402" w:type="pct"/>
                  <w:vMerge w:val="restart"/>
                  <w:noWrap w:val="0"/>
                  <w:vAlign w:val="center"/>
                </w:tcPr>
                <w:p w14:paraId="097D394D">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是否</w:t>
                  </w:r>
                </w:p>
                <w:p w14:paraId="7184F5BE">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达标</w:t>
                  </w:r>
                </w:p>
              </w:tc>
            </w:tr>
            <w:tr w14:paraId="4E9D2E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vMerge w:val="continue"/>
                  <w:noWrap w:val="0"/>
                  <w:vAlign w:val="center"/>
                </w:tcPr>
                <w:p w14:paraId="371AF083">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p>
              </w:tc>
              <w:tc>
                <w:tcPr>
                  <w:tcW w:w="597" w:type="pct"/>
                  <w:vMerge w:val="continue"/>
                  <w:noWrap w:val="0"/>
                  <w:vAlign w:val="center"/>
                </w:tcPr>
                <w:p w14:paraId="2843D02D">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p>
              </w:tc>
              <w:tc>
                <w:tcPr>
                  <w:tcW w:w="588" w:type="pct"/>
                  <w:noWrap w:val="0"/>
                  <w:vAlign w:val="center"/>
                </w:tcPr>
                <w:p w14:paraId="0BA91C38">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排放速率</w:t>
                  </w:r>
                </w:p>
                <w:p w14:paraId="091D23B0">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kg/h</w:t>
                  </w:r>
                </w:p>
              </w:tc>
              <w:tc>
                <w:tcPr>
                  <w:tcW w:w="729" w:type="pct"/>
                  <w:noWrap w:val="0"/>
                  <w:vAlign w:val="center"/>
                </w:tcPr>
                <w:p w14:paraId="300F14A1">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排放浓度</w:t>
                  </w:r>
                </w:p>
                <w:p w14:paraId="721A36A0">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mg/m</w:t>
                  </w:r>
                  <w:r>
                    <w:rPr>
                      <w:rFonts w:hint="default" w:ascii="Times New Roman" w:hAnsi="Times New Roman" w:eastAsia="宋体" w:cs="Times New Roman"/>
                      <w:b/>
                      <w:bCs/>
                      <w:color w:val="auto"/>
                      <w:sz w:val="21"/>
                      <w:szCs w:val="21"/>
                      <w:highlight w:val="none"/>
                      <w:vertAlign w:val="superscript"/>
                    </w:rPr>
                    <w:t>3</w:t>
                  </w:r>
                </w:p>
              </w:tc>
              <w:tc>
                <w:tcPr>
                  <w:tcW w:w="697" w:type="pct"/>
                  <w:noWrap w:val="0"/>
                  <w:vAlign w:val="center"/>
                </w:tcPr>
                <w:p w14:paraId="4151A884">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rPr>
                    <w:t>排放速率</w:t>
                  </w:r>
                </w:p>
                <w:p w14:paraId="0AB16239">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kg/h</w:t>
                  </w:r>
                </w:p>
              </w:tc>
              <w:tc>
                <w:tcPr>
                  <w:tcW w:w="703" w:type="pct"/>
                  <w:noWrap w:val="0"/>
                  <w:vAlign w:val="center"/>
                </w:tcPr>
                <w:p w14:paraId="327B5A32">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排放浓度</w:t>
                  </w:r>
                </w:p>
                <w:p w14:paraId="54585A4B">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mg/m</w:t>
                  </w:r>
                  <w:r>
                    <w:rPr>
                      <w:rFonts w:hint="default" w:ascii="Times New Roman" w:hAnsi="Times New Roman" w:eastAsia="宋体" w:cs="Times New Roman"/>
                      <w:b/>
                      <w:bCs/>
                      <w:color w:val="auto"/>
                      <w:sz w:val="21"/>
                      <w:szCs w:val="21"/>
                      <w:highlight w:val="none"/>
                      <w:vertAlign w:val="superscript"/>
                    </w:rPr>
                    <w:t>3</w:t>
                  </w:r>
                </w:p>
              </w:tc>
              <w:tc>
                <w:tcPr>
                  <w:tcW w:w="754" w:type="pct"/>
                  <w:vMerge w:val="continue"/>
                  <w:noWrap w:val="0"/>
                  <w:vAlign w:val="center"/>
                </w:tcPr>
                <w:p w14:paraId="73195397">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rPr>
                  </w:pPr>
                </w:p>
              </w:tc>
              <w:tc>
                <w:tcPr>
                  <w:tcW w:w="402" w:type="pct"/>
                  <w:vMerge w:val="continue"/>
                  <w:noWrap w:val="0"/>
                  <w:vAlign w:val="center"/>
                </w:tcPr>
                <w:p w14:paraId="52B7296F">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rPr>
                  </w:pPr>
                </w:p>
              </w:tc>
            </w:tr>
            <w:tr w14:paraId="610CCB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noWrap w:val="0"/>
                  <w:vAlign w:val="center"/>
                </w:tcPr>
                <w:p w14:paraId="5099C931">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DA001</w:t>
                  </w:r>
                </w:p>
              </w:tc>
              <w:tc>
                <w:tcPr>
                  <w:tcW w:w="597" w:type="pct"/>
                  <w:noWrap w:val="0"/>
                  <w:vAlign w:val="center"/>
                </w:tcPr>
                <w:p w14:paraId="4FB2B0C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非甲烷总烃</w:t>
                  </w:r>
                </w:p>
              </w:tc>
              <w:tc>
                <w:tcPr>
                  <w:tcW w:w="588" w:type="pct"/>
                  <w:noWrap w:val="0"/>
                  <w:vAlign w:val="center"/>
                </w:tcPr>
                <w:p w14:paraId="6F0B51F0">
                  <w:pPr>
                    <w:pStyle w:val="22"/>
                    <w:keepNext w:val="0"/>
                    <w:keepLines w:val="0"/>
                    <w:pageBreakBefore w:val="0"/>
                    <w:widowControl/>
                    <w:suppressLineNumbers w:val="0"/>
                    <w:kinsoku/>
                    <w:wordWrap/>
                    <w:overflowPunct/>
                    <w:topLinePunct w:val="0"/>
                    <w:autoSpaceDE w:val="0"/>
                    <w:autoSpaceDN/>
                    <w:bidi w:val="0"/>
                    <w:snapToGrid w:val="0"/>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auto"/>
                      <w:spacing w:val="-12"/>
                      <w:kern w:val="0"/>
                      <w:sz w:val="21"/>
                      <w:szCs w:val="21"/>
                      <w:highlight w:val="none"/>
                      <w:lang w:val="en-US" w:eastAsia="zh-CN" w:bidi="ar-SA"/>
                    </w:rPr>
                  </w:pPr>
                  <w:r>
                    <w:rPr>
                      <w:rFonts w:hint="eastAsia" w:ascii="Times New Roman" w:hAnsi="Times New Roman" w:cs="Times New Roman"/>
                      <w:b w:val="0"/>
                      <w:bCs w:val="0"/>
                      <w:color w:val="auto"/>
                      <w:spacing w:val="-12"/>
                      <w:kern w:val="0"/>
                      <w:sz w:val="21"/>
                      <w:szCs w:val="21"/>
                      <w:highlight w:val="none"/>
                      <w:lang w:val="en-US" w:eastAsia="zh-CN" w:bidi="ar-SA"/>
                    </w:rPr>
                    <w:t>0.0227</w:t>
                  </w:r>
                </w:p>
              </w:tc>
              <w:tc>
                <w:tcPr>
                  <w:tcW w:w="729" w:type="pct"/>
                  <w:noWrap w:val="0"/>
                  <w:vAlign w:val="center"/>
                </w:tcPr>
                <w:p w14:paraId="6186E14D">
                  <w:pPr>
                    <w:pStyle w:val="22"/>
                    <w:keepNext w:val="0"/>
                    <w:keepLines w:val="0"/>
                    <w:pageBreakBefore w:val="0"/>
                    <w:widowControl/>
                    <w:suppressLineNumbers w:val="0"/>
                    <w:kinsoku/>
                    <w:wordWrap/>
                    <w:overflowPunct/>
                    <w:topLinePunct w:val="0"/>
                    <w:autoSpaceDE w:val="0"/>
                    <w:autoSpaceDN/>
                    <w:bidi w:val="0"/>
                    <w:snapToGrid w:val="0"/>
                    <w:spacing w:before="0" w:beforeAutospacing="0" w:after="0" w:afterAutospacing="0" w:line="240" w:lineRule="auto"/>
                    <w:ind w:left="0" w:leftChars="0" w:right="0" w:rightChars="0"/>
                    <w:jc w:val="center"/>
                    <w:rPr>
                      <w:rFonts w:hint="default" w:ascii="Times New Roman" w:hAnsi="Times New Roman" w:eastAsia="宋体" w:cs="Times New Roman"/>
                      <w:b w:val="0"/>
                      <w:bCs w:val="0"/>
                      <w:color w:val="auto"/>
                      <w:spacing w:val="-12"/>
                      <w:kern w:val="0"/>
                      <w:sz w:val="21"/>
                      <w:szCs w:val="21"/>
                      <w:highlight w:val="none"/>
                      <w:lang w:val="en-US" w:eastAsia="zh-CN" w:bidi="ar-SA"/>
                    </w:rPr>
                  </w:pPr>
                  <w:r>
                    <w:rPr>
                      <w:rFonts w:hint="eastAsia" w:ascii="Times New Roman" w:hAnsi="Times New Roman" w:cs="Times New Roman"/>
                      <w:b w:val="0"/>
                      <w:bCs w:val="0"/>
                      <w:color w:val="auto"/>
                      <w:spacing w:val="-12"/>
                      <w:kern w:val="0"/>
                      <w:sz w:val="21"/>
                      <w:szCs w:val="21"/>
                      <w:highlight w:val="none"/>
                      <w:lang w:val="en-US" w:eastAsia="zh-CN" w:bidi="ar-SA"/>
                    </w:rPr>
                    <w:t>4.54</w:t>
                  </w:r>
                </w:p>
              </w:tc>
              <w:tc>
                <w:tcPr>
                  <w:tcW w:w="697" w:type="pct"/>
                  <w:shd w:val="clear" w:color="auto" w:fill="auto"/>
                  <w:noWrap w:val="0"/>
                  <w:vAlign w:val="center"/>
                </w:tcPr>
                <w:p w14:paraId="2A053527">
                  <w:pPr>
                    <w:pStyle w:val="95"/>
                    <w:widowControl/>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cs="Times New Roman"/>
                      <w:color w:val="auto"/>
                      <w:kern w:val="2"/>
                      <w:sz w:val="21"/>
                      <w:szCs w:val="21"/>
                      <w:highlight w:val="none"/>
                      <w:lang w:val="en-US" w:eastAsia="zh-CN"/>
                    </w:rPr>
                    <w:t>24.4</w:t>
                  </w:r>
                </w:p>
              </w:tc>
              <w:tc>
                <w:tcPr>
                  <w:tcW w:w="703" w:type="pct"/>
                  <w:noWrap w:val="0"/>
                  <w:vAlign w:val="center"/>
                </w:tcPr>
                <w:p w14:paraId="76148008">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default" w:ascii="Times New Roman" w:hAnsi="Times New Roman" w:eastAsia="宋体" w:cs="Times New Roman"/>
                      <w:b w:val="0"/>
                      <w:bCs w:val="0"/>
                      <w:color w:val="auto"/>
                      <w:kern w:val="0"/>
                      <w:sz w:val="21"/>
                      <w:szCs w:val="21"/>
                      <w:highlight w:val="none"/>
                      <w:vertAlign w:val="baseline"/>
                      <w:lang w:val="en-US" w:eastAsia="zh-CN" w:bidi="ar-SA"/>
                    </w:rPr>
                    <w:t>120</w:t>
                  </w:r>
                </w:p>
              </w:tc>
              <w:tc>
                <w:tcPr>
                  <w:tcW w:w="754" w:type="pct"/>
                  <w:vMerge w:val="restart"/>
                  <w:noWrap w:val="0"/>
                  <w:vAlign w:val="center"/>
                </w:tcPr>
                <w:p w14:paraId="0D85F0F0">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z w:val="21"/>
                      <w:szCs w:val="21"/>
                      <w:highlight w:val="none"/>
                      <w:vertAlign w:val="baseline"/>
                      <w:lang w:val="en-US" w:eastAsia="zh-CN"/>
                    </w:rPr>
                  </w:pPr>
                  <w:r>
                    <w:rPr>
                      <w:rFonts w:hint="default" w:ascii="Times New Roman" w:hAnsi="Times New Roman" w:eastAsia="宋体" w:cs="Times New Roman"/>
                      <w:color w:val="auto"/>
                      <w:kern w:val="2"/>
                      <w:sz w:val="21"/>
                      <w:szCs w:val="21"/>
                      <w:highlight w:val="none"/>
                    </w:rPr>
                    <w:t>GB16297-1996</w:t>
                  </w:r>
                </w:p>
              </w:tc>
              <w:tc>
                <w:tcPr>
                  <w:tcW w:w="402" w:type="pct"/>
                  <w:noWrap w:val="0"/>
                  <w:vAlign w:val="center"/>
                </w:tcPr>
                <w:p w14:paraId="08DBB284">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14:paraId="4D6732C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noWrap w:val="0"/>
                  <w:vAlign w:val="center"/>
                </w:tcPr>
                <w:p w14:paraId="75678286">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DA002</w:t>
                  </w:r>
                </w:p>
              </w:tc>
              <w:tc>
                <w:tcPr>
                  <w:tcW w:w="597" w:type="pct"/>
                  <w:noWrap w:val="0"/>
                  <w:vAlign w:val="center"/>
                </w:tcPr>
                <w:p w14:paraId="3CC160BD">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颗粒物</w:t>
                  </w:r>
                </w:p>
              </w:tc>
              <w:tc>
                <w:tcPr>
                  <w:tcW w:w="588" w:type="pct"/>
                  <w:shd w:val="clear" w:color="auto" w:fill="auto"/>
                  <w:noWrap w:val="0"/>
                  <w:vAlign w:val="center"/>
                </w:tcPr>
                <w:p w14:paraId="6E7F0C2C">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0.0019</w:t>
                  </w:r>
                </w:p>
              </w:tc>
              <w:tc>
                <w:tcPr>
                  <w:tcW w:w="729" w:type="pct"/>
                  <w:shd w:val="clear" w:color="auto" w:fill="auto"/>
                  <w:noWrap w:val="0"/>
                  <w:vAlign w:val="center"/>
                </w:tcPr>
                <w:p w14:paraId="4DC2B4D9">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0.19</w:t>
                  </w:r>
                </w:p>
              </w:tc>
              <w:tc>
                <w:tcPr>
                  <w:tcW w:w="697" w:type="pct"/>
                  <w:shd w:val="clear" w:color="auto" w:fill="auto"/>
                  <w:noWrap w:val="0"/>
                  <w:vAlign w:val="center"/>
                </w:tcPr>
                <w:p w14:paraId="5679CA34">
                  <w:pPr>
                    <w:pStyle w:val="95"/>
                    <w:widowControl/>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cs="Times New Roman"/>
                      <w:color w:val="auto"/>
                      <w:kern w:val="2"/>
                      <w:sz w:val="21"/>
                      <w:szCs w:val="21"/>
                      <w:highlight w:val="none"/>
                      <w:lang w:val="en-US" w:eastAsia="zh-CN"/>
                    </w:rPr>
                    <w:t>13.94</w:t>
                  </w:r>
                </w:p>
              </w:tc>
              <w:tc>
                <w:tcPr>
                  <w:tcW w:w="703" w:type="pct"/>
                  <w:noWrap w:val="0"/>
                  <w:vAlign w:val="center"/>
                </w:tcPr>
                <w:p w14:paraId="6C8DD280">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default" w:ascii="Times New Roman" w:hAnsi="Times New Roman" w:eastAsia="宋体" w:cs="Times New Roman"/>
                      <w:b w:val="0"/>
                      <w:bCs w:val="0"/>
                      <w:color w:val="auto"/>
                      <w:kern w:val="0"/>
                      <w:sz w:val="21"/>
                      <w:szCs w:val="21"/>
                      <w:highlight w:val="none"/>
                      <w:vertAlign w:val="baseline"/>
                      <w:lang w:val="en-US" w:eastAsia="zh-CN" w:bidi="ar-SA"/>
                    </w:rPr>
                    <w:t>120</w:t>
                  </w:r>
                </w:p>
              </w:tc>
              <w:tc>
                <w:tcPr>
                  <w:tcW w:w="754" w:type="pct"/>
                  <w:vMerge w:val="continue"/>
                  <w:noWrap w:val="0"/>
                  <w:vAlign w:val="center"/>
                </w:tcPr>
                <w:p w14:paraId="2A65E9C9">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z w:val="21"/>
                      <w:szCs w:val="21"/>
                      <w:highlight w:val="none"/>
                      <w:vertAlign w:val="baseline"/>
                      <w:lang w:val="en-US" w:eastAsia="zh-CN"/>
                    </w:rPr>
                  </w:pPr>
                </w:p>
              </w:tc>
              <w:tc>
                <w:tcPr>
                  <w:tcW w:w="402" w:type="pct"/>
                  <w:noWrap w:val="0"/>
                  <w:vAlign w:val="center"/>
                </w:tcPr>
                <w:p w14:paraId="44BFC906">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lang w:val="en-US" w:eastAsia="zh-CN"/>
                    </w:rPr>
                    <w:t>达标</w:t>
                  </w:r>
                </w:p>
              </w:tc>
            </w:tr>
            <w:tr w14:paraId="7BC4DF5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shd w:val="clear" w:color="auto" w:fill="auto"/>
                  <w:noWrap w:val="0"/>
                  <w:vAlign w:val="center"/>
                </w:tcPr>
                <w:p w14:paraId="7B9B4F30">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DA00</w:t>
                  </w:r>
                  <w:r>
                    <w:rPr>
                      <w:rFonts w:hint="eastAsia" w:ascii="Times New Roman" w:hAnsi="Times New Roman" w:cs="Times New Roman"/>
                      <w:color w:val="auto"/>
                      <w:sz w:val="21"/>
                      <w:szCs w:val="21"/>
                      <w:highlight w:val="none"/>
                      <w:lang w:val="en-US" w:eastAsia="zh-CN"/>
                    </w:rPr>
                    <w:t>3</w:t>
                  </w:r>
                </w:p>
              </w:tc>
              <w:tc>
                <w:tcPr>
                  <w:tcW w:w="597" w:type="pct"/>
                  <w:shd w:val="clear" w:color="auto" w:fill="auto"/>
                  <w:noWrap w:val="0"/>
                  <w:vAlign w:val="center"/>
                </w:tcPr>
                <w:p w14:paraId="779D918E">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颗粒物</w:t>
                  </w:r>
                </w:p>
              </w:tc>
              <w:tc>
                <w:tcPr>
                  <w:tcW w:w="588" w:type="pct"/>
                  <w:shd w:val="clear" w:color="auto" w:fill="auto"/>
                  <w:noWrap w:val="0"/>
                  <w:vAlign w:val="center"/>
                </w:tcPr>
                <w:p w14:paraId="2645CB5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0.0275</w:t>
                  </w:r>
                </w:p>
              </w:tc>
              <w:tc>
                <w:tcPr>
                  <w:tcW w:w="729" w:type="pct"/>
                  <w:shd w:val="clear" w:color="auto" w:fill="auto"/>
                  <w:noWrap w:val="0"/>
                  <w:vAlign w:val="center"/>
                </w:tcPr>
                <w:p w14:paraId="2432EC9D">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ind w:left="0" w:leftChars="0" w:right="0" w:rightChars="0"/>
                    <w:jc w:val="center"/>
                    <w:textAlignment w:val="auto"/>
                    <w:rPr>
                      <w:rFonts w:hint="default" w:ascii="Times New Roman" w:hAnsi="Times New Roman" w:eastAsia="宋体"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1.83</w:t>
                  </w:r>
                </w:p>
              </w:tc>
              <w:tc>
                <w:tcPr>
                  <w:tcW w:w="697" w:type="pct"/>
                  <w:shd w:val="clear" w:color="auto" w:fill="auto"/>
                  <w:noWrap w:val="0"/>
                  <w:vAlign w:val="center"/>
                </w:tcPr>
                <w:p w14:paraId="63A3D0AE">
                  <w:pPr>
                    <w:pStyle w:val="95"/>
                    <w:widowControl/>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cs="Times New Roman"/>
                      <w:color w:val="auto"/>
                      <w:kern w:val="2"/>
                      <w:sz w:val="21"/>
                      <w:szCs w:val="21"/>
                      <w:highlight w:val="none"/>
                      <w:lang w:val="en-US" w:eastAsia="zh-CN"/>
                    </w:rPr>
                    <w:t>13.94</w:t>
                  </w:r>
                </w:p>
              </w:tc>
              <w:tc>
                <w:tcPr>
                  <w:tcW w:w="703" w:type="pct"/>
                  <w:noWrap w:val="0"/>
                  <w:vAlign w:val="center"/>
                </w:tcPr>
                <w:p w14:paraId="6B2D2D9E">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eastAsia" w:cs="Times New Roman"/>
                      <w:b w:val="0"/>
                      <w:bCs w:val="0"/>
                      <w:color w:val="auto"/>
                      <w:kern w:val="0"/>
                      <w:sz w:val="21"/>
                      <w:szCs w:val="21"/>
                      <w:highlight w:val="none"/>
                      <w:vertAlign w:val="baseline"/>
                      <w:lang w:val="en-US" w:eastAsia="zh-CN" w:bidi="ar-SA"/>
                    </w:rPr>
                    <w:t>120</w:t>
                  </w:r>
                </w:p>
              </w:tc>
              <w:tc>
                <w:tcPr>
                  <w:tcW w:w="754" w:type="pct"/>
                  <w:vMerge w:val="continue"/>
                  <w:noWrap w:val="0"/>
                  <w:vAlign w:val="center"/>
                </w:tcPr>
                <w:p w14:paraId="16BD678F">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cs="Times New Roman"/>
                      <w:b w:val="0"/>
                      <w:bCs w:val="0"/>
                      <w:color w:val="auto"/>
                      <w:sz w:val="21"/>
                      <w:szCs w:val="21"/>
                      <w:highlight w:val="none"/>
                      <w:vertAlign w:val="baseline"/>
                      <w:lang w:val="en-US" w:eastAsia="zh-CN"/>
                    </w:rPr>
                  </w:pPr>
                </w:p>
              </w:tc>
              <w:tc>
                <w:tcPr>
                  <w:tcW w:w="402" w:type="pct"/>
                  <w:noWrap w:val="0"/>
                  <w:vAlign w:val="center"/>
                </w:tcPr>
                <w:p w14:paraId="4BF13A57">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14:paraId="74A8D1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26" w:type="pct"/>
                  <w:noWrap w:val="0"/>
                  <w:vAlign w:val="center"/>
                </w:tcPr>
                <w:p w14:paraId="7A721928">
                  <w:pPr>
                    <w:pStyle w:val="24"/>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w:t>
                  </w:r>
                </w:p>
              </w:tc>
              <w:tc>
                <w:tcPr>
                  <w:tcW w:w="597" w:type="pct"/>
                  <w:noWrap w:val="0"/>
                  <w:vAlign w:val="center"/>
                </w:tcPr>
                <w:p w14:paraId="690A241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食堂油烟</w:t>
                  </w:r>
                </w:p>
              </w:tc>
              <w:tc>
                <w:tcPr>
                  <w:tcW w:w="588" w:type="pct"/>
                  <w:noWrap w:val="0"/>
                  <w:vAlign w:val="center"/>
                </w:tcPr>
                <w:p w14:paraId="28FADC15">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rightChars="0"/>
                    <w:jc w:val="center"/>
                    <w:textAlignment w:val="auto"/>
                    <w:rPr>
                      <w:rFonts w:hint="default" w:ascii="Times New Roman" w:hAnsi="Times New Roman" w:eastAsia="宋体" w:cs="Times New Roman"/>
                      <w:b w:val="0"/>
                      <w:bCs w:val="0"/>
                      <w:color w:val="auto"/>
                      <w:spacing w:val="-12"/>
                      <w:sz w:val="21"/>
                      <w:szCs w:val="21"/>
                      <w:highlight w:val="none"/>
                      <w:vertAlign w:val="baseline"/>
                      <w:lang w:val="en-US" w:eastAsia="zh-CN"/>
                    </w:rPr>
                  </w:pPr>
                  <w:r>
                    <w:rPr>
                      <w:rFonts w:hint="default" w:ascii="Times New Roman" w:hAnsi="Times New Roman" w:eastAsia="宋体" w:cs="Times New Roman"/>
                      <w:b w:val="0"/>
                      <w:bCs w:val="0"/>
                      <w:color w:val="auto"/>
                      <w:spacing w:val="-12"/>
                      <w:sz w:val="21"/>
                      <w:szCs w:val="21"/>
                      <w:highlight w:val="none"/>
                      <w:vertAlign w:val="baseline"/>
                      <w:lang w:val="en-US" w:eastAsia="zh-CN"/>
                    </w:rPr>
                    <w:t>0.0024</w:t>
                  </w:r>
                </w:p>
              </w:tc>
              <w:tc>
                <w:tcPr>
                  <w:tcW w:w="729" w:type="pct"/>
                  <w:noWrap w:val="0"/>
                  <w:vAlign w:val="center"/>
                </w:tcPr>
                <w:p w14:paraId="0E477DCB">
                  <w:pPr>
                    <w:pStyle w:val="9"/>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rightChars="0"/>
                    <w:jc w:val="center"/>
                    <w:textAlignment w:val="auto"/>
                    <w:rPr>
                      <w:rFonts w:hint="default" w:ascii="Times New Roman" w:hAnsi="Times New Roman" w:eastAsia="宋体" w:cs="Times New Roman"/>
                      <w:b w:val="0"/>
                      <w:bCs w:val="0"/>
                      <w:color w:val="auto"/>
                      <w:spacing w:val="-12"/>
                      <w:sz w:val="21"/>
                      <w:szCs w:val="21"/>
                      <w:highlight w:val="none"/>
                      <w:vertAlign w:val="baseline"/>
                      <w:lang w:val="en-US" w:eastAsia="zh-CN"/>
                    </w:rPr>
                  </w:pPr>
                  <w:r>
                    <w:rPr>
                      <w:rFonts w:hint="default" w:ascii="Times New Roman" w:hAnsi="Times New Roman" w:eastAsia="宋体" w:cs="Times New Roman"/>
                      <w:b w:val="0"/>
                      <w:bCs w:val="0"/>
                      <w:color w:val="auto"/>
                      <w:spacing w:val="-12"/>
                      <w:sz w:val="21"/>
                      <w:szCs w:val="21"/>
                      <w:highlight w:val="none"/>
                      <w:vertAlign w:val="baseline"/>
                      <w:lang w:val="en-US" w:eastAsia="zh-CN"/>
                    </w:rPr>
                    <w:t>1.2</w:t>
                  </w:r>
                </w:p>
              </w:tc>
              <w:tc>
                <w:tcPr>
                  <w:tcW w:w="697" w:type="pct"/>
                  <w:shd w:val="clear" w:color="auto" w:fill="auto"/>
                  <w:noWrap w:val="0"/>
                  <w:vAlign w:val="center"/>
                </w:tcPr>
                <w:p w14:paraId="43ECC897">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w:t>
                  </w:r>
                </w:p>
              </w:tc>
              <w:tc>
                <w:tcPr>
                  <w:tcW w:w="703" w:type="pct"/>
                  <w:shd w:val="clear" w:color="auto" w:fill="auto"/>
                  <w:noWrap w:val="0"/>
                  <w:vAlign w:val="center"/>
                </w:tcPr>
                <w:p w14:paraId="30445CF7">
                  <w:pPr>
                    <w:pStyle w:val="78"/>
                    <w:keepNext w:val="0"/>
                    <w:keepLines w:val="0"/>
                    <w:pageBreakBefore w:val="0"/>
                    <w:widowControl w:val="0"/>
                    <w:suppressLineNumbers w:val="0"/>
                    <w:tabs>
                      <w:tab w:val="left" w:pos="510"/>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b w:val="0"/>
                      <w:bCs w:val="0"/>
                      <w:color w:val="auto"/>
                      <w:kern w:val="0"/>
                      <w:sz w:val="21"/>
                      <w:szCs w:val="21"/>
                      <w:highlight w:val="none"/>
                      <w:vertAlign w:val="baseline"/>
                      <w:lang w:val="en-US" w:eastAsia="zh-CN" w:bidi="ar-SA"/>
                    </w:rPr>
                  </w:pPr>
                  <w:r>
                    <w:rPr>
                      <w:rFonts w:hint="default" w:ascii="Times New Roman" w:hAnsi="Times New Roman" w:cs="Times New Roman"/>
                      <w:b w:val="0"/>
                      <w:bCs w:val="0"/>
                      <w:color w:val="auto"/>
                      <w:sz w:val="21"/>
                      <w:szCs w:val="21"/>
                      <w:highlight w:val="none"/>
                      <w:vertAlign w:val="baseline"/>
                      <w:lang w:val="en-US" w:eastAsia="zh-CN"/>
                    </w:rPr>
                    <w:t>2.0</w:t>
                  </w:r>
                </w:p>
              </w:tc>
              <w:tc>
                <w:tcPr>
                  <w:tcW w:w="754" w:type="pct"/>
                  <w:noWrap w:val="0"/>
                  <w:vAlign w:val="center"/>
                </w:tcPr>
                <w:p w14:paraId="141AB42A">
                  <w:pPr>
                    <w:pStyle w:val="78"/>
                    <w:keepNext w:val="0"/>
                    <w:keepLines w:val="0"/>
                    <w:pageBreakBefore w:val="0"/>
                    <w:widowControl w:val="0"/>
                    <w:suppressLineNumbers w:val="0"/>
                    <w:tabs>
                      <w:tab w:val="left" w:pos="8400"/>
                    </w:tabs>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baseline"/>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spacing w:val="-1"/>
                      <w:sz w:val="21"/>
                      <w:szCs w:val="21"/>
                      <w:highlight w:val="none"/>
                      <w:lang w:val="en-US" w:eastAsia="zh-CN"/>
                    </w:rPr>
                    <w:t>GB18483-2001</w:t>
                  </w:r>
                </w:p>
              </w:tc>
              <w:tc>
                <w:tcPr>
                  <w:tcW w:w="402" w:type="pct"/>
                  <w:noWrap w:val="0"/>
                  <w:vAlign w:val="center"/>
                </w:tcPr>
                <w:p w14:paraId="5D17CCF3">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达标</w:t>
                  </w:r>
                </w:p>
              </w:tc>
            </w:tr>
            <w:tr w14:paraId="7245930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8"/>
                  <w:noWrap w:val="0"/>
                  <w:vAlign w:val="center"/>
                </w:tcPr>
                <w:p w14:paraId="14C002B8">
                  <w:pPr>
                    <w:pStyle w:val="24"/>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both"/>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rPr>
                    <w:t>本项目排气筒设</w:t>
                  </w:r>
                  <w:r>
                    <w:rPr>
                      <w:rFonts w:hint="default" w:ascii="Times New Roman" w:hAnsi="Times New Roman" w:cs="Times New Roman"/>
                      <w:color w:val="auto"/>
                      <w:kern w:val="2"/>
                      <w:sz w:val="21"/>
                      <w:szCs w:val="21"/>
                      <w:highlight w:val="none"/>
                      <w:lang w:val="en-US" w:eastAsia="zh-CN"/>
                    </w:rPr>
                    <w:t>置高度为24m，根据</w:t>
                  </w:r>
                  <w:r>
                    <w:rPr>
                      <w:rFonts w:hint="default" w:ascii="Times New Roman" w:hAnsi="Times New Roman" w:eastAsia="宋体" w:cs="Times New Roman"/>
                      <w:color w:val="auto"/>
                      <w:kern w:val="2"/>
                      <w:sz w:val="21"/>
                      <w:szCs w:val="21"/>
                      <w:highlight w:val="none"/>
                    </w:rPr>
                    <w:t>《大气</w:t>
                  </w:r>
                  <w:r>
                    <w:rPr>
                      <w:rFonts w:hint="default" w:ascii="Times New Roman" w:hAnsi="Times New Roman" w:cs="Times New Roman"/>
                      <w:color w:val="auto"/>
                      <w:kern w:val="2"/>
                      <w:sz w:val="21"/>
                      <w:szCs w:val="21"/>
                      <w:highlight w:val="none"/>
                      <w:lang w:val="en-US" w:eastAsia="zh-CN"/>
                    </w:rPr>
                    <w:t>污染物</w:t>
                  </w:r>
                  <w:r>
                    <w:rPr>
                      <w:rFonts w:hint="default" w:ascii="Times New Roman" w:hAnsi="Times New Roman" w:eastAsia="宋体" w:cs="Times New Roman"/>
                      <w:color w:val="auto"/>
                      <w:kern w:val="2"/>
                      <w:sz w:val="21"/>
                      <w:szCs w:val="21"/>
                      <w:highlight w:val="none"/>
                    </w:rPr>
                    <w:t>综合排放标准》（GB16297-1996）</w:t>
                  </w:r>
                  <w:r>
                    <w:rPr>
                      <w:rFonts w:hint="default" w:ascii="Times New Roman" w:hAnsi="Times New Roman" w:cs="Times New Roman"/>
                      <w:color w:val="auto"/>
                      <w:kern w:val="2"/>
                      <w:sz w:val="21"/>
                      <w:szCs w:val="21"/>
                      <w:highlight w:val="none"/>
                      <w:lang w:eastAsia="zh-CN"/>
                    </w:rPr>
                    <w:t>，</w:t>
                  </w:r>
                  <w:r>
                    <w:rPr>
                      <w:rFonts w:hint="default" w:ascii="Times New Roman" w:hAnsi="Times New Roman" w:cs="Times New Roman"/>
                      <w:color w:val="auto"/>
                      <w:kern w:val="2"/>
                      <w:sz w:val="21"/>
                      <w:szCs w:val="21"/>
                      <w:highlight w:val="none"/>
                      <w:lang w:val="en-US" w:eastAsia="zh-CN"/>
                    </w:rPr>
                    <w:t>应用内插法计算排放速率，则颗粒物排放速率=5.9+（23-2.9）*（24-20）/（30-20）=13.94kg/h，非甲烷总烃排放速率=10+（53-17）*（24-20）/（30-20）=24.4kg/h</w:t>
                  </w:r>
                </w:p>
              </w:tc>
            </w:tr>
          </w:tbl>
          <w:p w14:paraId="7675AAE2">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rPr>
            </w:pPr>
            <w:r>
              <w:rPr>
                <w:rFonts w:hint="eastAsia" w:cs="Times New Roman"/>
                <w:color w:val="auto"/>
                <w:sz w:val="24"/>
                <w:szCs w:val="24"/>
                <w:highlight w:val="none"/>
                <w:lang w:val="en-US" w:eastAsia="zh-CN"/>
              </w:rPr>
              <w:t>根据上表可知，</w:t>
            </w:r>
            <w:r>
              <w:rPr>
                <w:rFonts w:hint="default"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DA001排气筒非甲烷总烃排放浓度和排放速率满足</w:t>
            </w:r>
            <w:r>
              <w:rPr>
                <w:rFonts w:hint="default" w:ascii="Times New Roman" w:hAnsi="Times New Roman" w:eastAsia="宋体" w:cs="Times New Roman"/>
                <w:color w:val="auto"/>
                <w:sz w:val="24"/>
                <w:szCs w:val="24"/>
                <w:highlight w:val="none"/>
                <w:lang w:val="en-US" w:eastAsia="zh-CN"/>
              </w:rPr>
              <w:t>《大气污染物综合排放标准》（GB16297-1996）表2新污染源大气污染物排放限值二级标准</w:t>
            </w:r>
            <w:r>
              <w:rPr>
                <w:rFonts w:hint="eastAsia" w:cs="Times New Roman"/>
                <w:color w:val="auto"/>
                <w:sz w:val="24"/>
                <w:szCs w:val="24"/>
                <w:highlight w:val="none"/>
                <w:lang w:val="en-US" w:eastAsia="zh-CN"/>
              </w:rPr>
              <w:t>；DA002排气筒</w:t>
            </w:r>
            <w:r>
              <w:rPr>
                <w:rFonts w:hint="default" w:ascii="Times New Roman" w:hAnsi="Times New Roman" w:eastAsia="宋体" w:cs="Times New Roman"/>
                <w:color w:val="auto"/>
                <w:sz w:val="24"/>
                <w:szCs w:val="24"/>
                <w:highlight w:val="none"/>
                <w:lang w:val="en-US" w:eastAsia="zh-CN"/>
              </w:rPr>
              <w:t>颗粒物排放浓度</w:t>
            </w:r>
            <w:r>
              <w:rPr>
                <w:rFonts w:hint="eastAsia" w:cs="Times New Roman"/>
                <w:color w:val="auto"/>
                <w:sz w:val="24"/>
                <w:szCs w:val="24"/>
                <w:highlight w:val="none"/>
                <w:lang w:val="en-US" w:eastAsia="zh-CN"/>
              </w:rPr>
              <w:t>和排放速率满足</w:t>
            </w:r>
            <w:r>
              <w:rPr>
                <w:rFonts w:hint="default" w:ascii="Times New Roman" w:hAnsi="Times New Roman" w:eastAsia="宋体" w:cs="Times New Roman"/>
                <w:color w:val="auto"/>
                <w:sz w:val="24"/>
                <w:szCs w:val="24"/>
                <w:highlight w:val="none"/>
                <w:lang w:val="en-US" w:eastAsia="zh-CN"/>
              </w:rPr>
              <w:t>《大气污染物综合排放标准》（GB16297-1996）表2新污染源大气污染物排放限值二级标准</w:t>
            </w:r>
            <w:r>
              <w:rPr>
                <w:rFonts w:hint="eastAsia" w:cs="Times New Roman"/>
                <w:color w:val="auto"/>
                <w:sz w:val="24"/>
                <w:szCs w:val="24"/>
                <w:highlight w:val="none"/>
                <w:lang w:val="en-US" w:eastAsia="zh-CN"/>
              </w:rPr>
              <w:t>；DA002排气筒</w:t>
            </w:r>
            <w:r>
              <w:rPr>
                <w:rFonts w:hint="default" w:ascii="Times New Roman" w:hAnsi="Times New Roman" w:eastAsia="宋体" w:cs="Times New Roman"/>
                <w:color w:val="auto"/>
                <w:sz w:val="24"/>
                <w:szCs w:val="24"/>
                <w:highlight w:val="none"/>
                <w:lang w:val="en-US" w:eastAsia="zh-CN"/>
              </w:rPr>
              <w:t>颗粒物排放浓度</w:t>
            </w:r>
            <w:r>
              <w:rPr>
                <w:rFonts w:hint="eastAsia" w:cs="Times New Roman"/>
                <w:color w:val="auto"/>
                <w:sz w:val="24"/>
                <w:szCs w:val="24"/>
                <w:highlight w:val="none"/>
                <w:lang w:val="en-US" w:eastAsia="zh-CN"/>
              </w:rPr>
              <w:t>和排放速率满足</w:t>
            </w:r>
            <w:r>
              <w:rPr>
                <w:rFonts w:hint="default" w:ascii="Times New Roman" w:hAnsi="Times New Roman" w:eastAsia="宋体" w:cs="Times New Roman"/>
                <w:color w:val="auto"/>
                <w:sz w:val="24"/>
                <w:szCs w:val="24"/>
                <w:highlight w:val="none"/>
                <w:lang w:val="en-US" w:eastAsia="zh-CN"/>
              </w:rPr>
              <w:t>《大气污染物综合排放标准》（GB16297-1996）表2新污染源大气污染物排放限值二级标准</w:t>
            </w:r>
            <w:r>
              <w:rPr>
                <w:rFonts w:hint="eastAsia"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pacing w:val="-1"/>
                <w:sz w:val="24"/>
                <w:szCs w:val="24"/>
                <w:highlight w:val="none"/>
                <w:lang w:val="en-US" w:eastAsia="zh-CN"/>
              </w:rPr>
              <w:t>食堂油烟满足《</w:t>
            </w:r>
            <w:r>
              <w:rPr>
                <w:rFonts w:hint="default" w:ascii="Times New Roman" w:hAnsi="Times New Roman" w:eastAsia="宋体" w:cs="Times New Roman"/>
                <w:color w:val="auto"/>
                <w:spacing w:val="-1"/>
                <w:sz w:val="24"/>
                <w:szCs w:val="24"/>
                <w:highlight w:val="none"/>
                <w:lang w:val="en-US" w:eastAsia="zh-CN"/>
              </w:rPr>
              <w:t>饮食业油烟排放标准</w:t>
            </w:r>
            <w:r>
              <w:rPr>
                <w:rFonts w:hint="eastAsia" w:ascii="Times New Roman" w:hAnsi="Times New Roman" w:eastAsia="宋体" w:cs="Times New Roman"/>
                <w:color w:val="auto"/>
                <w:spacing w:val="-1"/>
                <w:sz w:val="24"/>
                <w:szCs w:val="24"/>
                <w:highlight w:val="none"/>
                <w:lang w:val="en-US" w:eastAsia="zh-CN"/>
              </w:rPr>
              <w:t>（</w:t>
            </w:r>
            <w:r>
              <w:rPr>
                <w:rFonts w:hint="default" w:ascii="Times New Roman" w:hAnsi="Times New Roman" w:eastAsia="宋体" w:cs="Times New Roman"/>
                <w:color w:val="auto"/>
                <w:spacing w:val="-1"/>
                <w:sz w:val="24"/>
                <w:szCs w:val="24"/>
                <w:highlight w:val="none"/>
                <w:lang w:val="en-US" w:eastAsia="zh-CN"/>
              </w:rPr>
              <w:t>试行</w:t>
            </w:r>
            <w:r>
              <w:rPr>
                <w:rFonts w:hint="eastAsia" w:ascii="Times New Roman" w:hAnsi="Times New Roman" w:eastAsia="宋体" w:cs="Times New Roman"/>
                <w:color w:val="auto"/>
                <w:spacing w:val="-1"/>
                <w:sz w:val="24"/>
                <w:szCs w:val="24"/>
                <w:highlight w:val="none"/>
                <w:lang w:val="en-US" w:eastAsia="zh-CN"/>
              </w:rPr>
              <w:t>）</w:t>
            </w:r>
            <w:r>
              <w:rPr>
                <w:rFonts w:hint="default" w:ascii="Times New Roman" w:hAnsi="Times New Roman" w:eastAsia="宋体" w:cs="Times New Roman"/>
                <w:color w:val="auto"/>
                <w:spacing w:val="-1"/>
                <w:sz w:val="24"/>
                <w:szCs w:val="24"/>
                <w:highlight w:val="none"/>
                <w:lang w:val="en-US" w:eastAsia="zh-CN"/>
              </w:rPr>
              <w:t>》</w:t>
            </w:r>
            <w:r>
              <w:rPr>
                <w:rFonts w:hint="eastAsia" w:ascii="Times New Roman" w:hAnsi="Times New Roman" w:eastAsia="宋体" w:cs="Times New Roman"/>
                <w:color w:val="auto"/>
                <w:spacing w:val="-1"/>
                <w:sz w:val="24"/>
                <w:szCs w:val="24"/>
                <w:highlight w:val="none"/>
                <w:lang w:val="en-US" w:eastAsia="zh-CN"/>
              </w:rPr>
              <w:t>（</w:t>
            </w:r>
            <w:r>
              <w:rPr>
                <w:rFonts w:hint="default" w:ascii="Times New Roman" w:hAnsi="Times New Roman" w:eastAsia="宋体" w:cs="Times New Roman"/>
                <w:color w:val="auto"/>
                <w:spacing w:val="-1"/>
                <w:sz w:val="24"/>
                <w:szCs w:val="24"/>
                <w:highlight w:val="none"/>
                <w:lang w:val="en-US" w:eastAsia="zh-CN"/>
              </w:rPr>
              <w:t>GB18483-2001</w:t>
            </w:r>
            <w:r>
              <w:rPr>
                <w:rFonts w:hint="eastAsia" w:ascii="Times New Roman" w:hAnsi="Times New Roman" w:eastAsia="宋体" w:cs="Times New Roman"/>
                <w:color w:val="auto"/>
                <w:spacing w:val="-1"/>
                <w:sz w:val="24"/>
                <w:szCs w:val="24"/>
                <w:highlight w:val="none"/>
                <w:lang w:val="en-US" w:eastAsia="zh-CN"/>
              </w:rPr>
              <w:t>）相关标准限</w:t>
            </w:r>
            <w:r>
              <w:rPr>
                <w:rFonts w:hint="eastAsia" w:ascii="Times New Roman" w:hAnsi="Times New Roman" w:eastAsia="宋体" w:cs="Times New Roman"/>
                <w:color w:val="auto"/>
                <w:kern w:val="2"/>
                <w:sz w:val="24"/>
                <w:szCs w:val="24"/>
                <w:highlight w:val="none"/>
                <w:lang w:val="en-US" w:eastAsia="zh-CN"/>
              </w:rPr>
              <w:t>值</w:t>
            </w:r>
            <w:r>
              <w:rPr>
                <w:rFonts w:hint="eastAsia" w:ascii="Times New Roman" w:hAnsi="Times New Roman" w:cs="Times New Roman"/>
                <w:color w:val="auto"/>
                <w:kern w:val="2"/>
                <w:sz w:val="24"/>
                <w:szCs w:val="24"/>
                <w:highlight w:val="none"/>
                <w:lang w:val="en-US" w:eastAsia="zh-CN"/>
              </w:rPr>
              <w:t>，</w:t>
            </w:r>
            <w:r>
              <w:rPr>
                <w:rFonts w:hint="eastAsia" w:ascii="Times New Roman" w:hAnsi="Times New Roman" w:eastAsia="宋体" w:cs="Times New Roman"/>
                <w:color w:val="auto"/>
                <w:kern w:val="2"/>
                <w:sz w:val="24"/>
                <w:szCs w:val="24"/>
                <w:highlight w:val="none"/>
                <w:lang w:val="en-US" w:eastAsia="zh-CN"/>
              </w:rPr>
              <w:t>废气可实现达标排放。</w:t>
            </w:r>
          </w:p>
          <w:p w14:paraId="62FA6D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（2）无组织废气达标排放分析</w:t>
            </w:r>
          </w:p>
          <w:p w14:paraId="67486510">
            <w:pPr>
              <w:pStyle w:val="5"/>
              <w:keepNext/>
              <w:keepLines/>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b w:val="0"/>
                <w:bCs w:val="0"/>
                <w:color w:val="auto"/>
                <w:kern w:val="2"/>
                <w:sz w:val="24"/>
                <w:szCs w:val="24"/>
                <w:highlight w:val="none"/>
                <w:lang w:val="en-US" w:eastAsia="zh-CN" w:bidi="ar-SA"/>
              </w:rPr>
            </w:pPr>
            <w:r>
              <w:rPr>
                <w:rFonts w:hint="default" w:ascii="Times New Roman" w:hAnsi="Times New Roman" w:eastAsia="宋体" w:cs="Times New Roman"/>
                <w:b w:val="0"/>
                <w:bCs w:val="0"/>
                <w:color w:val="auto"/>
                <w:kern w:val="2"/>
                <w:sz w:val="24"/>
                <w:szCs w:val="24"/>
                <w:highlight w:val="none"/>
                <w:lang w:val="en-US" w:eastAsia="zh-CN" w:bidi="ar-SA"/>
              </w:rPr>
              <w:t>根据工程分析，本项目排放的无组织大气污染物为颗粒物</w:t>
            </w:r>
            <w:r>
              <w:rPr>
                <w:rFonts w:hint="eastAsia" w:ascii="Times New Roman" w:hAnsi="Times New Roman" w:eastAsia="宋体" w:cs="Times New Roman"/>
                <w:b w:val="0"/>
                <w:bCs w:val="0"/>
                <w:color w:val="auto"/>
                <w:kern w:val="2"/>
                <w:sz w:val="24"/>
                <w:szCs w:val="24"/>
                <w:highlight w:val="none"/>
                <w:lang w:val="en-US" w:eastAsia="zh-CN" w:bidi="ar-SA"/>
              </w:rPr>
              <w:t>和非甲烷总烃</w:t>
            </w:r>
            <w:r>
              <w:rPr>
                <w:rFonts w:hint="default" w:ascii="Times New Roman" w:hAnsi="Times New Roman" w:eastAsia="宋体" w:cs="Times New Roman"/>
                <w:b w:val="0"/>
                <w:bCs w:val="0"/>
                <w:color w:val="auto"/>
                <w:kern w:val="2"/>
                <w:sz w:val="24"/>
                <w:szCs w:val="24"/>
                <w:highlight w:val="none"/>
                <w:lang w:val="en-US" w:eastAsia="zh-CN" w:bidi="ar-SA"/>
              </w:rPr>
              <w:t>。根据《环境影响评价技术导则-大气环境》</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default" w:ascii="Times New Roman" w:hAnsi="Times New Roman" w:eastAsia="宋体" w:cs="Times New Roman"/>
                <w:b w:val="0"/>
                <w:bCs w:val="0"/>
                <w:color w:val="auto"/>
                <w:kern w:val="2"/>
                <w:sz w:val="24"/>
                <w:szCs w:val="24"/>
                <w:highlight w:val="none"/>
                <w:lang w:val="en-US" w:eastAsia="zh-CN" w:bidi="ar-SA"/>
              </w:rPr>
              <w:t>HJ2.2-2018</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default" w:ascii="Times New Roman" w:hAnsi="Times New Roman" w:eastAsia="宋体" w:cs="Times New Roman"/>
                <w:b w:val="0"/>
                <w:bCs w:val="0"/>
                <w:color w:val="auto"/>
                <w:kern w:val="2"/>
                <w:sz w:val="24"/>
                <w:szCs w:val="24"/>
                <w:highlight w:val="none"/>
                <w:lang w:val="en-US" w:eastAsia="zh-CN" w:bidi="ar-SA"/>
              </w:rPr>
              <w:t>，本次评价以</w:t>
            </w:r>
            <w:r>
              <w:rPr>
                <w:rFonts w:hint="eastAsia" w:ascii="Times New Roman" w:hAnsi="Times New Roman" w:eastAsia="宋体" w:cs="Times New Roman"/>
                <w:b w:val="0"/>
                <w:bCs w:val="0"/>
                <w:color w:val="auto"/>
                <w:kern w:val="2"/>
                <w:sz w:val="24"/>
                <w:szCs w:val="24"/>
                <w:highlight w:val="none"/>
                <w:lang w:val="en-US" w:eastAsia="zh-CN" w:bidi="ar-SA"/>
              </w:rPr>
              <w:t>生产厂房</w:t>
            </w:r>
            <w:r>
              <w:rPr>
                <w:rFonts w:hint="default" w:ascii="Times New Roman" w:hAnsi="Times New Roman" w:eastAsia="宋体" w:cs="Times New Roman"/>
                <w:b w:val="0"/>
                <w:bCs w:val="0"/>
                <w:color w:val="auto"/>
                <w:kern w:val="2"/>
                <w:sz w:val="24"/>
                <w:szCs w:val="24"/>
                <w:highlight w:val="none"/>
                <w:lang w:val="en-US" w:eastAsia="zh-CN" w:bidi="ar-SA"/>
              </w:rPr>
              <w:t>为面源</w:t>
            </w:r>
            <w:r>
              <w:rPr>
                <w:rFonts w:hint="eastAsia" w:ascii="Times New Roman" w:hAnsi="Times New Roman" w:eastAsia="宋体" w:cs="Times New Roman"/>
                <w:b w:val="0"/>
                <w:bCs w:val="0"/>
                <w:color w:val="auto"/>
                <w:kern w:val="2"/>
                <w:sz w:val="24"/>
                <w:szCs w:val="24"/>
                <w:highlight w:val="none"/>
                <w:lang w:val="en-US" w:eastAsia="zh-CN" w:bidi="ar-SA"/>
              </w:rPr>
              <w:t>，</w:t>
            </w:r>
            <w:r>
              <w:rPr>
                <w:rFonts w:hint="default" w:ascii="Times New Roman" w:hAnsi="Times New Roman" w:eastAsia="宋体" w:cs="Times New Roman"/>
                <w:b w:val="0"/>
                <w:bCs w:val="0"/>
                <w:color w:val="auto"/>
                <w:kern w:val="2"/>
                <w:sz w:val="24"/>
                <w:szCs w:val="24"/>
                <w:highlight w:val="none"/>
                <w:lang w:val="en-US" w:eastAsia="zh-CN" w:bidi="ar-SA"/>
              </w:rPr>
              <w:t>采用估算模式对本项目产生的</w:t>
            </w:r>
            <w:r>
              <w:rPr>
                <w:rFonts w:hint="eastAsia" w:ascii="Times New Roman" w:hAnsi="Times New Roman" w:eastAsia="宋体" w:cs="Times New Roman"/>
                <w:b w:val="0"/>
                <w:bCs w:val="0"/>
                <w:color w:val="auto"/>
                <w:kern w:val="2"/>
                <w:sz w:val="24"/>
                <w:szCs w:val="24"/>
                <w:highlight w:val="none"/>
                <w:lang w:val="en-US" w:eastAsia="zh-CN" w:bidi="ar-SA"/>
              </w:rPr>
              <w:t>无组织</w:t>
            </w:r>
            <w:r>
              <w:rPr>
                <w:rFonts w:hint="default" w:ascii="Times New Roman" w:hAnsi="Times New Roman" w:eastAsia="宋体" w:cs="Times New Roman"/>
                <w:b w:val="0"/>
                <w:bCs w:val="0"/>
                <w:color w:val="auto"/>
                <w:kern w:val="2"/>
                <w:sz w:val="24"/>
                <w:szCs w:val="24"/>
                <w:highlight w:val="none"/>
                <w:lang w:val="en-US" w:eastAsia="zh-CN" w:bidi="ar-SA"/>
              </w:rPr>
              <w:t>废气进行最大落地浓度预测，预测参数及结果如下</w:t>
            </w:r>
            <w:r>
              <w:rPr>
                <w:rFonts w:hint="eastAsia" w:ascii="Times New Roman" w:hAnsi="Times New Roman" w:eastAsia="宋体" w:cs="Times New Roman"/>
                <w:b w:val="0"/>
                <w:bCs w:val="0"/>
                <w:color w:val="auto"/>
                <w:kern w:val="2"/>
                <w:sz w:val="24"/>
                <w:szCs w:val="24"/>
                <w:highlight w:val="none"/>
                <w:lang w:val="en-US" w:eastAsia="zh-CN" w:bidi="ar-SA"/>
              </w:rPr>
              <w:t>。</w:t>
            </w:r>
          </w:p>
          <w:p w14:paraId="3028F7A7">
            <w:pPr>
              <w:keepNext w:val="0"/>
              <w:keepLines w:val="0"/>
              <w:widowControl/>
              <w:suppressLineNumbers w:val="0"/>
              <w:tabs>
                <w:tab w:val="left" w:pos="1508"/>
              </w:tabs>
              <w:spacing w:before="0" w:beforeAutospacing="0" w:after="0" w:afterAutospacing="0" w:line="360" w:lineRule="auto"/>
              <w:ind w:left="0" w:right="0"/>
              <w:jc w:val="center"/>
              <w:rPr>
                <w:rFonts w:hint="default" w:ascii="Times New Roman" w:hAnsi="Times New Roman" w:eastAsia="宋体" w:cs="Times New Roman"/>
                <w:b/>
                <w:bCs/>
                <w:color w:val="auto"/>
                <w:kern w:val="2"/>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rPr>
              <w:t>表4-</w:t>
            </w:r>
            <w:r>
              <w:rPr>
                <w:rFonts w:hint="eastAsia" w:cs="Times New Roman"/>
                <w:b/>
                <w:bCs/>
                <w:color w:val="auto"/>
                <w:kern w:val="2"/>
                <w:sz w:val="21"/>
                <w:szCs w:val="21"/>
                <w:highlight w:val="none"/>
                <w:lang w:val="en-US" w:eastAsia="zh-CN"/>
              </w:rPr>
              <w:t>10</w:t>
            </w:r>
            <w:r>
              <w:rPr>
                <w:rFonts w:hint="eastAsia" w:ascii="Times New Roman" w:hAnsi="Times New Roman" w:eastAsia="宋体" w:cs="Times New Roman"/>
                <w:b/>
                <w:bCs/>
                <w:color w:val="auto"/>
                <w:kern w:val="2"/>
                <w:sz w:val="21"/>
                <w:szCs w:val="21"/>
                <w:highlight w:val="none"/>
                <w:lang w:val="en-US" w:eastAsia="zh-CN"/>
              </w:rPr>
              <w:t xml:space="preserve">  预测参数</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172"/>
              <w:gridCol w:w="2065"/>
              <w:gridCol w:w="1938"/>
              <w:gridCol w:w="1416"/>
              <w:gridCol w:w="1318"/>
              <w:gridCol w:w="1203"/>
            </w:tblGrid>
            <w:tr w14:paraId="10B29BD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2" w:hRule="atLeast"/>
              </w:trPr>
              <w:tc>
                <w:tcPr>
                  <w:tcW w:w="643" w:type="pct"/>
                  <w:vMerge w:val="restart"/>
                  <w:tcBorders>
                    <w:tl2br w:val="nil"/>
                    <w:tr2bl w:val="nil"/>
                  </w:tcBorders>
                  <w:noWrap w:val="0"/>
                  <w:vAlign w:val="center"/>
                </w:tcPr>
                <w:p w14:paraId="318E54FD">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面源名称</w:t>
                  </w:r>
                </w:p>
              </w:tc>
              <w:tc>
                <w:tcPr>
                  <w:tcW w:w="1133" w:type="pct"/>
                  <w:vMerge w:val="restart"/>
                  <w:tcBorders>
                    <w:tl2br w:val="nil"/>
                    <w:tr2bl w:val="nil"/>
                  </w:tcBorders>
                  <w:noWrap w:val="0"/>
                  <w:vAlign w:val="center"/>
                </w:tcPr>
                <w:p w14:paraId="5A9D72D5">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评价因子</w:t>
                  </w:r>
                </w:p>
              </w:tc>
              <w:tc>
                <w:tcPr>
                  <w:tcW w:w="2563" w:type="pct"/>
                  <w:gridSpan w:val="3"/>
                  <w:tcBorders>
                    <w:tl2br w:val="nil"/>
                    <w:tr2bl w:val="nil"/>
                  </w:tcBorders>
                  <w:noWrap w:val="0"/>
                  <w:vAlign w:val="center"/>
                </w:tcPr>
                <w:p w14:paraId="6D38B926">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面源</w:t>
                  </w:r>
                </w:p>
              </w:tc>
              <w:tc>
                <w:tcPr>
                  <w:tcW w:w="660" w:type="pct"/>
                  <w:vMerge w:val="restart"/>
                  <w:tcBorders>
                    <w:tl2br w:val="nil"/>
                    <w:tr2bl w:val="nil"/>
                  </w:tcBorders>
                  <w:noWrap w:val="0"/>
                  <w:vAlign w:val="center"/>
                </w:tcPr>
                <w:p w14:paraId="38E026B7">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源强kg/h</w:t>
                  </w:r>
                </w:p>
              </w:tc>
            </w:tr>
            <w:tr w14:paraId="0EF955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28" w:hRule="atLeast"/>
              </w:trPr>
              <w:tc>
                <w:tcPr>
                  <w:tcW w:w="643" w:type="pct"/>
                  <w:vMerge w:val="continue"/>
                  <w:tcBorders>
                    <w:tl2br w:val="nil"/>
                    <w:tr2bl w:val="nil"/>
                  </w:tcBorders>
                  <w:noWrap w:val="0"/>
                  <w:vAlign w:val="center"/>
                </w:tcPr>
                <w:p w14:paraId="517635C9">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rPr>
                  </w:pPr>
                </w:p>
              </w:tc>
              <w:tc>
                <w:tcPr>
                  <w:tcW w:w="1133" w:type="pct"/>
                  <w:vMerge w:val="continue"/>
                  <w:tcBorders>
                    <w:tl2br w:val="nil"/>
                    <w:tr2bl w:val="nil"/>
                  </w:tcBorders>
                  <w:noWrap w:val="0"/>
                  <w:vAlign w:val="center"/>
                </w:tcPr>
                <w:p w14:paraId="5CBF60E6">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rPr>
                  </w:pPr>
                </w:p>
              </w:tc>
              <w:tc>
                <w:tcPr>
                  <w:tcW w:w="1063" w:type="pct"/>
                  <w:tcBorders>
                    <w:tl2br w:val="nil"/>
                    <w:tr2bl w:val="nil"/>
                  </w:tcBorders>
                  <w:noWrap w:val="0"/>
                  <w:vAlign w:val="center"/>
                </w:tcPr>
                <w:p w14:paraId="41702463">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长度m</w:t>
                  </w:r>
                </w:p>
              </w:tc>
              <w:tc>
                <w:tcPr>
                  <w:tcW w:w="777" w:type="pct"/>
                  <w:tcBorders>
                    <w:tl2br w:val="nil"/>
                    <w:tr2bl w:val="nil"/>
                  </w:tcBorders>
                  <w:noWrap w:val="0"/>
                  <w:vAlign w:val="center"/>
                </w:tcPr>
                <w:p w14:paraId="39DEFC7A">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宽度m</w:t>
                  </w:r>
                </w:p>
              </w:tc>
              <w:tc>
                <w:tcPr>
                  <w:tcW w:w="722" w:type="pct"/>
                  <w:tcBorders>
                    <w:tl2br w:val="nil"/>
                    <w:tr2bl w:val="nil"/>
                  </w:tcBorders>
                  <w:noWrap w:val="0"/>
                  <w:vAlign w:val="center"/>
                </w:tcPr>
                <w:p w14:paraId="5228B332">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高度m</w:t>
                  </w:r>
                </w:p>
              </w:tc>
              <w:tc>
                <w:tcPr>
                  <w:tcW w:w="660" w:type="pct"/>
                  <w:vMerge w:val="continue"/>
                  <w:tcBorders>
                    <w:tl2br w:val="nil"/>
                    <w:tr2bl w:val="nil"/>
                  </w:tcBorders>
                  <w:noWrap w:val="0"/>
                  <w:vAlign w:val="center"/>
                </w:tcPr>
                <w:p w14:paraId="50F90169">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r>
            <w:tr w14:paraId="4D7D249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43" w:type="pct"/>
                  <w:vMerge w:val="restart"/>
                  <w:tcBorders>
                    <w:tl2br w:val="nil"/>
                    <w:tr2bl w:val="nil"/>
                  </w:tcBorders>
                  <w:noWrap w:val="0"/>
                  <w:vAlign w:val="center"/>
                </w:tcPr>
                <w:p w14:paraId="3C41CE7A">
                  <w:pPr>
                    <w:pStyle w:val="44"/>
                    <w:keepNext w:val="0"/>
                    <w:keepLines w:val="0"/>
                    <w:pageBreakBefore w:val="0"/>
                    <w:widowControl w:val="0"/>
                    <w:suppressLineNumbers w:val="0"/>
                    <w:tabs>
                      <w:tab w:val="left" w:pos="460"/>
                    </w:tabs>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生产厂房</w:t>
                  </w:r>
                </w:p>
              </w:tc>
              <w:tc>
                <w:tcPr>
                  <w:tcW w:w="1133" w:type="pct"/>
                  <w:tcBorders>
                    <w:tl2br w:val="nil"/>
                    <w:tr2bl w:val="nil"/>
                  </w:tcBorders>
                  <w:noWrap w:val="0"/>
                  <w:vAlign w:val="center"/>
                </w:tcPr>
                <w:p w14:paraId="40A591AE">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非甲烷总烃</w:t>
                  </w:r>
                </w:p>
              </w:tc>
              <w:tc>
                <w:tcPr>
                  <w:tcW w:w="1063" w:type="pct"/>
                  <w:vMerge w:val="restart"/>
                  <w:tcBorders>
                    <w:tl2br w:val="nil"/>
                    <w:tr2bl w:val="nil"/>
                  </w:tcBorders>
                  <w:noWrap w:val="0"/>
                  <w:vAlign w:val="center"/>
                </w:tcPr>
                <w:p w14:paraId="1332AB5A">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200</w:t>
                  </w:r>
                </w:p>
              </w:tc>
              <w:tc>
                <w:tcPr>
                  <w:tcW w:w="777" w:type="pct"/>
                  <w:vMerge w:val="restart"/>
                  <w:tcBorders>
                    <w:tl2br w:val="nil"/>
                    <w:tr2bl w:val="nil"/>
                  </w:tcBorders>
                  <w:noWrap w:val="0"/>
                  <w:vAlign w:val="center"/>
                </w:tcPr>
                <w:p w14:paraId="65C3D0BF">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60</w:t>
                  </w:r>
                </w:p>
              </w:tc>
              <w:tc>
                <w:tcPr>
                  <w:tcW w:w="722" w:type="pct"/>
                  <w:vMerge w:val="restart"/>
                  <w:tcBorders>
                    <w:tl2br w:val="nil"/>
                    <w:tr2bl w:val="nil"/>
                  </w:tcBorders>
                  <w:noWrap w:val="0"/>
                  <w:vAlign w:val="center"/>
                </w:tcPr>
                <w:p w14:paraId="59A88362">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19</w:t>
                  </w:r>
                </w:p>
              </w:tc>
              <w:tc>
                <w:tcPr>
                  <w:tcW w:w="660" w:type="pct"/>
                  <w:tcBorders>
                    <w:tl2br w:val="nil"/>
                    <w:tr2bl w:val="nil"/>
                  </w:tcBorders>
                  <w:noWrap w:val="0"/>
                  <w:vAlign w:val="center"/>
                </w:tcPr>
                <w:p w14:paraId="7222D33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cs="Times New Roman"/>
                      <w:color w:val="auto"/>
                      <w:kern w:val="2"/>
                      <w:sz w:val="21"/>
                      <w:szCs w:val="21"/>
                      <w:highlight w:val="none"/>
                      <w:vertAlign w:val="baseline"/>
                      <w:lang w:val="en-US" w:eastAsia="zh-CN"/>
                    </w:rPr>
                    <w:t>0.13468</w:t>
                  </w:r>
                </w:p>
              </w:tc>
            </w:tr>
            <w:tr w14:paraId="2002E16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643" w:type="pct"/>
                  <w:vMerge w:val="continue"/>
                  <w:tcBorders>
                    <w:tl2br w:val="nil"/>
                    <w:tr2bl w:val="nil"/>
                  </w:tcBorders>
                  <w:noWrap w:val="0"/>
                  <w:vAlign w:val="center"/>
                </w:tcPr>
                <w:p w14:paraId="107C6552">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1133" w:type="pct"/>
                  <w:tcBorders>
                    <w:tl2br w:val="nil"/>
                    <w:tr2bl w:val="nil"/>
                  </w:tcBorders>
                  <w:noWrap w:val="0"/>
                  <w:vAlign w:val="center"/>
                </w:tcPr>
                <w:p w14:paraId="23AC013A">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r>
                    <w:rPr>
                      <w:rFonts w:hint="eastAsia" w:ascii="Times New Roman" w:hAnsi="Times New Roman" w:cs="Times New Roman"/>
                      <w:color w:val="auto"/>
                      <w:sz w:val="21"/>
                      <w:szCs w:val="21"/>
                      <w:highlight w:val="none"/>
                      <w:vertAlign w:val="baseline"/>
                      <w:lang w:val="en-US" w:eastAsia="zh-CN"/>
                    </w:rPr>
                    <w:t>TSP</w:t>
                  </w:r>
                </w:p>
              </w:tc>
              <w:tc>
                <w:tcPr>
                  <w:tcW w:w="1063" w:type="pct"/>
                  <w:vMerge w:val="continue"/>
                  <w:tcBorders>
                    <w:tl2br w:val="nil"/>
                    <w:tr2bl w:val="nil"/>
                  </w:tcBorders>
                  <w:noWrap w:val="0"/>
                  <w:vAlign w:val="center"/>
                </w:tcPr>
                <w:p w14:paraId="71BF6A7B">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777" w:type="pct"/>
                  <w:vMerge w:val="continue"/>
                  <w:tcBorders>
                    <w:tl2br w:val="nil"/>
                    <w:tr2bl w:val="nil"/>
                  </w:tcBorders>
                  <w:noWrap w:val="0"/>
                  <w:vAlign w:val="center"/>
                </w:tcPr>
                <w:p w14:paraId="780FC30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722" w:type="pct"/>
                  <w:vMerge w:val="continue"/>
                  <w:tcBorders>
                    <w:tl2br w:val="nil"/>
                    <w:tr2bl w:val="nil"/>
                  </w:tcBorders>
                  <w:noWrap w:val="0"/>
                  <w:vAlign w:val="center"/>
                </w:tcPr>
                <w:p w14:paraId="209A5565">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rPr>
                  </w:pPr>
                </w:p>
              </w:tc>
              <w:tc>
                <w:tcPr>
                  <w:tcW w:w="660" w:type="pct"/>
                  <w:tcBorders>
                    <w:tl2br w:val="nil"/>
                    <w:tr2bl w:val="nil"/>
                  </w:tcBorders>
                  <w:noWrap w:val="0"/>
                  <w:vAlign w:val="center"/>
                </w:tcPr>
                <w:p w14:paraId="041256B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cs="Times New Roman"/>
                      <w:color w:val="auto"/>
                      <w:kern w:val="2"/>
                      <w:sz w:val="21"/>
                      <w:szCs w:val="21"/>
                      <w:highlight w:val="none"/>
                      <w:vertAlign w:val="baseline"/>
                      <w:lang w:val="en-US" w:eastAsia="zh-CN"/>
                    </w:rPr>
                    <w:t>0.06575</w:t>
                  </w:r>
                </w:p>
              </w:tc>
            </w:tr>
          </w:tbl>
          <w:p w14:paraId="685F149E">
            <w:pPr>
              <w:keepNext w:val="0"/>
              <w:keepLines w:val="0"/>
              <w:widowControl/>
              <w:suppressLineNumbers w:val="0"/>
              <w:tabs>
                <w:tab w:val="left" w:pos="1508"/>
              </w:tabs>
              <w:spacing w:before="0" w:beforeAutospacing="0" w:after="0" w:afterAutospacing="0" w:line="360" w:lineRule="auto"/>
              <w:ind w:left="0" w:right="0"/>
              <w:jc w:val="center"/>
              <w:rPr>
                <w:rFonts w:hint="default" w:ascii="Times New Roman" w:hAnsi="Times New Roman" w:eastAsia="宋体" w:cs="Times New Roman"/>
                <w:b/>
                <w:bCs/>
                <w:color w:val="auto"/>
                <w:kern w:val="2"/>
                <w:sz w:val="21"/>
                <w:szCs w:val="21"/>
                <w:highlight w:val="none"/>
                <w:lang w:val="en-US" w:eastAsia="zh-CN"/>
              </w:rPr>
            </w:pPr>
            <w:r>
              <w:rPr>
                <w:rFonts w:hint="eastAsia" w:ascii="Times New Roman" w:hAnsi="Times New Roman" w:eastAsia="宋体" w:cs="Times New Roman"/>
                <w:b/>
                <w:bCs/>
                <w:color w:val="auto"/>
                <w:kern w:val="2"/>
                <w:sz w:val="21"/>
                <w:szCs w:val="21"/>
                <w:highlight w:val="none"/>
                <w:lang w:val="en-US" w:eastAsia="zh-CN"/>
              </w:rPr>
              <w:t>表4-</w:t>
            </w:r>
            <w:r>
              <w:rPr>
                <w:rFonts w:hint="eastAsia" w:cs="Times New Roman"/>
                <w:b/>
                <w:bCs/>
                <w:color w:val="auto"/>
                <w:kern w:val="2"/>
                <w:sz w:val="21"/>
                <w:szCs w:val="21"/>
                <w:highlight w:val="none"/>
                <w:lang w:val="en-US" w:eastAsia="zh-CN"/>
              </w:rPr>
              <w:t xml:space="preserve">11 </w:t>
            </w:r>
            <w:r>
              <w:rPr>
                <w:rFonts w:hint="eastAsia" w:ascii="Times New Roman" w:hAnsi="Times New Roman" w:eastAsia="宋体" w:cs="Times New Roman"/>
                <w:b/>
                <w:bCs/>
                <w:color w:val="auto"/>
                <w:kern w:val="2"/>
                <w:sz w:val="21"/>
                <w:szCs w:val="21"/>
                <w:highlight w:val="none"/>
                <w:lang w:val="en-US" w:eastAsia="zh-CN"/>
              </w:rPr>
              <w:t xml:space="preserve"> </w:t>
            </w:r>
            <w:r>
              <w:rPr>
                <w:rFonts w:hint="eastAsia" w:ascii="Times New Roman" w:hAnsi="Times New Roman" w:cs="Times New Roman"/>
                <w:b/>
                <w:bCs/>
                <w:color w:val="auto"/>
                <w:kern w:val="2"/>
                <w:sz w:val="21"/>
                <w:szCs w:val="21"/>
                <w:highlight w:val="none"/>
                <w:lang w:val="en-US" w:eastAsia="zh-CN"/>
              </w:rPr>
              <w:t>预测结果-</w:t>
            </w:r>
            <w:r>
              <w:rPr>
                <w:rFonts w:hint="eastAsia" w:ascii="Times New Roman" w:hAnsi="Times New Roman" w:eastAsia="宋体" w:cs="Times New Roman"/>
                <w:b/>
                <w:bCs/>
                <w:color w:val="auto"/>
                <w:kern w:val="2"/>
                <w:sz w:val="21"/>
                <w:szCs w:val="21"/>
                <w:highlight w:val="none"/>
                <w:lang w:val="en-US" w:eastAsia="zh-CN"/>
              </w:rPr>
              <w:t>最大落地浓度情况一览表</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523"/>
              <w:gridCol w:w="1524"/>
              <w:gridCol w:w="2416"/>
              <w:gridCol w:w="1851"/>
              <w:gridCol w:w="1798"/>
            </w:tblGrid>
            <w:tr w14:paraId="4AE338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c>
                <w:tcPr>
                  <w:tcW w:w="836" w:type="pct"/>
                  <w:tcBorders>
                    <w:tl2br w:val="nil"/>
                    <w:tr2bl w:val="nil"/>
                  </w:tcBorders>
                  <w:noWrap w:val="0"/>
                  <w:vAlign w:val="center"/>
                </w:tcPr>
                <w:p w14:paraId="508623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vertAlign w:val="baseline"/>
                      <w:lang w:val="en-US" w:eastAsia="zh-CN"/>
                    </w:rPr>
                    <w:t>面源名称</w:t>
                  </w:r>
                </w:p>
              </w:tc>
              <w:tc>
                <w:tcPr>
                  <w:tcW w:w="836" w:type="pct"/>
                  <w:tcBorders>
                    <w:tl2br w:val="nil"/>
                    <w:tr2bl w:val="nil"/>
                  </w:tcBorders>
                  <w:noWrap w:val="0"/>
                  <w:vAlign w:val="center"/>
                </w:tcPr>
                <w:p w14:paraId="4AC8B5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default" w:ascii="Times New Roman" w:hAnsi="Times New Roman" w:cs="Times New Roman"/>
                      <w:color w:val="auto"/>
                      <w:sz w:val="21"/>
                      <w:szCs w:val="21"/>
                      <w:highlight w:val="none"/>
                      <w:vertAlign w:val="baseline"/>
                      <w:lang w:val="en-US" w:eastAsia="zh-CN"/>
                    </w:rPr>
                    <w:t>评价因子</w:t>
                  </w:r>
                </w:p>
              </w:tc>
              <w:tc>
                <w:tcPr>
                  <w:tcW w:w="1325" w:type="pct"/>
                  <w:tcBorders>
                    <w:tl2br w:val="nil"/>
                    <w:tr2bl w:val="nil"/>
                  </w:tcBorders>
                  <w:noWrap w:val="0"/>
                  <w:vAlign w:val="center"/>
                </w:tcPr>
                <w:p w14:paraId="5281E0B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vertAlign w:val="baseline"/>
                      <w:lang w:val="en-US" w:eastAsia="zh-CN"/>
                    </w:rPr>
                    <w:t>下风向最大落地浓度</w:t>
                  </w:r>
                </w:p>
              </w:tc>
              <w:tc>
                <w:tcPr>
                  <w:tcW w:w="1015" w:type="pct"/>
                  <w:tcBorders>
                    <w:tl2br w:val="nil"/>
                    <w:tr2bl w:val="nil"/>
                  </w:tcBorders>
                  <w:noWrap w:val="0"/>
                  <w:vAlign w:val="center"/>
                </w:tcPr>
                <w:p w14:paraId="785ED47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vertAlign w:val="baseline"/>
                      <w:lang w:val="en-US" w:eastAsia="zh-CN"/>
                    </w:rPr>
                    <w:t>出现距离 m</w:t>
                  </w:r>
                </w:p>
              </w:tc>
              <w:tc>
                <w:tcPr>
                  <w:tcW w:w="986" w:type="pct"/>
                  <w:tcBorders>
                    <w:tl2br w:val="nil"/>
                    <w:tr2bl w:val="nil"/>
                  </w:tcBorders>
                  <w:noWrap w:val="0"/>
                  <w:vAlign w:val="center"/>
                </w:tcPr>
                <w:p w14:paraId="34D87C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vertAlign w:val="baseline"/>
                      <w:lang w:val="en-US" w:eastAsia="zh-CN"/>
                    </w:rPr>
                    <w:t>标准值</w:t>
                  </w:r>
                </w:p>
              </w:tc>
            </w:tr>
            <w:tr w14:paraId="79D169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pct"/>
                  <w:vMerge w:val="restart"/>
                  <w:tcBorders>
                    <w:tl2br w:val="nil"/>
                    <w:tr2bl w:val="nil"/>
                  </w:tcBorders>
                  <w:noWrap w:val="0"/>
                  <w:vAlign w:val="center"/>
                </w:tcPr>
                <w:p w14:paraId="0CFE6C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vertAlign w:val="baseline"/>
                      <w:lang w:val="en-US" w:eastAsia="zh-CN"/>
                    </w:rPr>
                    <w:t>生产厂房</w:t>
                  </w:r>
                </w:p>
              </w:tc>
              <w:tc>
                <w:tcPr>
                  <w:tcW w:w="836" w:type="pct"/>
                  <w:tcBorders>
                    <w:tl2br w:val="nil"/>
                    <w:tr2bl w:val="nil"/>
                  </w:tcBorders>
                  <w:noWrap w:val="0"/>
                  <w:vAlign w:val="center"/>
                </w:tcPr>
                <w:p w14:paraId="02CA0A72">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bidi="ar-SA"/>
                    </w:rPr>
                  </w:pPr>
                  <w:r>
                    <w:rPr>
                      <w:rFonts w:hint="default" w:ascii="Times New Roman" w:hAnsi="Times New Roman" w:cs="Times New Roman"/>
                      <w:color w:val="auto"/>
                      <w:sz w:val="21"/>
                      <w:szCs w:val="21"/>
                      <w:highlight w:val="none"/>
                      <w:vertAlign w:val="baseline"/>
                      <w:lang w:val="en-US" w:eastAsia="zh-CN"/>
                    </w:rPr>
                    <w:t>非甲烷总烃</w:t>
                  </w:r>
                </w:p>
              </w:tc>
              <w:tc>
                <w:tcPr>
                  <w:tcW w:w="1325" w:type="pct"/>
                  <w:tcBorders>
                    <w:tl2br w:val="nil"/>
                    <w:tr2bl w:val="nil"/>
                  </w:tcBorders>
                  <w:noWrap w:val="0"/>
                  <w:vAlign w:val="center"/>
                </w:tcPr>
                <w:p w14:paraId="44F335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rPr>
                    <w:t>4.42</w:t>
                  </w:r>
                  <w:r>
                    <w:rPr>
                      <w:rFonts w:hint="eastAsia" w:ascii="Times New Roman" w:hAnsi="Times New Roman" w:eastAsia="宋体" w:cs="Times New Roman"/>
                      <w:color w:val="auto"/>
                      <w:kern w:val="2"/>
                      <w:sz w:val="21"/>
                      <w:szCs w:val="21"/>
                      <w:highlight w:val="none"/>
                      <w:vertAlign w:val="baseline"/>
                      <w:lang w:val="en-US" w:eastAsia="zh-CN"/>
                    </w:rPr>
                    <w:t>E-02</w:t>
                  </w:r>
                </w:p>
              </w:tc>
              <w:tc>
                <w:tcPr>
                  <w:tcW w:w="1015" w:type="pct"/>
                  <w:tcBorders>
                    <w:tl2br w:val="nil"/>
                    <w:tr2bl w:val="nil"/>
                  </w:tcBorders>
                  <w:noWrap w:val="0"/>
                  <w:vAlign w:val="center"/>
                </w:tcPr>
                <w:p w14:paraId="6BBF43F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rPr>
                    <w:t>104</w:t>
                  </w:r>
                </w:p>
              </w:tc>
              <w:tc>
                <w:tcPr>
                  <w:tcW w:w="986" w:type="pct"/>
                  <w:tcBorders>
                    <w:tl2br w:val="nil"/>
                    <w:tr2bl w:val="nil"/>
                  </w:tcBorders>
                  <w:noWrap w:val="0"/>
                  <w:vAlign w:val="center"/>
                </w:tcPr>
                <w:p w14:paraId="3097AA4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rPr>
                    <w:t>4</w:t>
                  </w:r>
                  <w:r>
                    <w:rPr>
                      <w:rFonts w:hint="eastAsia" w:ascii="Times New Roman" w:hAnsi="Times New Roman" w:eastAsia="宋体" w:cs="Times New Roman"/>
                      <w:color w:val="auto"/>
                      <w:kern w:val="2"/>
                      <w:sz w:val="21"/>
                      <w:szCs w:val="21"/>
                      <w:highlight w:val="none"/>
                      <w:vertAlign w:val="baseline"/>
                      <w:lang w:val="en-US" w:eastAsia="zh-CN"/>
                    </w:rPr>
                    <w:t>.0mg/m</w:t>
                  </w:r>
                  <w:r>
                    <w:rPr>
                      <w:rFonts w:hint="eastAsia" w:ascii="Times New Roman" w:hAnsi="Times New Roman" w:eastAsia="宋体" w:cs="Times New Roman"/>
                      <w:color w:val="auto"/>
                      <w:kern w:val="2"/>
                      <w:sz w:val="21"/>
                      <w:szCs w:val="21"/>
                      <w:highlight w:val="none"/>
                      <w:vertAlign w:val="superscript"/>
                      <w:lang w:val="en-US" w:eastAsia="zh-CN"/>
                    </w:rPr>
                    <w:t>3</w:t>
                  </w:r>
                </w:p>
              </w:tc>
            </w:tr>
            <w:tr w14:paraId="3166157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836" w:type="pct"/>
                  <w:vMerge w:val="continue"/>
                  <w:tcBorders>
                    <w:tl2br w:val="nil"/>
                    <w:tr2bl w:val="nil"/>
                  </w:tcBorders>
                  <w:noWrap w:val="0"/>
                  <w:vAlign w:val="center"/>
                </w:tcPr>
                <w:p w14:paraId="66A1D0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p>
              </w:tc>
              <w:tc>
                <w:tcPr>
                  <w:tcW w:w="836" w:type="pct"/>
                  <w:tcBorders>
                    <w:tl2br w:val="nil"/>
                    <w:tr2bl w:val="nil"/>
                  </w:tcBorders>
                  <w:noWrap w:val="0"/>
                  <w:vAlign w:val="center"/>
                </w:tcPr>
                <w:p w14:paraId="2562D929">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s="Times New Roman"/>
                      <w:color w:val="auto"/>
                      <w:sz w:val="21"/>
                      <w:szCs w:val="21"/>
                      <w:highlight w:val="none"/>
                      <w:vertAlign w:val="baseline"/>
                      <w:lang w:val="en-US" w:eastAsia="zh-CN" w:bidi="ar-SA"/>
                    </w:rPr>
                  </w:pPr>
                  <w:r>
                    <w:rPr>
                      <w:rFonts w:hint="eastAsia" w:ascii="Times New Roman" w:hAnsi="Times New Roman" w:cs="Times New Roman"/>
                      <w:color w:val="auto"/>
                      <w:sz w:val="21"/>
                      <w:szCs w:val="21"/>
                      <w:highlight w:val="none"/>
                      <w:vertAlign w:val="baseline"/>
                      <w:lang w:val="en-US" w:eastAsia="zh-CN"/>
                    </w:rPr>
                    <w:t>TSP</w:t>
                  </w:r>
                </w:p>
              </w:tc>
              <w:tc>
                <w:tcPr>
                  <w:tcW w:w="1325" w:type="pct"/>
                  <w:tcBorders>
                    <w:tl2br w:val="nil"/>
                    <w:tr2bl w:val="nil"/>
                  </w:tcBorders>
                  <w:noWrap w:val="0"/>
                  <w:vAlign w:val="center"/>
                </w:tcPr>
                <w:p w14:paraId="3BB217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rPr>
                    <w:t>1.40</w:t>
                  </w:r>
                  <w:r>
                    <w:rPr>
                      <w:rFonts w:hint="eastAsia" w:ascii="Times New Roman" w:hAnsi="Times New Roman" w:eastAsia="宋体" w:cs="Times New Roman"/>
                      <w:color w:val="auto"/>
                      <w:kern w:val="2"/>
                      <w:sz w:val="21"/>
                      <w:szCs w:val="21"/>
                      <w:highlight w:val="none"/>
                      <w:vertAlign w:val="baseline"/>
                      <w:lang w:val="en-US" w:eastAsia="zh-CN"/>
                    </w:rPr>
                    <w:t>E-0</w:t>
                  </w:r>
                  <w:r>
                    <w:rPr>
                      <w:rFonts w:hint="eastAsia" w:cs="Times New Roman"/>
                      <w:color w:val="auto"/>
                      <w:kern w:val="2"/>
                      <w:sz w:val="21"/>
                      <w:szCs w:val="21"/>
                      <w:highlight w:val="none"/>
                      <w:vertAlign w:val="baseline"/>
                      <w:lang w:val="en-US" w:eastAsia="zh-CN"/>
                    </w:rPr>
                    <w:t>3</w:t>
                  </w:r>
                </w:p>
              </w:tc>
              <w:tc>
                <w:tcPr>
                  <w:tcW w:w="1015" w:type="pct"/>
                  <w:tcBorders>
                    <w:tl2br w:val="nil"/>
                    <w:tr2bl w:val="nil"/>
                  </w:tcBorders>
                  <w:noWrap w:val="0"/>
                  <w:vAlign w:val="center"/>
                </w:tcPr>
                <w:p w14:paraId="371411E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rPr>
                    <w:t>104</w:t>
                  </w:r>
                </w:p>
              </w:tc>
              <w:tc>
                <w:tcPr>
                  <w:tcW w:w="986" w:type="pct"/>
                  <w:tcBorders>
                    <w:tl2br w:val="nil"/>
                    <w:tr2bl w:val="nil"/>
                  </w:tcBorders>
                  <w:noWrap w:val="0"/>
                  <w:vAlign w:val="center"/>
                </w:tcPr>
                <w:p w14:paraId="43DF6D4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vertAlign w:val="baseline"/>
                      <w:lang w:val="en-US" w:eastAsia="zh-CN"/>
                    </w:rPr>
                  </w:pPr>
                  <w:r>
                    <w:rPr>
                      <w:rFonts w:hint="eastAsia" w:ascii="Times New Roman" w:hAnsi="Times New Roman" w:eastAsia="宋体" w:cs="Times New Roman"/>
                      <w:color w:val="auto"/>
                      <w:kern w:val="2"/>
                      <w:sz w:val="21"/>
                      <w:szCs w:val="21"/>
                      <w:highlight w:val="none"/>
                      <w:vertAlign w:val="baseline"/>
                      <w:lang w:val="en-US" w:eastAsia="zh-CN"/>
                    </w:rPr>
                    <w:t>1.0mg/m</w:t>
                  </w:r>
                  <w:r>
                    <w:rPr>
                      <w:rFonts w:hint="eastAsia" w:ascii="Times New Roman" w:hAnsi="Times New Roman" w:eastAsia="宋体" w:cs="Times New Roman"/>
                      <w:color w:val="auto"/>
                      <w:kern w:val="2"/>
                      <w:sz w:val="21"/>
                      <w:szCs w:val="21"/>
                      <w:highlight w:val="none"/>
                      <w:vertAlign w:val="superscript"/>
                      <w:lang w:val="en-US" w:eastAsia="zh-CN"/>
                    </w:rPr>
                    <w:t>3</w:t>
                  </w:r>
                </w:p>
              </w:tc>
            </w:tr>
          </w:tbl>
          <w:p w14:paraId="3C0048E0">
            <w:pPr>
              <w:keepNext w:val="0"/>
              <w:keepLines w:val="0"/>
              <w:suppressLineNumbers w:val="0"/>
              <w:spacing w:before="0" w:beforeAutospacing="0" w:after="0" w:afterAutospacing="0" w:line="360" w:lineRule="auto"/>
              <w:ind w:left="0" w:right="0" w:firstLine="476" w:firstLineChars="200"/>
              <w:rPr>
                <w:rFonts w:hint="eastAsia" w:ascii="Times New Roman" w:hAnsi="Times New Roman" w:eastAsia="宋体" w:cs="Times New Roman"/>
                <w:color w:val="auto"/>
                <w:spacing w:val="-1"/>
                <w:sz w:val="24"/>
                <w:szCs w:val="24"/>
                <w:highlight w:val="none"/>
                <w:lang w:val="en-US" w:eastAsia="zh-CN"/>
              </w:rPr>
            </w:pPr>
            <w:r>
              <w:rPr>
                <w:rFonts w:hint="default" w:ascii="Times New Roman" w:hAnsi="Times New Roman" w:eastAsia="宋体" w:cs="Times New Roman"/>
                <w:color w:val="auto"/>
                <w:spacing w:val="-1"/>
                <w:sz w:val="24"/>
                <w:szCs w:val="24"/>
                <w:highlight w:val="none"/>
                <w:lang w:val="en-US" w:eastAsia="zh-CN"/>
              </w:rPr>
              <w:t>根据上述预测结果，</w:t>
            </w:r>
            <w:r>
              <w:rPr>
                <w:rFonts w:hint="eastAsia" w:ascii="Times New Roman" w:hAnsi="Times New Roman" w:eastAsia="宋体" w:cs="Times New Roman"/>
                <w:color w:val="auto"/>
                <w:spacing w:val="-1"/>
                <w:sz w:val="24"/>
                <w:szCs w:val="24"/>
                <w:highlight w:val="none"/>
                <w:lang w:val="en-US" w:eastAsia="zh-CN"/>
              </w:rPr>
              <w:t>本项目无组织排放的非甲烷总烃最大落地浓度为0.0442mg/m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vertAlign w:val="baseline"/>
                <w:lang w:val="en-US" w:eastAsia="zh-CN"/>
              </w:rPr>
              <w:t>，低于厂界浓度限值</w:t>
            </w:r>
            <w:r>
              <w:rPr>
                <w:rFonts w:hint="eastAsia" w:ascii="Times New Roman" w:hAnsi="Times New Roman" w:eastAsia="宋体" w:cs="Times New Roman"/>
                <w:color w:val="auto"/>
                <w:spacing w:val="-1"/>
                <w:sz w:val="24"/>
                <w:szCs w:val="24"/>
                <w:highlight w:val="none"/>
                <w:lang w:val="en-US" w:eastAsia="zh-CN"/>
              </w:rPr>
              <w:t>2.0mg/m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，满足</w:t>
            </w:r>
            <w:r>
              <w:rPr>
                <w:rFonts w:hint="default" w:ascii="Times New Roman" w:hAnsi="Times New Roman" w:eastAsia="宋体" w:cs="Times New Roman"/>
                <w:color w:val="auto"/>
                <w:kern w:val="2"/>
                <w:sz w:val="24"/>
                <w:szCs w:val="24"/>
                <w:highlight w:val="none"/>
                <w:lang w:val="en-US" w:eastAsia="zh-CN" w:bidi="ar-SA"/>
              </w:rPr>
              <w:t>《大气污染物综合排放标准》（GB16297-1996）</w:t>
            </w:r>
            <w:r>
              <w:rPr>
                <w:rFonts w:hint="default" w:ascii="Times New Roman" w:hAnsi="Times New Roman" w:eastAsia="宋体" w:cs="Times New Roman"/>
                <w:color w:val="auto"/>
                <w:spacing w:val="-1"/>
                <w:sz w:val="24"/>
                <w:szCs w:val="24"/>
                <w:highlight w:val="none"/>
                <w:lang w:val="en-US" w:eastAsia="zh-CN"/>
              </w:rPr>
              <w:t>中的标准限值要求</w:t>
            </w:r>
            <w:r>
              <w:rPr>
                <w:rFonts w:hint="eastAsia" w:ascii="Times New Roman" w:hAnsi="Times New Roman" w:eastAsia="宋体" w:cs="Times New Roman"/>
                <w:color w:val="auto"/>
                <w:spacing w:val="-1"/>
                <w:sz w:val="24"/>
                <w:szCs w:val="24"/>
                <w:highlight w:val="none"/>
                <w:lang w:val="en-US" w:eastAsia="zh-CN"/>
              </w:rPr>
              <w:t>；本项目</w:t>
            </w:r>
            <w:r>
              <w:rPr>
                <w:rFonts w:hint="default" w:ascii="Times New Roman" w:hAnsi="Times New Roman" w:eastAsia="宋体" w:cs="Times New Roman"/>
                <w:color w:val="auto"/>
                <w:spacing w:val="-1"/>
                <w:sz w:val="24"/>
                <w:szCs w:val="24"/>
                <w:highlight w:val="none"/>
                <w:lang w:val="en-US" w:eastAsia="zh-CN"/>
              </w:rPr>
              <w:t>无组织</w:t>
            </w:r>
            <w:r>
              <w:rPr>
                <w:rFonts w:hint="eastAsia" w:ascii="Times New Roman" w:hAnsi="Times New Roman" w:eastAsia="宋体" w:cs="Times New Roman"/>
                <w:color w:val="auto"/>
                <w:spacing w:val="-1"/>
                <w:sz w:val="24"/>
                <w:szCs w:val="24"/>
                <w:highlight w:val="none"/>
                <w:lang w:val="en-US" w:eastAsia="zh-CN"/>
              </w:rPr>
              <w:t>排放的</w:t>
            </w:r>
            <w:r>
              <w:rPr>
                <w:rFonts w:hint="default" w:ascii="Times New Roman" w:hAnsi="Times New Roman" w:eastAsia="宋体" w:cs="Times New Roman"/>
                <w:color w:val="auto"/>
                <w:spacing w:val="-1"/>
                <w:sz w:val="24"/>
                <w:szCs w:val="24"/>
                <w:highlight w:val="none"/>
                <w:lang w:val="en-US" w:eastAsia="zh-CN"/>
              </w:rPr>
              <w:t>颗粒物</w:t>
            </w:r>
            <w:r>
              <w:rPr>
                <w:rFonts w:hint="eastAsia" w:ascii="Times New Roman" w:hAnsi="Times New Roman" w:eastAsia="宋体" w:cs="Times New Roman"/>
                <w:color w:val="auto"/>
                <w:spacing w:val="-1"/>
                <w:sz w:val="24"/>
                <w:szCs w:val="24"/>
                <w:highlight w:val="none"/>
                <w:lang w:val="en-US" w:eastAsia="zh-CN"/>
              </w:rPr>
              <w:t>最大</w:t>
            </w:r>
            <w:r>
              <w:rPr>
                <w:rFonts w:hint="default" w:ascii="Times New Roman" w:hAnsi="Times New Roman" w:eastAsia="宋体" w:cs="Times New Roman"/>
                <w:color w:val="auto"/>
                <w:spacing w:val="-1"/>
                <w:sz w:val="24"/>
                <w:szCs w:val="24"/>
                <w:highlight w:val="none"/>
                <w:lang w:val="en-US" w:eastAsia="zh-CN"/>
              </w:rPr>
              <w:t>落地浓度</w:t>
            </w:r>
            <w:r>
              <w:rPr>
                <w:rFonts w:hint="eastAsia" w:ascii="Times New Roman" w:hAnsi="Times New Roman" w:eastAsia="宋体" w:cs="Times New Roman"/>
                <w:color w:val="auto"/>
                <w:spacing w:val="-1"/>
                <w:sz w:val="24"/>
                <w:szCs w:val="24"/>
                <w:highlight w:val="none"/>
                <w:lang w:val="en-US" w:eastAsia="zh-CN"/>
              </w:rPr>
              <w:t>为</w:t>
            </w:r>
            <w:r>
              <w:rPr>
                <w:rFonts w:hint="eastAsia" w:cs="Times New Roman"/>
                <w:color w:val="auto"/>
                <w:spacing w:val="-1"/>
                <w:sz w:val="24"/>
                <w:szCs w:val="24"/>
                <w:highlight w:val="none"/>
                <w:lang w:val="en-US" w:eastAsia="zh-CN"/>
              </w:rPr>
              <w:t>0.0014</w:t>
            </w:r>
            <w:r>
              <w:rPr>
                <w:rFonts w:hint="eastAsia" w:ascii="Times New Roman" w:hAnsi="Times New Roman" w:eastAsia="宋体" w:cs="Times New Roman"/>
                <w:color w:val="auto"/>
                <w:spacing w:val="-1"/>
                <w:sz w:val="24"/>
                <w:szCs w:val="24"/>
                <w:highlight w:val="none"/>
                <w:lang w:val="en-US" w:eastAsia="zh-CN"/>
              </w:rPr>
              <w:t>mg/m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default" w:ascii="Times New Roman" w:hAnsi="Times New Roman" w:eastAsia="宋体" w:cs="Times New Roman"/>
                <w:color w:val="auto"/>
                <w:spacing w:val="-1"/>
                <w:sz w:val="24"/>
                <w:szCs w:val="24"/>
                <w:highlight w:val="none"/>
                <w:lang w:val="en-US" w:eastAsia="zh-CN"/>
              </w:rPr>
              <w:t>，</w:t>
            </w:r>
            <w:r>
              <w:rPr>
                <w:rFonts w:hint="eastAsia" w:ascii="Times New Roman" w:hAnsi="Times New Roman" w:eastAsia="宋体" w:cs="Times New Roman"/>
                <w:color w:val="auto"/>
                <w:spacing w:val="-1"/>
                <w:sz w:val="24"/>
                <w:szCs w:val="24"/>
                <w:highlight w:val="none"/>
                <w:lang w:val="en-US" w:eastAsia="zh-CN"/>
              </w:rPr>
              <w:t>低于厂界浓度限值1.0mg/m</w:t>
            </w:r>
            <w:r>
              <w:rPr>
                <w:rFonts w:hint="eastAsia" w:ascii="Times New Roman" w:hAnsi="Times New Roman" w:eastAsia="宋体" w:cs="Times New Roman"/>
                <w:color w:val="auto"/>
                <w:spacing w:val="-1"/>
                <w:sz w:val="24"/>
                <w:szCs w:val="24"/>
                <w:highlight w:val="none"/>
                <w:vertAlign w:val="superscript"/>
                <w:lang w:val="en-US" w:eastAsia="zh-CN"/>
              </w:rPr>
              <w:t>3</w:t>
            </w:r>
            <w:r>
              <w:rPr>
                <w:rFonts w:hint="eastAsia" w:ascii="Times New Roman" w:hAnsi="Times New Roman" w:eastAsia="宋体" w:cs="Times New Roman"/>
                <w:color w:val="auto"/>
                <w:spacing w:val="-1"/>
                <w:sz w:val="24"/>
                <w:szCs w:val="24"/>
                <w:highlight w:val="none"/>
                <w:lang w:val="en-US" w:eastAsia="zh-CN"/>
              </w:rPr>
              <w:t>，满足</w:t>
            </w:r>
            <w:r>
              <w:rPr>
                <w:rFonts w:hint="default" w:ascii="Times New Roman" w:hAnsi="Times New Roman" w:eastAsia="宋体" w:cs="Times New Roman"/>
                <w:color w:val="auto"/>
                <w:spacing w:val="-1"/>
                <w:sz w:val="24"/>
                <w:szCs w:val="24"/>
                <w:highlight w:val="none"/>
                <w:lang w:val="en-US" w:eastAsia="zh-CN"/>
              </w:rPr>
              <w:t>《大气污染物综合排放标准》（GB16297-1996）中</w:t>
            </w:r>
            <w:r>
              <w:rPr>
                <w:rFonts w:hint="eastAsia" w:ascii="Times New Roman" w:hAnsi="Times New Roman" w:eastAsia="宋体" w:cs="Times New Roman"/>
                <w:color w:val="auto"/>
                <w:spacing w:val="-1"/>
                <w:sz w:val="24"/>
                <w:szCs w:val="24"/>
                <w:highlight w:val="none"/>
                <w:lang w:val="en-US" w:eastAsia="zh-CN"/>
              </w:rPr>
              <w:t>的标准</w:t>
            </w:r>
            <w:r>
              <w:rPr>
                <w:rFonts w:hint="default" w:ascii="Times New Roman" w:hAnsi="Times New Roman" w:eastAsia="宋体" w:cs="Times New Roman"/>
                <w:color w:val="auto"/>
                <w:spacing w:val="-1"/>
                <w:sz w:val="24"/>
                <w:szCs w:val="24"/>
                <w:highlight w:val="none"/>
                <w:lang w:val="en-US" w:eastAsia="zh-CN"/>
              </w:rPr>
              <w:t>限值</w:t>
            </w:r>
            <w:r>
              <w:rPr>
                <w:rFonts w:hint="eastAsia" w:ascii="Times New Roman" w:hAnsi="Times New Roman" w:eastAsia="宋体" w:cs="Times New Roman"/>
                <w:color w:val="auto"/>
                <w:spacing w:val="-1"/>
                <w:sz w:val="24"/>
                <w:szCs w:val="24"/>
                <w:highlight w:val="none"/>
                <w:lang w:val="en-US" w:eastAsia="zh-CN"/>
              </w:rPr>
              <w:t>要求。厂界</w:t>
            </w:r>
            <w:r>
              <w:rPr>
                <w:rFonts w:hint="default" w:ascii="Times New Roman" w:hAnsi="Times New Roman" w:eastAsia="宋体" w:cs="Times New Roman"/>
                <w:color w:val="auto"/>
                <w:spacing w:val="-1"/>
                <w:sz w:val="24"/>
                <w:szCs w:val="24"/>
                <w:highlight w:val="none"/>
                <w:lang w:val="en-US" w:eastAsia="zh-CN"/>
              </w:rPr>
              <w:t>无组织废气可以实现达标排放</w:t>
            </w:r>
            <w:r>
              <w:rPr>
                <w:rFonts w:hint="eastAsia" w:ascii="Times New Roman" w:hAnsi="Times New Roman" w:eastAsia="宋体" w:cs="Times New Roman"/>
                <w:color w:val="auto"/>
                <w:spacing w:val="-1"/>
                <w:sz w:val="24"/>
                <w:szCs w:val="24"/>
                <w:highlight w:val="none"/>
                <w:lang w:val="en-US" w:eastAsia="zh-CN"/>
              </w:rPr>
              <w:t>。</w:t>
            </w:r>
          </w:p>
          <w:p w14:paraId="4AC5416D">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本项目生产厂房占地面积约为</w:t>
            </w:r>
            <w:r>
              <w:rPr>
                <w:rFonts w:hint="eastAsia" w:cs="Times New Roman"/>
                <w:color w:val="auto"/>
                <w:kern w:val="2"/>
                <w:sz w:val="24"/>
                <w:szCs w:val="24"/>
                <w:highlight w:val="none"/>
                <w:lang w:val="en-US" w:eastAsia="zh-CN" w:bidi="ar-SA"/>
              </w:rPr>
              <w:t>12827.1</w:t>
            </w:r>
            <w:r>
              <w:rPr>
                <w:rFonts w:hint="eastAsia" w:ascii="Times New Roman" w:hAnsi="Times New Roman" w:eastAsia="宋体" w:cs="Times New Roman"/>
                <w:color w:val="auto"/>
                <w:kern w:val="2"/>
                <w:sz w:val="24"/>
                <w:szCs w:val="24"/>
                <w:highlight w:val="none"/>
                <w:lang w:val="en-US" w:eastAsia="zh-CN" w:bidi="ar-SA"/>
              </w:rPr>
              <w:t>m</w:t>
            </w:r>
            <w:r>
              <w:rPr>
                <w:rFonts w:hint="eastAsia" w:ascii="Times New Roman" w:hAnsi="Times New Roman" w:eastAsia="宋体" w:cs="Times New Roman"/>
                <w:color w:val="auto"/>
                <w:kern w:val="2"/>
                <w:sz w:val="24"/>
                <w:szCs w:val="24"/>
                <w:highlight w:val="none"/>
                <w:vertAlign w:val="superscript"/>
                <w:lang w:val="en-US" w:eastAsia="zh-CN" w:bidi="ar-SA"/>
              </w:rPr>
              <w:t>2</w:t>
            </w:r>
            <w:r>
              <w:rPr>
                <w:rFonts w:hint="eastAsia" w:ascii="Times New Roman" w:hAnsi="Times New Roman" w:eastAsia="宋体" w:cs="Times New Roman"/>
                <w:color w:val="auto"/>
                <w:kern w:val="2"/>
                <w:sz w:val="24"/>
                <w:szCs w:val="24"/>
                <w:highlight w:val="none"/>
                <w:lang w:val="en-US" w:eastAsia="zh-CN" w:bidi="ar-SA"/>
              </w:rPr>
              <w:t>，高度约</w:t>
            </w:r>
            <w:r>
              <w:rPr>
                <w:rFonts w:hint="eastAsia" w:cs="Times New Roman"/>
                <w:color w:val="auto"/>
                <w:kern w:val="2"/>
                <w:sz w:val="24"/>
                <w:szCs w:val="24"/>
                <w:highlight w:val="none"/>
                <w:lang w:val="en-US" w:eastAsia="zh-CN" w:bidi="ar-SA"/>
              </w:rPr>
              <w:t>19</w:t>
            </w:r>
            <w:r>
              <w:rPr>
                <w:rFonts w:hint="eastAsia" w:ascii="Times New Roman" w:hAnsi="Times New Roman" w:eastAsia="宋体" w:cs="Times New Roman"/>
                <w:color w:val="auto"/>
                <w:kern w:val="2"/>
                <w:sz w:val="24"/>
                <w:szCs w:val="24"/>
                <w:highlight w:val="none"/>
                <w:lang w:val="en-US" w:eastAsia="zh-CN" w:bidi="ar-SA"/>
              </w:rPr>
              <w:t>m，则厂房体积约为</w:t>
            </w:r>
            <w:r>
              <w:rPr>
                <w:rFonts w:hint="eastAsia" w:cs="Times New Roman"/>
                <w:color w:val="auto"/>
                <w:kern w:val="2"/>
                <w:sz w:val="24"/>
                <w:szCs w:val="24"/>
                <w:highlight w:val="none"/>
                <w:lang w:val="en-US" w:eastAsia="zh-CN" w:bidi="ar-SA"/>
              </w:rPr>
              <w:t>243715</w:t>
            </w:r>
            <w:r>
              <w:rPr>
                <w:rFonts w:hint="eastAsia" w:ascii="Times New Roman" w:hAnsi="Times New Roman" w:eastAsia="宋体" w:cs="Times New Roman"/>
                <w:color w:val="auto"/>
                <w:kern w:val="2"/>
                <w:sz w:val="24"/>
                <w:szCs w:val="24"/>
                <w:highlight w:val="none"/>
                <w:lang w:val="en-US" w:eastAsia="zh-CN" w:bidi="ar-SA"/>
              </w:rPr>
              <w:t>m</w:t>
            </w:r>
            <w:r>
              <w:rPr>
                <w:rFonts w:hint="eastAsia" w:ascii="Times New Roman" w:hAnsi="Times New Roman" w:eastAsia="宋体" w:cs="Times New Roman"/>
                <w:color w:val="auto"/>
                <w:kern w:val="2"/>
                <w:sz w:val="24"/>
                <w:szCs w:val="24"/>
                <w:highlight w:val="none"/>
                <w:vertAlign w:val="superscript"/>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，厂房采取自然通风，则每小时厂房换风次数取1次，通风量为</w:t>
            </w:r>
            <w:r>
              <w:rPr>
                <w:rFonts w:hint="eastAsia" w:cs="Times New Roman"/>
                <w:color w:val="auto"/>
                <w:kern w:val="2"/>
                <w:sz w:val="24"/>
                <w:szCs w:val="24"/>
                <w:highlight w:val="none"/>
                <w:lang w:val="en-US" w:eastAsia="zh-CN" w:bidi="ar-SA"/>
              </w:rPr>
              <w:t>243715</w:t>
            </w:r>
            <w:r>
              <w:rPr>
                <w:rFonts w:hint="eastAsia" w:ascii="Times New Roman" w:hAnsi="Times New Roman" w:eastAsia="宋体" w:cs="Times New Roman"/>
                <w:color w:val="auto"/>
                <w:kern w:val="2"/>
                <w:sz w:val="24"/>
                <w:szCs w:val="24"/>
                <w:highlight w:val="none"/>
                <w:lang w:val="en-US" w:eastAsia="zh-CN" w:bidi="ar-SA"/>
              </w:rPr>
              <w:t>m</w:t>
            </w:r>
            <w:r>
              <w:rPr>
                <w:rFonts w:hint="eastAsia" w:ascii="Times New Roman" w:hAnsi="Times New Roman" w:eastAsia="宋体" w:cs="Times New Roman"/>
                <w:color w:val="auto"/>
                <w:kern w:val="2"/>
                <w:sz w:val="24"/>
                <w:szCs w:val="24"/>
                <w:highlight w:val="none"/>
                <w:vertAlign w:val="superscript"/>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/h，厂房内无组织非甲烷总烃的排放速率为</w:t>
            </w:r>
            <w:r>
              <w:rPr>
                <w:rFonts w:hint="eastAsia" w:cs="Times New Roman"/>
                <w:color w:val="auto"/>
                <w:kern w:val="2"/>
                <w:sz w:val="24"/>
                <w:szCs w:val="24"/>
                <w:highlight w:val="none"/>
                <w:lang w:val="en-US" w:eastAsia="zh-CN" w:bidi="ar-SA"/>
              </w:rPr>
              <w:t>0.13468</w:t>
            </w:r>
            <w:r>
              <w:rPr>
                <w:rFonts w:hint="eastAsia" w:ascii="Times New Roman" w:hAnsi="Times New Roman" w:eastAsia="宋体" w:cs="Times New Roman"/>
                <w:color w:val="auto"/>
                <w:kern w:val="2"/>
                <w:sz w:val="24"/>
                <w:szCs w:val="24"/>
                <w:highlight w:val="none"/>
                <w:lang w:val="en-US" w:eastAsia="zh-CN" w:bidi="ar-SA"/>
              </w:rPr>
              <w:t>kg/h。由此计算，厂房外1m处非甲烷总烃的排放浓度约为</w:t>
            </w:r>
            <w:r>
              <w:rPr>
                <w:rFonts w:hint="eastAsia" w:cs="Times New Roman"/>
                <w:color w:val="auto"/>
                <w:kern w:val="2"/>
                <w:sz w:val="24"/>
                <w:szCs w:val="24"/>
                <w:highlight w:val="none"/>
                <w:lang w:val="en-US" w:eastAsia="zh-CN" w:bidi="ar-SA"/>
              </w:rPr>
              <w:t>0.55</w:t>
            </w:r>
            <w:r>
              <w:rPr>
                <w:rFonts w:hint="eastAsia" w:ascii="Times New Roman" w:hAnsi="Times New Roman" w:eastAsia="宋体" w:cs="Times New Roman"/>
                <w:color w:val="auto"/>
                <w:kern w:val="2"/>
                <w:sz w:val="24"/>
                <w:szCs w:val="24"/>
                <w:highlight w:val="none"/>
                <w:lang w:val="en-US" w:eastAsia="zh-CN" w:bidi="ar-SA"/>
              </w:rPr>
              <w:t>mg/m</w:t>
            </w:r>
            <w:r>
              <w:rPr>
                <w:rFonts w:hint="eastAsia" w:ascii="Times New Roman" w:hAnsi="Times New Roman" w:eastAsia="宋体" w:cs="Times New Roman"/>
                <w:color w:val="auto"/>
                <w:kern w:val="2"/>
                <w:sz w:val="24"/>
                <w:szCs w:val="24"/>
                <w:highlight w:val="none"/>
                <w:vertAlign w:val="superscript"/>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，满足《挥发性有机物无组织排放控制标准》（GB37822—2019）中的标准限值要求。</w:t>
            </w:r>
          </w:p>
          <w:p w14:paraId="49993C32">
            <w:pPr>
              <w:keepNext w:val="0"/>
              <w:keepLines w:val="0"/>
              <w:widowControl/>
              <w:suppressLineNumbers w:val="0"/>
              <w:spacing w:before="0" w:beforeAutospacing="0" w:after="0" w:afterAutospacing="0" w:line="360" w:lineRule="auto"/>
              <w:ind w:left="0" w:right="0" w:firstLine="482" w:firstLineChars="200"/>
              <w:jc w:val="both"/>
              <w:rPr>
                <w:rFonts w:hint="eastAsia"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1.5 非正常工况</w:t>
            </w:r>
          </w:p>
          <w:p w14:paraId="3EA6DD16">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cs="Times New Roman"/>
                <w:b/>
                <w:bCs/>
                <w:color w:val="auto"/>
                <w:kern w:val="0"/>
                <w:highlight w:val="none"/>
              </w:rPr>
            </w:pPr>
            <w:r>
              <w:rPr>
                <w:rFonts w:hint="default" w:ascii="Times New Roman" w:hAnsi="Times New Roman" w:cs="Times New Roman"/>
                <w:color w:val="auto"/>
                <w:kern w:val="0"/>
                <w:sz w:val="24"/>
                <w:szCs w:val="24"/>
                <w:highlight w:val="none"/>
              </w:rPr>
              <w:t>本着最不利影响原则，将环保设备故障出现事故工况，生产废气不经任何处理的</w:t>
            </w:r>
            <w:r>
              <w:rPr>
                <w:rFonts w:hint="eastAsia" w:ascii="Times New Roman" w:hAnsi="Times New Roman" w:cs="Times New Roman"/>
                <w:color w:val="auto"/>
                <w:kern w:val="0"/>
                <w:sz w:val="24"/>
                <w:szCs w:val="24"/>
                <w:highlight w:val="none"/>
                <w:lang w:val="en-US" w:eastAsia="zh-CN"/>
              </w:rPr>
              <w:t>废气</w:t>
            </w:r>
            <w:r>
              <w:rPr>
                <w:rFonts w:hint="default" w:ascii="Times New Roman" w:hAnsi="Times New Roman" w:cs="Times New Roman"/>
                <w:color w:val="auto"/>
                <w:kern w:val="0"/>
                <w:sz w:val="24"/>
                <w:szCs w:val="24"/>
                <w:highlight w:val="none"/>
              </w:rPr>
              <w:t>排放量定为非正常工况废气排放的源强，不存在生产设施的开停车时的非正</w:t>
            </w:r>
            <w:r>
              <w:rPr>
                <w:rFonts w:hint="default" w:ascii="Times New Roman" w:hAnsi="Times New Roman" w:cs="Times New Roman"/>
                <w:color w:val="auto"/>
                <w:sz w:val="24"/>
                <w:szCs w:val="24"/>
                <w:highlight w:val="none"/>
              </w:rPr>
              <w:t>常工况。具体见下表</w:t>
            </w:r>
            <w:r>
              <w:rPr>
                <w:rFonts w:hint="eastAsia" w:ascii="Times New Roman" w:hAnsi="Times New Roman" w:cs="Times New Roman"/>
                <w:color w:val="auto"/>
                <w:sz w:val="24"/>
                <w:szCs w:val="24"/>
                <w:highlight w:val="none"/>
              </w:rPr>
              <w:t>。</w:t>
            </w:r>
          </w:p>
          <w:p w14:paraId="78B06198">
            <w:pPr>
              <w:keepNext w:val="0"/>
              <w:keepLines w:val="0"/>
              <w:suppressLineNumbers w:val="0"/>
              <w:adjustRightInd w:val="0"/>
              <w:snapToGrid w:val="0"/>
              <w:spacing w:before="0" w:beforeAutospacing="0" w:after="0" w:afterAutospacing="0" w:line="360" w:lineRule="auto"/>
              <w:ind w:left="0" w:right="0"/>
              <w:jc w:val="center"/>
              <w:rPr>
                <w:rFonts w:hint="default" w:ascii="Times New Roman" w:hAnsi="Times New Roman" w:cs="Times New Roman"/>
                <w:color w:val="auto"/>
                <w:kern w:val="0"/>
                <w:highlight w:val="none"/>
              </w:rPr>
            </w:pPr>
            <w:r>
              <w:rPr>
                <w:rFonts w:hint="default" w:ascii="Times New Roman" w:hAnsi="Times New Roman" w:cs="Times New Roman"/>
                <w:b/>
                <w:bCs/>
                <w:color w:val="auto"/>
                <w:kern w:val="0"/>
                <w:highlight w:val="none"/>
              </w:rPr>
              <w:t>表4-</w:t>
            </w:r>
            <w:r>
              <w:rPr>
                <w:rFonts w:hint="eastAsia" w:cs="Times New Roman"/>
                <w:b/>
                <w:bCs/>
                <w:color w:val="auto"/>
                <w:kern w:val="0"/>
                <w:highlight w:val="none"/>
                <w:lang w:val="en-US" w:eastAsia="zh-CN"/>
              </w:rPr>
              <w:t>12</w:t>
            </w:r>
            <w:r>
              <w:rPr>
                <w:rFonts w:hint="default" w:ascii="Times New Roman" w:hAnsi="Times New Roman" w:cs="Times New Roman"/>
                <w:b/>
                <w:bCs/>
                <w:color w:val="auto"/>
                <w:kern w:val="0"/>
                <w:highlight w:val="none"/>
              </w:rPr>
              <w:t xml:space="preserve"> 污染源非正常排放量核算表</w:t>
            </w:r>
          </w:p>
          <w:tbl>
            <w:tblPr>
              <w:tblStyle w:val="26"/>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77"/>
              <w:gridCol w:w="1439"/>
              <w:gridCol w:w="1202"/>
              <w:gridCol w:w="1326"/>
              <w:gridCol w:w="1539"/>
              <w:gridCol w:w="1069"/>
              <w:gridCol w:w="925"/>
              <w:gridCol w:w="835"/>
            </w:tblGrid>
            <w:tr w14:paraId="0C88FA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889" w:hRule="atLeast"/>
                <w:jc w:val="center"/>
              </w:trPr>
              <w:tc>
                <w:tcPr>
                  <w:tcW w:w="426" w:type="pct"/>
                  <w:tcBorders>
                    <w:tl2br w:val="nil"/>
                    <w:tr2bl w:val="nil"/>
                  </w:tcBorders>
                  <w:noWrap w:val="0"/>
                  <w:vAlign w:val="center"/>
                </w:tcPr>
                <w:p w14:paraId="528C2653">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污染源</w:t>
                  </w:r>
                </w:p>
              </w:tc>
              <w:tc>
                <w:tcPr>
                  <w:tcW w:w="789" w:type="pct"/>
                  <w:tcBorders>
                    <w:tl2br w:val="nil"/>
                    <w:tr2bl w:val="nil"/>
                  </w:tcBorders>
                  <w:noWrap w:val="0"/>
                  <w:vAlign w:val="center"/>
                </w:tcPr>
                <w:p w14:paraId="1E977D42">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非正常排放原因</w:t>
                  </w:r>
                </w:p>
              </w:tc>
              <w:tc>
                <w:tcPr>
                  <w:tcW w:w="659" w:type="pct"/>
                  <w:tcBorders>
                    <w:tl2br w:val="nil"/>
                    <w:tr2bl w:val="nil"/>
                  </w:tcBorders>
                  <w:noWrap w:val="0"/>
                  <w:vAlign w:val="center"/>
                </w:tcPr>
                <w:p w14:paraId="4F059CF6">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污染物</w:t>
                  </w:r>
                </w:p>
              </w:tc>
              <w:tc>
                <w:tcPr>
                  <w:tcW w:w="727" w:type="pct"/>
                  <w:tcBorders>
                    <w:tl2br w:val="nil"/>
                    <w:tr2bl w:val="nil"/>
                  </w:tcBorders>
                  <w:noWrap w:val="0"/>
                  <w:vAlign w:val="center"/>
                </w:tcPr>
                <w:p w14:paraId="48FC8873">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非正常排放速率（kg/h）</w:t>
                  </w:r>
                </w:p>
              </w:tc>
              <w:tc>
                <w:tcPr>
                  <w:tcW w:w="844" w:type="pct"/>
                  <w:tcBorders>
                    <w:tl2br w:val="nil"/>
                    <w:tr2bl w:val="nil"/>
                  </w:tcBorders>
                  <w:noWrap w:val="0"/>
                  <w:vAlign w:val="center"/>
                </w:tcPr>
                <w:p w14:paraId="66B6FCCE">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非正常排放浓度（mg/m</w:t>
                  </w:r>
                  <w:r>
                    <w:rPr>
                      <w:rFonts w:hint="default" w:ascii="Times New Roman" w:hAnsi="Times New Roman" w:cs="Times New Roman"/>
                      <w:color w:val="auto"/>
                      <w:highlight w:val="none"/>
                      <w:vertAlign w:val="superscript"/>
                    </w:rPr>
                    <w:t>3</w:t>
                  </w:r>
                  <w:r>
                    <w:rPr>
                      <w:rFonts w:hint="default" w:ascii="Times New Roman" w:hAnsi="Times New Roman" w:cs="Times New Roman"/>
                      <w:color w:val="auto"/>
                      <w:highlight w:val="none"/>
                    </w:rPr>
                    <w:t>）</w:t>
                  </w:r>
                </w:p>
              </w:tc>
              <w:tc>
                <w:tcPr>
                  <w:tcW w:w="586" w:type="pct"/>
                  <w:tcBorders>
                    <w:tl2br w:val="nil"/>
                    <w:tr2bl w:val="nil"/>
                  </w:tcBorders>
                  <w:noWrap w:val="0"/>
                  <w:vAlign w:val="center"/>
                </w:tcPr>
                <w:p w14:paraId="29CF9470">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单次持续时间/min</w:t>
                  </w:r>
                </w:p>
              </w:tc>
              <w:tc>
                <w:tcPr>
                  <w:tcW w:w="507" w:type="pct"/>
                  <w:tcBorders>
                    <w:tl2br w:val="nil"/>
                    <w:tr2bl w:val="nil"/>
                  </w:tcBorders>
                  <w:noWrap w:val="0"/>
                  <w:vAlign w:val="center"/>
                </w:tcPr>
                <w:p w14:paraId="519AB20E">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年发生频次/次</w:t>
                  </w:r>
                </w:p>
              </w:tc>
              <w:tc>
                <w:tcPr>
                  <w:tcW w:w="458" w:type="pct"/>
                  <w:tcBorders>
                    <w:tl2br w:val="nil"/>
                    <w:tr2bl w:val="nil"/>
                  </w:tcBorders>
                  <w:noWrap w:val="0"/>
                  <w:vAlign w:val="center"/>
                </w:tcPr>
                <w:p w14:paraId="07E4BABE">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应对</w:t>
                  </w:r>
                </w:p>
                <w:p w14:paraId="13435482">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default" w:ascii="Times New Roman" w:hAnsi="Times New Roman" w:cs="Times New Roman"/>
                      <w:color w:val="auto"/>
                      <w:highlight w:val="none"/>
                    </w:rPr>
                    <w:t>措施</w:t>
                  </w:r>
                </w:p>
              </w:tc>
            </w:tr>
            <w:tr w14:paraId="5FD4E28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26" w:type="pct"/>
                  <w:tcBorders>
                    <w:tl2br w:val="nil"/>
                    <w:tr2bl w:val="nil"/>
                  </w:tcBorders>
                  <w:noWrap w:val="0"/>
                  <w:vAlign w:val="center"/>
                </w:tcPr>
                <w:p w14:paraId="6B0176AC">
                  <w:pPr>
                    <w:pStyle w:val="79"/>
                    <w:keepNext w:val="0"/>
                    <w:keepLines w:val="0"/>
                    <w:suppressLineNumbers w:val="0"/>
                    <w:adjustRightInd w:val="0"/>
                    <w:snapToGrid w:val="0"/>
                    <w:spacing w:before="0" w:beforeAutospacing="0" w:after="0" w:afterAutospacing="0"/>
                    <w:ind w:left="-84" w:leftChars="-40" w:right="-84" w:rightChars="-40"/>
                    <w:rPr>
                      <w:rFonts w:hint="default" w:eastAsia="宋体" w:cs="Times New Roman"/>
                      <w:color w:val="auto"/>
                      <w:highlight w:val="none"/>
                      <w:lang w:val="en-US" w:eastAsia="zh-CN"/>
                    </w:rPr>
                  </w:pPr>
                  <w:r>
                    <w:rPr>
                      <w:rFonts w:hint="eastAsia" w:cs="Times New Roman"/>
                      <w:color w:val="auto"/>
                      <w:highlight w:val="none"/>
                      <w:lang w:val="en-US" w:eastAsia="zh-CN"/>
                    </w:rPr>
                    <w:t>DA001</w:t>
                  </w:r>
                </w:p>
              </w:tc>
              <w:tc>
                <w:tcPr>
                  <w:tcW w:w="789" w:type="pct"/>
                  <w:tcBorders>
                    <w:tl2br w:val="nil"/>
                    <w:tr2bl w:val="nil"/>
                  </w:tcBorders>
                  <w:noWrap w:val="0"/>
                  <w:vAlign w:val="center"/>
                </w:tcPr>
                <w:p w14:paraId="652265A4">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cs="Times New Roman"/>
                      <w:color w:val="auto"/>
                      <w:highlight w:val="none"/>
                    </w:rPr>
                  </w:pPr>
                  <w:r>
                    <w:rPr>
                      <w:rFonts w:hint="eastAsia" w:ascii="Times New Roman" w:hAnsi="Times New Roman" w:cs="Times New Roman"/>
                      <w:color w:val="auto"/>
                      <w:highlight w:val="none"/>
                      <w:lang w:val="en-US" w:eastAsia="zh-CN"/>
                    </w:rPr>
                    <w:t>废气治理设施</w:t>
                  </w:r>
                  <w:r>
                    <w:rPr>
                      <w:rFonts w:hint="default" w:ascii="Times New Roman" w:hAnsi="Times New Roman" w:cs="Times New Roman"/>
                      <w:color w:val="auto"/>
                      <w:highlight w:val="none"/>
                    </w:rPr>
                    <w:t>发生故障</w:t>
                  </w:r>
                </w:p>
              </w:tc>
              <w:tc>
                <w:tcPr>
                  <w:tcW w:w="659" w:type="pct"/>
                  <w:tcBorders>
                    <w:tl2br w:val="nil"/>
                    <w:tr2bl w:val="nil"/>
                  </w:tcBorders>
                  <w:noWrap w:val="0"/>
                  <w:vAlign w:val="center"/>
                </w:tcPr>
                <w:p w14:paraId="59DBCD97">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非甲烷总烃</w:t>
                  </w:r>
                </w:p>
              </w:tc>
              <w:tc>
                <w:tcPr>
                  <w:tcW w:w="727" w:type="pct"/>
                  <w:tcBorders>
                    <w:tl2br w:val="nil"/>
                    <w:tr2bl w:val="nil"/>
                  </w:tcBorders>
                  <w:noWrap w:val="0"/>
                  <w:vAlign w:val="center"/>
                </w:tcPr>
                <w:p w14:paraId="2199C635">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0.2348</w:t>
                  </w:r>
                </w:p>
              </w:tc>
              <w:tc>
                <w:tcPr>
                  <w:tcW w:w="844" w:type="pct"/>
                  <w:tcBorders>
                    <w:tl2br w:val="nil"/>
                    <w:tr2bl w:val="nil"/>
                  </w:tcBorders>
                  <w:noWrap w:val="0"/>
                  <w:vAlign w:val="center"/>
                </w:tcPr>
                <w:p w14:paraId="1CE6EBDD">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46.96</w:t>
                  </w:r>
                </w:p>
              </w:tc>
              <w:tc>
                <w:tcPr>
                  <w:tcW w:w="586" w:type="pct"/>
                  <w:tcBorders>
                    <w:tl2br w:val="nil"/>
                    <w:tr2bl w:val="nil"/>
                  </w:tcBorders>
                  <w:noWrap w:val="0"/>
                  <w:vAlign w:val="center"/>
                </w:tcPr>
                <w:p w14:paraId="35A6FE19">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60</w:t>
                  </w:r>
                </w:p>
              </w:tc>
              <w:tc>
                <w:tcPr>
                  <w:tcW w:w="507" w:type="pct"/>
                  <w:tcBorders>
                    <w:tl2br w:val="nil"/>
                    <w:tr2bl w:val="nil"/>
                  </w:tcBorders>
                  <w:noWrap w:val="0"/>
                  <w:vAlign w:val="center"/>
                </w:tcPr>
                <w:p w14:paraId="1681F9A6">
                  <w:pPr>
                    <w:pStyle w:val="84"/>
                    <w:keepNext w:val="0"/>
                    <w:keepLines w:val="0"/>
                    <w:widowControl w:val="0"/>
                    <w:suppressLineNumbers w:val="0"/>
                    <w:adjustRightInd w:val="0"/>
                    <w:snapToGrid w:val="0"/>
                    <w:spacing w:before="0" w:beforeAutospacing="0" w:after="0" w:afterAutospacing="0"/>
                    <w:ind w:left="0" w:right="0"/>
                    <w:jc w:val="center"/>
                    <w:rPr>
                      <w:rFonts w:hint="default" w:ascii="Times New Roman" w:hAnsi="Times New Roman"/>
                      <w:color w:val="auto"/>
                      <w:highlight w:val="none"/>
                    </w:rPr>
                  </w:pPr>
                  <w:r>
                    <w:rPr>
                      <w:rFonts w:hint="eastAsia" w:ascii="Times New Roman" w:hAnsi="Times New Roman"/>
                      <w:color w:val="auto"/>
                      <w:highlight w:val="none"/>
                      <w:lang w:val="en-US" w:eastAsia="zh-CN"/>
                    </w:rPr>
                    <w:t>≤</w:t>
                  </w:r>
                  <w:r>
                    <w:rPr>
                      <w:rFonts w:hint="default" w:ascii="Times New Roman" w:hAnsi="Times New Roman"/>
                      <w:color w:val="auto"/>
                      <w:highlight w:val="none"/>
                    </w:rPr>
                    <w:t>1</w:t>
                  </w:r>
                </w:p>
              </w:tc>
              <w:tc>
                <w:tcPr>
                  <w:tcW w:w="458" w:type="pct"/>
                  <w:tcBorders>
                    <w:tl2br w:val="nil"/>
                    <w:tr2bl w:val="nil"/>
                  </w:tcBorders>
                  <w:noWrap w:val="0"/>
                  <w:vAlign w:val="center"/>
                </w:tcPr>
                <w:p w14:paraId="5B278C89">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cs="Times New Roman"/>
                      <w:color w:val="auto"/>
                      <w:highlight w:val="none"/>
                      <w:lang w:val="en-US" w:eastAsia="zh-CN"/>
                    </w:rPr>
                    <w:t>停产检修</w:t>
                  </w:r>
                </w:p>
              </w:tc>
            </w:tr>
            <w:tr w14:paraId="1016BE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26" w:type="pct"/>
                  <w:tcBorders>
                    <w:tl2br w:val="nil"/>
                    <w:tr2bl w:val="nil"/>
                  </w:tcBorders>
                  <w:noWrap w:val="0"/>
                  <w:vAlign w:val="center"/>
                </w:tcPr>
                <w:p w14:paraId="71DB9A18">
                  <w:pPr>
                    <w:pStyle w:val="79"/>
                    <w:keepNext w:val="0"/>
                    <w:keepLines w:val="0"/>
                    <w:suppressLineNumbers w:val="0"/>
                    <w:adjustRightInd w:val="0"/>
                    <w:snapToGrid w:val="0"/>
                    <w:spacing w:before="0" w:beforeAutospacing="0" w:after="0" w:afterAutospacing="0"/>
                    <w:ind w:left="-84" w:leftChars="-40" w:right="-84" w:rightChars="-40"/>
                    <w:rPr>
                      <w:rFonts w:hint="default" w:cs="Times New Roman"/>
                      <w:color w:val="auto"/>
                      <w:highlight w:val="none"/>
                      <w:lang w:val="en-US" w:eastAsia="zh-CN"/>
                    </w:rPr>
                  </w:pPr>
                  <w:r>
                    <w:rPr>
                      <w:rFonts w:hint="eastAsia" w:cs="Times New Roman"/>
                      <w:color w:val="auto"/>
                      <w:highlight w:val="none"/>
                      <w:lang w:val="en-US" w:eastAsia="zh-CN"/>
                    </w:rPr>
                    <w:t>DA002</w:t>
                  </w:r>
                </w:p>
              </w:tc>
              <w:tc>
                <w:tcPr>
                  <w:tcW w:w="789" w:type="pct"/>
                  <w:tcBorders>
                    <w:tl2br w:val="nil"/>
                    <w:tr2bl w:val="nil"/>
                  </w:tcBorders>
                  <w:noWrap w:val="0"/>
                  <w:vAlign w:val="center"/>
                </w:tcPr>
                <w:p w14:paraId="62A98331">
                  <w:pPr>
                    <w:keepNext w:val="0"/>
                    <w:keepLines w:val="0"/>
                    <w:suppressLineNumbers w:val="0"/>
                    <w:autoSpaceDE w:val="0"/>
                    <w:adjustRightInd w:val="0"/>
                    <w:snapToGrid w:val="0"/>
                    <w:spacing w:before="0" w:beforeAutospacing="0" w:after="0" w:afterAutospacing="0"/>
                    <w:ind w:left="0" w:right="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废气治理设施</w:t>
                  </w:r>
                  <w:r>
                    <w:rPr>
                      <w:rFonts w:hint="default" w:ascii="Times New Roman" w:hAnsi="Times New Roman" w:cs="Times New Roman"/>
                      <w:color w:val="auto"/>
                      <w:highlight w:val="none"/>
                    </w:rPr>
                    <w:t>发生故障</w:t>
                  </w:r>
                </w:p>
              </w:tc>
              <w:tc>
                <w:tcPr>
                  <w:tcW w:w="659" w:type="pct"/>
                  <w:tcBorders>
                    <w:tl2br w:val="nil"/>
                    <w:tr2bl w:val="nil"/>
                  </w:tcBorders>
                  <w:noWrap w:val="0"/>
                  <w:vAlign w:val="center"/>
                </w:tcPr>
                <w:p w14:paraId="4A3F17A1">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颗粒物</w:t>
                  </w:r>
                </w:p>
              </w:tc>
              <w:tc>
                <w:tcPr>
                  <w:tcW w:w="727" w:type="pct"/>
                  <w:tcBorders>
                    <w:tl2br w:val="nil"/>
                    <w:tr2bl w:val="nil"/>
                  </w:tcBorders>
                  <w:shd w:val="clear" w:color="auto" w:fill="auto"/>
                  <w:noWrap w:val="0"/>
                  <w:vAlign w:val="center"/>
                </w:tcPr>
                <w:p w14:paraId="58D94788">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0.0425</w:t>
                  </w:r>
                </w:p>
              </w:tc>
              <w:tc>
                <w:tcPr>
                  <w:tcW w:w="844" w:type="pct"/>
                  <w:tcBorders>
                    <w:tl2br w:val="nil"/>
                    <w:tr2bl w:val="nil"/>
                  </w:tcBorders>
                  <w:noWrap w:val="0"/>
                  <w:vAlign w:val="center"/>
                </w:tcPr>
                <w:p w14:paraId="46C16DC3">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4.25</w:t>
                  </w:r>
                </w:p>
              </w:tc>
              <w:tc>
                <w:tcPr>
                  <w:tcW w:w="586" w:type="pct"/>
                  <w:tcBorders>
                    <w:tl2br w:val="nil"/>
                    <w:tr2bl w:val="nil"/>
                  </w:tcBorders>
                  <w:noWrap w:val="0"/>
                  <w:vAlign w:val="center"/>
                </w:tcPr>
                <w:p w14:paraId="549345A1">
                  <w:pPr>
                    <w:keepNext w:val="0"/>
                    <w:keepLines w:val="0"/>
                    <w:suppressLineNumbers w:val="0"/>
                    <w:autoSpaceDE w:val="0"/>
                    <w:adjustRightInd w:val="0"/>
                    <w:snapToGrid w:val="0"/>
                    <w:spacing w:before="0" w:beforeAutospacing="0" w:after="0" w:afterAutospacing="0"/>
                    <w:ind w:left="0" w:right="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60</w:t>
                  </w:r>
                </w:p>
              </w:tc>
              <w:tc>
                <w:tcPr>
                  <w:tcW w:w="507" w:type="pct"/>
                  <w:tcBorders>
                    <w:tl2br w:val="nil"/>
                    <w:tr2bl w:val="nil"/>
                  </w:tcBorders>
                  <w:noWrap w:val="0"/>
                  <w:vAlign w:val="center"/>
                </w:tcPr>
                <w:p w14:paraId="47AC05E2">
                  <w:pPr>
                    <w:pStyle w:val="84"/>
                    <w:keepNext w:val="0"/>
                    <w:keepLines w:val="0"/>
                    <w:widowControl w:val="0"/>
                    <w:suppressLineNumbers w:val="0"/>
                    <w:adjustRightInd w:val="0"/>
                    <w:snapToGrid w:val="0"/>
                    <w:spacing w:before="0" w:beforeAutospacing="0" w:after="0" w:afterAutospacing="0"/>
                    <w:ind w:left="0" w:right="0"/>
                    <w:jc w:val="center"/>
                    <w:rPr>
                      <w:rFonts w:hint="default" w:ascii="Times New Roman" w:hAnsi="Times New Roman"/>
                      <w:color w:val="auto"/>
                      <w:highlight w:val="none"/>
                    </w:rPr>
                  </w:pPr>
                  <w:r>
                    <w:rPr>
                      <w:rFonts w:hint="eastAsia" w:ascii="Times New Roman" w:hAnsi="Times New Roman"/>
                      <w:color w:val="auto"/>
                      <w:highlight w:val="none"/>
                      <w:lang w:val="en-US" w:eastAsia="zh-CN"/>
                    </w:rPr>
                    <w:t>≤</w:t>
                  </w:r>
                  <w:r>
                    <w:rPr>
                      <w:rFonts w:hint="default" w:ascii="Times New Roman" w:hAnsi="Times New Roman"/>
                      <w:color w:val="auto"/>
                      <w:highlight w:val="none"/>
                    </w:rPr>
                    <w:t>1</w:t>
                  </w:r>
                </w:p>
              </w:tc>
              <w:tc>
                <w:tcPr>
                  <w:tcW w:w="458" w:type="pct"/>
                  <w:tcBorders>
                    <w:tl2br w:val="nil"/>
                    <w:tr2bl w:val="nil"/>
                  </w:tcBorders>
                  <w:noWrap w:val="0"/>
                  <w:vAlign w:val="center"/>
                </w:tcPr>
                <w:p w14:paraId="13F2867C">
                  <w:pPr>
                    <w:keepNext w:val="0"/>
                    <w:keepLines w:val="0"/>
                    <w:suppressLineNumbers w:val="0"/>
                    <w:autoSpaceDE w:val="0"/>
                    <w:adjustRightInd w:val="0"/>
                    <w:snapToGrid w:val="0"/>
                    <w:spacing w:before="0" w:beforeAutospacing="0" w:after="0" w:afterAutospacing="0"/>
                    <w:ind w:left="0" w:right="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停产检修</w:t>
                  </w:r>
                </w:p>
              </w:tc>
            </w:tr>
            <w:tr w14:paraId="7231FE0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26" w:type="pct"/>
                  <w:tcBorders>
                    <w:tl2br w:val="nil"/>
                    <w:tr2bl w:val="nil"/>
                  </w:tcBorders>
                  <w:noWrap w:val="0"/>
                  <w:vAlign w:val="center"/>
                </w:tcPr>
                <w:p w14:paraId="264D4A25">
                  <w:pPr>
                    <w:pStyle w:val="79"/>
                    <w:keepNext w:val="0"/>
                    <w:keepLines w:val="0"/>
                    <w:suppressLineNumbers w:val="0"/>
                    <w:adjustRightInd w:val="0"/>
                    <w:snapToGrid w:val="0"/>
                    <w:spacing w:before="0" w:beforeAutospacing="0" w:after="0" w:afterAutospacing="0"/>
                    <w:ind w:left="-84" w:leftChars="-40" w:right="-84" w:rightChars="-40"/>
                    <w:rPr>
                      <w:rFonts w:hint="default" w:cs="Times New Roman"/>
                      <w:color w:val="auto"/>
                      <w:highlight w:val="none"/>
                      <w:lang w:val="en-US" w:eastAsia="zh-CN"/>
                    </w:rPr>
                  </w:pPr>
                  <w:r>
                    <w:rPr>
                      <w:rFonts w:hint="eastAsia" w:cs="Times New Roman"/>
                      <w:color w:val="auto"/>
                      <w:highlight w:val="none"/>
                      <w:lang w:val="en-US" w:eastAsia="zh-CN"/>
                    </w:rPr>
                    <w:t>DA003</w:t>
                  </w:r>
                </w:p>
              </w:tc>
              <w:tc>
                <w:tcPr>
                  <w:tcW w:w="789" w:type="pct"/>
                  <w:tcBorders>
                    <w:tl2br w:val="nil"/>
                    <w:tr2bl w:val="nil"/>
                  </w:tcBorders>
                  <w:noWrap w:val="0"/>
                  <w:vAlign w:val="center"/>
                </w:tcPr>
                <w:p w14:paraId="062230DB">
                  <w:pPr>
                    <w:keepNext w:val="0"/>
                    <w:keepLines w:val="0"/>
                    <w:suppressLineNumbers w:val="0"/>
                    <w:autoSpaceDE w:val="0"/>
                    <w:adjustRightInd w:val="0"/>
                    <w:snapToGrid w:val="0"/>
                    <w:spacing w:before="0" w:beforeAutospacing="0" w:after="0" w:afterAutospacing="0"/>
                    <w:ind w:left="0" w:right="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废气治理设施</w:t>
                  </w:r>
                  <w:r>
                    <w:rPr>
                      <w:rFonts w:hint="default" w:ascii="Times New Roman" w:hAnsi="Times New Roman" w:cs="Times New Roman"/>
                      <w:color w:val="auto"/>
                      <w:highlight w:val="none"/>
                    </w:rPr>
                    <w:t>发生故障</w:t>
                  </w:r>
                </w:p>
              </w:tc>
              <w:tc>
                <w:tcPr>
                  <w:tcW w:w="659" w:type="pct"/>
                  <w:tcBorders>
                    <w:tl2br w:val="nil"/>
                    <w:tr2bl w:val="nil"/>
                  </w:tcBorders>
                  <w:noWrap w:val="0"/>
                  <w:vAlign w:val="center"/>
                </w:tcPr>
                <w:p w14:paraId="2DC2BADA">
                  <w:pPr>
                    <w:keepNext w:val="0"/>
                    <w:keepLines w:val="0"/>
                    <w:suppressLineNumbers w:val="0"/>
                    <w:adjustRightInd w:val="0"/>
                    <w:snapToGrid w:val="0"/>
                    <w:spacing w:before="0" w:beforeAutospacing="0" w:after="0" w:afterAutospacing="0"/>
                    <w:ind w:left="-105" w:leftChars="-50" w:right="-105" w:rightChars="-50"/>
                    <w:jc w:val="center"/>
                    <w:rPr>
                      <w:rFonts w:hint="eastAsia" w:ascii="Times New Roman" w:hAnsi="Times New Roman" w:cs="Times New Roman"/>
                      <w:color w:val="auto"/>
                      <w:highlight w:val="none"/>
                      <w:lang w:val="en-US" w:eastAsia="zh-CN"/>
                    </w:rPr>
                  </w:pPr>
                  <w:r>
                    <w:rPr>
                      <w:rFonts w:hint="eastAsia" w:ascii="Times New Roman" w:hAnsi="Times New Roman" w:cs="Times New Roman"/>
                      <w:color w:val="auto"/>
                      <w:highlight w:val="none"/>
                      <w:lang w:val="en-US" w:eastAsia="zh-CN"/>
                    </w:rPr>
                    <w:t>颗粒物</w:t>
                  </w:r>
                </w:p>
              </w:tc>
              <w:tc>
                <w:tcPr>
                  <w:tcW w:w="727" w:type="pct"/>
                  <w:tcBorders>
                    <w:tl2br w:val="nil"/>
                    <w:tr2bl w:val="nil"/>
                  </w:tcBorders>
                  <w:shd w:val="clear" w:color="auto" w:fill="auto"/>
                  <w:noWrap w:val="0"/>
                  <w:vAlign w:val="center"/>
                </w:tcPr>
                <w:p w14:paraId="44DED469">
                  <w:pPr>
                    <w:keepNext w:val="0"/>
                    <w:keepLines w:val="0"/>
                    <w:suppressLineNumbers w:val="0"/>
                    <w:autoSpaceDE w:val="0"/>
                    <w:adjustRightInd w:val="0"/>
                    <w:snapToGrid w:val="0"/>
                    <w:spacing w:before="0" w:beforeAutospacing="0" w:after="0" w:afterAutospacing="0"/>
                    <w:ind w:left="0" w:right="0"/>
                    <w:jc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0.615</w:t>
                  </w:r>
                </w:p>
              </w:tc>
              <w:tc>
                <w:tcPr>
                  <w:tcW w:w="844" w:type="pct"/>
                  <w:tcBorders>
                    <w:tl2br w:val="nil"/>
                    <w:tr2bl w:val="nil"/>
                  </w:tcBorders>
                  <w:noWrap w:val="0"/>
                  <w:vAlign w:val="center"/>
                </w:tcPr>
                <w:p w14:paraId="0266DB39">
                  <w:pPr>
                    <w:keepNext w:val="0"/>
                    <w:keepLines w:val="0"/>
                    <w:suppressLineNumbers w:val="0"/>
                    <w:autoSpaceDE w:val="0"/>
                    <w:adjustRightInd w:val="0"/>
                    <w:snapToGrid w:val="0"/>
                    <w:spacing w:before="0" w:beforeAutospacing="0" w:after="0" w:afterAutospacing="0"/>
                    <w:ind w:left="0" w:right="0"/>
                    <w:jc w:val="center"/>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41</w:t>
                  </w:r>
                </w:p>
              </w:tc>
              <w:tc>
                <w:tcPr>
                  <w:tcW w:w="586" w:type="pct"/>
                  <w:tcBorders>
                    <w:tl2br w:val="nil"/>
                    <w:tr2bl w:val="nil"/>
                  </w:tcBorders>
                  <w:shd w:val="clear" w:color="auto" w:fill="auto"/>
                  <w:noWrap w:val="0"/>
                  <w:vAlign w:val="center"/>
                </w:tcPr>
                <w:p w14:paraId="583EAF93">
                  <w:pPr>
                    <w:keepNext w:val="0"/>
                    <w:keepLines w:val="0"/>
                    <w:suppressLineNumbers w:val="0"/>
                    <w:autoSpaceDE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60</w:t>
                  </w:r>
                </w:p>
              </w:tc>
              <w:tc>
                <w:tcPr>
                  <w:tcW w:w="507" w:type="pct"/>
                  <w:tcBorders>
                    <w:tl2br w:val="nil"/>
                    <w:tr2bl w:val="nil"/>
                  </w:tcBorders>
                  <w:shd w:val="clear" w:color="auto" w:fill="auto"/>
                  <w:noWrap w:val="0"/>
                  <w:vAlign w:val="center"/>
                </w:tcPr>
                <w:p w14:paraId="3806DFC3">
                  <w:pPr>
                    <w:pStyle w:val="84"/>
                    <w:keepNext w:val="0"/>
                    <w:keepLines w:val="0"/>
                    <w:widowControl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olor w:val="auto"/>
                      <w:highlight w:val="none"/>
                      <w:lang w:val="en-US" w:eastAsia="zh-CN"/>
                    </w:rPr>
                    <w:t>≤</w:t>
                  </w:r>
                  <w:r>
                    <w:rPr>
                      <w:rFonts w:hint="default" w:ascii="Times New Roman" w:hAnsi="Times New Roman"/>
                      <w:color w:val="auto"/>
                      <w:highlight w:val="none"/>
                    </w:rPr>
                    <w:t>1</w:t>
                  </w:r>
                </w:p>
              </w:tc>
              <w:tc>
                <w:tcPr>
                  <w:tcW w:w="458" w:type="pct"/>
                  <w:tcBorders>
                    <w:tl2br w:val="nil"/>
                    <w:tr2bl w:val="nil"/>
                  </w:tcBorders>
                  <w:shd w:val="clear" w:color="auto" w:fill="auto"/>
                  <w:noWrap w:val="0"/>
                  <w:vAlign w:val="center"/>
                </w:tcPr>
                <w:p w14:paraId="79584CF8">
                  <w:pPr>
                    <w:keepNext w:val="0"/>
                    <w:keepLines w:val="0"/>
                    <w:suppressLineNumbers w:val="0"/>
                    <w:autoSpaceDE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color w:val="auto"/>
                      <w:highlight w:val="none"/>
                      <w:lang w:val="en-US" w:eastAsia="zh-CN"/>
                    </w:rPr>
                    <w:t>停产检修</w:t>
                  </w:r>
                </w:p>
              </w:tc>
            </w:tr>
          </w:tbl>
          <w:p w14:paraId="730869E0">
            <w:pPr>
              <w:keepNext w:val="0"/>
              <w:keepLines w:val="0"/>
              <w:suppressLineNumbers w:val="0"/>
              <w:tabs>
                <w:tab w:val="left" w:pos="5319"/>
              </w:tabs>
              <w:adjustRightInd w:val="0"/>
              <w:snapToGrid w:val="0"/>
              <w:spacing w:before="0" w:beforeAutospacing="0" w:after="0" w:afterAutospacing="0" w:line="348" w:lineRule="auto"/>
              <w:ind w:left="0" w:right="0" w:firstLine="480"/>
              <w:rPr>
                <w:rFonts w:hint="eastAsia"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rPr>
              <w:t>在非正常工况下，</w:t>
            </w:r>
            <w:r>
              <w:rPr>
                <w:rFonts w:hint="eastAsia" w:ascii="Times New Roman" w:hAnsi="Times New Roman" w:cs="Times New Roman"/>
                <w:color w:val="auto"/>
                <w:sz w:val="24"/>
                <w:szCs w:val="24"/>
                <w:highlight w:val="none"/>
                <w:lang w:val="en-US" w:eastAsia="zh-CN"/>
              </w:rPr>
              <w:t>废气污染物</w:t>
            </w:r>
            <w:r>
              <w:rPr>
                <w:rFonts w:hint="eastAsia" w:ascii="Times New Roman" w:hAnsi="Times New Roman" w:cs="Times New Roman"/>
                <w:color w:val="auto"/>
                <w:sz w:val="24"/>
                <w:szCs w:val="24"/>
                <w:highlight w:val="none"/>
              </w:rPr>
              <w:t>排放浓度会有一定程度的增加，企业应加强废气处理设施检修，维护设备正常运行，降低废气处理装置出现非正常工作情况的概率，并制定废气处置装置非正常排放的应急预案，一旦出现非正常排放的情况，应及时采取措施，降低环境影响。</w:t>
            </w:r>
          </w:p>
          <w:p w14:paraId="3E1BF344">
            <w:pPr>
              <w:keepNext w:val="0"/>
              <w:keepLines w:val="0"/>
              <w:suppressLineNumbers w:val="0"/>
              <w:tabs>
                <w:tab w:val="left" w:pos="5319"/>
              </w:tabs>
              <w:adjustRightInd w:val="0"/>
              <w:snapToGrid w:val="0"/>
              <w:spacing w:before="0" w:beforeAutospacing="0" w:after="0" w:afterAutospacing="0" w:line="348" w:lineRule="auto"/>
              <w:ind w:left="0" w:right="0" w:firstLine="480"/>
              <w:rPr>
                <w:rFonts w:hint="default" w:ascii="Times New Roman" w:hAnsi="Times New Roman" w:cs="Times New Roman"/>
                <w:color w:val="auto"/>
                <w:sz w:val="24"/>
                <w:szCs w:val="24"/>
                <w:highlight w:val="none"/>
              </w:rPr>
            </w:pPr>
            <w:r>
              <w:rPr>
                <w:rFonts w:hint="eastAsia" w:ascii="Times New Roman" w:hAnsi="Times New Roman" w:cs="Times New Roman"/>
                <w:color w:val="auto"/>
                <w:sz w:val="24"/>
                <w:szCs w:val="24"/>
                <w:highlight w:val="none"/>
                <w:lang w:val="en-US" w:eastAsia="zh-CN"/>
              </w:rPr>
              <w:t>企业</w:t>
            </w:r>
            <w:r>
              <w:rPr>
                <w:rFonts w:hint="default" w:ascii="Times New Roman" w:hAnsi="Times New Roman" w:cs="Times New Roman"/>
                <w:color w:val="auto"/>
                <w:sz w:val="24"/>
                <w:szCs w:val="24"/>
                <w:highlight w:val="none"/>
              </w:rPr>
              <w:t>应采取以下措施来确保废气达标排放：</w:t>
            </w:r>
          </w:p>
          <w:p w14:paraId="615E8DE6">
            <w:pPr>
              <w:keepNext w:val="0"/>
              <w:keepLines w:val="0"/>
              <w:suppressLineNumbers w:val="0"/>
              <w:adjustRightInd w:val="0"/>
              <w:snapToGrid w:val="0"/>
              <w:spacing w:before="0" w:beforeAutospacing="0" w:after="0" w:afterAutospacing="0" w:line="348" w:lineRule="auto"/>
              <w:ind w:left="0" w:right="0"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fldChar w:fldCharType="begin"/>
            </w:r>
            <w:r>
              <w:rPr>
                <w:rFonts w:hint="default" w:ascii="Times New Roman" w:hAnsi="Times New Roman" w:cs="Times New Roman"/>
                <w:color w:val="auto"/>
                <w:sz w:val="24"/>
                <w:szCs w:val="24"/>
                <w:highlight w:val="none"/>
              </w:rPr>
              <w:instrText xml:space="preserve"> = 1 \* GB3 </w:instrText>
            </w:r>
            <w:r>
              <w:rPr>
                <w:rFonts w:hint="default" w:ascii="Times New Roman" w:hAnsi="Times New Roman" w:cs="Times New Roman"/>
                <w:color w:val="auto"/>
                <w:sz w:val="24"/>
                <w:szCs w:val="24"/>
                <w:highlight w:val="none"/>
              </w:rPr>
              <w:fldChar w:fldCharType="separate"/>
            </w:r>
            <w:r>
              <w:rPr>
                <w:rFonts w:hint="default" w:ascii="Times New Roman" w:hAnsi="Times New Roman" w:cs="Times New Roman"/>
                <w:color w:val="auto"/>
                <w:sz w:val="24"/>
                <w:szCs w:val="24"/>
                <w:highlight w:val="none"/>
              </w:rPr>
              <w:t>①</w:t>
            </w:r>
            <w:r>
              <w:rPr>
                <w:rFonts w:hint="default" w:ascii="Times New Roman" w:hAnsi="Times New Roman" w:cs="Times New Roman"/>
                <w:color w:val="auto"/>
                <w:sz w:val="24"/>
                <w:szCs w:val="24"/>
                <w:highlight w:val="none"/>
              </w:rPr>
              <w:fldChar w:fldCharType="end"/>
            </w:r>
            <w:r>
              <w:rPr>
                <w:rFonts w:hint="default" w:ascii="Times New Roman" w:hAnsi="Times New Roman" w:cs="Times New Roman"/>
                <w:color w:val="auto"/>
                <w:sz w:val="24"/>
                <w:szCs w:val="24"/>
                <w:highlight w:val="none"/>
              </w:rPr>
              <w:t>建立健全的环保管理机构，对环保管理人员和技术人员进行岗位培训，委托具有专业资质的环境检测单位对排放的各类废气污染物进行定期检测；</w:t>
            </w:r>
          </w:p>
          <w:p w14:paraId="2B328418">
            <w:pPr>
              <w:keepNext w:val="0"/>
              <w:keepLines w:val="0"/>
              <w:suppressLineNumbers w:val="0"/>
              <w:adjustRightInd w:val="0"/>
              <w:snapToGrid w:val="0"/>
              <w:spacing w:before="0" w:beforeAutospacing="0" w:after="0" w:afterAutospacing="0" w:line="348" w:lineRule="auto"/>
              <w:ind w:left="0" w:right="0"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②加强全</w:t>
            </w:r>
            <w:r>
              <w:rPr>
                <w:rFonts w:hint="eastAsia" w:ascii="Times New Roman" w:hAnsi="Times New Roman" w:cs="Times New Roman"/>
                <w:color w:val="auto"/>
                <w:sz w:val="24"/>
                <w:szCs w:val="24"/>
                <w:highlight w:val="none"/>
              </w:rPr>
              <w:t>厂</w:t>
            </w:r>
            <w:r>
              <w:rPr>
                <w:rFonts w:hint="default" w:ascii="Times New Roman" w:hAnsi="Times New Roman" w:cs="Times New Roman"/>
                <w:color w:val="auto"/>
                <w:sz w:val="24"/>
                <w:szCs w:val="24"/>
                <w:highlight w:val="none"/>
              </w:rPr>
              <w:t>各废气处理装置的巡检力度，及时发现并处理设备产生的隐患，保持设备净化能力，确保废气稳定达标排放；</w:t>
            </w:r>
          </w:p>
          <w:p w14:paraId="08918B3D">
            <w:pPr>
              <w:keepNext w:val="0"/>
              <w:keepLines w:val="0"/>
              <w:suppressLineNumbers w:val="0"/>
              <w:adjustRightInd w:val="0"/>
              <w:snapToGrid w:val="0"/>
              <w:spacing w:before="0" w:beforeAutospacing="0" w:after="0" w:afterAutospacing="0" w:line="348" w:lineRule="auto"/>
              <w:ind w:left="0" w:right="0"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③在各废气处理装置异常或停止运行时，产生废气的各工序必须相应停止生产；</w:t>
            </w:r>
          </w:p>
          <w:p w14:paraId="37C1F121">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color w:val="auto"/>
                <w:sz w:val="24"/>
                <w:szCs w:val="24"/>
                <w:highlight w:val="none"/>
              </w:rPr>
              <w:t>④安排专人负责环保设备的日常维护和管理，每隔固定时间检查、汇报情况。为尽量减少非正常排放工况产生，企业应严格环保管理，建立净化装置运行台账，避免废气净化装置失效情况的发生。</w:t>
            </w:r>
          </w:p>
          <w:p w14:paraId="537725E7">
            <w:pPr>
              <w:pStyle w:val="22"/>
              <w:keepNext w:val="0"/>
              <w:keepLines w:val="0"/>
              <w:widowControl w:val="0"/>
              <w:suppressLineNumbers w:val="0"/>
              <w:autoSpaceDE w:val="0"/>
              <w:autoSpaceDN w:val="0"/>
              <w:adjustRightInd w:val="0"/>
              <w:spacing w:before="0" w:beforeAutospacing="0" w:after="0" w:afterAutospacing="0" w:line="360" w:lineRule="auto"/>
              <w:ind w:left="0" w:right="0" w:firstLine="482" w:firstLineChars="200"/>
              <w:jc w:val="both"/>
              <w:rPr>
                <w:rFonts w:hint="default" w:ascii="Times New Roman" w:hAnsi="Times New Roman" w:eastAsia="宋体" w:cs="Times New Roman"/>
                <w:b/>
                <w:bCs/>
                <w:color w:val="auto"/>
                <w:highlight w:val="none"/>
                <w:lang w:val="en-US"/>
              </w:rPr>
            </w:pPr>
            <w:r>
              <w:rPr>
                <w:rFonts w:hint="eastAsia" w:ascii="Times New Roman" w:hAnsi="Times New Roman" w:cs="Times New Roman"/>
                <w:b/>
                <w:bCs/>
                <w:color w:val="auto"/>
                <w:kern w:val="0"/>
                <w:sz w:val="24"/>
                <w:szCs w:val="24"/>
                <w:highlight w:val="none"/>
                <w:lang w:val="en-US" w:eastAsia="zh-CN" w:bidi="ar"/>
              </w:rPr>
              <w:t xml:space="preserve">1.6 </w:t>
            </w:r>
            <w:r>
              <w:rPr>
                <w:rFonts w:hint="default" w:ascii="Times New Roman" w:hAnsi="Times New Roman" w:eastAsia="宋体" w:cs="Times New Roman"/>
                <w:b/>
                <w:bCs/>
                <w:color w:val="auto"/>
                <w:kern w:val="0"/>
                <w:sz w:val="24"/>
                <w:szCs w:val="24"/>
                <w:highlight w:val="none"/>
                <w:lang w:val="en-US" w:eastAsia="zh-CN" w:bidi="ar"/>
              </w:rPr>
              <w:t>废气自行监测要求</w:t>
            </w:r>
          </w:p>
          <w:p w14:paraId="6EB040E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0" w:firstLineChars="200"/>
              <w:jc w:val="both"/>
              <w:textAlignment w:val="auto"/>
              <w:rPr>
                <w:rFonts w:hint="default" w:ascii="Times New Roman" w:hAnsi="Times New Roman" w:eastAsia="宋体" w:cs="Times New Roman"/>
                <w:b/>
                <w:bCs w:val="0"/>
                <w:color w:val="auto"/>
                <w:kern w:val="2"/>
                <w:sz w:val="21"/>
                <w:szCs w:val="21"/>
                <w:highlight w:val="none"/>
                <w:lang w:val="en-US" w:eastAsia="zh-CN" w:bidi="ar"/>
              </w:rPr>
            </w:pPr>
            <w:r>
              <w:rPr>
                <w:rFonts w:hint="eastAsia" w:ascii="Times New Roman" w:hAnsi="Times New Roman" w:eastAsia="宋体" w:cs="Times New Roman"/>
                <w:color w:val="auto"/>
                <w:kern w:val="2"/>
                <w:sz w:val="24"/>
                <w:szCs w:val="24"/>
                <w:highlight w:val="none"/>
                <w:lang w:val="en-US" w:eastAsia="zh-CN"/>
              </w:rPr>
              <w:t>参照</w:t>
            </w:r>
            <w:r>
              <w:rPr>
                <w:rFonts w:hint="default" w:ascii="Times New Roman" w:hAnsi="Times New Roman" w:eastAsia="宋体" w:cs="Times New Roman"/>
                <w:color w:val="auto"/>
                <w:kern w:val="2"/>
                <w:sz w:val="24"/>
                <w:szCs w:val="24"/>
                <w:highlight w:val="none"/>
                <w:lang w:val="en-US" w:eastAsia="zh-CN"/>
              </w:rPr>
              <w:t>《排污单位自行监测技术指南 总则》</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2"/>
                <w:sz w:val="24"/>
                <w:szCs w:val="24"/>
                <w:highlight w:val="none"/>
                <w:lang w:val="en-US" w:eastAsia="zh-CN"/>
              </w:rPr>
              <w:t>HJ819-2017</w:t>
            </w:r>
            <w:r>
              <w:rPr>
                <w:rFonts w:hint="eastAsia" w:ascii="Times New Roman" w:hAnsi="Times New Roman" w:eastAsia="宋体" w:cs="Times New Roman"/>
                <w:color w:val="auto"/>
                <w:kern w:val="2"/>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bidi="ar"/>
              </w:rPr>
              <w:t>《排污许可证申请与核发技术规范 废弃资源加工工业》（HJ819-2017）</w:t>
            </w:r>
            <w:r>
              <w:rPr>
                <w:rFonts w:hint="default" w:ascii="Times New Roman" w:hAnsi="Times New Roman" w:eastAsia="宋体" w:cs="Times New Roman"/>
                <w:color w:val="auto"/>
                <w:kern w:val="2"/>
                <w:sz w:val="24"/>
                <w:szCs w:val="24"/>
                <w:highlight w:val="none"/>
                <w:lang w:val="en-US" w:eastAsia="zh-CN"/>
              </w:rPr>
              <w:t>中的自行监测要求</w:t>
            </w:r>
            <w:r>
              <w:rPr>
                <w:rFonts w:hint="eastAsia" w:ascii="Times New Roman" w:hAnsi="Times New Roman" w:eastAsia="宋体" w:cs="Times New Roman"/>
                <w:color w:val="auto"/>
                <w:kern w:val="2"/>
                <w:sz w:val="24"/>
                <w:szCs w:val="24"/>
                <w:highlight w:val="none"/>
                <w:lang w:val="en-US" w:eastAsia="zh-CN"/>
              </w:rPr>
              <w:t>制定监测计划</w:t>
            </w:r>
            <w:r>
              <w:rPr>
                <w:rFonts w:hint="default" w:ascii="Times New Roman" w:hAnsi="Times New Roman" w:eastAsia="宋体" w:cs="Times New Roman"/>
                <w:color w:val="auto"/>
                <w:kern w:val="2"/>
                <w:sz w:val="24"/>
                <w:szCs w:val="24"/>
                <w:highlight w:val="none"/>
                <w:lang w:val="en-US" w:eastAsia="zh-CN"/>
              </w:rPr>
              <w:t>，具体详见下表。</w:t>
            </w:r>
          </w:p>
          <w:p w14:paraId="2A53E23F">
            <w:pPr>
              <w:keepNext w:val="0"/>
              <w:keepLines w:val="0"/>
              <w:widowControl w:val="0"/>
              <w:suppressLineNumbers w:val="0"/>
              <w:spacing w:before="0" w:beforeAutospacing="0" w:after="0" w:afterAutospacing="0"/>
              <w:ind w:left="0" w:right="0" w:firstLine="2876" w:firstLineChars="1364"/>
              <w:jc w:val="both"/>
              <w:rPr>
                <w:rFonts w:hint="default" w:ascii="Times New Roman" w:hAnsi="Times New Roman" w:eastAsia="宋体" w:cs="Times New Roman"/>
                <w:b/>
                <w:bCs w:val="0"/>
                <w:color w:val="auto"/>
                <w:szCs w:val="21"/>
                <w:highlight w:val="none"/>
                <w:lang w:val="en-US"/>
              </w:rPr>
            </w:pPr>
            <w:r>
              <w:rPr>
                <w:rFonts w:hint="default" w:ascii="Times New Roman" w:hAnsi="Times New Roman" w:eastAsia="宋体" w:cs="Times New Roman"/>
                <w:b/>
                <w:bCs w:val="0"/>
                <w:color w:val="auto"/>
                <w:kern w:val="2"/>
                <w:sz w:val="21"/>
                <w:szCs w:val="21"/>
                <w:highlight w:val="none"/>
                <w:lang w:val="en-US" w:eastAsia="zh-CN" w:bidi="ar"/>
              </w:rPr>
              <w:t>表4-</w:t>
            </w:r>
            <w:r>
              <w:rPr>
                <w:rFonts w:hint="eastAsia" w:cs="Times New Roman"/>
                <w:b/>
                <w:bCs w:val="0"/>
                <w:color w:val="auto"/>
                <w:kern w:val="2"/>
                <w:sz w:val="21"/>
                <w:szCs w:val="21"/>
                <w:highlight w:val="none"/>
                <w:lang w:val="en-US" w:eastAsia="zh-CN" w:bidi="ar"/>
              </w:rPr>
              <w:t>13</w:t>
            </w:r>
            <w:r>
              <w:rPr>
                <w:rFonts w:hint="default" w:ascii="Times New Roman" w:hAnsi="Times New Roman" w:eastAsia="宋体" w:cs="Times New Roman"/>
                <w:b/>
                <w:bCs w:val="0"/>
                <w:color w:val="auto"/>
                <w:kern w:val="2"/>
                <w:sz w:val="21"/>
                <w:szCs w:val="21"/>
                <w:highlight w:val="none"/>
                <w:lang w:val="en-US" w:eastAsia="zh-CN" w:bidi="ar"/>
              </w:rPr>
              <w:t xml:space="preserve">  运营期废气监测方案</w:t>
            </w:r>
          </w:p>
          <w:tbl>
            <w:tblPr>
              <w:tblStyle w:val="26"/>
              <w:tblW w:w="4995"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197"/>
              <w:gridCol w:w="1295"/>
              <w:gridCol w:w="1200"/>
              <w:gridCol w:w="1299"/>
              <w:gridCol w:w="4126"/>
            </w:tblGrid>
            <w:tr w14:paraId="622974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6" w:type="pct"/>
                  <w:tcBorders>
                    <w:tl2br w:val="nil"/>
                    <w:tr2bl w:val="nil"/>
                  </w:tcBorders>
                  <w:noWrap w:val="0"/>
                  <w:vAlign w:val="center"/>
                </w:tcPr>
                <w:p w14:paraId="3128CD2E">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监测内容</w:t>
                  </w:r>
                </w:p>
              </w:tc>
              <w:tc>
                <w:tcPr>
                  <w:tcW w:w="710" w:type="pct"/>
                  <w:tcBorders>
                    <w:tl2br w:val="nil"/>
                    <w:tr2bl w:val="nil"/>
                  </w:tcBorders>
                  <w:noWrap w:val="0"/>
                  <w:vAlign w:val="center"/>
                </w:tcPr>
                <w:p w14:paraId="61E94013">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监测点位</w:t>
                  </w:r>
                </w:p>
              </w:tc>
              <w:tc>
                <w:tcPr>
                  <w:tcW w:w="658" w:type="pct"/>
                  <w:tcBorders>
                    <w:tl2br w:val="nil"/>
                    <w:tr2bl w:val="nil"/>
                  </w:tcBorders>
                  <w:noWrap w:val="0"/>
                  <w:vAlign w:val="center"/>
                </w:tcPr>
                <w:p w14:paraId="0FE5D429">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监测项目</w:t>
                  </w:r>
                </w:p>
              </w:tc>
              <w:tc>
                <w:tcPr>
                  <w:tcW w:w="712" w:type="pct"/>
                  <w:tcBorders>
                    <w:tl2br w:val="nil"/>
                    <w:tr2bl w:val="nil"/>
                  </w:tcBorders>
                  <w:noWrap w:val="0"/>
                  <w:vAlign w:val="center"/>
                </w:tcPr>
                <w:p w14:paraId="27F4DC92">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监测频次</w:t>
                  </w:r>
                </w:p>
              </w:tc>
              <w:tc>
                <w:tcPr>
                  <w:tcW w:w="2262" w:type="pct"/>
                  <w:tcBorders>
                    <w:tl2br w:val="nil"/>
                    <w:tr2bl w:val="nil"/>
                  </w:tcBorders>
                  <w:noWrap w:val="0"/>
                  <w:vAlign w:val="center"/>
                </w:tcPr>
                <w:p w14:paraId="2EDDBF24">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执行标准</w:t>
                  </w:r>
                </w:p>
              </w:tc>
            </w:tr>
            <w:tr w14:paraId="5C47FA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56" w:type="pct"/>
                  <w:vMerge w:val="restart"/>
                  <w:tcBorders>
                    <w:tl2br w:val="nil"/>
                    <w:tr2bl w:val="nil"/>
                  </w:tcBorders>
                  <w:noWrap w:val="0"/>
                  <w:vAlign w:val="center"/>
                </w:tcPr>
                <w:p w14:paraId="735A3BC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废气</w:t>
                  </w:r>
                </w:p>
              </w:tc>
              <w:tc>
                <w:tcPr>
                  <w:tcW w:w="710" w:type="pct"/>
                  <w:tcBorders>
                    <w:tl2br w:val="nil"/>
                    <w:tr2bl w:val="nil"/>
                  </w:tcBorders>
                  <w:noWrap w:val="0"/>
                  <w:vAlign w:val="center"/>
                </w:tcPr>
                <w:p w14:paraId="525AD6C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 w:val="21"/>
                      <w:szCs w:val="21"/>
                      <w:highlight w:val="none"/>
                    </w:rPr>
                    <w:t>DA001</w:t>
                  </w:r>
                </w:p>
              </w:tc>
              <w:tc>
                <w:tcPr>
                  <w:tcW w:w="658" w:type="pct"/>
                  <w:tcBorders>
                    <w:tl2br w:val="nil"/>
                    <w:tr2bl w:val="nil"/>
                  </w:tcBorders>
                  <w:noWrap w:val="0"/>
                  <w:vAlign w:val="center"/>
                </w:tcPr>
                <w:p w14:paraId="73A0196D">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Cs/>
                      <w:color w:val="auto"/>
                      <w:szCs w:val="21"/>
                      <w:highlight w:val="none"/>
                    </w:rPr>
                    <w:t>非甲烷总烃</w:t>
                  </w:r>
                </w:p>
              </w:tc>
              <w:tc>
                <w:tcPr>
                  <w:tcW w:w="712" w:type="pct"/>
                  <w:tcBorders>
                    <w:tl2br w:val="nil"/>
                    <w:tr2bl w:val="nil"/>
                  </w:tcBorders>
                  <w:noWrap w:val="0"/>
                  <w:vAlign w:val="center"/>
                </w:tcPr>
                <w:p w14:paraId="11149C5F">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1次/年</w:t>
                  </w:r>
                </w:p>
              </w:tc>
              <w:tc>
                <w:tcPr>
                  <w:tcW w:w="2262" w:type="pct"/>
                  <w:vMerge w:val="restart"/>
                  <w:tcBorders>
                    <w:tl2br w:val="nil"/>
                    <w:tr2bl w:val="nil"/>
                  </w:tcBorders>
                  <w:noWrap w:val="0"/>
                  <w:vAlign w:val="center"/>
                </w:tcPr>
                <w:p w14:paraId="494D702A">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lang w:bidi="ar"/>
                    </w:rPr>
                    <w:t>《</w:t>
                  </w:r>
                  <w:r>
                    <w:rPr>
                      <w:rFonts w:hint="eastAsia" w:cs="Times New Roman"/>
                      <w:color w:val="auto"/>
                      <w:szCs w:val="21"/>
                      <w:highlight w:val="none"/>
                      <w:lang w:eastAsia="zh-CN" w:bidi="ar"/>
                    </w:rPr>
                    <w:t>大气污染物综合排放标准</w:t>
                  </w:r>
                  <w:r>
                    <w:rPr>
                      <w:rFonts w:hint="default" w:ascii="Times New Roman" w:hAnsi="Times New Roman" w:eastAsia="宋体" w:cs="Times New Roman"/>
                      <w:color w:val="auto"/>
                      <w:szCs w:val="21"/>
                      <w:highlight w:val="none"/>
                      <w:lang w:bidi="ar"/>
                    </w:rPr>
                    <w:t>》（GB16297-1996）表2新污染源大气污染物排放限值二级标准</w:t>
                  </w:r>
                </w:p>
              </w:tc>
            </w:tr>
            <w:tr w14:paraId="3BEDBB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6" w:type="pct"/>
                  <w:vMerge w:val="continue"/>
                  <w:tcBorders>
                    <w:tl2br w:val="nil"/>
                    <w:tr2bl w:val="nil"/>
                  </w:tcBorders>
                  <w:noWrap w:val="0"/>
                  <w:vAlign w:val="center"/>
                </w:tcPr>
                <w:p w14:paraId="03AEF6A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p>
              </w:tc>
              <w:tc>
                <w:tcPr>
                  <w:tcW w:w="710" w:type="pct"/>
                  <w:tcBorders>
                    <w:tl2br w:val="nil"/>
                    <w:tr2bl w:val="nil"/>
                  </w:tcBorders>
                  <w:noWrap w:val="0"/>
                  <w:vAlign w:val="center"/>
                </w:tcPr>
                <w:p w14:paraId="0A3AC65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color w:val="auto"/>
                      <w:sz w:val="21"/>
                      <w:szCs w:val="21"/>
                      <w:highlight w:val="none"/>
                    </w:rPr>
                    <w:t>DA002</w:t>
                  </w:r>
                </w:p>
              </w:tc>
              <w:tc>
                <w:tcPr>
                  <w:tcW w:w="658" w:type="pct"/>
                  <w:tcBorders>
                    <w:tl2br w:val="nil"/>
                    <w:tr2bl w:val="nil"/>
                  </w:tcBorders>
                  <w:noWrap w:val="0"/>
                  <w:vAlign w:val="center"/>
                </w:tcPr>
                <w:p w14:paraId="154BBFF2">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颗粒物</w:t>
                  </w:r>
                </w:p>
              </w:tc>
              <w:tc>
                <w:tcPr>
                  <w:tcW w:w="712" w:type="pct"/>
                  <w:tcBorders>
                    <w:tl2br w:val="nil"/>
                    <w:tr2bl w:val="nil"/>
                  </w:tcBorders>
                  <w:noWrap w:val="0"/>
                  <w:vAlign w:val="center"/>
                </w:tcPr>
                <w:p w14:paraId="2A5E742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1次/年</w:t>
                  </w:r>
                </w:p>
              </w:tc>
              <w:tc>
                <w:tcPr>
                  <w:tcW w:w="2262" w:type="pct"/>
                  <w:vMerge w:val="continue"/>
                  <w:tcBorders>
                    <w:tl2br w:val="nil"/>
                    <w:tr2bl w:val="nil"/>
                  </w:tcBorders>
                  <w:noWrap w:val="0"/>
                  <w:vAlign w:val="center"/>
                </w:tcPr>
                <w:p w14:paraId="114C06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bidi="ar"/>
                    </w:rPr>
                  </w:pPr>
                </w:p>
              </w:tc>
            </w:tr>
            <w:tr w14:paraId="4818355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6" w:type="pct"/>
                  <w:vMerge w:val="continue"/>
                  <w:tcBorders>
                    <w:tl2br w:val="nil"/>
                    <w:tr2bl w:val="nil"/>
                  </w:tcBorders>
                  <w:noWrap w:val="0"/>
                  <w:vAlign w:val="center"/>
                </w:tcPr>
                <w:p w14:paraId="04C6A95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p>
              </w:tc>
              <w:tc>
                <w:tcPr>
                  <w:tcW w:w="710" w:type="pct"/>
                  <w:tcBorders>
                    <w:tl2br w:val="nil"/>
                    <w:tr2bl w:val="nil"/>
                  </w:tcBorders>
                  <w:noWrap w:val="0"/>
                  <w:vAlign w:val="center"/>
                </w:tcPr>
                <w:p w14:paraId="3F842E5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DA003</w:t>
                  </w:r>
                </w:p>
              </w:tc>
              <w:tc>
                <w:tcPr>
                  <w:tcW w:w="658" w:type="pct"/>
                  <w:tcBorders>
                    <w:tl2br w:val="nil"/>
                    <w:tr2bl w:val="nil"/>
                  </w:tcBorders>
                  <w:shd w:val="clear" w:color="auto" w:fill="auto"/>
                  <w:noWrap w:val="0"/>
                  <w:vAlign w:val="center"/>
                </w:tcPr>
                <w:p w14:paraId="739FCE7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eastAsia="宋体" w:cs="Times New Roman"/>
                      <w:bCs/>
                      <w:color w:val="auto"/>
                      <w:szCs w:val="21"/>
                      <w:highlight w:val="none"/>
                    </w:rPr>
                    <w:t>颗粒物</w:t>
                  </w:r>
                </w:p>
              </w:tc>
              <w:tc>
                <w:tcPr>
                  <w:tcW w:w="712" w:type="pct"/>
                  <w:tcBorders>
                    <w:tl2br w:val="nil"/>
                    <w:tr2bl w:val="nil"/>
                  </w:tcBorders>
                  <w:shd w:val="clear" w:color="auto" w:fill="auto"/>
                  <w:noWrap w:val="0"/>
                  <w:vAlign w:val="center"/>
                </w:tcPr>
                <w:p w14:paraId="31D9F11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rPr>
                    <w:t>1次/年</w:t>
                  </w:r>
                </w:p>
              </w:tc>
              <w:tc>
                <w:tcPr>
                  <w:tcW w:w="2262" w:type="pct"/>
                  <w:vMerge w:val="continue"/>
                  <w:tcBorders>
                    <w:tl2br w:val="nil"/>
                    <w:tr2bl w:val="nil"/>
                  </w:tcBorders>
                  <w:noWrap w:val="0"/>
                  <w:vAlign w:val="center"/>
                </w:tcPr>
                <w:p w14:paraId="02DC52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bidi="ar"/>
                    </w:rPr>
                  </w:pPr>
                </w:p>
              </w:tc>
            </w:tr>
            <w:tr w14:paraId="2EA7F4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6" w:type="pct"/>
                  <w:vMerge w:val="continue"/>
                  <w:tcBorders>
                    <w:tl2br w:val="nil"/>
                    <w:tr2bl w:val="nil"/>
                  </w:tcBorders>
                  <w:noWrap w:val="0"/>
                  <w:vAlign w:val="center"/>
                </w:tcPr>
                <w:p w14:paraId="1672EC1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p>
              </w:tc>
              <w:tc>
                <w:tcPr>
                  <w:tcW w:w="710" w:type="pct"/>
                  <w:tcBorders>
                    <w:tl2br w:val="nil"/>
                    <w:tr2bl w:val="nil"/>
                  </w:tcBorders>
                  <w:noWrap w:val="0"/>
                  <w:vAlign w:val="center"/>
                </w:tcPr>
                <w:p w14:paraId="68CC24D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食堂油烟排气筒</w:t>
                  </w:r>
                </w:p>
              </w:tc>
              <w:tc>
                <w:tcPr>
                  <w:tcW w:w="658" w:type="pct"/>
                  <w:tcBorders>
                    <w:tl2br w:val="nil"/>
                    <w:tr2bl w:val="nil"/>
                  </w:tcBorders>
                  <w:noWrap w:val="0"/>
                  <w:vAlign w:val="center"/>
                </w:tcPr>
                <w:p w14:paraId="5C557ED2">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Cs w:val="21"/>
                      <w:highlight w:val="none"/>
                      <w:lang w:val="en-US" w:eastAsia="zh-CN"/>
                    </w:rPr>
                  </w:pPr>
                  <w:r>
                    <w:rPr>
                      <w:rFonts w:hint="eastAsia" w:cs="Times New Roman"/>
                      <w:bCs/>
                      <w:color w:val="auto"/>
                      <w:szCs w:val="21"/>
                      <w:highlight w:val="none"/>
                      <w:lang w:val="en-US" w:eastAsia="zh-CN"/>
                    </w:rPr>
                    <w:t>食堂油烟</w:t>
                  </w:r>
                </w:p>
              </w:tc>
              <w:tc>
                <w:tcPr>
                  <w:tcW w:w="712" w:type="pct"/>
                  <w:tcBorders>
                    <w:tl2br w:val="nil"/>
                    <w:tr2bl w:val="nil"/>
                  </w:tcBorders>
                  <w:shd w:val="clear" w:color="auto" w:fill="auto"/>
                  <w:noWrap w:val="0"/>
                  <w:vAlign w:val="center"/>
                </w:tcPr>
                <w:p w14:paraId="1DA2D1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olor w:val="auto"/>
                      <w:kern w:val="24"/>
                      <w:sz w:val="21"/>
                      <w:szCs w:val="21"/>
                      <w:highlight w:val="none"/>
                      <w:lang w:val="en-US" w:eastAsia="zh-CN" w:bidi="ar-SA"/>
                    </w:rPr>
                  </w:pPr>
                  <w:r>
                    <w:rPr>
                      <w:rFonts w:hint="default" w:ascii="Times New Roman" w:hAnsi="Times New Roman" w:cs="Times New Roman"/>
                      <w:b w:val="0"/>
                      <w:bCs w:val="0"/>
                      <w:color w:val="auto"/>
                      <w:kern w:val="24"/>
                      <w:sz w:val="21"/>
                      <w:szCs w:val="21"/>
                      <w:highlight w:val="none"/>
                    </w:rPr>
                    <w:t>1次/</w:t>
                  </w:r>
                  <w:r>
                    <w:rPr>
                      <w:rFonts w:hint="eastAsia" w:ascii="Times New Roman" w:hAnsi="Times New Roman" w:cs="Times New Roman"/>
                      <w:b w:val="0"/>
                      <w:bCs w:val="0"/>
                      <w:color w:val="auto"/>
                      <w:kern w:val="24"/>
                      <w:sz w:val="21"/>
                      <w:szCs w:val="21"/>
                      <w:highlight w:val="none"/>
                      <w:lang w:val="en-US" w:eastAsia="zh-CN"/>
                    </w:rPr>
                    <w:t>年</w:t>
                  </w:r>
                </w:p>
              </w:tc>
              <w:tc>
                <w:tcPr>
                  <w:tcW w:w="2262" w:type="pct"/>
                  <w:tcBorders>
                    <w:tl2br w:val="nil"/>
                    <w:tr2bl w:val="nil"/>
                  </w:tcBorders>
                  <w:shd w:val="clear" w:color="auto" w:fill="auto"/>
                  <w:noWrap w:val="0"/>
                  <w:vAlign w:val="center"/>
                </w:tcPr>
                <w:p w14:paraId="486968E8">
                  <w:pPr>
                    <w:pStyle w:val="78"/>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rPr>
                      <w:rFonts w:hint="default" w:ascii="Times New Roman" w:hAnsi="Times New Roman" w:eastAsia="宋体" w:cs="Times New Roman"/>
                      <w:b w:val="0"/>
                      <w:bCs w:val="0"/>
                      <w:color w:val="auto"/>
                      <w:spacing w:val="1"/>
                      <w:kern w:val="0"/>
                      <w:sz w:val="21"/>
                      <w:szCs w:val="21"/>
                      <w:highlight w:val="none"/>
                      <w:lang w:val="en-US" w:eastAsia="zh-CN" w:bidi="ar-SA"/>
                    </w:rPr>
                  </w:pPr>
                  <w:r>
                    <w:rPr>
                      <w:rFonts w:hint="eastAsia" w:ascii="Times New Roman" w:hAnsi="Times New Roman" w:cs="Times New Roman"/>
                      <w:b w:val="0"/>
                      <w:bCs w:val="0"/>
                      <w:color w:val="auto"/>
                      <w:spacing w:val="-1"/>
                      <w:sz w:val="21"/>
                      <w:szCs w:val="21"/>
                      <w:highlight w:val="none"/>
                      <w:lang w:val="en-US" w:eastAsia="zh-CN"/>
                    </w:rPr>
                    <w:t>《</w:t>
                  </w:r>
                  <w:r>
                    <w:rPr>
                      <w:rFonts w:hint="default" w:ascii="Times New Roman" w:hAnsi="Times New Roman" w:eastAsia="宋体" w:cs="Times New Roman"/>
                      <w:b w:val="0"/>
                      <w:bCs w:val="0"/>
                      <w:color w:val="auto"/>
                      <w:kern w:val="2"/>
                      <w:sz w:val="21"/>
                      <w:szCs w:val="21"/>
                      <w:highlight w:val="none"/>
                      <w:lang w:val="en-US" w:eastAsia="zh-CN"/>
                    </w:rPr>
                    <w:t>饮食业油烟排放标准</w:t>
                  </w:r>
                  <w:r>
                    <w:rPr>
                      <w:rFonts w:hint="eastAsia" w:ascii="Times New Roman" w:hAnsi="Times New Roman" w:eastAsia="宋体" w:cs="Times New Roman"/>
                      <w:b w:val="0"/>
                      <w:bCs w:val="0"/>
                      <w:color w:val="auto"/>
                      <w:kern w:val="2"/>
                      <w:sz w:val="21"/>
                      <w:szCs w:val="21"/>
                      <w:highlight w:val="none"/>
                      <w:lang w:val="en-US" w:eastAsia="zh-CN"/>
                    </w:rPr>
                    <w:t>（</w:t>
                  </w:r>
                  <w:r>
                    <w:rPr>
                      <w:rFonts w:hint="default" w:ascii="Times New Roman" w:hAnsi="Times New Roman" w:eastAsia="宋体" w:cs="Times New Roman"/>
                      <w:b w:val="0"/>
                      <w:bCs w:val="0"/>
                      <w:color w:val="auto"/>
                      <w:kern w:val="2"/>
                      <w:sz w:val="21"/>
                      <w:szCs w:val="21"/>
                      <w:highlight w:val="none"/>
                      <w:lang w:val="en-US" w:eastAsia="zh-CN"/>
                    </w:rPr>
                    <w:t>试行</w:t>
                  </w:r>
                  <w:r>
                    <w:rPr>
                      <w:rFonts w:hint="eastAsia" w:ascii="Times New Roman" w:hAnsi="Times New Roman" w:eastAsia="宋体" w:cs="Times New Roman"/>
                      <w:b w:val="0"/>
                      <w:bCs w:val="0"/>
                      <w:color w:val="auto"/>
                      <w:kern w:val="2"/>
                      <w:sz w:val="21"/>
                      <w:szCs w:val="21"/>
                      <w:highlight w:val="none"/>
                      <w:lang w:val="en-US" w:eastAsia="zh-CN"/>
                    </w:rPr>
                    <w:t>）</w:t>
                  </w:r>
                  <w:r>
                    <w:rPr>
                      <w:rFonts w:hint="default" w:ascii="Times New Roman" w:hAnsi="Times New Roman" w:eastAsia="宋体" w:cs="Times New Roman"/>
                      <w:b w:val="0"/>
                      <w:bCs w:val="0"/>
                      <w:color w:val="auto"/>
                      <w:kern w:val="2"/>
                      <w:sz w:val="21"/>
                      <w:szCs w:val="21"/>
                      <w:highlight w:val="none"/>
                      <w:lang w:val="en-US" w:eastAsia="zh-CN"/>
                    </w:rPr>
                    <w:t>》</w:t>
                  </w:r>
                  <w:r>
                    <w:rPr>
                      <w:rFonts w:hint="eastAsia" w:ascii="Times New Roman" w:hAnsi="Times New Roman" w:eastAsia="宋体" w:cs="Times New Roman"/>
                      <w:b w:val="0"/>
                      <w:bCs w:val="0"/>
                      <w:color w:val="auto"/>
                      <w:kern w:val="2"/>
                      <w:sz w:val="21"/>
                      <w:szCs w:val="21"/>
                      <w:highlight w:val="none"/>
                      <w:lang w:val="en-US" w:eastAsia="zh-CN"/>
                    </w:rPr>
                    <w:t>（</w:t>
                  </w:r>
                  <w:r>
                    <w:rPr>
                      <w:rFonts w:hint="default" w:ascii="Times New Roman" w:hAnsi="Times New Roman" w:eastAsia="宋体" w:cs="Times New Roman"/>
                      <w:b w:val="0"/>
                      <w:bCs w:val="0"/>
                      <w:color w:val="auto"/>
                      <w:kern w:val="2"/>
                      <w:sz w:val="21"/>
                      <w:szCs w:val="21"/>
                      <w:highlight w:val="none"/>
                      <w:lang w:val="en-US" w:eastAsia="zh-CN"/>
                    </w:rPr>
                    <w:t>GB18483-2001</w:t>
                  </w:r>
                  <w:r>
                    <w:rPr>
                      <w:rFonts w:hint="eastAsia" w:ascii="Times New Roman" w:hAnsi="Times New Roman" w:eastAsia="宋体" w:cs="Times New Roman"/>
                      <w:b w:val="0"/>
                      <w:bCs w:val="0"/>
                      <w:color w:val="auto"/>
                      <w:kern w:val="2"/>
                      <w:sz w:val="21"/>
                      <w:szCs w:val="21"/>
                      <w:highlight w:val="none"/>
                      <w:lang w:val="en-US" w:eastAsia="zh-CN"/>
                    </w:rPr>
                    <w:t>）</w:t>
                  </w:r>
                </w:p>
              </w:tc>
            </w:tr>
            <w:tr w14:paraId="4EBF7A1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6" w:type="pct"/>
                  <w:vMerge w:val="continue"/>
                  <w:tcBorders>
                    <w:tl2br w:val="nil"/>
                    <w:tr2bl w:val="nil"/>
                  </w:tcBorders>
                  <w:noWrap w:val="0"/>
                  <w:vAlign w:val="center"/>
                </w:tcPr>
                <w:p w14:paraId="4FF7B5A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p>
              </w:tc>
              <w:tc>
                <w:tcPr>
                  <w:tcW w:w="710" w:type="pct"/>
                  <w:tcBorders>
                    <w:tl2br w:val="nil"/>
                    <w:tr2bl w:val="nil"/>
                  </w:tcBorders>
                  <w:noWrap w:val="0"/>
                  <w:vAlign w:val="center"/>
                </w:tcPr>
                <w:p w14:paraId="54176817">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厂界</w:t>
                  </w:r>
                </w:p>
              </w:tc>
              <w:tc>
                <w:tcPr>
                  <w:tcW w:w="658" w:type="pct"/>
                  <w:tcBorders>
                    <w:tl2br w:val="nil"/>
                    <w:tr2bl w:val="nil"/>
                  </w:tcBorders>
                  <w:noWrap w:val="0"/>
                  <w:vAlign w:val="center"/>
                </w:tcPr>
                <w:p w14:paraId="4F2403CE">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Cs w:val="21"/>
                      <w:highlight w:val="none"/>
                    </w:rPr>
                  </w:pPr>
                  <w:r>
                    <w:rPr>
                      <w:rFonts w:hint="default" w:ascii="Times New Roman" w:hAnsi="Times New Roman" w:eastAsia="宋体" w:cs="Times New Roman"/>
                      <w:bCs/>
                      <w:color w:val="auto"/>
                      <w:szCs w:val="21"/>
                      <w:highlight w:val="none"/>
                    </w:rPr>
                    <w:t>颗粒物、非甲烷总烃</w:t>
                  </w:r>
                </w:p>
              </w:tc>
              <w:tc>
                <w:tcPr>
                  <w:tcW w:w="712" w:type="pct"/>
                  <w:tcBorders>
                    <w:tl2br w:val="nil"/>
                    <w:tr2bl w:val="nil"/>
                  </w:tcBorders>
                  <w:noWrap w:val="0"/>
                  <w:vAlign w:val="center"/>
                </w:tcPr>
                <w:p w14:paraId="19CC10B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1次/年</w:t>
                  </w:r>
                </w:p>
              </w:tc>
              <w:tc>
                <w:tcPr>
                  <w:tcW w:w="2262" w:type="pct"/>
                  <w:tcBorders>
                    <w:tl2br w:val="nil"/>
                    <w:tr2bl w:val="nil"/>
                  </w:tcBorders>
                  <w:noWrap w:val="0"/>
                  <w:vAlign w:val="center"/>
                </w:tcPr>
                <w:p w14:paraId="574738A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bidi="ar"/>
                    </w:rPr>
                    <w:t>《</w:t>
                  </w:r>
                  <w:r>
                    <w:rPr>
                      <w:rFonts w:hint="eastAsia" w:cs="Times New Roman"/>
                      <w:color w:val="auto"/>
                      <w:szCs w:val="21"/>
                      <w:highlight w:val="none"/>
                      <w:lang w:eastAsia="zh-CN" w:bidi="ar"/>
                    </w:rPr>
                    <w:t>大气污染物综合排放标准</w:t>
                  </w:r>
                  <w:r>
                    <w:rPr>
                      <w:rFonts w:hint="default" w:ascii="Times New Roman" w:hAnsi="Times New Roman" w:eastAsia="宋体" w:cs="Times New Roman"/>
                      <w:color w:val="auto"/>
                      <w:szCs w:val="21"/>
                      <w:highlight w:val="none"/>
                      <w:lang w:bidi="ar"/>
                    </w:rPr>
                    <w:t>》（GB16297-1996）表2无组织排放监控浓度限值</w:t>
                  </w:r>
                </w:p>
              </w:tc>
            </w:tr>
            <w:tr w14:paraId="034381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656" w:type="pct"/>
                  <w:vMerge w:val="continue"/>
                  <w:tcBorders>
                    <w:tl2br w:val="nil"/>
                    <w:tr2bl w:val="nil"/>
                  </w:tcBorders>
                  <w:noWrap w:val="0"/>
                  <w:vAlign w:val="center"/>
                </w:tcPr>
                <w:p w14:paraId="6F3D76E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p>
              </w:tc>
              <w:tc>
                <w:tcPr>
                  <w:tcW w:w="710" w:type="pct"/>
                  <w:tcBorders>
                    <w:tl2br w:val="nil"/>
                    <w:tr2bl w:val="nil"/>
                  </w:tcBorders>
                  <w:noWrap w:val="0"/>
                  <w:vAlign w:val="center"/>
                </w:tcPr>
                <w:p w14:paraId="67A1EC87">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厂房外</w:t>
                  </w:r>
                </w:p>
              </w:tc>
              <w:tc>
                <w:tcPr>
                  <w:tcW w:w="658" w:type="pct"/>
                  <w:tcBorders>
                    <w:tl2br w:val="nil"/>
                    <w:tr2bl w:val="nil"/>
                  </w:tcBorders>
                  <w:noWrap w:val="0"/>
                  <w:vAlign w:val="center"/>
                </w:tcPr>
                <w:p w14:paraId="1E00071D">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Cs w:val="21"/>
                      <w:highlight w:val="none"/>
                      <w:lang w:eastAsia="zh-CN"/>
                    </w:rPr>
                  </w:pPr>
                  <w:r>
                    <w:rPr>
                      <w:rFonts w:hint="default" w:ascii="Times New Roman" w:hAnsi="Times New Roman" w:eastAsia="宋体" w:cs="Times New Roman"/>
                      <w:bCs/>
                      <w:color w:val="auto"/>
                      <w:szCs w:val="21"/>
                      <w:highlight w:val="none"/>
                      <w:lang w:eastAsia="zh-CN"/>
                    </w:rPr>
                    <w:t>非甲烷总烃</w:t>
                  </w:r>
                </w:p>
              </w:tc>
              <w:tc>
                <w:tcPr>
                  <w:tcW w:w="712" w:type="pct"/>
                  <w:tcBorders>
                    <w:tl2br w:val="nil"/>
                    <w:tr2bl w:val="nil"/>
                  </w:tcBorders>
                  <w:noWrap w:val="0"/>
                  <w:vAlign w:val="center"/>
                </w:tcPr>
                <w:p w14:paraId="7A38CAA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1次/年</w:t>
                  </w:r>
                </w:p>
              </w:tc>
              <w:tc>
                <w:tcPr>
                  <w:tcW w:w="2262" w:type="pct"/>
                  <w:tcBorders>
                    <w:tl2br w:val="nil"/>
                    <w:tr2bl w:val="nil"/>
                  </w:tcBorders>
                  <w:noWrap w:val="0"/>
                  <w:vAlign w:val="center"/>
                </w:tcPr>
                <w:p w14:paraId="253C168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lang w:bidi="ar"/>
                    </w:rPr>
                  </w:pPr>
                  <w:r>
                    <w:rPr>
                      <w:rFonts w:hint="default" w:ascii="Times New Roman" w:hAnsi="Times New Roman" w:eastAsia="宋体" w:cs="Times New Roman"/>
                      <w:color w:val="auto"/>
                      <w:szCs w:val="21"/>
                      <w:highlight w:val="none"/>
                      <w:lang w:val="en-US" w:eastAsia="zh-CN" w:bidi="ar"/>
                    </w:rPr>
                    <w:t>《挥发性有机物无组织排放控制标准》（GB 37822—2019）</w:t>
                  </w:r>
                </w:p>
              </w:tc>
            </w:tr>
          </w:tbl>
          <w:p w14:paraId="50EE404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2" w:firstLineChars="200"/>
              <w:jc w:val="both"/>
              <w:textAlignment w:val="auto"/>
              <w:rPr>
                <w:rFonts w:hint="default"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1.7 废气影响分析</w:t>
            </w:r>
          </w:p>
          <w:p w14:paraId="2CC21D32">
            <w:pPr>
              <w:keepNext w:val="0"/>
              <w:keepLines w:val="0"/>
              <w:suppressLineNumbers w:val="0"/>
              <w:adjustRightInd w:val="0"/>
              <w:snapToGrid w:val="0"/>
              <w:spacing w:before="0" w:beforeAutospacing="0" w:after="0" w:afterAutospacing="0" w:line="360" w:lineRule="auto"/>
              <w:ind w:left="0" w:right="0" w:firstLine="480" w:firstLineChars="200"/>
              <w:rPr>
                <w:rFonts w:hint="default" w:eastAsia="宋体" w:cs="Times New Roman"/>
                <w:color w:val="auto"/>
                <w:kern w:val="0"/>
                <w:sz w:val="24"/>
                <w:szCs w:val="24"/>
                <w:highlight w:val="none"/>
                <w:lang w:val="en-US" w:eastAsia="zh-CN" w:bidi="ar"/>
              </w:rPr>
            </w:pPr>
            <w:r>
              <w:rPr>
                <w:rFonts w:hint="default" w:ascii="Times New Roman" w:hAnsi="Times New Roman" w:cs="Times New Roman"/>
                <w:color w:val="auto"/>
                <w:kern w:val="0"/>
                <w:sz w:val="24"/>
                <w:szCs w:val="24"/>
                <w:highlight w:val="none"/>
                <w:lang w:bidi="ar"/>
              </w:rPr>
              <w:t>根据区域环境质量现状可知，本项目所在区域环境空气质量一般，厂界外周边500m范围内</w:t>
            </w:r>
            <w:r>
              <w:rPr>
                <w:rFonts w:hint="eastAsia" w:ascii="Times New Roman" w:hAnsi="Times New Roman" w:cs="Times New Roman"/>
                <w:color w:val="auto"/>
                <w:kern w:val="0"/>
                <w:sz w:val="24"/>
                <w:szCs w:val="24"/>
                <w:highlight w:val="none"/>
                <w:lang w:val="en-US" w:eastAsia="zh-CN" w:bidi="ar"/>
              </w:rPr>
              <w:t>大气</w:t>
            </w:r>
            <w:r>
              <w:rPr>
                <w:rFonts w:hint="eastAsia" w:ascii="Times New Roman" w:hAnsi="Times New Roman" w:cs="Times New Roman"/>
                <w:color w:val="auto"/>
                <w:kern w:val="0"/>
                <w:sz w:val="24"/>
                <w:szCs w:val="24"/>
                <w:highlight w:val="none"/>
                <w:lang w:bidi="ar"/>
              </w:rPr>
              <w:t>保护目标为</w:t>
            </w:r>
            <w:r>
              <w:rPr>
                <w:rFonts w:hint="eastAsia" w:ascii="Times New Roman" w:hAnsi="Times New Roman" w:cs="Times New Roman"/>
                <w:color w:val="auto"/>
                <w:kern w:val="0"/>
                <w:sz w:val="24"/>
                <w:szCs w:val="24"/>
                <w:highlight w:val="none"/>
                <w:lang w:val="en-US" w:eastAsia="zh-CN" w:bidi="ar"/>
              </w:rPr>
              <w:t>小哈拉哈</w:t>
            </w:r>
            <w:r>
              <w:rPr>
                <w:rFonts w:hint="eastAsia" w:ascii="Times New Roman" w:hAnsi="Times New Roman" w:eastAsia="宋体" w:cs="Times New Roman"/>
                <w:color w:val="auto"/>
                <w:kern w:val="0"/>
                <w:sz w:val="24"/>
                <w:szCs w:val="24"/>
                <w:highlight w:val="none"/>
                <w:lang w:val="en-US" w:eastAsia="zh-CN" w:bidi="ar"/>
              </w:rPr>
              <w:t>村</w:t>
            </w:r>
            <w:r>
              <w:rPr>
                <w:rFonts w:hint="eastAsia" w:ascii="Times New Roman" w:hAnsi="Times New Roman" w:eastAsia="宋体" w:cs="Times New Roman"/>
                <w:color w:val="auto"/>
                <w:kern w:val="0"/>
                <w:sz w:val="24"/>
                <w:szCs w:val="24"/>
                <w:highlight w:val="none"/>
                <w:lang w:bidi="ar"/>
              </w:rPr>
              <w:t>。</w:t>
            </w:r>
            <w:r>
              <w:rPr>
                <w:rFonts w:hint="eastAsia" w:ascii="Times New Roman" w:hAnsi="Times New Roman" w:eastAsia="宋体" w:cs="Times New Roman"/>
                <w:color w:val="auto"/>
                <w:kern w:val="0"/>
                <w:sz w:val="24"/>
                <w:szCs w:val="24"/>
                <w:highlight w:val="none"/>
                <w:lang w:val="en-US" w:eastAsia="zh-CN" w:bidi="ar"/>
              </w:rPr>
              <w:t>根据分析结果，</w:t>
            </w:r>
            <w:r>
              <w:rPr>
                <w:rFonts w:hint="eastAsia" w:ascii="Times New Roman" w:hAnsi="Times New Roman" w:cs="Times New Roman"/>
                <w:color w:val="auto"/>
                <w:kern w:val="0"/>
                <w:sz w:val="24"/>
                <w:szCs w:val="24"/>
                <w:highlight w:val="none"/>
                <w:lang w:val="en-US" w:eastAsia="zh-CN" w:bidi="ar"/>
              </w:rPr>
              <w:t>项目运营期产生的废气污染物</w:t>
            </w:r>
            <w:r>
              <w:rPr>
                <w:rFonts w:hint="default" w:ascii="Times New Roman" w:hAnsi="Times New Roman" w:cs="Times New Roman"/>
                <w:color w:val="auto"/>
                <w:kern w:val="0"/>
                <w:sz w:val="24"/>
                <w:szCs w:val="24"/>
                <w:highlight w:val="none"/>
                <w:lang w:bidi="ar"/>
              </w:rPr>
              <w:t>经可行的治理设施处理后</w:t>
            </w:r>
            <w:r>
              <w:rPr>
                <w:rFonts w:hint="eastAsia" w:ascii="Times New Roman" w:hAnsi="Times New Roman" w:cs="Times New Roman"/>
                <w:color w:val="auto"/>
                <w:kern w:val="0"/>
                <w:sz w:val="24"/>
                <w:szCs w:val="24"/>
                <w:highlight w:val="none"/>
                <w:lang w:val="en-US" w:eastAsia="zh-CN" w:bidi="ar"/>
              </w:rPr>
              <w:t>可实现</w:t>
            </w:r>
            <w:r>
              <w:rPr>
                <w:rFonts w:hint="default" w:ascii="Times New Roman" w:hAnsi="Times New Roman" w:cs="Times New Roman"/>
                <w:color w:val="auto"/>
                <w:kern w:val="0"/>
                <w:sz w:val="24"/>
                <w:szCs w:val="24"/>
                <w:highlight w:val="none"/>
                <w:lang w:bidi="ar"/>
              </w:rPr>
              <w:t>达标排放</w:t>
            </w:r>
            <w:r>
              <w:rPr>
                <w:rFonts w:hint="eastAsia" w:ascii="Times New Roman" w:hAnsi="Times New Roman" w:eastAsia="宋体" w:cs="Times New Roman"/>
                <w:color w:val="auto"/>
                <w:kern w:val="0"/>
                <w:sz w:val="24"/>
                <w:szCs w:val="24"/>
                <w:highlight w:val="none"/>
                <w:lang w:val="en-US" w:eastAsia="zh-CN" w:bidi="ar"/>
              </w:rPr>
              <w:t>，为确保项目运营期间不会影响到</w:t>
            </w:r>
            <w:r>
              <w:rPr>
                <w:rFonts w:hint="eastAsia" w:cs="Times New Roman"/>
                <w:color w:val="auto"/>
                <w:kern w:val="0"/>
                <w:sz w:val="24"/>
                <w:szCs w:val="24"/>
                <w:highlight w:val="none"/>
                <w:lang w:val="en-US" w:eastAsia="zh-CN" w:bidi="ar"/>
              </w:rPr>
              <w:t>范围内环大气环境保护目标</w:t>
            </w:r>
            <w:r>
              <w:rPr>
                <w:rFonts w:hint="eastAsia" w:ascii="Times New Roman" w:hAnsi="Times New Roman" w:eastAsia="宋体" w:cs="Times New Roman"/>
                <w:color w:val="auto"/>
                <w:kern w:val="0"/>
                <w:sz w:val="24"/>
                <w:szCs w:val="24"/>
                <w:highlight w:val="none"/>
                <w:lang w:val="en-US" w:eastAsia="zh-CN" w:bidi="ar"/>
              </w:rPr>
              <w:t>，本评价建议建设单位</w:t>
            </w:r>
            <w:r>
              <w:rPr>
                <w:rFonts w:hint="eastAsia" w:cs="Times New Roman"/>
                <w:color w:val="auto"/>
                <w:kern w:val="0"/>
                <w:sz w:val="24"/>
                <w:szCs w:val="24"/>
                <w:highlight w:val="none"/>
                <w:lang w:val="en-US" w:eastAsia="zh-CN" w:bidi="ar"/>
              </w:rPr>
              <w:t>强化</w:t>
            </w:r>
            <w:r>
              <w:rPr>
                <w:rFonts w:hint="eastAsia" w:ascii="Times New Roman" w:hAnsi="Times New Roman" w:eastAsia="宋体" w:cs="Times New Roman"/>
                <w:color w:val="auto"/>
                <w:kern w:val="0"/>
                <w:sz w:val="24"/>
                <w:szCs w:val="24"/>
                <w:highlight w:val="none"/>
                <w:lang w:val="en-US" w:eastAsia="zh-CN" w:bidi="ar"/>
              </w:rPr>
              <w:t>对废气治理设施的运行管理，通过对废气排气筒增加防尘罩等措施进一步降低废气对周围环境的影响。</w:t>
            </w:r>
          </w:p>
          <w:p w14:paraId="62270F3A">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b/>
                <w:bCs/>
                <w:color w:val="auto"/>
                <w:kern w:val="2"/>
                <w:sz w:val="24"/>
                <w:szCs w:val="24"/>
                <w:highlight w:val="none"/>
                <w:lang w:val="en-US" w:eastAsia="zh-CN" w:bidi="ar-SA"/>
              </w:rPr>
            </w:pPr>
            <w:r>
              <w:rPr>
                <w:rFonts w:hint="eastAsia" w:cs="Times New Roman"/>
                <w:color w:val="auto"/>
                <w:kern w:val="0"/>
                <w:sz w:val="24"/>
                <w:szCs w:val="24"/>
                <w:highlight w:val="none"/>
                <w:lang w:val="en-US" w:eastAsia="zh-CN" w:bidi="ar"/>
              </w:rPr>
              <w:t>综上，在采取相应的废气治理设施后，</w:t>
            </w:r>
            <w:r>
              <w:rPr>
                <w:rFonts w:hint="default" w:ascii="Times New Roman" w:hAnsi="Times New Roman" w:cs="Times New Roman"/>
                <w:color w:val="auto"/>
                <w:kern w:val="0"/>
                <w:sz w:val="24"/>
                <w:szCs w:val="24"/>
                <w:highlight w:val="none"/>
                <w:lang w:bidi="ar"/>
              </w:rPr>
              <w:t>项目建成后不会对周边大气环境</w:t>
            </w:r>
            <w:r>
              <w:rPr>
                <w:rFonts w:hint="eastAsia" w:ascii="Times New Roman" w:hAnsi="Times New Roman" w:cs="Times New Roman"/>
                <w:color w:val="auto"/>
                <w:kern w:val="0"/>
                <w:sz w:val="24"/>
                <w:szCs w:val="24"/>
                <w:highlight w:val="none"/>
                <w:lang w:val="en-US" w:eastAsia="zh-CN" w:bidi="ar"/>
              </w:rPr>
              <w:t>及保护目标</w:t>
            </w:r>
            <w:r>
              <w:rPr>
                <w:rFonts w:hint="default" w:ascii="Times New Roman" w:hAnsi="Times New Roman" w:cs="Times New Roman"/>
                <w:color w:val="auto"/>
                <w:kern w:val="0"/>
                <w:sz w:val="24"/>
                <w:szCs w:val="24"/>
                <w:highlight w:val="none"/>
                <w:lang w:bidi="ar"/>
              </w:rPr>
              <w:t>造成明显影响。</w:t>
            </w:r>
          </w:p>
          <w:p w14:paraId="2DFB7BB7">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20" w:leftChars="200" w:right="0" w:rightChars="0"/>
              <w:textAlignment w:val="auto"/>
              <w:rPr>
                <w:rFonts w:hint="eastAsia" w:ascii="Times New Roman" w:hAnsi="Times New Roman" w:eastAsia="宋体"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2、</w:t>
            </w:r>
            <w:r>
              <w:rPr>
                <w:rFonts w:hint="eastAsia" w:ascii="Times New Roman" w:hAnsi="Times New Roman" w:eastAsia="宋体" w:cs="Times New Roman"/>
                <w:b/>
                <w:bCs/>
                <w:color w:val="auto"/>
                <w:kern w:val="2"/>
                <w:sz w:val="24"/>
                <w:szCs w:val="24"/>
                <w:highlight w:val="none"/>
                <w:lang w:val="en-US" w:eastAsia="zh-CN" w:bidi="ar-SA"/>
              </w:rPr>
              <w:t>运营期废水环境影响分析及保护措施</w:t>
            </w:r>
          </w:p>
          <w:p w14:paraId="3EDAAF6E">
            <w:pPr>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color w:val="auto"/>
                <w:sz w:val="24"/>
                <w:highlight w:val="none"/>
                <w:shd w:val="clear" w:color="auto" w:fill="FFFFFF"/>
              </w:rPr>
            </w:pPr>
            <w:r>
              <w:rPr>
                <w:rFonts w:hint="default" w:ascii="Times New Roman" w:hAnsi="Times New Roman" w:cs="Times New Roman"/>
                <w:color w:val="auto"/>
                <w:sz w:val="24"/>
                <w:highlight w:val="none"/>
                <w:shd w:val="clear" w:color="auto" w:fill="FFFFFF"/>
              </w:rPr>
              <w:t>本项目不对报废机动车进行清洗，无车辆清洗废水产生；</w:t>
            </w:r>
            <w:r>
              <w:rPr>
                <w:rFonts w:hint="default" w:ascii="Times New Roman" w:hAnsi="Times New Roman" w:cs="Times New Roman"/>
                <w:color w:val="auto"/>
                <w:sz w:val="24"/>
                <w:highlight w:val="none"/>
                <w:shd w:val="clear" w:color="auto" w:fill="FFFFFF"/>
                <w:lang w:eastAsia="zh-CN"/>
              </w:rPr>
              <w:t>项目</w:t>
            </w:r>
            <w:r>
              <w:rPr>
                <w:rFonts w:hint="default" w:ascii="Times New Roman" w:hAnsi="Times New Roman" w:cs="Times New Roman"/>
                <w:color w:val="auto"/>
                <w:sz w:val="24"/>
                <w:highlight w:val="none"/>
                <w:shd w:val="clear" w:color="auto" w:fill="FFFFFF"/>
              </w:rPr>
              <w:t>废水主要为地面</w:t>
            </w:r>
            <w:r>
              <w:rPr>
                <w:rFonts w:hint="eastAsia" w:ascii="Times New Roman" w:hAnsi="Times New Roman" w:cs="Times New Roman"/>
                <w:color w:val="auto"/>
                <w:sz w:val="24"/>
                <w:highlight w:val="none"/>
                <w:shd w:val="clear" w:color="auto" w:fill="FFFFFF"/>
                <w:lang w:val="en-US" w:eastAsia="zh-CN"/>
              </w:rPr>
              <w:t>清洗</w:t>
            </w:r>
            <w:r>
              <w:rPr>
                <w:rFonts w:hint="default" w:ascii="Times New Roman" w:hAnsi="Times New Roman" w:cs="Times New Roman"/>
                <w:color w:val="auto"/>
                <w:sz w:val="24"/>
                <w:highlight w:val="none"/>
                <w:shd w:val="clear" w:color="auto" w:fill="FFFFFF"/>
              </w:rPr>
              <w:t>废水、初期雨水和生活污水。</w:t>
            </w:r>
          </w:p>
          <w:p w14:paraId="3766D841">
            <w:pPr>
              <w:keepNext w:val="0"/>
              <w:keepLines w:val="0"/>
              <w:widowControl/>
              <w:suppressLineNumbers w:val="0"/>
              <w:spacing w:before="0" w:beforeAutospacing="0" w:after="0" w:afterAutospacing="0" w:line="360" w:lineRule="auto"/>
              <w:ind w:left="0" w:right="0" w:firstLine="480" w:firstLineChars="200"/>
              <w:rPr>
                <w:rFonts w:hint="eastAsia" w:ascii="Times New Roman" w:hAnsi="Times New Roman" w:cs="Times New Roman"/>
                <w:color w:val="auto"/>
                <w:sz w:val="24"/>
                <w:highlight w:val="none"/>
                <w:shd w:val="clear" w:color="auto" w:fill="FFFFFF"/>
              </w:rPr>
            </w:pPr>
            <w:r>
              <w:rPr>
                <w:rFonts w:hint="eastAsia" w:ascii="Times New Roman" w:hAnsi="Times New Roman" w:cs="Times New Roman"/>
                <w:color w:val="auto"/>
                <w:sz w:val="24"/>
                <w:highlight w:val="none"/>
                <w:shd w:val="clear" w:color="auto" w:fill="FFFFFF"/>
              </w:rPr>
              <w:t>初期雨水经初期雨水池收集后，经厂区内污水处理设施处</w:t>
            </w:r>
            <w:r>
              <w:rPr>
                <w:rFonts w:hint="eastAsia" w:cs="Times New Roman"/>
                <w:color w:val="auto"/>
                <w:sz w:val="24"/>
                <w:highlight w:val="none"/>
                <w:shd w:val="clear" w:color="auto" w:fill="FFFFFF"/>
                <w:lang w:eastAsia="zh-CN"/>
              </w:rPr>
              <w:t>理后</w:t>
            </w:r>
            <w:r>
              <w:rPr>
                <w:rFonts w:hint="eastAsia" w:ascii="Times New Roman" w:hAnsi="Times New Roman" w:cs="Times New Roman"/>
                <w:color w:val="auto"/>
                <w:sz w:val="24"/>
                <w:highlight w:val="none"/>
                <w:shd w:val="clear" w:color="auto" w:fill="FFFFFF"/>
              </w:rPr>
              <w:t>，由市政污水管网排入阜新市北控水务有限公司污水处理厂集中处理后排放</w:t>
            </w:r>
            <w:r>
              <w:rPr>
                <w:rFonts w:hint="eastAsia" w:ascii="Times New Roman" w:hAnsi="Times New Roman" w:cs="Times New Roman"/>
                <w:color w:val="auto"/>
                <w:sz w:val="24"/>
                <w:highlight w:val="none"/>
                <w:shd w:val="clear" w:color="auto" w:fill="FFFFFF"/>
                <w:lang w:eastAsia="zh-CN"/>
              </w:rPr>
              <w:t>；</w:t>
            </w:r>
            <w:r>
              <w:rPr>
                <w:rFonts w:hint="eastAsia" w:ascii="Times New Roman" w:hAnsi="Times New Roman" w:cs="Times New Roman"/>
                <w:color w:val="auto"/>
                <w:sz w:val="24"/>
                <w:highlight w:val="none"/>
                <w:shd w:val="clear" w:color="auto" w:fill="FFFFFF"/>
                <w:lang w:val="en-US" w:eastAsia="zh-CN"/>
              </w:rPr>
              <w:t>地面清洗废水经厂内污水处理设施处</w:t>
            </w:r>
            <w:r>
              <w:rPr>
                <w:rFonts w:hint="eastAsia" w:cs="Times New Roman"/>
                <w:color w:val="auto"/>
                <w:sz w:val="24"/>
                <w:highlight w:val="none"/>
                <w:shd w:val="clear" w:color="auto" w:fill="FFFFFF"/>
                <w:lang w:val="en-US" w:eastAsia="zh-CN"/>
              </w:rPr>
              <w:t>理后</w:t>
            </w:r>
            <w:r>
              <w:rPr>
                <w:rFonts w:hint="eastAsia" w:ascii="Times New Roman" w:hAnsi="Times New Roman" w:cs="Times New Roman"/>
                <w:color w:val="auto"/>
                <w:sz w:val="24"/>
                <w:highlight w:val="none"/>
                <w:shd w:val="clear" w:color="auto" w:fill="FFFFFF"/>
                <w:lang w:val="en-US" w:eastAsia="zh-CN"/>
              </w:rPr>
              <w:t>，</w:t>
            </w:r>
            <w:r>
              <w:rPr>
                <w:rFonts w:hint="eastAsia" w:ascii="Times New Roman" w:hAnsi="Times New Roman" w:cs="Times New Roman"/>
                <w:color w:val="auto"/>
                <w:sz w:val="24"/>
                <w:highlight w:val="none"/>
                <w:shd w:val="clear" w:color="auto" w:fill="FFFFFF"/>
              </w:rPr>
              <w:t>由市政污水管网排入阜新市北控水务有限公司污水处理厂集中处理后排放</w:t>
            </w:r>
            <w:r>
              <w:rPr>
                <w:rFonts w:hint="eastAsia" w:ascii="Times New Roman" w:hAnsi="Times New Roman" w:cs="Times New Roman"/>
                <w:color w:val="auto"/>
                <w:sz w:val="24"/>
                <w:highlight w:val="none"/>
                <w:shd w:val="clear" w:color="auto" w:fill="FFFFFF"/>
                <w:lang w:eastAsia="zh-CN"/>
              </w:rPr>
              <w:t>；</w:t>
            </w:r>
            <w:r>
              <w:rPr>
                <w:rFonts w:hint="eastAsia" w:ascii="Times New Roman" w:hAnsi="Times New Roman" w:cs="Times New Roman"/>
                <w:color w:val="auto"/>
                <w:sz w:val="24"/>
                <w:highlight w:val="none"/>
                <w:shd w:val="clear" w:color="auto" w:fill="FFFFFF"/>
              </w:rPr>
              <w:t>餐饮废水经隔油池处理后，与生活污水经化粪池处理后，由市政污水管网排入阜新市北控水务有限公司污水处理厂集中处理。根据水平衡，本项目全厂废水排放量为</w:t>
            </w:r>
            <w:r>
              <w:rPr>
                <w:rFonts w:hint="eastAsia" w:cs="Times New Roman"/>
                <w:color w:val="auto"/>
                <w:sz w:val="24"/>
                <w:highlight w:val="none"/>
                <w:shd w:val="clear" w:color="auto" w:fill="FFFFFF"/>
                <w:lang w:val="en-US" w:eastAsia="zh-CN"/>
              </w:rPr>
              <w:t>523.25</w:t>
            </w:r>
            <w:r>
              <w:rPr>
                <w:rFonts w:hint="eastAsia" w:ascii="Times New Roman" w:hAnsi="Times New Roman" w:cs="Times New Roman"/>
                <w:color w:val="auto"/>
                <w:sz w:val="24"/>
                <w:highlight w:val="none"/>
                <w:shd w:val="clear" w:color="auto" w:fill="FFFFFF"/>
                <w:lang w:val="en-US" w:eastAsia="zh-CN"/>
              </w:rPr>
              <w:t>m</w:t>
            </w:r>
            <w:r>
              <w:rPr>
                <w:rFonts w:hint="eastAsia" w:ascii="Times New Roman" w:hAnsi="Times New Roman" w:cs="Times New Roman"/>
                <w:color w:val="auto"/>
                <w:sz w:val="24"/>
                <w:highlight w:val="none"/>
                <w:shd w:val="clear" w:color="auto" w:fill="FFFFFF"/>
                <w:vertAlign w:val="superscript"/>
                <w:lang w:val="en-US" w:eastAsia="zh-CN"/>
              </w:rPr>
              <w:t>3</w:t>
            </w:r>
            <w:r>
              <w:rPr>
                <w:rFonts w:hint="eastAsia" w:ascii="Times New Roman" w:hAnsi="Times New Roman" w:cs="Times New Roman"/>
                <w:color w:val="auto"/>
                <w:sz w:val="24"/>
                <w:highlight w:val="none"/>
                <w:shd w:val="clear" w:color="auto" w:fill="FFFFFF"/>
              </w:rPr>
              <w:t>/a。</w:t>
            </w:r>
          </w:p>
          <w:p w14:paraId="47446B39">
            <w:pPr>
              <w:keepNext w:val="0"/>
              <w:keepLines w:val="0"/>
              <w:widowControl/>
              <w:suppressLineNumbers w:val="0"/>
              <w:spacing w:before="0" w:beforeAutospacing="0" w:after="0" w:afterAutospacing="0" w:line="360" w:lineRule="auto"/>
              <w:ind w:left="0" w:right="0" w:firstLine="480" w:firstLineChars="200"/>
              <w:rPr>
                <w:rFonts w:hint="default" w:ascii="Times New Roman" w:hAnsi="Times New Roman" w:cs="Times New Roman"/>
                <w:b/>
                <w:bCs/>
                <w:color w:val="auto"/>
                <w:kern w:val="0"/>
                <w:highlight w:val="none"/>
              </w:rPr>
            </w:pPr>
            <w:r>
              <w:rPr>
                <w:rFonts w:hint="eastAsia" w:ascii="Times New Roman" w:hAnsi="Times New Roman" w:cs="Times New Roman"/>
                <w:color w:val="auto"/>
                <w:sz w:val="24"/>
                <w:highlight w:val="none"/>
                <w:shd w:val="clear" w:color="auto" w:fill="FFFFFF"/>
              </w:rPr>
              <w:t>本项目废水污染物产生及排放情况详见</w:t>
            </w:r>
            <w:r>
              <w:rPr>
                <w:rFonts w:hint="eastAsia" w:ascii="Times New Roman" w:hAnsi="Times New Roman" w:cs="Times New Roman"/>
                <w:color w:val="auto"/>
                <w:sz w:val="24"/>
                <w:highlight w:val="none"/>
                <w:shd w:val="clear" w:color="auto" w:fill="FFFFFF"/>
                <w:lang w:val="en-US" w:eastAsia="zh-CN"/>
              </w:rPr>
              <w:t>下</w:t>
            </w:r>
            <w:r>
              <w:rPr>
                <w:rFonts w:hint="eastAsia" w:ascii="Times New Roman" w:hAnsi="Times New Roman" w:cs="Times New Roman"/>
                <w:color w:val="auto"/>
                <w:sz w:val="24"/>
                <w:highlight w:val="none"/>
                <w:shd w:val="clear" w:color="auto" w:fill="FFFFFF"/>
              </w:rPr>
              <w:t>表。</w:t>
            </w:r>
          </w:p>
          <w:p w14:paraId="7611D605">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jc w:val="center"/>
              <w:textAlignment w:val="auto"/>
              <w:rPr>
                <w:rFonts w:hint="default" w:ascii="Times New Roman" w:hAnsi="Times New Roman" w:cs="Times New Roman"/>
                <w:b/>
                <w:bCs/>
                <w:color w:val="auto"/>
                <w:kern w:val="0"/>
                <w:highlight w:val="none"/>
              </w:rPr>
            </w:pPr>
            <w:r>
              <w:rPr>
                <w:rFonts w:hint="default" w:ascii="Times New Roman" w:hAnsi="Times New Roman" w:cs="Times New Roman"/>
                <w:b/>
                <w:bCs/>
                <w:color w:val="auto"/>
                <w:kern w:val="0"/>
                <w:highlight w:val="none"/>
              </w:rPr>
              <w:t>表4-</w:t>
            </w:r>
            <w:r>
              <w:rPr>
                <w:rFonts w:hint="eastAsia" w:ascii="Times New Roman" w:hAnsi="Times New Roman" w:cs="Times New Roman"/>
                <w:b/>
                <w:bCs/>
                <w:color w:val="auto"/>
                <w:kern w:val="0"/>
                <w:highlight w:val="none"/>
                <w:lang w:val="en-US" w:eastAsia="zh-CN"/>
              </w:rPr>
              <w:t>1</w:t>
            </w:r>
            <w:r>
              <w:rPr>
                <w:rFonts w:hint="eastAsia" w:cs="Times New Roman"/>
                <w:b/>
                <w:bCs/>
                <w:color w:val="auto"/>
                <w:kern w:val="0"/>
                <w:highlight w:val="none"/>
                <w:lang w:val="en-US" w:eastAsia="zh-CN"/>
              </w:rPr>
              <w:t>4</w:t>
            </w:r>
            <w:r>
              <w:rPr>
                <w:rFonts w:hint="eastAsia" w:ascii="Times New Roman" w:hAnsi="Times New Roman" w:cs="Times New Roman"/>
                <w:b/>
                <w:bCs/>
                <w:color w:val="auto"/>
                <w:kern w:val="0"/>
                <w:highlight w:val="none"/>
              </w:rPr>
              <w:t xml:space="preserve"> </w:t>
            </w:r>
            <w:r>
              <w:rPr>
                <w:rFonts w:hint="default" w:ascii="Times New Roman" w:hAnsi="Times New Roman" w:cs="Times New Roman"/>
                <w:b/>
                <w:bCs/>
                <w:color w:val="auto"/>
                <w:kern w:val="0"/>
                <w:highlight w:val="none"/>
              </w:rPr>
              <w:t xml:space="preserve"> </w:t>
            </w:r>
            <w:r>
              <w:rPr>
                <w:rFonts w:hint="eastAsia" w:ascii="Times New Roman" w:hAnsi="Times New Roman" w:cs="Times New Roman"/>
                <w:b/>
                <w:bCs/>
                <w:color w:val="auto"/>
                <w:kern w:val="0"/>
                <w:highlight w:val="none"/>
                <w:lang w:val="en-US" w:eastAsia="zh-CN"/>
              </w:rPr>
              <w:t>废水</w:t>
            </w:r>
            <w:r>
              <w:rPr>
                <w:rFonts w:hint="eastAsia" w:ascii="Times New Roman" w:hAnsi="Times New Roman" w:eastAsia="宋体" w:cs="Times New Roman"/>
                <w:b/>
                <w:bCs/>
                <w:color w:val="auto"/>
                <w:kern w:val="2"/>
                <w:sz w:val="21"/>
                <w:szCs w:val="21"/>
                <w:highlight w:val="none"/>
                <w:lang w:val="en-US" w:eastAsia="zh-CN" w:bidi="ar-SA"/>
              </w:rPr>
              <w:t>污染物产排情况及处理措施一览表</w:t>
            </w:r>
          </w:p>
          <w:tbl>
            <w:tblPr>
              <w:tblStyle w:val="26"/>
              <w:tblW w:w="4998" w:type="pct"/>
              <w:tblInd w:w="0" w:type="dxa"/>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0" w:type="dxa"/>
                <w:bottom w:w="0" w:type="dxa"/>
                <w:right w:w="0" w:type="dxa"/>
              </w:tblCellMar>
            </w:tblPr>
            <w:tblGrid>
              <w:gridCol w:w="849"/>
              <w:gridCol w:w="544"/>
              <w:gridCol w:w="1118"/>
              <w:gridCol w:w="694"/>
              <w:gridCol w:w="734"/>
              <w:gridCol w:w="636"/>
              <w:gridCol w:w="650"/>
              <w:gridCol w:w="966"/>
              <w:gridCol w:w="898"/>
              <w:gridCol w:w="831"/>
              <w:gridCol w:w="1202"/>
            </w:tblGrid>
            <w:tr w14:paraId="2FC0DF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restart"/>
                  <w:tcBorders>
                    <w:tl2br w:val="nil"/>
                    <w:tr2bl w:val="nil"/>
                  </w:tcBorders>
                  <w:noWrap w:val="0"/>
                  <w:vAlign w:val="center"/>
                </w:tcPr>
                <w:p w14:paraId="7484F227">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废水类型</w:t>
                  </w:r>
                </w:p>
              </w:tc>
              <w:tc>
                <w:tcPr>
                  <w:tcW w:w="298" w:type="pct"/>
                  <w:vMerge w:val="restart"/>
                  <w:tcBorders>
                    <w:tl2br w:val="nil"/>
                    <w:tr2bl w:val="nil"/>
                  </w:tcBorders>
                  <w:noWrap w:val="0"/>
                  <w:vAlign w:val="center"/>
                </w:tcPr>
                <w:p w14:paraId="4EDAF315">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废水量</w:t>
                  </w:r>
                </w:p>
                <w:p w14:paraId="71BEDD0B">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t/a</w:t>
                  </w:r>
                </w:p>
              </w:tc>
              <w:tc>
                <w:tcPr>
                  <w:tcW w:w="612" w:type="pct"/>
                  <w:vMerge w:val="restart"/>
                  <w:tcBorders>
                    <w:tl2br w:val="nil"/>
                    <w:tr2bl w:val="nil"/>
                  </w:tcBorders>
                  <w:noWrap w:val="0"/>
                  <w:vAlign w:val="center"/>
                </w:tcPr>
                <w:p w14:paraId="0AA49B4B">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污染物</w:t>
                  </w:r>
                </w:p>
              </w:tc>
              <w:tc>
                <w:tcPr>
                  <w:tcW w:w="782" w:type="pct"/>
                  <w:gridSpan w:val="2"/>
                  <w:tcBorders>
                    <w:tl2br w:val="nil"/>
                    <w:tr2bl w:val="nil"/>
                  </w:tcBorders>
                  <w:noWrap w:val="0"/>
                  <w:vAlign w:val="center"/>
                </w:tcPr>
                <w:p w14:paraId="688C92FF">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产生情况</w:t>
                  </w:r>
                </w:p>
              </w:tc>
              <w:tc>
                <w:tcPr>
                  <w:tcW w:w="1233" w:type="pct"/>
                  <w:gridSpan w:val="3"/>
                  <w:tcBorders>
                    <w:tl2br w:val="nil"/>
                    <w:tr2bl w:val="nil"/>
                  </w:tcBorders>
                  <w:noWrap w:val="0"/>
                  <w:vAlign w:val="center"/>
                </w:tcPr>
                <w:p w14:paraId="048A5D7C">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eastAsia" w:ascii="Times New Roman" w:hAnsi="Times New Roman" w:cs="Times New Roman"/>
                      <w:b/>
                      <w:bCs/>
                      <w:color w:val="auto"/>
                      <w:sz w:val="18"/>
                      <w:szCs w:val="18"/>
                      <w:highlight w:val="none"/>
                      <w:lang w:val="en-US" w:eastAsia="zh-CN"/>
                    </w:rPr>
                    <w:t>治理措施</w:t>
                  </w:r>
                </w:p>
              </w:tc>
              <w:tc>
                <w:tcPr>
                  <w:tcW w:w="947" w:type="pct"/>
                  <w:gridSpan w:val="2"/>
                  <w:tcBorders>
                    <w:tl2br w:val="nil"/>
                    <w:tr2bl w:val="nil"/>
                  </w:tcBorders>
                  <w:noWrap w:val="0"/>
                  <w:vAlign w:val="center"/>
                </w:tcPr>
                <w:p w14:paraId="74CC5DD1">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排放情况</w:t>
                  </w:r>
                </w:p>
              </w:tc>
              <w:tc>
                <w:tcPr>
                  <w:tcW w:w="658" w:type="pct"/>
                  <w:vMerge w:val="restart"/>
                  <w:tcBorders>
                    <w:tl2br w:val="nil"/>
                    <w:tr2bl w:val="nil"/>
                  </w:tcBorders>
                  <w:noWrap w:val="0"/>
                  <w:vAlign w:val="center"/>
                </w:tcPr>
                <w:p w14:paraId="79A60E02">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排放去向</w:t>
                  </w:r>
                </w:p>
              </w:tc>
            </w:tr>
            <w:tr w14:paraId="70B00C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5299A3C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54B2AC5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vMerge w:val="continue"/>
                  <w:tcBorders>
                    <w:tl2br w:val="nil"/>
                    <w:tr2bl w:val="nil"/>
                  </w:tcBorders>
                  <w:noWrap w:val="0"/>
                  <w:vAlign w:val="center"/>
                </w:tcPr>
                <w:p w14:paraId="05BC2CF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380" w:type="pct"/>
                  <w:tcBorders>
                    <w:tl2br w:val="nil"/>
                    <w:tr2bl w:val="nil"/>
                  </w:tcBorders>
                  <w:noWrap w:val="0"/>
                  <w:vAlign w:val="center"/>
                </w:tcPr>
                <w:p w14:paraId="2983D2B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b/>
                      <w:bCs/>
                      <w:color w:val="auto"/>
                      <w:sz w:val="18"/>
                      <w:szCs w:val="18"/>
                      <w:highlight w:val="none"/>
                    </w:rPr>
                    <w:t>浓度 mg/L</w:t>
                  </w:r>
                </w:p>
              </w:tc>
              <w:tc>
                <w:tcPr>
                  <w:tcW w:w="402" w:type="pct"/>
                  <w:tcBorders>
                    <w:tl2br w:val="nil"/>
                    <w:tr2bl w:val="nil"/>
                  </w:tcBorders>
                  <w:noWrap w:val="0"/>
                  <w:vAlign w:val="center"/>
                </w:tcPr>
                <w:p w14:paraId="394C8F69">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产生量 t/a</w:t>
                  </w:r>
                </w:p>
              </w:tc>
              <w:tc>
                <w:tcPr>
                  <w:tcW w:w="348" w:type="pct"/>
                  <w:tcBorders>
                    <w:tl2br w:val="nil"/>
                    <w:tr2bl w:val="nil"/>
                  </w:tcBorders>
                  <w:noWrap w:val="0"/>
                  <w:vAlign w:val="center"/>
                </w:tcPr>
                <w:p w14:paraId="1E4B7D09">
                  <w:pPr>
                    <w:pStyle w:val="97"/>
                    <w:keepNext w:val="0"/>
                    <w:keepLines w:val="0"/>
                    <w:suppressLineNumbers w:val="0"/>
                    <w:spacing w:before="0" w:beforeAutospacing="0" w:after="0" w:afterAutospacing="0"/>
                    <w:ind w:left="0" w:right="0"/>
                    <w:rPr>
                      <w:rFonts w:hint="eastAsia" w:ascii="Times New Roman" w:hAnsi="Times New Roman" w:eastAsia="宋体" w:cs="Times New Roman"/>
                      <w:b/>
                      <w:bCs/>
                      <w:color w:val="auto"/>
                      <w:sz w:val="18"/>
                      <w:szCs w:val="18"/>
                      <w:highlight w:val="none"/>
                      <w:lang w:val="en-US" w:eastAsia="zh-CN"/>
                    </w:rPr>
                  </w:pPr>
                  <w:r>
                    <w:rPr>
                      <w:rFonts w:hint="eastAsia" w:ascii="Times New Roman" w:hAnsi="Times New Roman" w:cs="Times New Roman"/>
                      <w:b/>
                      <w:bCs/>
                      <w:color w:val="auto"/>
                      <w:sz w:val="18"/>
                      <w:szCs w:val="18"/>
                      <w:highlight w:val="none"/>
                      <w:lang w:val="en-US" w:eastAsia="zh-CN"/>
                    </w:rPr>
                    <w:t>工艺</w:t>
                  </w:r>
                </w:p>
              </w:tc>
              <w:tc>
                <w:tcPr>
                  <w:tcW w:w="356" w:type="pct"/>
                  <w:tcBorders>
                    <w:tl2br w:val="nil"/>
                    <w:tr2bl w:val="nil"/>
                  </w:tcBorders>
                  <w:noWrap w:val="0"/>
                  <w:vAlign w:val="center"/>
                </w:tcPr>
                <w:p w14:paraId="67F6A073">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lang w:val="en-US" w:eastAsia="zh-CN"/>
                    </w:rPr>
                  </w:pPr>
                  <w:r>
                    <w:rPr>
                      <w:rFonts w:hint="eastAsia" w:ascii="Times New Roman" w:hAnsi="Times New Roman" w:cs="Times New Roman"/>
                      <w:b/>
                      <w:bCs/>
                      <w:color w:val="auto"/>
                      <w:sz w:val="18"/>
                      <w:szCs w:val="18"/>
                      <w:highlight w:val="none"/>
                      <w:lang w:val="en-US" w:eastAsia="zh-CN"/>
                    </w:rPr>
                    <w:t>去除效率 %</w:t>
                  </w:r>
                </w:p>
              </w:tc>
              <w:tc>
                <w:tcPr>
                  <w:tcW w:w="529" w:type="pct"/>
                  <w:tcBorders>
                    <w:tl2br w:val="nil"/>
                    <w:tr2bl w:val="nil"/>
                  </w:tcBorders>
                  <w:noWrap w:val="0"/>
                  <w:vAlign w:val="center"/>
                </w:tcPr>
                <w:p w14:paraId="0D3D46FF">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lang w:val="en-US" w:eastAsia="zh-CN"/>
                    </w:rPr>
                  </w:pPr>
                  <w:r>
                    <w:rPr>
                      <w:rFonts w:hint="eastAsia" w:ascii="Times New Roman" w:hAnsi="Times New Roman" w:cs="Times New Roman"/>
                      <w:b/>
                      <w:bCs/>
                      <w:color w:val="auto"/>
                      <w:sz w:val="18"/>
                      <w:szCs w:val="18"/>
                      <w:highlight w:val="none"/>
                      <w:lang w:val="en-US" w:eastAsia="zh-CN"/>
                    </w:rPr>
                    <w:t>是否为可行技术</w:t>
                  </w:r>
                </w:p>
              </w:tc>
              <w:tc>
                <w:tcPr>
                  <w:tcW w:w="492" w:type="pct"/>
                  <w:tcBorders>
                    <w:tl2br w:val="nil"/>
                    <w:tr2bl w:val="nil"/>
                  </w:tcBorders>
                  <w:noWrap w:val="0"/>
                  <w:vAlign w:val="center"/>
                </w:tcPr>
                <w:p w14:paraId="1FF67452">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浓度 mg/L</w:t>
                  </w:r>
                </w:p>
              </w:tc>
              <w:tc>
                <w:tcPr>
                  <w:tcW w:w="455" w:type="pct"/>
                  <w:tcBorders>
                    <w:tl2br w:val="nil"/>
                    <w:tr2bl w:val="nil"/>
                  </w:tcBorders>
                  <w:noWrap w:val="0"/>
                  <w:vAlign w:val="center"/>
                </w:tcPr>
                <w:p w14:paraId="5811396F">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排放量</w:t>
                  </w:r>
                </w:p>
                <w:p w14:paraId="688B6B5E">
                  <w:pPr>
                    <w:pStyle w:val="97"/>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18"/>
                      <w:szCs w:val="18"/>
                      <w:highlight w:val="none"/>
                    </w:rPr>
                  </w:pPr>
                  <w:r>
                    <w:rPr>
                      <w:rFonts w:hint="default" w:ascii="Times New Roman" w:hAnsi="Times New Roman" w:eastAsia="宋体" w:cs="Times New Roman"/>
                      <w:b/>
                      <w:bCs/>
                      <w:color w:val="auto"/>
                      <w:sz w:val="18"/>
                      <w:szCs w:val="18"/>
                      <w:highlight w:val="none"/>
                    </w:rPr>
                    <w:t>t/a</w:t>
                  </w:r>
                </w:p>
              </w:tc>
              <w:tc>
                <w:tcPr>
                  <w:tcW w:w="658" w:type="pct"/>
                  <w:vMerge w:val="continue"/>
                  <w:tcBorders>
                    <w:tl2br w:val="nil"/>
                    <w:tr2bl w:val="nil"/>
                  </w:tcBorders>
                  <w:noWrap w:val="0"/>
                  <w:vAlign w:val="center"/>
                </w:tcPr>
                <w:p w14:paraId="7C96A1F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6B0BCE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restart"/>
                  <w:tcBorders>
                    <w:tl2br w:val="nil"/>
                    <w:tr2bl w:val="nil"/>
                  </w:tcBorders>
                  <w:noWrap w:val="0"/>
                  <w:vAlign w:val="center"/>
                </w:tcPr>
                <w:p w14:paraId="72DE1A36">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生活废水</w:t>
                  </w:r>
                </w:p>
              </w:tc>
              <w:tc>
                <w:tcPr>
                  <w:tcW w:w="298" w:type="pct"/>
                  <w:vMerge w:val="restart"/>
                  <w:tcBorders>
                    <w:tl2br w:val="nil"/>
                    <w:tr2bl w:val="nil"/>
                  </w:tcBorders>
                  <w:noWrap w:val="0"/>
                  <w:vAlign w:val="center"/>
                </w:tcPr>
                <w:p w14:paraId="6AB8382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180</w:t>
                  </w:r>
                </w:p>
              </w:tc>
              <w:tc>
                <w:tcPr>
                  <w:tcW w:w="612" w:type="pct"/>
                  <w:tcBorders>
                    <w:tl2br w:val="nil"/>
                    <w:tr2bl w:val="nil"/>
                  </w:tcBorders>
                  <w:noWrap w:val="0"/>
                  <w:vAlign w:val="center"/>
                </w:tcPr>
                <w:p w14:paraId="223B9FE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pH</w:t>
                  </w:r>
                </w:p>
              </w:tc>
              <w:tc>
                <w:tcPr>
                  <w:tcW w:w="380" w:type="pct"/>
                  <w:tcBorders>
                    <w:tl2br w:val="nil"/>
                    <w:tr2bl w:val="nil"/>
                  </w:tcBorders>
                  <w:noWrap w:val="0"/>
                  <w:vAlign w:val="center"/>
                </w:tcPr>
                <w:p w14:paraId="2943624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6-9</w:t>
                  </w:r>
                </w:p>
              </w:tc>
              <w:tc>
                <w:tcPr>
                  <w:tcW w:w="402" w:type="pct"/>
                  <w:tcBorders>
                    <w:tl2br w:val="nil"/>
                    <w:tr2bl w:val="nil"/>
                  </w:tcBorders>
                  <w:noWrap w:val="0"/>
                  <w:vAlign w:val="center"/>
                </w:tcPr>
                <w:p w14:paraId="6BA9FE2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i w:val="0"/>
                      <w:color w:val="auto"/>
                      <w:kern w:val="0"/>
                      <w:sz w:val="18"/>
                      <w:szCs w:val="18"/>
                      <w:highlight w:val="none"/>
                      <w:u w:val="none"/>
                      <w:lang w:val="en-US" w:eastAsia="zh-CN" w:bidi="ar"/>
                    </w:rPr>
                    <w:t>/</w:t>
                  </w:r>
                </w:p>
              </w:tc>
              <w:tc>
                <w:tcPr>
                  <w:tcW w:w="348" w:type="pct"/>
                  <w:vMerge w:val="restart"/>
                  <w:tcBorders>
                    <w:tl2br w:val="nil"/>
                    <w:tr2bl w:val="nil"/>
                  </w:tcBorders>
                  <w:noWrap w:val="0"/>
                  <w:vAlign w:val="center"/>
                </w:tcPr>
                <w:p w14:paraId="2FE9F84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化粪池</w:t>
                  </w:r>
                </w:p>
              </w:tc>
              <w:tc>
                <w:tcPr>
                  <w:tcW w:w="356" w:type="pct"/>
                  <w:tcBorders>
                    <w:tl2br w:val="nil"/>
                    <w:tr2bl w:val="nil"/>
                  </w:tcBorders>
                  <w:noWrap w:val="0"/>
                  <w:vAlign w:val="center"/>
                </w:tcPr>
                <w:p w14:paraId="421227AA">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529" w:type="pct"/>
                  <w:vMerge w:val="restart"/>
                  <w:tcBorders>
                    <w:tl2br w:val="nil"/>
                    <w:tr2bl w:val="nil"/>
                  </w:tcBorders>
                  <w:noWrap w:val="0"/>
                  <w:vAlign w:val="center"/>
                </w:tcPr>
                <w:p w14:paraId="5D22DD24">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是</w:t>
                  </w:r>
                </w:p>
              </w:tc>
              <w:tc>
                <w:tcPr>
                  <w:tcW w:w="492" w:type="pct"/>
                  <w:tcBorders>
                    <w:tl2br w:val="nil"/>
                    <w:tr2bl w:val="nil"/>
                  </w:tcBorders>
                  <w:noWrap w:val="0"/>
                  <w:vAlign w:val="center"/>
                </w:tcPr>
                <w:p w14:paraId="183459E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lang w:val="en-US" w:eastAsia="zh-CN"/>
                    </w:rPr>
                    <w:t>6-9</w:t>
                  </w:r>
                </w:p>
              </w:tc>
              <w:tc>
                <w:tcPr>
                  <w:tcW w:w="455" w:type="pct"/>
                  <w:tcBorders>
                    <w:tl2br w:val="nil"/>
                    <w:tr2bl w:val="nil"/>
                  </w:tcBorders>
                  <w:noWrap w:val="0"/>
                  <w:vAlign w:val="center"/>
                </w:tcPr>
                <w:p w14:paraId="5750A60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i w:val="0"/>
                      <w:color w:val="auto"/>
                      <w:kern w:val="0"/>
                      <w:sz w:val="18"/>
                      <w:szCs w:val="18"/>
                      <w:highlight w:val="none"/>
                      <w:u w:val="none"/>
                      <w:lang w:val="en-US" w:eastAsia="zh-CN" w:bidi="ar"/>
                    </w:rPr>
                    <w:t>/</w:t>
                  </w:r>
                </w:p>
              </w:tc>
              <w:tc>
                <w:tcPr>
                  <w:tcW w:w="658" w:type="pct"/>
                  <w:vMerge w:val="restart"/>
                  <w:tcBorders>
                    <w:tl2br w:val="nil"/>
                    <w:tr2bl w:val="nil"/>
                  </w:tcBorders>
                  <w:noWrap w:val="0"/>
                  <w:vAlign w:val="center"/>
                </w:tcPr>
                <w:p w14:paraId="52AD04A5">
                  <w:pPr>
                    <w:pStyle w:val="97"/>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阜新市北</w:t>
                  </w:r>
                </w:p>
                <w:p w14:paraId="3E48862F">
                  <w:pPr>
                    <w:pStyle w:val="97"/>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控水务有限公司处理</w:t>
                  </w:r>
                </w:p>
              </w:tc>
            </w:tr>
            <w:tr w14:paraId="14E10AE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04BCF18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5C213E4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3A141640">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CODcr</w:t>
                  </w:r>
                </w:p>
              </w:tc>
              <w:tc>
                <w:tcPr>
                  <w:tcW w:w="380" w:type="pct"/>
                  <w:tcBorders>
                    <w:tl2br w:val="nil"/>
                    <w:tr2bl w:val="nil"/>
                  </w:tcBorders>
                  <w:noWrap w:val="0"/>
                  <w:vAlign w:val="center"/>
                </w:tcPr>
                <w:p w14:paraId="41EE9887">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300</w:t>
                  </w:r>
                </w:p>
              </w:tc>
              <w:tc>
                <w:tcPr>
                  <w:tcW w:w="402" w:type="pct"/>
                  <w:tcBorders>
                    <w:tl2br w:val="nil"/>
                    <w:tr2bl w:val="nil"/>
                  </w:tcBorders>
                  <w:noWrap w:val="0"/>
                  <w:vAlign w:val="center"/>
                </w:tcPr>
                <w:p w14:paraId="4223B22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0.054</w:t>
                  </w:r>
                </w:p>
              </w:tc>
              <w:tc>
                <w:tcPr>
                  <w:tcW w:w="348" w:type="pct"/>
                  <w:vMerge w:val="continue"/>
                  <w:tcBorders>
                    <w:tl2br w:val="nil"/>
                    <w:tr2bl w:val="nil"/>
                  </w:tcBorders>
                  <w:noWrap w:val="0"/>
                  <w:vAlign w:val="center"/>
                </w:tcPr>
                <w:p w14:paraId="69E6D96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04641E9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29" w:type="pct"/>
                  <w:vMerge w:val="continue"/>
                  <w:tcBorders>
                    <w:tl2br w:val="nil"/>
                    <w:tr2bl w:val="nil"/>
                  </w:tcBorders>
                  <w:noWrap w:val="0"/>
                  <w:vAlign w:val="center"/>
                </w:tcPr>
                <w:p w14:paraId="49D93C1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48A8756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210</w:t>
                  </w:r>
                </w:p>
              </w:tc>
              <w:tc>
                <w:tcPr>
                  <w:tcW w:w="455" w:type="pct"/>
                  <w:tcBorders>
                    <w:tl2br w:val="nil"/>
                    <w:tr2bl w:val="nil"/>
                  </w:tcBorders>
                  <w:noWrap w:val="0"/>
                  <w:vAlign w:val="center"/>
                </w:tcPr>
                <w:p w14:paraId="0107E5B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0.0378</w:t>
                  </w:r>
                </w:p>
              </w:tc>
              <w:tc>
                <w:tcPr>
                  <w:tcW w:w="658" w:type="pct"/>
                  <w:vMerge w:val="continue"/>
                  <w:tcBorders>
                    <w:tl2br w:val="nil"/>
                    <w:tr2bl w:val="nil"/>
                  </w:tcBorders>
                  <w:noWrap w:val="0"/>
                  <w:vAlign w:val="center"/>
                </w:tcPr>
                <w:p w14:paraId="6A8D2E9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685E88F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1" w:hRule="atLeast"/>
              </w:trPr>
              <w:tc>
                <w:tcPr>
                  <w:tcW w:w="465" w:type="pct"/>
                  <w:vMerge w:val="continue"/>
                  <w:tcBorders>
                    <w:tl2br w:val="nil"/>
                    <w:tr2bl w:val="nil"/>
                  </w:tcBorders>
                  <w:noWrap w:val="0"/>
                  <w:vAlign w:val="center"/>
                </w:tcPr>
                <w:p w14:paraId="0AFAEF26">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2BA0D5EE">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257BAD59">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BOD</w:t>
                  </w:r>
                  <w:r>
                    <w:rPr>
                      <w:rFonts w:hint="default" w:ascii="Times New Roman" w:hAnsi="Times New Roman" w:eastAsia="宋体" w:cs="Times New Roman"/>
                      <w:color w:val="auto"/>
                      <w:sz w:val="18"/>
                      <w:szCs w:val="18"/>
                      <w:highlight w:val="none"/>
                      <w:vertAlign w:val="subscript"/>
                    </w:rPr>
                    <w:t>5</w:t>
                  </w:r>
                </w:p>
              </w:tc>
              <w:tc>
                <w:tcPr>
                  <w:tcW w:w="380" w:type="pct"/>
                  <w:tcBorders>
                    <w:tl2br w:val="nil"/>
                    <w:tr2bl w:val="nil"/>
                  </w:tcBorders>
                  <w:noWrap w:val="0"/>
                  <w:vAlign w:val="center"/>
                </w:tcPr>
                <w:p w14:paraId="4CDE760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250</w:t>
                  </w:r>
                </w:p>
              </w:tc>
              <w:tc>
                <w:tcPr>
                  <w:tcW w:w="402" w:type="pct"/>
                  <w:tcBorders>
                    <w:tl2br w:val="nil"/>
                    <w:tr2bl w:val="nil"/>
                  </w:tcBorders>
                  <w:noWrap w:val="0"/>
                  <w:vAlign w:val="center"/>
                </w:tcPr>
                <w:p w14:paraId="689E9A5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0.045</w:t>
                  </w:r>
                </w:p>
              </w:tc>
              <w:tc>
                <w:tcPr>
                  <w:tcW w:w="348" w:type="pct"/>
                  <w:vMerge w:val="continue"/>
                  <w:tcBorders>
                    <w:tl2br w:val="nil"/>
                    <w:tr2bl w:val="nil"/>
                  </w:tcBorders>
                  <w:noWrap w:val="0"/>
                  <w:vAlign w:val="center"/>
                </w:tcPr>
                <w:p w14:paraId="43AE285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031A5AD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529" w:type="pct"/>
                  <w:vMerge w:val="continue"/>
                  <w:tcBorders>
                    <w:tl2br w:val="nil"/>
                    <w:tr2bl w:val="nil"/>
                  </w:tcBorders>
                  <w:noWrap w:val="0"/>
                  <w:vAlign w:val="center"/>
                </w:tcPr>
                <w:p w14:paraId="52ED524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2FAA9E6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187.5</w:t>
                  </w:r>
                </w:p>
              </w:tc>
              <w:tc>
                <w:tcPr>
                  <w:tcW w:w="455" w:type="pct"/>
                  <w:tcBorders>
                    <w:tl2br w:val="nil"/>
                    <w:tr2bl w:val="nil"/>
                  </w:tcBorders>
                  <w:noWrap w:val="0"/>
                  <w:vAlign w:val="center"/>
                </w:tcPr>
                <w:p w14:paraId="1CDE262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0.03375</w:t>
                  </w:r>
                </w:p>
              </w:tc>
              <w:tc>
                <w:tcPr>
                  <w:tcW w:w="658" w:type="pct"/>
                  <w:vMerge w:val="continue"/>
                  <w:tcBorders>
                    <w:tl2br w:val="nil"/>
                    <w:tr2bl w:val="nil"/>
                  </w:tcBorders>
                  <w:noWrap w:val="0"/>
                  <w:vAlign w:val="center"/>
                </w:tcPr>
                <w:p w14:paraId="1DD53D4A">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79DE39E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5" w:type="pct"/>
                  <w:vMerge w:val="continue"/>
                  <w:tcBorders>
                    <w:tl2br w:val="nil"/>
                    <w:tr2bl w:val="nil"/>
                  </w:tcBorders>
                  <w:noWrap w:val="0"/>
                  <w:vAlign w:val="center"/>
                </w:tcPr>
                <w:p w14:paraId="3631C712">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1DC2B2B3">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19553270">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SS</w:t>
                  </w:r>
                </w:p>
              </w:tc>
              <w:tc>
                <w:tcPr>
                  <w:tcW w:w="380" w:type="pct"/>
                  <w:tcBorders>
                    <w:tl2br w:val="nil"/>
                    <w:tr2bl w:val="nil"/>
                  </w:tcBorders>
                  <w:noWrap w:val="0"/>
                  <w:vAlign w:val="center"/>
                </w:tcPr>
                <w:p w14:paraId="1825570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300</w:t>
                  </w:r>
                </w:p>
              </w:tc>
              <w:tc>
                <w:tcPr>
                  <w:tcW w:w="402" w:type="pct"/>
                  <w:tcBorders>
                    <w:tl2br w:val="nil"/>
                    <w:tr2bl w:val="nil"/>
                  </w:tcBorders>
                  <w:noWrap w:val="0"/>
                  <w:vAlign w:val="center"/>
                </w:tcPr>
                <w:p w14:paraId="6CE3EADF">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0.054</w:t>
                  </w:r>
                </w:p>
              </w:tc>
              <w:tc>
                <w:tcPr>
                  <w:tcW w:w="348" w:type="pct"/>
                  <w:vMerge w:val="continue"/>
                  <w:tcBorders>
                    <w:tl2br w:val="nil"/>
                    <w:tr2bl w:val="nil"/>
                  </w:tcBorders>
                  <w:noWrap w:val="0"/>
                  <w:vAlign w:val="center"/>
                </w:tcPr>
                <w:p w14:paraId="32B765D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08E6BF4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529" w:type="pct"/>
                  <w:vMerge w:val="continue"/>
                  <w:tcBorders>
                    <w:tl2br w:val="nil"/>
                    <w:tr2bl w:val="nil"/>
                  </w:tcBorders>
                  <w:noWrap w:val="0"/>
                  <w:vAlign w:val="center"/>
                </w:tcPr>
                <w:p w14:paraId="5EAA7CA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0FD41D3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225</w:t>
                  </w:r>
                </w:p>
              </w:tc>
              <w:tc>
                <w:tcPr>
                  <w:tcW w:w="455" w:type="pct"/>
                  <w:tcBorders>
                    <w:tl2br w:val="nil"/>
                    <w:tr2bl w:val="nil"/>
                  </w:tcBorders>
                  <w:noWrap w:val="0"/>
                  <w:vAlign w:val="center"/>
                </w:tcPr>
                <w:p w14:paraId="1070D72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0.0405</w:t>
                  </w:r>
                </w:p>
              </w:tc>
              <w:tc>
                <w:tcPr>
                  <w:tcW w:w="658" w:type="pct"/>
                  <w:vMerge w:val="continue"/>
                  <w:tcBorders>
                    <w:tl2br w:val="nil"/>
                    <w:tr2bl w:val="nil"/>
                  </w:tcBorders>
                  <w:noWrap w:val="0"/>
                  <w:vAlign w:val="center"/>
                </w:tcPr>
                <w:p w14:paraId="4C25EB2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5C948A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6E7AF2B6">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5CC47BF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2E5C057A">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NH</w:t>
                  </w:r>
                  <w:r>
                    <w:rPr>
                      <w:rFonts w:hint="default" w:ascii="Times New Roman" w:hAnsi="Times New Roman" w:eastAsia="宋体" w:cs="Times New Roman"/>
                      <w:color w:val="auto"/>
                      <w:sz w:val="18"/>
                      <w:szCs w:val="18"/>
                      <w:highlight w:val="none"/>
                      <w:vertAlign w:val="subscript"/>
                    </w:rPr>
                    <w:t>3</w:t>
                  </w:r>
                  <w:r>
                    <w:rPr>
                      <w:rFonts w:hint="default" w:ascii="Times New Roman" w:hAnsi="Times New Roman" w:eastAsia="宋体" w:cs="Times New Roman"/>
                      <w:color w:val="auto"/>
                      <w:sz w:val="18"/>
                      <w:szCs w:val="18"/>
                      <w:highlight w:val="none"/>
                    </w:rPr>
                    <w:t>-N</w:t>
                  </w:r>
                </w:p>
              </w:tc>
              <w:tc>
                <w:tcPr>
                  <w:tcW w:w="380" w:type="pct"/>
                  <w:tcBorders>
                    <w:tl2br w:val="nil"/>
                    <w:tr2bl w:val="nil"/>
                  </w:tcBorders>
                  <w:noWrap w:val="0"/>
                  <w:vAlign w:val="center"/>
                </w:tcPr>
                <w:p w14:paraId="7D34762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30</w:t>
                  </w:r>
                </w:p>
              </w:tc>
              <w:tc>
                <w:tcPr>
                  <w:tcW w:w="402" w:type="pct"/>
                  <w:tcBorders>
                    <w:tl2br w:val="nil"/>
                    <w:tr2bl w:val="nil"/>
                  </w:tcBorders>
                  <w:noWrap w:val="0"/>
                  <w:vAlign w:val="center"/>
                </w:tcPr>
                <w:p w14:paraId="35692F51">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0.0054</w:t>
                  </w:r>
                </w:p>
              </w:tc>
              <w:tc>
                <w:tcPr>
                  <w:tcW w:w="348" w:type="pct"/>
                  <w:vMerge w:val="continue"/>
                  <w:tcBorders>
                    <w:tl2br w:val="nil"/>
                    <w:tr2bl w:val="nil"/>
                  </w:tcBorders>
                  <w:noWrap w:val="0"/>
                  <w:vAlign w:val="center"/>
                </w:tcPr>
                <w:p w14:paraId="60040CC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139FA9E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29" w:type="pct"/>
                  <w:vMerge w:val="continue"/>
                  <w:tcBorders>
                    <w:tl2br w:val="nil"/>
                    <w:tr2bl w:val="nil"/>
                  </w:tcBorders>
                  <w:noWrap w:val="0"/>
                  <w:vAlign w:val="center"/>
                </w:tcPr>
                <w:p w14:paraId="57C9842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3617321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21</w:t>
                  </w:r>
                </w:p>
              </w:tc>
              <w:tc>
                <w:tcPr>
                  <w:tcW w:w="455" w:type="pct"/>
                  <w:tcBorders>
                    <w:tl2br w:val="nil"/>
                    <w:tr2bl w:val="nil"/>
                  </w:tcBorders>
                  <w:noWrap w:val="0"/>
                  <w:vAlign w:val="center"/>
                </w:tcPr>
                <w:p w14:paraId="68C5C71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0.00378</w:t>
                  </w:r>
                </w:p>
              </w:tc>
              <w:tc>
                <w:tcPr>
                  <w:tcW w:w="658" w:type="pct"/>
                  <w:vMerge w:val="continue"/>
                  <w:tcBorders>
                    <w:tl2br w:val="nil"/>
                    <w:tr2bl w:val="nil"/>
                  </w:tcBorders>
                  <w:noWrap w:val="0"/>
                  <w:vAlign w:val="center"/>
                </w:tcPr>
                <w:p w14:paraId="5293FD0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2C63EB1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745F183A">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330B190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1337EF0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总氮</w:t>
                  </w:r>
                </w:p>
              </w:tc>
              <w:tc>
                <w:tcPr>
                  <w:tcW w:w="380" w:type="pct"/>
                  <w:tcBorders>
                    <w:tl2br w:val="nil"/>
                    <w:tr2bl w:val="nil"/>
                  </w:tcBorders>
                  <w:noWrap w:val="0"/>
                  <w:vAlign w:val="center"/>
                </w:tcPr>
                <w:p w14:paraId="7835426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40</w:t>
                  </w:r>
                </w:p>
              </w:tc>
              <w:tc>
                <w:tcPr>
                  <w:tcW w:w="402" w:type="pct"/>
                  <w:tcBorders>
                    <w:tl2br w:val="nil"/>
                    <w:tr2bl w:val="nil"/>
                  </w:tcBorders>
                  <w:noWrap w:val="0"/>
                  <w:vAlign w:val="center"/>
                </w:tcPr>
                <w:p w14:paraId="6ABAF67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0.0072</w:t>
                  </w:r>
                </w:p>
              </w:tc>
              <w:tc>
                <w:tcPr>
                  <w:tcW w:w="348" w:type="pct"/>
                  <w:vMerge w:val="continue"/>
                  <w:tcBorders>
                    <w:tl2br w:val="nil"/>
                    <w:tr2bl w:val="nil"/>
                  </w:tcBorders>
                  <w:noWrap w:val="0"/>
                  <w:vAlign w:val="center"/>
                </w:tcPr>
                <w:p w14:paraId="5F60AE5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1B4AAB95">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529" w:type="pct"/>
                  <w:vMerge w:val="continue"/>
                  <w:tcBorders>
                    <w:tl2br w:val="nil"/>
                    <w:tr2bl w:val="nil"/>
                  </w:tcBorders>
                  <w:noWrap w:val="0"/>
                  <w:vAlign w:val="center"/>
                </w:tcPr>
                <w:p w14:paraId="2BBE998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1C561FFF">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455" w:type="pct"/>
                  <w:tcBorders>
                    <w:tl2br w:val="nil"/>
                    <w:tr2bl w:val="nil"/>
                  </w:tcBorders>
                  <w:noWrap w:val="0"/>
                  <w:vAlign w:val="center"/>
                </w:tcPr>
                <w:p w14:paraId="7D512A9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0.0054</w:t>
                  </w:r>
                </w:p>
              </w:tc>
              <w:tc>
                <w:tcPr>
                  <w:tcW w:w="658" w:type="pct"/>
                  <w:vMerge w:val="continue"/>
                  <w:tcBorders>
                    <w:tl2br w:val="nil"/>
                    <w:tr2bl w:val="nil"/>
                  </w:tcBorders>
                  <w:noWrap w:val="0"/>
                  <w:vAlign w:val="center"/>
                </w:tcPr>
                <w:p w14:paraId="7ACBEAD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1C9A50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00DAD63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0AC76D2F">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4FF0BB9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eastAsia" w:cs="Times New Roman"/>
                      <w:color w:val="auto"/>
                      <w:sz w:val="18"/>
                      <w:szCs w:val="18"/>
                      <w:highlight w:val="none"/>
                      <w:lang w:eastAsia="zh-CN"/>
                    </w:rPr>
                    <w:t>总磷</w:t>
                  </w:r>
                  <w:r>
                    <w:rPr>
                      <w:rFonts w:hint="default" w:ascii="Times New Roman" w:hAnsi="Times New Roman" w:eastAsia="宋体" w:cs="Times New Roman"/>
                      <w:color w:val="auto"/>
                      <w:sz w:val="18"/>
                      <w:szCs w:val="18"/>
                      <w:highlight w:val="none"/>
                    </w:rPr>
                    <w:t>（以P计）</w:t>
                  </w:r>
                </w:p>
              </w:tc>
              <w:tc>
                <w:tcPr>
                  <w:tcW w:w="380" w:type="pct"/>
                  <w:tcBorders>
                    <w:tl2br w:val="nil"/>
                    <w:tr2bl w:val="nil"/>
                  </w:tcBorders>
                  <w:noWrap w:val="0"/>
                  <w:vAlign w:val="center"/>
                </w:tcPr>
                <w:p w14:paraId="6CAE0D20">
                  <w:pPr>
                    <w:keepNext w:val="0"/>
                    <w:keepLines w:val="0"/>
                    <w:suppressLineNumbers w:val="0"/>
                    <w:spacing w:before="0" w:beforeAutospacing="0" w:after="0" w:afterAutospacing="0" w:line="260" w:lineRule="exact"/>
                    <w:ind w:left="0" w:right="0"/>
                    <w:jc w:val="center"/>
                    <w:rPr>
                      <w:rFonts w:hint="eastAsia" w:ascii="Times New Roman" w:hAnsi="Times New Roman" w:eastAsia="宋体" w:cs="Times New Roman"/>
                      <w:color w:val="auto"/>
                      <w:sz w:val="18"/>
                      <w:szCs w:val="18"/>
                      <w:highlight w:val="none"/>
                      <w:lang w:eastAsia="zh-CN"/>
                    </w:rPr>
                  </w:pPr>
                  <w:r>
                    <w:rPr>
                      <w:rFonts w:hint="eastAsia" w:cs="Times New Roman"/>
                      <w:color w:val="auto"/>
                      <w:sz w:val="18"/>
                      <w:szCs w:val="18"/>
                      <w:highlight w:val="none"/>
                      <w:lang w:val="en-US" w:eastAsia="zh-CN"/>
                    </w:rPr>
                    <w:t>5</w:t>
                  </w:r>
                </w:p>
              </w:tc>
              <w:tc>
                <w:tcPr>
                  <w:tcW w:w="402" w:type="pct"/>
                  <w:tcBorders>
                    <w:tl2br w:val="nil"/>
                    <w:tr2bl w:val="nil"/>
                  </w:tcBorders>
                  <w:noWrap w:val="0"/>
                  <w:vAlign w:val="center"/>
                </w:tcPr>
                <w:p w14:paraId="54EEF00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0.0009</w:t>
                  </w:r>
                </w:p>
              </w:tc>
              <w:tc>
                <w:tcPr>
                  <w:tcW w:w="348" w:type="pct"/>
                  <w:vMerge w:val="continue"/>
                  <w:tcBorders>
                    <w:tl2br w:val="nil"/>
                    <w:tr2bl w:val="nil"/>
                  </w:tcBorders>
                  <w:noWrap w:val="0"/>
                  <w:vAlign w:val="center"/>
                </w:tcPr>
                <w:p w14:paraId="3E84F7F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3188698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529" w:type="pct"/>
                  <w:vMerge w:val="continue"/>
                  <w:tcBorders>
                    <w:tl2br w:val="nil"/>
                    <w:tr2bl w:val="nil"/>
                  </w:tcBorders>
                  <w:noWrap w:val="0"/>
                  <w:vAlign w:val="center"/>
                </w:tcPr>
                <w:p w14:paraId="5BC1EC6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21495CD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3.75</w:t>
                  </w:r>
                </w:p>
              </w:tc>
              <w:tc>
                <w:tcPr>
                  <w:tcW w:w="455" w:type="pct"/>
                  <w:tcBorders>
                    <w:tl2br w:val="nil"/>
                    <w:tr2bl w:val="nil"/>
                  </w:tcBorders>
                  <w:noWrap w:val="0"/>
                  <w:vAlign w:val="center"/>
                </w:tcPr>
                <w:p w14:paraId="7C57E78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0.000675</w:t>
                  </w:r>
                </w:p>
              </w:tc>
              <w:tc>
                <w:tcPr>
                  <w:tcW w:w="658" w:type="pct"/>
                  <w:vMerge w:val="continue"/>
                  <w:tcBorders>
                    <w:tl2br w:val="nil"/>
                    <w:tr2bl w:val="nil"/>
                  </w:tcBorders>
                  <w:noWrap w:val="0"/>
                  <w:vAlign w:val="center"/>
                </w:tcPr>
                <w:p w14:paraId="37E359EE">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0894E69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restart"/>
                  <w:tcBorders>
                    <w:tl2br w:val="nil"/>
                    <w:tr2bl w:val="nil"/>
                  </w:tcBorders>
                  <w:noWrap w:val="0"/>
                  <w:vAlign w:val="center"/>
                </w:tcPr>
                <w:p w14:paraId="74B7AB6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食堂废水</w:t>
                  </w:r>
                </w:p>
              </w:tc>
              <w:tc>
                <w:tcPr>
                  <w:tcW w:w="298" w:type="pct"/>
                  <w:vMerge w:val="restart"/>
                  <w:tcBorders>
                    <w:tl2br w:val="nil"/>
                    <w:tr2bl w:val="nil"/>
                  </w:tcBorders>
                  <w:noWrap w:val="0"/>
                  <w:vAlign w:val="center"/>
                </w:tcPr>
                <w:p w14:paraId="7DC14B60">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80</w:t>
                  </w:r>
                </w:p>
              </w:tc>
              <w:tc>
                <w:tcPr>
                  <w:tcW w:w="612" w:type="pct"/>
                  <w:tcBorders>
                    <w:tl2br w:val="nil"/>
                    <w:tr2bl w:val="nil"/>
                  </w:tcBorders>
                  <w:shd w:val="clear" w:color="auto" w:fill="auto"/>
                  <w:noWrap w:val="0"/>
                  <w:vAlign w:val="center"/>
                </w:tcPr>
                <w:p w14:paraId="3161D809">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pH</w:t>
                  </w:r>
                </w:p>
              </w:tc>
              <w:tc>
                <w:tcPr>
                  <w:tcW w:w="380" w:type="pct"/>
                  <w:tcBorders>
                    <w:tl2br w:val="nil"/>
                    <w:tr2bl w:val="nil"/>
                  </w:tcBorders>
                  <w:shd w:val="clear" w:color="auto" w:fill="auto"/>
                  <w:noWrap w:val="0"/>
                  <w:vAlign w:val="center"/>
                </w:tcPr>
                <w:p w14:paraId="71427F2B">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6-9</w:t>
                  </w:r>
                </w:p>
              </w:tc>
              <w:tc>
                <w:tcPr>
                  <w:tcW w:w="402" w:type="pct"/>
                  <w:tcBorders>
                    <w:tl2br w:val="nil"/>
                    <w:tr2bl w:val="nil"/>
                  </w:tcBorders>
                  <w:noWrap w:val="0"/>
                  <w:vAlign w:val="center"/>
                </w:tcPr>
                <w:p w14:paraId="281B947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348" w:type="pct"/>
                  <w:vMerge w:val="restart"/>
                  <w:tcBorders>
                    <w:tl2br w:val="nil"/>
                    <w:tr2bl w:val="nil"/>
                  </w:tcBorders>
                  <w:noWrap w:val="0"/>
                  <w:vAlign w:val="center"/>
                </w:tcPr>
                <w:p w14:paraId="735B149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隔油池+化粪池</w:t>
                  </w:r>
                </w:p>
              </w:tc>
              <w:tc>
                <w:tcPr>
                  <w:tcW w:w="356" w:type="pct"/>
                  <w:tcBorders>
                    <w:tl2br w:val="nil"/>
                    <w:tr2bl w:val="nil"/>
                  </w:tcBorders>
                  <w:shd w:val="clear" w:color="auto" w:fill="auto"/>
                  <w:noWrap w:val="0"/>
                  <w:vAlign w:val="center"/>
                </w:tcPr>
                <w:p w14:paraId="69F317A9">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529" w:type="pct"/>
                  <w:vMerge w:val="restart"/>
                  <w:tcBorders>
                    <w:tl2br w:val="nil"/>
                    <w:tr2bl w:val="nil"/>
                  </w:tcBorders>
                  <w:noWrap w:val="0"/>
                  <w:vAlign w:val="center"/>
                </w:tcPr>
                <w:p w14:paraId="02A63E6D">
                  <w:pPr>
                    <w:keepNext w:val="0"/>
                    <w:keepLines w:val="0"/>
                    <w:suppressLineNumbers w:val="0"/>
                    <w:adjustRightInd w:val="0"/>
                    <w:snapToGrid w:val="0"/>
                    <w:spacing w:before="0" w:beforeAutospacing="0" w:after="0" w:afterAutospacing="0"/>
                    <w:ind w:left="0" w:right="0"/>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是</w:t>
                  </w:r>
                </w:p>
              </w:tc>
              <w:tc>
                <w:tcPr>
                  <w:tcW w:w="492" w:type="pct"/>
                  <w:tcBorders>
                    <w:tl2br w:val="nil"/>
                    <w:tr2bl w:val="nil"/>
                  </w:tcBorders>
                  <w:noWrap w:val="0"/>
                  <w:vAlign w:val="center"/>
                </w:tcPr>
                <w:p w14:paraId="1DB0E968">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6-9</w:t>
                  </w:r>
                </w:p>
              </w:tc>
              <w:tc>
                <w:tcPr>
                  <w:tcW w:w="455" w:type="pct"/>
                  <w:tcBorders>
                    <w:tl2br w:val="nil"/>
                    <w:tr2bl w:val="nil"/>
                  </w:tcBorders>
                  <w:noWrap w:val="0"/>
                  <w:vAlign w:val="center"/>
                </w:tcPr>
                <w:p w14:paraId="7BF24F1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658" w:type="pct"/>
                  <w:vMerge w:val="continue"/>
                  <w:tcBorders>
                    <w:tl2br w:val="nil"/>
                    <w:tr2bl w:val="nil"/>
                  </w:tcBorders>
                  <w:noWrap w:val="0"/>
                  <w:vAlign w:val="center"/>
                </w:tcPr>
                <w:p w14:paraId="6EB5624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1AE92A8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1D975195">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5018B65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241046D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CODcr</w:t>
                  </w:r>
                </w:p>
              </w:tc>
              <w:tc>
                <w:tcPr>
                  <w:tcW w:w="380" w:type="pct"/>
                  <w:tcBorders>
                    <w:tl2br w:val="nil"/>
                    <w:tr2bl w:val="nil"/>
                  </w:tcBorders>
                  <w:shd w:val="clear" w:color="auto" w:fill="auto"/>
                  <w:noWrap w:val="0"/>
                  <w:vAlign w:val="center"/>
                </w:tcPr>
                <w:p w14:paraId="250343A1">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300</w:t>
                  </w:r>
                </w:p>
              </w:tc>
              <w:tc>
                <w:tcPr>
                  <w:tcW w:w="402" w:type="pct"/>
                  <w:tcBorders>
                    <w:tl2br w:val="nil"/>
                    <w:tr2bl w:val="nil"/>
                  </w:tcBorders>
                  <w:noWrap w:val="0"/>
                  <w:vAlign w:val="center"/>
                </w:tcPr>
                <w:p w14:paraId="187A2DD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0.024</w:t>
                  </w:r>
                </w:p>
              </w:tc>
              <w:tc>
                <w:tcPr>
                  <w:tcW w:w="348" w:type="pct"/>
                  <w:vMerge w:val="continue"/>
                  <w:tcBorders>
                    <w:tl2br w:val="nil"/>
                    <w:tr2bl w:val="nil"/>
                  </w:tcBorders>
                  <w:noWrap w:val="0"/>
                  <w:vAlign w:val="center"/>
                </w:tcPr>
                <w:p w14:paraId="564AF39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shd w:val="clear" w:color="auto" w:fill="auto"/>
                  <w:noWrap w:val="0"/>
                  <w:vAlign w:val="center"/>
                </w:tcPr>
                <w:p w14:paraId="442FA5F5">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30</w:t>
                  </w:r>
                </w:p>
              </w:tc>
              <w:tc>
                <w:tcPr>
                  <w:tcW w:w="529" w:type="pct"/>
                  <w:vMerge w:val="continue"/>
                  <w:tcBorders>
                    <w:tl2br w:val="nil"/>
                    <w:tr2bl w:val="nil"/>
                  </w:tcBorders>
                  <w:noWrap w:val="0"/>
                  <w:vAlign w:val="center"/>
                </w:tcPr>
                <w:p w14:paraId="3A865DD1">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746DD37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210</w:t>
                  </w:r>
                </w:p>
              </w:tc>
              <w:tc>
                <w:tcPr>
                  <w:tcW w:w="455" w:type="pct"/>
                  <w:tcBorders>
                    <w:tl2br w:val="nil"/>
                    <w:tr2bl w:val="nil"/>
                  </w:tcBorders>
                  <w:noWrap w:val="0"/>
                  <w:vAlign w:val="center"/>
                </w:tcPr>
                <w:p w14:paraId="3DC77A7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0.0168</w:t>
                  </w:r>
                </w:p>
              </w:tc>
              <w:tc>
                <w:tcPr>
                  <w:tcW w:w="658" w:type="pct"/>
                  <w:vMerge w:val="continue"/>
                  <w:tcBorders>
                    <w:tl2br w:val="nil"/>
                    <w:tr2bl w:val="nil"/>
                  </w:tcBorders>
                  <w:noWrap w:val="0"/>
                  <w:vAlign w:val="center"/>
                </w:tcPr>
                <w:p w14:paraId="481309FC">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516462E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55D5539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781F5C52">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5AEFE788">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BOD</w:t>
                  </w:r>
                  <w:r>
                    <w:rPr>
                      <w:rFonts w:hint="default" w:ascii="Times New Roman" w:hAnsi="Times New Roman" w:eastAsia="宋体" w:cs="Times New Roman"/>
                      <w:color w:val="auto"/>
                      <w:sz w:val="18"/>
                      <w:szCs w:val="18"/>
                      <w:highlight w:val="none"/>
                      <w:vertAlign w:val="subscript"/>
                    </w:rPr>
                    <w:t>5</w:t>
                  </w:r>
                </w:p>
              </w:tc>
              <w:tc>
                <w:tcPr>
                  <w:tcW w:w="380" w:type="pct"/>
                  <w:tcBorders>
                    <w:tl2br w:val="nil"/>
                    <w:tr2bl w:val="nil"/>
                  </w:tcBorders>
                  <w:shd w:val="clear" w:color="auto" w:fill="auto"/>
                  <w:noWrap w:val="0"/>
                  <w:vAlign w:val="center"/>
                </w:tcPr>
                <w:p w14:paraId="686A8CB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250</w:t>
                  </w:r>
                </w:p>
              </w:tc>
              <w:tc>
                <w:tcPr>
                  <w:tcW w:w="402" w:type="pct"/>
                  <w:tcBorders>
                    <w:tl2br w:val="nil"/>
                    <w:tr2bl w:val="nil"/>
                  </w:tcBorders>
                  <w:noWrap w:val="0"/>
                  <w:vAlign w:val="center"/>
                </w:tcPr>
                <w:p w14:paraId="22C15D5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0.02</w:t>
                  </w:r>
                </w:p>
              </w:tc>
              <w:tc>
                <w:tcPr>
                  <w:tcW w:w="348" w:type="pct"/>
                  <w:vMerge w:val="continue"/>
                  <w:tcBorders>
                    <w:tl2br w:val="nil"/>
                    <w:tr2bl w:val="nil"/>
                  </w:tcBorders>
                  <w:noWrap w:val="0"/>
                  <w:vAlign w:val="center"/>
                </w:tcPr>
                <w:p w14:paraId="6A0093C9">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shd w:val="clear" w:color="auto" w:fill="auto"/>
                  <w:noWrap w:val="0"/>
                  <w:vAlign w:val="center"/>
                </w:tcPr>
                <w:p w14:paraId="7D7324B4">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25</w:t>
                  </w:r>
                </w:p>
              </w:tc>
              <w:tc>
                <w:tcPr>
                  <w:tcW w:w="529" w:type="pct"/>
                  <w:vMerge w:val="continue"/>
                  <w:tcBorders>
                    <w:tl2br w:val="nil"/>
                    <w:tr2bl w:val="nil"/>
                  </w:tcBorders>
                  <w:noWrap w:val="0"/>
                  <w:vAlign w:val="center"/>
                </w:tcPr>
                <w:p w14:paraId="0BB6A93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1799627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187.5</w:t>
                  </w:r>
                </w:p>
              </w:tc>
              <w:tc>
                <w:tcPr>
                  <w:tcW w:w="455" w:type="pct"/>
                  <w:tcBorders>
                    <w:tl2br w:val="nil"/>
                    <w:tr2bl w:val="nil"/>
                  </w:tcBorders>
                  <w:noWrap w:val="0"/>
                  <w:vAlign w:val="center"/>
                </w:tcPr>
                <w:p w14:paraId="1B6B2ED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0.015</w:t>
                  </w:r>
                </w:p>
              </w:tc>
              <w:tc>
                <w:tcPr>
                  <w:tcW w:w="658" w:type="pct"/>
                  <w:vMerge w:val="continue"/>
                  <w:tcBorders>
                    <w:tl2br w:val="nil"/>
                    <w:tr2bl w:val="nil"/>
                  </w:tcBorders>
                  <w:noWrap w:val="0"/>
                  <w:vAlign w:val="center"/>
                </w:tcPr>
                <w:p w14:paraId="0125D44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53B01A1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7F71BE8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09A3BBB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71401E77">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SS</w:t>
                  </w:r>
                </w:p>
              </w:tc>
              <w:tc>
                <w:tcPr>
                  <w:tcW w:w="380" w:type="pct"/>
                  <w:tcBorders>
                    <w:tl2br w:val="nil"/>
                    <w:tr2bl w:val="nil"/>
                  </w:tcBorders>
                  <w:shd w:val="clear" w:color="auto" w:fill="auto"/>
                  <w:noWrap w:val="0"/>
                  <w:vAlign w:val="center"/>
                </w:tcPr>
                <w:p w14:paraId="019C8B1F">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300</w:t>
                  </w:r>
                </w:p>
              </w:tc>
              <w:tc>
                <w:tcPr>
                  <w:tcW w:w="402" w:type="pct"/>
                  <w:tcBorders>
                    <w:tl2br w:val="nil"/>
                    <w:tr2bl w:val="nil"/>
                  </w:tcBorders>
                  <w:noWrap w:val="0"/>
                  <w:vAlign w:val="center"/>
                </w:tcPr>
                <w:p w14:paraId="1ECCC1B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0.024</w:t>
                  </w:r>
                </w:p>
              </w:tc>
              <w:tc>
                <w:tcPr>
                  <w:tcW w:w="348" w:type="pct"/>
                  <w:vMerge w:val="continue"/>
                  <w:tcBorders>
                    <w:tl2br w:val="nil"/>
                    <w:tr2bl w:val="nil"/>
                  </w:tcBorders>
                  <w:noWrap w:val="0"/>
                  <w:vAlign w:val="center"/>
                </w:tcPr>
                <w:p w14:paraId="48895A2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shd w:val="clear" w:color="auto" w:fill="auto"/>
                  <w:noWrap w:val="0"/>
                  <w:vAlign w:val="center"/>
                </w:tcPr>
                <w:p w14:paraId="7540D8F2">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25</w:t>
                  </w:r>
                </w:p>
              </w:tc>
              <w:tc>
                <w:tcPr>
                  <w:tcW w:w="529" w:type="pct"/>
                  <w:vMerge w:val="continue"/>
                  <w:tcBorders>
                    <w:tl2br w:val="nil"/>
                    <w:tr2bl w:val="nil"/>
                  </w:tcBorders>
                  <w:noWrap w:val="0"/>
                  <w:vAlign w:val="center"/>
                </w:tcPr>
                <w:p w14:paraId="542A703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281FA82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eastAsia" w:cs="Times New Roman"/>
                      <w:color w:val="auto"/>
                      <w:sz w:val="18"/>
                      <w:szCs w:val="18"/>
                      <w:highlight w:val="none"/>
                      <w:lang w:val="en-US" w:eastAsia="zh-CN"/>
                    </w:rPr>
                    <w:t>225</w:t>
                  </w:r>
                </w:p>
              </w:tc>
              <w:tc>
                <w:tcPr>
                  <w:tcW w:w="455" w:type="pct"/>
                  <w:tcBorders>
                    <w:tl2br w:val="nil"/>
                    <w:tr2bl w:val="nil"/>
                  </w:tcBorders>
                  <w:noWrap w:val="0"/>
                  <w:vAlign w:val="center"/>
                </w:tcPr>
                <w:p w14:paraId="6C319DA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0.018</w:t>
                  </w:r>
                </w:p>
              </w:tc>
              <w:tc>
                <w:tcPr>
                  <w:tcW w:w="658" w:type="pct"/>
                  <w:vMerge w:val="continue"/>
                  <w:tcBorders>
                    <w:tl2br w:val="nil"/>
                    <w:tr2bl w:val="nil"/>
                  </w:tcBorders>
                  <w:noWrap w:val="0"/>
                  <w:vAlign w:val="center"/>
                </w:tcPr>
                <w:p w14:paraId="4D4B3143">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3DB8D4D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25D9B11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2DF0DCD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4818059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动植物油</w:t>
                  </w:r>
                </w:p>
              </w:tc>
              <w:tc>
                <w:tcPr>
                  <w:tcW w:w="380" w:type="pct"/>
                  <w:tcBorders>
                    <w:tl2br w:val="nil"/>
                    <w:tr2bl w:val="nil"/>
                  </w:tcBorders>
                  <w:noWrap w:val="0"/>
                  <w:vAlign w:val="center"/>
                </w:tcPr>
                <w:p w14:paraId="3417573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100</w:t>
                  </w:r>
                </w:p>
              </w:tc>
              <w:tc>
                <w:tcPr>
                  <w:tcW w:w="402" w:type="pct"/>
                  <w:tcBorders>
                    <w:tl2br w:val="nil"/>
                    <w:tr2bl w:val="nil"/>
                  </w:tcBorders>
                  <w:noWrap w:val="0"/>
                  <w:vAlign w:val="center"/>
                </w:tcPr>
                <w:p w14:paraId="4958477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0.008</w:t>
                  </w:r>
                </w:p>
              </w:tc>
              <w:tc>
                <w:tcPr>
                  <w:tcW w:w="348" w:type="pct"/>
                  <w:vMerge w:val="continue"/>
                  <w:tcBorders>
                    <w:tl2br w:val="nil"/>
                    <w:tr2bl w:val="nil"/>
                  </w:tcBorders>
                  <w:noWrap w:val="0"/>
                  <w:vAlign w:val="center"/>
                </w:tcPr>
                <w:p w14:paraId="41CC364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356" w:type="pct"/>
                  <w:tcBorders>
                    <w:tl2br w:val="nil"/>
                    <w:tr2bl w:val="nil"/>
                  </w:tcBorders>
                  <w:noWrap w:val="0"/>
                  <w:vAlign w:val="center"/>
                </w:tcPr>
                <w:p w14:paraId="0256B0E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80</w:t>
                  </w:r>
                </w:p>
              </w:tc>
              <w:tc>
                <w:tcPr>
                  <w:tcW w:w="529" w:type="pct"/>
                  <w:vMerge w:val="continue"/>
                  <w:tcBorders>
                    <w:tl2br w:val="nil"/>
                    <w:tr2bl w:val="nil"/>
                  </w:tcBorders>
                  <w:noWrap w:val="0"/>
                  <w:vAlign w:val="center"/>
                </w:tcPr>
                <w:p w14:paraId="1A5FD72B">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3571597E">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c>
                <w:tcPr>
                  <w:tcW w:w="455" w:type="pct"/>
                  <w:tcBorders>
                    <w:tl2br w:val="nil"/>
                    <w:tr2bl w:val="nil"/>
                  </w:tcBorders>
                  <w:noWrap w:val="0"/>
                  <w:vAlign w:val="center"/>
                </w:tcPr>
                <w:p w14:paraId="7D618A1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0.0016</w:t>
                  </w:r>
                </w:p>
              </w:tc>
              <w:tc>
                <w:tcPr>
                  <w:tcW w:w="658" w:type="pct"/>
                  <w:vMerge w:val="continue"/>
                  <w:tcBorders>
                    <w:tl2br w:val="nil"/>
                    <w:tr2bl w:val="nil"/>
                  </w:tcBorders>
                  <w:noWrap w:val="0"/>
                  <w:vAlign w:val="center"/>
                </w:tcPr>
                <w:p w14:paraId="5D72F18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508E104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465" w:type="pct"/>
                  <w:vMerge w:val="restart"/>
                  <w:tcBorders>
                    <w:tl2br w:val="nil"/>
                    <w:tr2bl w:val="nil"/>
                  </w:tcBorders>
                  <w:noWrap w:val="0"/>
                  <w:vAlign w:val="center"/>
                </w:tcPr>
                <w:p w14:paraId="40F23C2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地面清洗废水</w:t>
                  </w:r>
                </w:p>
              </w:tc>
              <w:tc>
                <w:tcPr>
                  <w:tcW w:w="298" w:type="pct"/>
                  <w:vMerge w:val="restart"/>
                  <w:tcBorders>
                    <w:tl2br w:val="nil"/>
                    <w:tr2bl w:val="nil"/>
                  </w:tcBorders>
                  <w:noWrap w:val="0"/>
                  <w:vAlign w:val="center"/>
                </w:tcPr>
                <w:p w14:paraId="25575B0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90</w:t>
                  </w:r>
                </w:p>
              </w:tc>
              <w:tc>
                <w:tcPr>
                  <w:tcW w:w="612" w:type="pct"/>
                  <w:tcBorders>
                    <w:tl2br w:val="nil"/>
                    <w:tr2bl w:val="nil"/>
                  </w:tcBorders>
                  <w:noWrap w:val="0"/>
                  <w:vAlign w:val="center"/>
                </w:tcPr>
                <w:p w14:paraId="211E074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pH</w:t>
                  </w:r>
                </w:p>
              </w:tc>
              <w:tc>
                <w:tcPr>
                  <w:tcW w:w="380" w:type="pct"/>
                  <w:tcBorders>
                    <w:tl2br w:val="nil"/>
                    <w:tr2bl w:val="nil"/>
                  </w:tcBorders>
                  <w:noWrap w:val="0"/>
                  <w:vAlign w:val="center"/>
                </w:tcPr>
                <w:p w14:paraId="5031122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6-9</w:t>
                  </w:r>
                </w:p>
              </w:tc>
              <w:tc>
                <w:tcPr>
                  <w:tcW w:w="402" w:type="pct"/>
                  <w:tcBorders>
                    <w:tl2br w:val="nil"/>
                    <w:tr2bl w:val="nil"/>
                  </w:tcBorders>
                  <w:noWrap w:val="0"/>
                  <w:vAlign w:val="center"/>
                </w:tcPr>
                <w:p w14:paraId="564C2AF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i w:val="0"/>
                      <w:color w:val="auto"/>
                      <w:kern w:val="0"/>
                      <w:sz w:val="18"/>
                      <w:szCs w:val="18"/>
                      <w:highlight w:val="none"/>
                      <w:u w:val="none"/>
                      <w:lang w:val="en-US" w:eastAsia="zh-CN" w:bidi="ar"/>
                    </w:rPr>
                    <w:t>/</w:t>
                  </w:r>
                </w:p>
              </w:tc>
              <w:tc>
                <w:tcPr>
                  <w:tcW w:w="348" w:type="pct"/>
                  <w:vMerge w:val="restart"/>
                  <w:tcBorders>
                    <w:tl2br w:val="nil"/>
                    <w:tr2bl w:val="nil"/>
                  </w:tcBorders>
                  <w:noWrap w:val="0"/>
                  <w:vAlign w:val="center"/>
                </w:tcPr>
                <w:p w14:paraId="151B564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均质+隔油+絮凝+沉淀</w:t>
                  </w:r>
                </w:p>
              </w:tc>
              <w:tc>
                <w:tcPr>
                  <w:tcW w:w="356" w:type="pct"/>
                  <w:tcBorders>
                    <w:tl2br w:val="nil"/>
                    <w:tr2bl w:val="nil"/>
                  </w:tcBorders>
                  <w:noWrap w:val="0"/>
                  <w:vAlign w:val="center"/>
                </w:tcPr>
                <w:p w14:paraId="7100589F">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529" w:type="pct"/>
                  <w:vMerge w:val="restart"/>
                  <w:tcBorders>
                    <w:tl2br w:val="nil"/>
                    <w:tr2bl w:val="nil"/>
                  </w:tcBorders>
                  <w:noWrap w:val="0"/>
                  <w:vAlign w:val="center"/>
                </w:tcPr>
                <w:p w14:paraId="163F972F">
                  <w:pPr>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是</w:t>
                  </w:r>
                </w:p>
              </w:tc>
              <w:tc>
                <w:tcPr>
                  <w:tcW w:w="492" w:type="pct"/>
                  <w:tcBorders>
                    <w:tl2br w:val="nil"/>
                    <w:tr2bl w:val="nil"/>
                  </w:tcBorders>
                  <w:noWrap w:val="0"/>
                  <w:vAlign w:val="center"/>
                </w:tcPr>
                <w:p w14:paraId="1A408AE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6-9</w:t>
                  </w:r>
                </w:p>
              </w:tc>
              <w:tc>
                <w:tcPr>
                  <w:tcW w:w="455" w:type="pct"/>
                  <w:tcBorders>
                    <w:tl2br w:val="nil"/>
                    <w:tr2bl w:val="nil"/>
                  </w:tcBorders>
                  <w:noWrap w:val="0"/>
                  <w:vAlign w:val="center"/>
                </w:tcPr>
                <w:p w14:paraId="4D4C612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i w:val="0"/>
                      <w:color w:val="auto"/>
                      <w:kern w:val="0"/>
                      <w:sz w:val="18"/>
                      <w:szCs w:val="18"/>
                      <w:highlight w:val="none"/>
                      <w:u w:val="none"/>
                      <w:lang w:val="en-US" w:eastAsia="zh-CN" w:bidi="ar"/>
                    </w:rPr>
                    <w:t>/</w:t>
                  </w:r>
                </w:p>
              </w:tc>
              <w:tc>
                <w:tcPr>
                  <w:tcW w:w="658" w:type="pct"/>
                  <w:vMerge w:val="continue"/>
                  <w:tcBorders>
                    <w:tl2br w:val="nil"/>
                    <w:tr2bl w:val="nil"/>
                  </w:tcBorders>
                  <w:noWrap w:val="0"/>
                  <w:vAlign w:val="center"/>
                </w:tcPr>
                <w:p w14:paraId="1C787FB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218CF14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3E271E3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2A7386CE">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5ED0C7C6">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CODcr</w:t>
                  </w:r>
                </w:p>
              </w:tc>
              <w:tc>
                <w:tcPr>
                  <w:tcW w:w="380" w:type="pct"/>
                  <w:tcBorders>
                    <w:tl2br w:val="nil"/>
                    <w:tr2bl w:val="nil"/>
                  </w:tcBorders>
                  <w:noWrap w:val="0"/>
                  <w:vAlign w:val="center"/>
                </w:tcPr>
                <w:p w14:paraId="3C1FE5E1">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450</w:t>
                  </w:r>
                </w:p>
              </w:tc>
              <w:tc>
                <w:tcPr>
                  <w:tcW w:w="402" w:type="pct"/>
                  <w:tcBorders>
                    <w:tl2br w:val="nil"/>
                    <w:tr2bl w:val="nil"/>
                  </w:tcBorders>
                  <w:noWrap w:val="0"/>
                  <w:vAlign w:val="center"/>
                </w:tcPr>
                <w:p w14:paraId="24EAB55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0.0405</w:t>
                  </w:r>
                </w:p>
              </w:tc>
              <w:tc>
                <w:tcPr>
                  <w:tcW w:w="348" w:type="pct"/>
                  <w:vMerge w:val="continue"/>
                  <w:tcBorders>
                    <w:tl2br w:val="nil"/>
                    <w:tr2bl w:val="nil"/>
                  </w:tcBorders>
                  <w:noWrap w:val="0"/>
                  <w:vAlign w:val="center"/>
                </w:tcPr>
                <w:p w14:paraId="21ECC310">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均质+隔油+絮凝+沉淀</w:t>
                  </w:r>
                </w:p>
              </w:tc>
              <w:tc>
                <w:tcPr>
                  <w:tcW w:w="356" w:type="pct"/>
                  <w:tcBorders>
                    <w:tl2br w:val="nil"/>
                    <w:tr2bl w:val="nil"/>
                  </w:tcBorders>
                  <w:noWrap w:val="0"/>
                  <w:vAlign w:val="center"/>
                </w:tcPr>
                <w:p w14:paraId="27F8F07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30</w:t>
                  </w:r>
                </w:p>
              </w:tc>
              <w:tc>
                <w:tcPr>
                  <w:tcW w:w="529" w:type="pct"/>
                  <w:vMerge w:val="continue"/>
                  <w:tcBorders>
                    <w:tl2br w:val="nil"/>
                    <w:tr2bl w:val="nil"/>
                  </w:tcBorders>
                  <w:noWrap w:val="0"/>
                  <w:vAlign w:val="center"/>
                </w:tcPr>
                <w:p w14:paraId="450467FA">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5F1BA01F">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315</w:t>
                  </w:r>
                </w:p>
              </w:tc>
              <w:tc>
                <w:tcPr>
                  <w:tcW w:w="455" w:type="pct"/>
                  <w:tcBorders>
                    <w:tl2br w:val="nil"/>
                    <w:tr2bl w:val="nil"/>
                  </w:tcBorders>
                  <w:noWrap w:val="0"/>
                  <w:vAlign w:val="center"/>
                </w:tcPr>
                <w:p w14:paraId="566EBF4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0.02835</w:t>
                  </w:r>
                </w:p>
              </w:tc>
              <w:tc>
                <w:tcPr>
                  <w:tcW w:w="658" w:type="pct"/>
                  <w:vMerge w:val="continue"/>
                  <w:tcBorders>
                    <w:tl2br w:val="nil"/>
                    <w:tr2bl w:val="nil"/>
                  </w:tcBorders>
                  <w:noWrap w:val="0"/>
                  <w:vAlign w:val="center"/>
                </w:tcPr>
                <w:p w14:paraId="6441578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6122474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0E55DAA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744D734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38F380D4">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SS</w:t>
                  </w:r>
                </w:p>
              </w:tc>
              <w:tc>
                <w:tcPr>
                  <w:tcW w:w="380" w:type="pct"/>
                  <w:tcBorders>
                    <w:tl2br w:val="nil"/>
                    <w:tr2bl w:val="nil"/>
                  </w:tcBorders>
                  <w:noWrap w:val="0"/>
                  <w:vAlign w:val="center"/>
                </w:tcPr>
                <w:p w14:paraId="0304062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300</w:t>
                  </w:r>
                </w:p>
              </w:tc>
              <w:tc>
                <w:tcPr>
                  <w:tcW w:w="402" w:type="pct"/>
                  <w:tcBorders>
                    <w:tl2br w:val="nil"/>
                    <w:tr2bl w:val="nil"/>
                  </w:tcBorders>
                  <w:noWrap w:val="0"/>
                  <w:vAlign w:val="center"/>
                </w:tcPr>
                <w:p w14:paraId="06BC6CD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0.027</w:t>
                  </w:r>
                </w:p>
              </w:tc>
              <w:tc>
                <w:tcPr>
                  <w:tcW w:w="348" w:type="pct"/>
                  <w:vMerge w:val="continue"/>
                  <w:tcBorders>
                    <w:tl2br w:val="nil"/>
                    <w:tr2bl w:val="nil"/>
                  </w:tcBorders>
                  <w:noWrap w:val="0"/>
                  <w:vAlign w:val="center"/>
                </w:tcPr>
                <w:p w14:paraId="0FD3F64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均质+隔油+絮凝+沉淀</w:t>
                  </w:r>
                </w:p>
              </w:tc>
              <w:tc>
                <w:tcPr>
                  <w:tcW w:w="356" w:type="pct"/>
                  <w:tcBorders>
                    <w:tl2br w:val="nil"/>
                    <w:tr2bl w:val="nil"/>
                  </w:tcBorders>
                  <w:noWrap w:val="0"/>
                  <w:vAlign w:val="center"/>
                </w:tcPr>
                <w:p w14:paraId="3871B036">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80</w:t>
                  </w:r>
                </w:p>
              </w:tc>
              <w:tc>
                <w:tcPr>
                  <w:tcW w:w="529" w:type="pct"/>
                  <w:vMerge w:val="continue"/>
                  <w:tcBorders>
                    <w:tl2br w:val="nil"/>
                    <w:tr2bl w:val="nil"/>
                  </w:tcBorders>
                  <w:noWrap w:val="0"/>
                  <w:vAlign w:val="center"/>
                </w:tcPr>
                <w:p w14:paraId="3DA5BE7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36F4BF7F">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50</w:t>
                  </w:r>
                </w:p>
              </w:tc>
              <w:tc>
                <w:tcPr>
                  <w:tcW w:w="455" w:type="pct"/>
                  <w:tcBorders>
                    <w:tl2br w:val="nil"/>
                    <w:tr2bl w:val="nil"/>
                  </w:tcBorders>
                  <w:noWrap w:val="0"/>
                  <w:vAlign w:val="center"/>
                </w:tcPr>
                <w:p w14:paraId="221ECFB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0.0045</w:t>
                  </w:r>
                </w:p>
              </w:tc>
              <w:tc>
                <w:tcPr>
                  <w:tcW w:w="658" w:type="pct"/>
                  <w:vMerge w:val="continue"/>
                  <w:tcBorders>
                    <w:tl2br w:val="nil"/>
                    <w:tr2bl w:val="nil"/>
                  </w:tcBorders>
                  <w:noWrap w:val="0"/>
                  <w:vAlign w:val="center"/>
                </w:tcPr>
                <w:p w14:paraId="66BBAA4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33540B1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5F6EC3FE">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051FBD4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1D52D6CD">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石油类</w:t>
                  </w:r>
                </w:p>
              </w:tc>
              <w:tc>
                <w:tcPr>
                  <w:tcW w:w="380" w:type="pct"/>
                  <w:tcBorders>
                    <w:tl2br w:val="nil"/>
                    <w:tr2bl w:val="nil"/>
                  </w:tcBorders>
                  <w:noWrap w:val="0"/>
                  <w:vAlign w:val="center"/>
                </w:tcPr>
                <w:p w14:paraId="67D5A635">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130</w:t>
                  </w:r>
                </w:p>
              </w:tc>
              <w:tc>
                <w:tcPr>
                  <w:tcW w:w="402" w:type="pct"/>
                  <w:tcBorders>
                    <w:tl2br w:val="nil"/>
                    <w:tr2bl w:val="nil"/>
                  </w:tcBorders>
                  <w:noWrap w:val="0"/>
                  <w:vAlign w:val="center"/>
                </w:tcPr>
                <w:p w14:paraId="5CC5120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0.0117</w:t>
                  </w:r>
                </w:p>
              </w:tc>
              <w:tc>
                <w:tcPr>
                  <w:tcW w:w="348" w:type="pct"/>
                  <w:vMerge w:val="continue"/>
                  <w:tcBorders>
                    <w:tl2br w:val="nil"/>
                    <w:tr2bl w:val="nil"/>
                  </w:tcBorders>
                  <w:noWrap w:val="0"/>
                  <w:vAlign w:val="center"/>
                </w:tcPr>
                <w:p w14:paraId="56A710EC">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均质+隔油+絮凝+沉淀</w:t>
                  </w:r>
                </w:p>
              </w:tc>
              <w:tc>
                <w:tcPr>
                  <w:tcW w:w="356" w:type="pct"/>
                  <w:tcBorders>
                    <w:tl2br w:val="nil"/>
                    <w:tr2bl w:val="nil"/>
                  </w:tcBorders>
                  <w:noWrap w:val="0"/>
                  <w:vAlign w:val="center"/>
                </w:tcPr>
                <w:p w14:paraId="1CD6430A">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90</w:t>
                  </w:r>
                </w:p>
              </w:tc>
              <w:tc>
                <w:tcPr>
                  <w:tcW w:w="529" w:type="pct"/>
                  <w:vMerge w:val="continue"/>
                  <w:tcBorders>
                    <w:tl2br w:val="nil"/>
                    <w:tr2bl w:val="nil"/>
                  </w:tcBorders>
                  <w:noWrap w:val="0"/>
                  <w:vAlign w:val="center"/>
                </w:tcPr>
                <w:p w14:paraId="70FF938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492" w:type="pct"/>
                  <w:tcBorders>
                    <w:tl2br w:val="nil"/>
                    <w:tr2bl w:val="nil"/>
                  </w:tcBorders>
                  <w:noWrap w:val="0"/>
                  <w:vAlign w:val="center"/>
                </w:tcPr>
                <w:p w14:paraId="4A13F75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13</w:t>
                  </w:r>
                </w:p>
              </w:tc>
              <w:tc>
                <w:tcPr>
                  <w:tcW w:w="455" w:type="pct"/>
                  <w:tcBorders>
                    <w:tl2br w:val="nil"/>
                    <w:tr2bl w:val="nil"/>
                  </w:tcBorders>
                  <w:noWrap w:val="0"/>
                  <w:vAlign w:val="center"/>
                </w:tcPr>
                <w:p w14:paraId="578314AE">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0.00117</w:t>
                  </w:r>
                </w:p>
              </w:tc>
              <w:tc>
                <w:tcPr>
                  <w:tcW w:w="658" w:type="pct"/>
                  <w:vMerge w:val="continue"/>
                  <w:tcBorders>
                    <w:tl2br w:val="nil"/>
                    <w:tr2bl w:val="nil"/>
                  </w:tcBorders>
                  <w:noWrap w:val="0"/>
                  <w:vAlign w:val="center"/>
                </w:tcPr>
                <w:p w14:paraId="2A1FD9B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45DF1B0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restart"/>
                  <w:tcBorders>
                    <w:tl2br w:val="nil"/>
                    <w:tr2bl w:val="nil"/>
                  </w:tcBorders>
                  <w:noWrap w:val="0"/>
                  <w:vAlign w:val="center"/>
                </w:tcPr>
                <w:p w14:paraId="74CF73B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初期雨水</w:t>
                  </w:r>
                </w:p>
              </w:tc>
              <w:tc>
                <w:tcPr>
                  <w:tcW w:w="298" w:type="pct"/>
                  <w:vMerge w:val="restart"/>
                  <w:tcBorders>
                    <w:tl2br w:val="nil"/>
                    <w:tr2bl w:val="nil"/>
                  </w:tcBorders>
                  <w:noWrap w:val="0"/>
                  <w:vAlign w:val="center"/>
                </w:tcPr>
                <w:p w14:paraId="58D50F4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173.25</w:t>
                  </w:r>
                </w:p>
              </w:tc>
              <w:tc>
                <w:tcPr>
                  <w:tcW w:w="612" w:type="pct"/>
                  <w:tcBorders>
                    <w:tl2br w:val="nil"/>
                    <w:tr2bl w:val="nil"/>
                  </w:tcBorders>
                  <w:noWrap w:val="0"/>
                  <w:vAlign w:val="center"/>
                </w:tcPr>
                <w:p w14:paraId="3DF6D64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pH</w:t>
                  </w:r>
                </w:p>
              </w:tc>
              <w:tc>
                <w:tcPr>
                  <w:tcW w:w="380" w:type="pct"/>
                  <w:tcBorders>
                    <w:tl2br w:val="nil"/>
                    <w:tr2bl w:val="nil"/>
                  </w:tcBorders>
                  <w:noWrap w:val="0"/>
                  <w:vAlign w:val="center"/>
                </w:tcPr>
                <w:p w14:paraId="79062A2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6-9</w:t>
                  </w:r>
                </w:p>
              </w:tc>
              <w:tc>
                <w:tcPr>
                  <w:tcW w:w="402" w:type="pct"/>
                  <w:tcBorders>
                    <w:tl2br w:val="nil"/>
                    <w:tr2bl w:val="nil"/>
                  </w:tcBorders>
                  <w:noWrap w:val="0"/>
                  <w:vAlign w:val="center"/>
                </w:tcPr>
                <w:p w14:paraId="2FF1BBC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i w:val="0"/>
                      <w:color w:val="auto"/>
                      <w:kern w:val="0"/>
                      <w:sz w:val="18"/>
                      <w:szCs w:val="18"/>
                      <w:highlight w:val="none"/>
                      <w:u w:val="none"/>
                      <w:lang w:val="en-US" w:eastAsia="zh-CN" w:bidi="ar"/>
                    </w:rPr>
                    <w:t>/</w:t>
                  </w:r>
                </w:p>
              </w:tc>
              <w:tc>
                <w:tcPr>
                  <w:tcW w:w="348" w:type="pct"/>
                  <w:vMerge w:val="restart"/>
                  <w:tcBorders>
                    <w:tl2br w:val="nil"/>
                    <w:tr2bl w:val="nil"/>
                  </w:tcBorders>
                  <w:noWrap w:val="0"/>
                  <w:vAlign w:val="center"/>
                </w:tcPr>
                <w:p w14:paraId="719C2DE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均质+隔油+絮凝+沉淀</w:t>
                  </w:r>
                </w:p>
              </w:tc>
              <w:tc>
                <w:tcPr>
                  <w:tcW w:w="356" w:type="pct"/>
                  <w:tcBorders>
                    <w:tl2br w:val="nil"/>
                    <w:tr2bl w:val="nil"/>
                  </w:tcBorders>
                  <w:shd w:val="clear" w:color="auto" w:fill="auto"/>
                  <w:noWrap w:val="0"/>
                  <w:vAlign w:val="center"/>
                </w:tcPr>
                <w:p w14:paraId="58828040">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529" w:type="pct"/>
                  <w:vMerge w:val="restart"/>
                  <w:tcBorders>
                    <w:tl2br w:val="nil"/>
                    <w:tr2bl w:val="nil"/>
                  </w:tcBorders>
                  <w:noWrap w:val="0"/>
                  <w:vAlign w:val="center"/>
                </w:tcPr>
                <w:p w14:paraId="31CAA759">
                  <w:pPr>
                    <w:pStyle w:val="97"/>
                    <w:keepNext w:val="0"/>
                    <w:keepLines w:val="0"/>
                    <w:suppressLineNumbers w:val="0"/>
                    <w:spacing w:before="0" w:beforeAutospacing="0" w:after="0" w:afterAutospacing="0"/>
                    <w:ind w:left="0" w:right="0"/>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是</w:t>
                  </w:r>
                </w:p>
              </w:tc>
              <w:tc>
                <w:tcPr>
                  <w:tcW w:w="492" w:type="pct"/>
                  <w:tcBorders>
                    <w:tl2br w:val="nil"/>
                    <w:tr2bl w:val="nil"/>
                  </w:tcBorders>
                  <w:shd w:val="clear" w:color="auto" w:fill="auto"/>
                  <w:noWrap w:val="0"/>
                  <w:vAlign w:val="center"/>
                </w:tcPr>
                <w:p w14:paraId="6E3AD2DB">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6-9</w:t>
                  </w:r>
                </w:p>
              </w:tc>
              <w:tc>
                <w:tcPr>
                  <w:tcW w:w="455" w:type="pct"/>
                  <w:tcBorders>
                    <w:tl2br w:val="nil"/>
                    <w:tr2bl w:val="nil"/>
                  </w:tcBorders>
                  <w:noWrap w:val="0"/>
                  <w:vAlign w:val="center"/>
                </w:tcPr>
                <w:p w14:paraId="5E3C1FB9">
                  <w:pPr>
                    <w:keepNext w:val="0"/>
                    <w:keepLines w:val="0"/>
                    <w:widowControl/>
                    <w:suppressLineNumbers w:val="0"/>
                    <w:spacing w:before="0" w:beforeAutospacing="0" w:after="0" w:afterAutospacing="0"/>
                    <w:ind w:left="0" w:right="0"/>
                    <w:jc w:val="center"/>
                    <w:textAlignment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658" w:type="pct"/>
                  <w:vMerge w:val="continue"/>
                  <w:tcBorders>
                    <w:tl2br w:val="nil"/>
                    <w:tr2bl w:val="nil"/>
                  </w:tcBorders>
                  <w:noWrap w:val="0"/>
                  <w:vAlign w:val="center"/>
                </w:tcPr>
                <w:p w14:paraId="10A72AA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666ABCD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11E97845">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0B5C2C5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78790A11">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CODcr</w:t>
                  </w:r>
                </w:p>
              </w:tc>
              <w:tc>
                <w:tcPr>
                  <w:tcW w:w="380" w:type="pct"/>
                  <w:tcBorders>
                    <w:tl2br w:val="nil"/>
                    <w:tr2bl w:val="nil"/>
                  </w:tcBorders>
                  <w:noWrap w:val="0"/>
                  <w:vAlign w:val="center"/>
                </w:tcPr>
                <w:p w14:paraId="51A0C471">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300</w:t>
                  </w:r>
                </w:p>
              </w:tc>
              <w:tc>
                <w:tcPr>
                  <w:tcW w:w="402" w:type="pct"/>
                  <w:tcBorders>
                    <w:tl2br w:val="nil"/>
                    <w:tr2bl w:val="nil"/>
                  </w:tcBorders>
                  <w:noWrap w:val="0"/>
                  <w:vAlign w:val="center"/>
                </w:tcPr>
                <w:p w14:paraId="5664794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0.052</w:t>
                  </w:r>
                </w:p>
              </w:tc>
              <w:tc>
                <w:tcPr>
                  <w:tcW w:w="348" w:type="pct"/>
                  <w:vMerge w:val="continue"/>
                  <w:tcBorders>
                    <w:tl2br w:val="nil"/>
                    <w:tr2bl w:val="nil"/>
                  </w:tcBorders>
                  <w:noWrap w:val="0"/>
                  <w:vAlign w:val="center"/>
                </w:tcPr>
                <w:p w14:paraId="277D6B95">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356" w:type="pct"/>
                  <w:tcBorders>
                    <w:tl2br w:val="nil"/>
                    <w:tr2bl w:val="nil"/>
                  </w:tcBorders>
                  <w:shd w:val="clear" w:color="auto" w:fill="auto"/>
                  <w:noWrap w:val="0"/>
                  <w:vAlign w:val="center"/>
                </w:tcPr>
                <w:p w14:paraId="6C7E29E2">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30</w:t>
                  </w:r>
                </w:p>
              </w:tc>
              <w:tc>
                <w:tcPr>
                  <w:tcW w:w="529" w:type="pct"/>
                  <w:vMerge w:val="continue"/>
                  <w:tcBorders>
                    <w:tl2br w:val="nil"/>
                    <w:tr2bl w:val="nil"/>
                  </w:tcBorders>
                  <w:noWrap w:val="0"/>
                  <w:vAlign w:val="center"/>
                </w:tcPr>
                <w:p w14:paraId="4E94DCA5">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492" w:type="pct"/>
                  <w:tcBorders>
                    <w:tl2br w:val="nil"/>
                    <w:tr2bl w:val="nil"/>
                  </w:tcBorders>
                  <w:shd w:val="clear" w:color="auto" w:fill="auto"/>
                  <w:noWrap w:val="0"/>
                  <w:vAlign w:val="center"/>
                </w:tcPr>
                <w:p w14:paraId="71C9F09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bidi="ar-SA"/>
                    </w:rPr>
                    <w:t>210</w:t>
                  </w:r>
                </w:p>
              </w:tc>
              <w:tc>
                <w:tcPr>
                  <w:tcW w:w="455" w:type="pct"/>
                  <w:tcBorders>
                    <w:tl2br w:val="nil"/>
                    <w:tr2bl w:val="nil"/>
                  </w:tcBorders>
                  <w:noWrap w:val="0"/>
                  <w:vAlign w:val="center"/>
                </w:tcPr>
                <w:p w14:paraId="20FC2142">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0.0364</w:t>
                  </w:r>
                </w:p>
              </w:tc>
              <w:tc>
                <w:tcPr>
                  <w:tcW w:w="658" w:type="pct"/>
                  <w:vMerge w:val="continue"/>
                  <w:tcBorders>
                    <w:tl2br w:val="nil"/>
                    <w:tr2bl w:val="nil"/>
                  </w:tcBorders>
                  <w:noWrap w:val="0"/>
                  <w:vAlign w:val="center"/>
                </w:tcPr>
                <w:p w14:paraId="5F808E3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1A1BEE1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684702D3">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33F5E0B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34F9CF5B">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SS</w:t>
                  </w:r>
                </w:p>
              </w:tc>
              <w:tc>
                <w:tcPr>
                  <w:tcW w:w="380" w:type="pct"/>
                  <w:tcBorders>
                    <w:tl2br w:val="nil"/>
                    <w:tr2bl w:val="nil"/>
                  </w:tcBorders>
                  <w:noWrap w:val="0"/>
                  <w:vAlign w:val="center"/>
                </w:tcPr>
                <w:p w14:paraId="4F7CBCB0">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200</w:t>
                  </w:r>
                </w:p>
              </w:tc>
              <w:tc>
                <w:tcPr>
                  <w:tcW w:w="402" w:type="pct"/>
                  <w:tcBorders>
                    <w:tl2br w:val="nil"/>
                    <w:tr2bl w:val="nil"/>
                  </w:tcBorders>
                  <w:noWrap w:val="0"/>
                  <w:vAlign w:val="center"/>
                </w:tcPr>
                <w:p w14:paraId="21DB777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0.0347</w:t>
                  </w:r>
                </w:p>
              </w:tc>
              <w:tc>
                <w:tcPr>
                  <w:tcW w:w="348" w:type="pct"/>
                  <w:vMerge w:val="continue"/>
                  <w:tcBorders>
                    <w:tl2br w:val="nil"/>
                    <w:tr2bl w:val="nil"/>
                  </w:tcBorders>
                  <w:noWrap w:val="0"/>
                  <w:vAlign w:val="center"/>
                </w:tcPr>
                <w:p w14:paraId="268F7850">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356" w:type="pct"/>
                  <w:tcBorders>
                    <w:tl2br w:val="nil"/>
                    <w:tr2bl w:val="nil"/>
                  </w:tcBorders>
                  <w:shd w:val="clear" w:color="auto" w:fill="auto"/>
                  <w:noWrap w:val="0"/>
                  <w:vAlign w:val="center"/>
                </w:tcPr>
                <w:p w14:paraId="542C33B0">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80</w:t>
                  </w:r>
                </w:p>
              </w:tc>
              <w:tc>
                <w:tcPr>
                  <w:tcW w:w="529" w:type="pct"/>
                  <w:vMerge w:val="continue"/>
                  <w:tcBorders>
                    <w:tl2br w:val="nil"/>
                    <w:tr2bl w:val="nil"/>
                  </w:tcBorders>
                  <w:noWrap w:val="0"/>
                  <w:vAlign w:val="center"/>
                </w:tcPr>
                <w:p w14:paraId="28B3D51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492" w:type="pct"/>
                  <w:tcBorders>
                    <w:tl2br w:val="nil"/>
                    <w:tr2bl w:val="nil"/>
                  </w:tcBorders>
                  <w:shd w:val="clear" w:color="auto" w:fill="auto"/>
                  <w:noWrap w:val="0"/>
                  <w:vAlign w:val="center"/>
                </w:tcPr>
                <w:p w14:paraId="23DD7A03">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40</w:t>
                  </w:r>
                </w:p>
              </w:tc>
              <w:tc>
                <w:tcPr>
                  <w:tcW w:w="455" w:type="pct"/>
                  <w:tcBorders>
                    <w:tl2br w:val="nil"/>
                    <w:tr2bl w:val="nil"/>
                  </w:tcBorders>
                  <w:noWrap w:val="0"/>
                  <w:vAlign w:val="center"/>
                </w:tcPr>
                <w:p w14:paraId="37DF39C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0.007</w:t>
                  </w:r>
                </w:p>
              </w:tc>
              <w:tc>
                <w:tcPr>
                  <w:tcW w:w="658" w:type="pct"/>
                  <w:vMerge w:val="continue"/>
                  <w:tcBorders>
                    <w:tl2br w:val="nil"/>
                    <w:tr2bl w:val="nil"/>
                  </w:tcBorders>
                  <w:noWrap w:val="0"/>
                  <w:vAlign w:val="center"/>
                </w:tcPr>
                <w:p w14:paraId="7BCD1A9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1F5C9C0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78E722B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7FEEAAE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noWrap w:val="0"/>
                  <w:vAlign w:val="center"/>
                </w:tcPr>
                <w:p w14:paraId="551B0C7C">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石油类</w:t>
                  </w:r>
                </w:p>
              </w:tc>
              <w:tc>
                <w:tcPr>
                  <w:tcW w:w="380" w:type="pct"/>
                  <w:tcBorders>
                    <w:tl2br w:val="nil"/>
                    <w:tr2bl w:val="nil"/>
                  </w:tcBorders>
                  <w:noWrap w:val="0"/>
                  <w:vAlign w:val="center"/>
                </w:tcPr>
                <w:p w14:paraId="004C1C32">
                  <w:pPr>
                    <w:keepNext w:val="0"/>
                    <w:keepLines w:val="0"/>
                    <w:suppressLineNumbers w:val="0"/>
                    <w:spacing w:before="0" w:beforeAutospacing="0" w:after="0" w:afterAutospacing="0" w:line="260" w:lineRule="exact"/>
                    <w:ind w:left="0" w:right="0"/>
                    <w:jc w:val="center"/>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130</w:t>
                  </w:r>
                </w:p>
              </w:tc>
              <w:tc>
                <w:tcPr>
                  <w:tcW w:w="402" w:type="pct"/>
                  <w:tcBorders>
                    <w:tl2br w:val="nil"/>
                    <w:tr2bl w:val="nil"/>
                  </w:tcBorders>
                  <w:noWrap w:val="0"/>
                  <w:vAlign w:val="center"/>
                </w:tcPr>
                <w:p w14:paraId="53F5B59A">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0.0225</w:t>
                  </w:r>
                </w:p>
              </w:tc>
              <w:tc>
                <w:tcPr>
                  <w:tcW w:w="348" w:type="pct"/>
                  <w:vMerge w:val="continue"/>
                  <w:tcBorders>
                    <w:tl2br w:val="nil"/>
                    <w:tr2bl w:val="nil"/>
                  </w:tcBorders>
                  <w:noWrap w:val="0"/>
                  <w:vAlign w:val="center"/>
                </w:tcPr>
                <w:p w14:paraId="0CF7E9C6">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356" w:type="pct"/>
                  <w:tcBorders>
                    <w:tl2br w:val="nil"/>
                    <w:tr2bl w:val="nil"/>
                  </w:tcBorders>
                  <w:shd w:val="clear" w:color="auto" w:fill="auto"/>
                  <w:noWrap w:val="0"/>
                  <w:vAlign w:val="center"/>
                </w:tcPr>
                <w:p w14:paraId="3DEC62DE">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90</w:t>
                  </w:r>
                </w:p>
              </w:tc>
              <w:tc>
                <w:tcPr>
                  <w:tcW w:w="529" w:type="pct"/>
                  <w:vMerge w:val="continue"/>
                  <w:tcBorders>
                    <w:tl2br w:val="nil"/>
                    <w:tr2bl w:val="nil"/>
                  </w:tcBorders>
                  <w:noWrap w:val="0"/>
                  <w:vAlign w:val="center"/>
                </w:tcPr>
                <w:p w14:paraId="7D86156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492" w:type="pct"/>
                  <w:tcBorders>
                    <w:tl2br w:val="nil"/>
                    <w:tr2bl w:val="nil"/>
                  </w:tcBorders>
                  <w:shd w:val="clear" w:color="auto" w:fill="auto"/>
                  <w:noWrap w:val="0"/>
                  <w:vAlign w:val="center"/>
                </w:tcPr>
                <w:p w14:paraId="77E05591">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13</w:t>
                  </w:r>
                </w:p>
              </w:tc>
              <w:tc>
                <w:tcPr>
                  <w:tcW w:w="455" w:type="pct"/>
                  <w:tcBorders>
                    <w:tl2br w:val="nil"/>
                    <w:tr2bl w:val="nil"/>
                  </w:tcBorders>
                  <w:noWrap w:val="0"/>
                  <w:vAlign w:val="center"/>
                </w:tcPr>
                <w:p w14:paraId="5923480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0.00225</w:t>
                  </w:r>
                </w:p>
              </w:tc>
              <w:tc>
                <w:tcPr>
                  <w:tcW w:w="658" w:type="pct"/>
                  <w:vMerge w:val="continue"/>
                  <w:tcBorders>
                    <w:tl2br w:val="nil"/>
                    <w:tr2bl w:val="nil"/>
                  </w:tcBorders>
                  <w:noWrap w:val="0"/>
                  <w:vAlign w:val="center"/>
                </w:tcPr>
                <w:p w14:paraId="412437D0">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42C0326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restart"/>
                  <w:tcBorders>
                    <w:tl2br w:val="nil"/>
                    <w:tr2bl w:val="nil"/>
                  </w:tcBorders>
                  <w:noWrap w:val="0"/>
                  <w:vAlign w:val="center"/>
                </w:tcPr>
                <w:p w14:paraId="2D66EDF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r>
                    <w:rPr>
                      <w:rFonts w:hint="default" w:ascii="Times New Roman" w:hAnsi="Times New Roman" w:eastAsia="宋体" w:cs="Times New Roman"/>
                      <w:color w:val="auto"/>
                      <w:sz w:val="18"/>
                      <w:szCs w:val="18"/>
                      <w:highlight w:val="none"/>
                    </w:rPr>
                    <w:t>合计（污水总排口，DW001</w:t>
                  </w:r>
                  <w:r>
                    <w:rPr>
                      <w:rFonts w:hint="default"/>
                      <w:color w:val="auto"/>
                      <w:spacing w:val="1"/>
                      <w:sz w:val="20"/>
                      <w:szCs w:val="20"/>
                      <w:highlight w:val="none"/>
                    </w:rPr>
                    <w:t>）</w:t>
                  </w:r>
                </w:p>
              </w:tc>
              <w:tc>
                <w:tcPr>
                  <w:tcW w:w="298" w:type="pct"/>
                  <w:vMerge w:val="restart"/>
                  <w:tcBorders>
                    <w:tl2br w:val="nil"/>
                    <w:tr2bl w:val="nil"/>
                  </w:tcBorders>
                  <w:noWrap w:val="0"/>
                  <w:vAlign w:val="center"/>
                </w:tcPr>
                <w:p w14:paraId="1C9ECCA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523.25</w:t>
                  </w:r>
                </w:p>
              </w:tc>
              <w:tc>
                <w:tcPr>
                  <w:tcW w:w="612" w:type="pct"/>
                  <w:tcBorders>
                    <w:tl2br w:val="nil"/>
                    <w:tr2bl w:val="nil"/>
                  </w:tcBorders>
                  <w:shd w:val="clear" w:color="auto" w:fill="auto"/>
                  <w:noWrap w:val="0"/>
                  <w:vAlign w:val="center"/>
                </w:tcPr>
                <w:p w14:paraId="216F596C">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pH</w:t>
                  </w:r>
                </w:p>
              </w:tc>
              <w:tc>
                <w:tcPr>
                  <w:tcW w:w="380" w:type="pct"/>
                  <w:tcBorders>
                    <w:tl2br w:val="nil"/>
                    <w:tr2bl w:val="nil"/>
                  </w:tcBorders>
                  <w:noWrap w:val="0"/>
                  <w:vAlign w:val="center"/>
                </w:tcPr>
                <w:p w14:paraId="5D9B4D4F">
                  <w:pPr>
                    <w:keepNext w:val="0"/>
                    <w:keepLines w:val="0"/>
                    <w:suppressLineNumbers w:val="0"/>
                    <w:spacing w:before="0" w:beforeAutospacing="0" w:after="0" w:afterAutospacing="0" w:line="260" w:lineRule="exact"/>
                    <w:ind w:left="0" w:right="0"/>
                    <w:jc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402" w:type="pct"/>
                  <w:tcBorders>
                    <w:tl2br w:val="nil"/>
                    <w:tr2bl w:val="nil"/>
                  </w:tcBorders>
                  <w:noWrap w:val="0"/>
                  <w:vAlign w:val="center"/>
                </w:tcPr>
                <w:p w14:paraId="4F85C425">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348" w:type="pct"/>
                  <w:tcBorders>
                    <w:tl2br w:val="nil"/>
                    <w:tr2bl w:val="nil"/>
                  </w:tcBorders>
                  <w:noWrap w:val="0"/>
                  <w:vAlign w:val="center"/>
                </w:tcPr>
                <w:p w14:paraId="4EBB9C22">
                  <w:pPr>
                    <w:pStyle w:val="97"/>
                    <w:keepNext w:val="0"/>
                    <w:keepLines w:val="0"/>
                    <w:suppressLineNumbers w:val="0"/>
                    <w:spacing w:before="0" w:beforeAutospacing="0" w:after="0" w:afterAutospacing="0"/>
                    <w:ind w:left="0" w:right="0"/>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w:t>
                  </w:r>
                </w:p>
              </w:tc>
              <w:tc>
                <w:tcPr>
                  <w:tcW w:w="356" w:type="pct"/>
                  <w:tcBorders>
                    <w:tl2br w:val="nil"/>
                    <w:tr2bl w:val="nil"/>
                  </w:tcBorders>
                  <w:shd w:val="clear" w:color="auto" w:fill="auto"/>
                  <w:noWrap w:val="0"/>
                  <w:vAlign w:val="center"/>
                </w:tcPr>
                <w:p w14:paraId="01375B88">
                  <w:pPr>
                    <w:pStyle w:val="97"/>
                    <w:keepNext w:val="0"/>
                    <w:keepLines w:val="0"/>
                    <w:suppressLineNumbers w:val="0"/>
                    <w:spacing w:before="0" w:beforeAutospacing="0" w:after="0" w:afterAutospacing="0"/>
                    <w:ind w:left="0" w:leftChars="0" w:right="0" w:rightChars="0"/>
                    <w:rPr>
                      <w:rFonts w:hint="default" w:ascii="Times New Roman" w:hAnsi="Times New Roman"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w:t>
                  </w:r>
                </w:p>
              </w:tc>
              <w:tc>
                <w:tcPr>
                  <w:tcW w:w="529" w:type="pct"/>
                  <w:tcBorders>
                    <w:tl2br w:val="nil"/>
                    <w:tr2bl w:val="nil"/>
                  </w:tcBorders>
                  <w:noWrap w:val="0"/>
                  <w:vAlign w:val="center"/>
                </w:tcPr>
                <w:p w14:paraId="4D923E8D">
                  <w:pPr>
                    <w:pStyle w:val="97"/>
                    <w:keepNext w:val="0"/>
                    <w:keepLines w:val="0"/>
                    <w:suppressLineNumbers w:val="0"/>
                    <w:spacing w:before="0" w:beforeAutospacing="0" w:after="0" w:afterAutospacing="0"/>
                    <w:ind w:left="0" w:right="0"/>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w:t>
                  </w:r>
                </w:p>
              </w:tc>
              <w:tc>
                <w:tcPr>
                  <w:tcW w:w="492" w:type="pct"/>
                  <w:tcBorders>
                    <w:tl2br w:val="nil"/>
                    <w:tr2bl w:val="nil"/>
                  </w:tcBorders>
                  <w:shd w:val="clear" w:color="auto" w:fill="auto"/>
                  <w:noWrap w:val="0"/>
                  <w:vAlign w:val="center"/>
                </w:tcPr>
                <w:p w14:paraId="11ADC5F1">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6-9</w:t>
                  </w:r>
                </w:p>
              </w:tc>
              <w:tc>
                <w:tcPr>
                  <w:tcW w:w="455" w:type="pct"/>
                  <w:tcBorders>
                    <w:tl2br w:val="nil"/>
                    <w:tr2bl w:val="nil"/>
                  </w:tcBorders>
                  <w:noWrap w:val="0"/>
                  <w:vAlign w:val="center"/>
                </w:tcPr>
                <w:p w14:paraId="7CF555AE">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w:t>
                  </w:r>
                </w:p>
              </w:tc>
              <w:tc>
                <w:tcPr>
                  <w:tcW w:w="658" w:type="pct"/>
                  <w:vMerge w:val="continue"/>
                  <w:tcBorders>
                    <w:tl2br w:val="nil"/>
                    <w:tr2bl w:val="nil"/>
                  </w:tcBorders>
                  <w:noWrap w:val="0"/>
                  <w:vAlign w:val="center"/>
                </w:tcPr>
                <w:p w14:paraId="52832BEC">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21E1A25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76215C89">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014EC820">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7540F9AD">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CODcr</w:t>
                  </w:r>
                </w:p>
              </w:tc>
              <w:tc>
                <w:tcPr>
                  <w:tcW w:w="380" w:type="pct"/>
                  <w:tcBorders>
                    <w:tl2br w:val="nil"/>
                    <w:tr2bl w:val="nil"/>
                  </w:tcBorders>
                  <w:shd w:val="clear" w:color="auto" w:fill="auto"/>
                  <w:noWrap w:val="0"/>
                  <w:vAlign w:val="center"/>
                </w:tcPr>
                <w:p w14:paraId="6D4D0938">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tcBorders>
                    <w:tl2br w:val="nil"/>
                    <w:tr2bl w:val="nil"/>
                  </w:tcBorders>
                  <w:shd w:val="clear" w:color="auto" w:fill="auto"/>
                  <w:noWrap w:val="0"/>
                  <w:vAlign w:val="center"/>
                </w:tcPr>
                <w:p w14:paraId="17A1E890">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tcBorders>
                    <w:tl2br w:val="nil"/>
                    <w:tr2bl w:val="nil"/>
                  </w:tcBorders>
                  <w:shd w:val="clear" w:color="auto" w:fill="auto"/>
                  <w:noWrap w:val="0"/>
                  <w:vAlign w:val="center"/>
                </w:tcPr>
                <w:p w14:paraId="5A48C420">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tcBorders>
                    <w:tl2br w:val="nil"/>
                    <w:tr2bl w:val="nil"/>
                  </w:tcBorders>
                  <w:shd w:val="clear" w:color="auto" w:fill="auto"/>
                  <w:noWrap w:val="0"/>
                  <w:vAlign w:val="center"/>
                </w:tcPr>
                <w:p w14:paraId="624E7502">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tcBorders>
                    <w:tl2br w:val="nil"/>
                    <w:tr2bl w:val="nil"/>
                  </w:tcBorders>
                  <w:shd w:val="clear" w:color="auto" w:fill="auto"/>
                  <w:noWrap w:val="0"/>
                  <w:vAlign w:val="center"/>
                </w:tcPr>
                <w:p w14:paraId="210B533C">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Borders>
                    <w:tl2br w:val="nil"/>
                    <w:tr2bl w:val="nil"/>
                  </w:tcBorders>
                  <w:shd w:val="clear" w:color="auto" w:fill="auto"/>
                  <w:noWrap w:val="0"/>
                  <w:vAlign w:val="center"/>
                </w:tcPr>
                <w:p w14:paraId="7439F04B">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228</w:t>
                  </w:r>
                </w:p>
              </w:tc>
              <w:tc>
                <w:tcPr>
                  <w:tcW w:w="455" w:type="pct"/>
                  <w:tcBorders>
                    <w:tl2br w:val="nil"/>
                    <w:tr2bl w:val="nil"/>
                  </w:tcBorders>
                  <w:noWrap w:val="0"/>
                  <w:vAlign w:val="center"/>
                </w:tcPr>
                <w:p w14:paraId="6773FD61">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0.11935</w:t>
                  </w:r>
                </w:p>
              </w:tc>
              <w:tc>
                <w:tcPr>
                  <w:tcW w:w="658" w:type="pct"/>
                  <w:vMerge w:val="continue"/>
                  <w:tcBorders>
                    <w:tl2br w:val="nil"/>
                    <w:tr2bl w:val="nil"/>
                  </w:tcBorders>
                  <w:noWrap w:val="0"/>
                  <w:vAlign w:val="center"/>
                </w:tcPr>
                <w:p w14:paraId="589EA3C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50E9C32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47B0A32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5DFA02A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406D4EF5">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BOD</w:t>
                  </w:r>
                  <w:r>
                    <w:rPr>
                      <w:rFonts w:hint="default" w:ascii="Times New Roman" w:hAnsi="Times New Roman" w:eastAsia="宋体" w:cs="Times New Roman"/>
                      <w:color w:val="auto"/>
                      <w:sz w:val="18"/>
                      <w:szCs w:val="18"/>
                      <w:highlight w:val="none"/>
                      <w:vertAlign w:val="subscript"/>
                    </w:rPr>
                    <w:t>5</w:t>
                  </w:r>
                </w:p>
              </w:tc>
              <w:tc>
                <w:tcPr>
                  <w:tcW w:w="380" w:type="pct"/>
                  <w:tcBorders>
                    <w:tl2br w:val="nil"/>
                    <w:tr2bl w:val="nil"/>
                  </w:tcBorders>
                  <w:shd w:val="clear" w:color="auto" w:fill="auto"/>
                  <w:noWrap w:val="0"/>
                  <w:vAlign w:val="center"/>
                </w:tcPr>
                <w:p w14:paraId="7D387B7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tcBorders>
                    <w:tl2br w:val="nil"/>
                    <w:tr2bl w:val="nil"/>
                  </w:tcBorders>
                  <w:shd w:val="clear" w:color="auto" w:fill="auto"/>
                  <w:noWrap w:val="0"/>
                  <w:vAlign w:val="center"/>
                </w:tcPr>
                <w:p w14:paraId="7B75392A">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tcBorders>
                    <w:tl2br w:val="nil"/>
                    <w:tr2bl w:val="nil"/>
                  </w:tcBorders>
                  <w:shd w:val="clear" w:color="auto" w:fill="auto"/>
                  <w:noWrap w:val="0"/>
                  <w:vAlign w:val="center"/>
                </w:tcPr>
                <w:p w14:paraId="05EA809E">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tcBorders>
                    <w:tl2br w:val="nil"/>
                    <w:tr2bl w:val="nil"/>
                  </w:tcBorders>
                  <w:shd w:val="clear" w:color="auto" w:fill="auto"/>
                  <w:noWrap w:val="0"/>
                  <w:vAlign w:val="center"/>
                </w:tcPr>
                <w:p w14:paraId="1918D29A">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tcBorders>
                    <w:tl2br w:val="nil"/>
                    <w:tr2bl w:val="nil"/>
                  </w:tcBorders>
                  <w:shd w:val="clear" w:color="auto" w:fill="auto"/>
                  <w:noWrap w:val="0"/>
                  <w:vAlign w:val="center"/>
                </w:tcPr>
                <w:p w14:paraId="6A8A6BA1">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Borders>
                    <w:tl2br w:val="nil"/>
                    <w:tr2bl w:val="nil"/>
                  </w:tcBorders>
                  <w:shd w:val="clear" w:color="auto" w:fill="auto"/>
                  <w:noWrap w:val="0"/>
                  <w:vAlign w:val="center"/>
                </w:tcPr>
                <w:p w14:paraId="7193E52B">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93</w:t>
                  </w:r>
                </w:p>
              </w:tc>
              <w:tc>
                <w:tcPr>
                  <w:tcW w:w="455" w:type="pct"/>
                  <w:tcBorders>
                    <w:tl2br w:val="nil"/>
                    <w:tr2bl w:val="nil"/>
                  </w:tcBorders>
                  <w:noWrap w:val="0"/>
                  <w:vAlign w:val="center"/>
                </w:tcPr>
                <w:p w14:paraId="27607D00">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0.04875</w:t>
                  </w:r>
                </w:p>
              </w:tc>
              <w:tc>
                <w:tcPr>
                  <w:tcW w:w="658" w:type="pct"/>
                  <w:vMerge w:val="continue"/>
                  <w:tcBorders>
                    <w:tl2br w:val="nil"/>
                    <w:tr2bl w:val="nil"/>
                  </w:tcBorders>
                  <w:noWrap w:val="0"/>
                  <w:vAlign w:val="center"/>
                </w:tcPr>
                <w:p w14:paraId="01238B73">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41BB4D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46F2430B">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7908C6EF">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0947FFE7">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SS</w:t>
                  </w:r>
                </w:p>
              </w:tc>
              <w:tc>
                <w:tcPr>
                  <w:tcW w:w="380" w:type="pct"/>
                  <w:tcBorders>
                    <w:tl2br w:val="nil"/>
                    <w:tr2bl w:val="nil"/>
                  </w:tcBorders>
                  <w:shd w:val="clear" w:color="auto" w:fill="auto"/>
                  <w:noWrap w:val="0"/>
                  <w:vAlign w:val="center"/>
                </w:tcPr>
                <w:p w14:paraId="2F98D781">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tcBorders>
                    <w:tl2br w:val="nil"/>
                    <w:tr2bl w:val="nil"/>
                  </w:tcBorders>
                  <w:shd w:val="clear" w:color="auto" w:fill="auto"/>
                  <w:noWrap w:val="0"/>
                  <w:vAlign w:val="center"/>
                </w:tcPr>
                <w:p w14:paraId="6FE28798">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tcBorders>
                    <w:tl2br w:val="nil"/>
                    <w:tr2bl w:val="nil"/>
                  </w:tcBorders>
                  <w:shd w:val="clear" w:color="auto" w:fill="auto"/>
                  <w:noWrap w:val="0"/>
                  <w:vAlign w:val="center"/>
                </w:tcPr>
                <w:p w14:paraId="1CDF7575">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tcBorders>
                    <w:tl2br w:val="nil"/>
                    <w:tr2bl w:val="nil"/>
                  </w:tcBorders>
                  <w:shd w:val="clear" w:color="auto" w:fill="auto"/>
                  <w:noWrap w:val="0"/>
                  <w:vAlign w:val="center"/>
                </w:tcPr>
                <w:p w14:paraId="6FA4ADFD">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tcBorders>
                    <w:tl2br w:val="nil"/>
                    <w:tr2bl w:val="nil"/>
                  </w:tcBorders>
                  <w:shd w:val="clear" w:color="auto" w:fill="auto"/>
                  <w:noWrap w:val="0"/>
                  <w:vAlign w:val="center"/>
                </w:tcPr>
                <w:p w14:paraId="149C5B4F">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Borders>
                    <w:tl2br w:val="nil"/>
                    <w:tr2bl w:val="nil"/>
                  </w:tcBorders>
                  <w:shd w:val="clear" w:color="auto" w:fill="auto"/>
                  <w:noWrap w:val="0"/>
                  <w:vAlign w:val="center"/>
                </w:tcPr>
                <w:p w14:paraId="6FA37C34">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133.8</w:t>
                  </w:r>
                </w:p>
              </w:tc>
              <w:tc>
                <w:tcPr>
                  <w:tcW w:w="455" w:type="pct"/>
                  <w:tcBorders>
                    <w:tl2br w:val="nil"/>
                    <w:tr2bl w:val="nil"/>
                  </w:tcBorders>
                  <w:noWrap w:val="0"/>
                  <w:vAlign w:val="center"/>
                </w:tcPr>
                <w:p w14:paraId="6F0875BD">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0.07</w:t>
                  </w:r>
                </w:p>
              </w:tc>
              <w:tc>
                <w:tcPr>
                  <w:tcW w:w="658" w:type="pct"/>
                  <w:vMerge w:val="continue"/>
                  <w:tcBorders>
                    <w:tl2br w:val="nil"/>
                    <w:tr2bl w:val="nil"/>
                  </w:tcBorders>
                  <w:noWrap w:val="0"/>
                  <w:vAlign w:val="center"/>
                </w:tcPr>
                <w:p w14:paraId="43D57573">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1074296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37545650">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1A03B9D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4E948D4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NH</w:t>
                  </w:r>
                  <w:r>
                    <w:rPr>
                      <w:rFonts w:hint="default" w:ascii="Times New Roman" w:hAnsi="Times New Roman" w:eastAsia="宋体" w:cs="Times New Roman"/>
                      <w:color w:val="auto"/>
                      <w:sz w:val="18"/>
                      <w:szCs w:val="18"/>
                      <w:highlight w:val="none"/>
                      <w:vertAlign w:val="subscript"/>
                    </w:rPr>
                    <w:t>3</w:t>
                  </w:r>
                  <w:r>
                    <w:rPr>
                      <w:rFonts w:hint="default" w:ascii="Times New Roman" w:hAnsi="Times New Roman" w:eastAsia="宋体" w:cs="Times New Roman"/>
                      <w:color w:val="auto"/>
                      <w:sz w:val="18"/>
                      <w:szCs w:val="18"/>
                      <w:highlight w:val="none"/>
                    </w:rPr>
                    <w:t>-N</w:t>
                  </w:r>
                </w:p>
              </w:tc>
              <w:tc>
                <w:tcPr>
                  <w:tcW w:w="380" w:type="pct"/>
                  <w:tcBorders>
                    <w:tl2br w:val="nil"/>
                    <w:tr2bl w:val="nil"/>
                  </w:tcBorders>
                  <w:shd w:val="clear" w:color="auto" w:fill="auto"/>
                  <w:noWrap w:val="0"/>
                  <w:vAlign w:val="center"/>
                </w:tcPr>
                <w:p w14:paraId="5408D57F">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tcBorders>
                    <w:tl2br w:val="nil"/>
                    <w:tr2bl w:val="nil"/>
                  </w:tcBorders>
                  <w:shd w:val="clear" w:color="auto" w:fill="auto"/>
                  <w:noWrap w:val="0"/>
                  <w:vAlign w:val="center"/>
                </w:tcPr>
                <w:p w14:paraId="71510CE9">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tcBorders>
                    <w:tl2br w:val="nil"/>
                    <w:tr2bl w:val="nil"/>
                  </w:tcBorders>
                  <w:shd w:val="clear" w:color="auto" w:fill="auto"/>
                  <w:noWrap w:val="0"/>
                  <w:vAlign w:val="center"/>
                </w:tcPr>
                <w:p w14:paraId="60F85CAD">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tcBorders>
                    <w:tl2br w:val="nil"/>
                    <w:tr2bl w:val="nil"/>
                  </w:tcBorders>
                  <w:shd w:val="clear" w:color="auto" w:fill="auto"/>
                  <w:noWrap w:val="0"/>
                  <w:vAlign w:val="center"/>
                </w:tcPr>
                <w:p w14:paraId="6EFCB4F9">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tcBorders>
                    <w:tl2br w:val="nil"/>
                    <w:tr2bl w:val="nil"/>
                  </w:tcBorders>
                  <w:shd w:val="clear" w:color="auto" w:fill="auto"/>
                  <w:noWrap w:val="0"/>
                  <w:vAlign w:val="center"/>
                </w:tcPr>
                <w:p w14:paraId="42F5300C">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Borders>
                    <w:tl2br w:val="nil"/>
                    <w:tr2bl w:val="nil"/>
                  </w:tcBorders>
                  <w:shd w:val="clear" w:color="auto" w:fill="auto"/>
                  <w:noWrap w:val="0"/>
                  <w:vAlign w:val="center"/>
                </w:tcPr>
                <w:p w14:paraId="0CFADABC">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7.22</w:t>
                  </w:r>
                </w:p>
              </w:tc>
              <w:tc>
                <w:tcPr>
                  <w:tcW w:w="455" w:type="pct"/>
                  <w:tcBorders>
                    <w:tl2br w:val="nil"/>
                    <w:tr2bl w:val="nil"/>
                  </w:tcBorders>
                  <w:noWrap w:val="0"/>
                  <w:vAlign w:val="center"/>
                </w:tcPr>
                <w:p w14:paraId="50D2FE0C">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0.00378</w:t>
                  </w:r>
                </w:p>
              </w:tc>
              <w:tc>
                <w:tcPr>
                  <w:tcW w:w="658" w:type="pct"/>
                  <w:vMerge w:val="continue"/>
                  <w:tcBorders>
                    <w:tl2br w:val="nil"/>
                    <w:tr2bl w:val="nil"/>
                  </w:tcBorders>
                  <w:noWrap w:val="0"/>
                  <w:vAlign w:val="center"/>
                </w:tcPr>
                <w:p w14:paraId="3787BE8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24E8328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Borders>
                    <w:tl2br w:val="nil"/>
                    <w:tr2bl w:val="nil"/>
                  </w:tcBorders>
                  <w:noWrap w:val="0"/>
                  <w:vAlign w:val="center"/>
                </w:tcPr>
                <w:p w14:paraId="7DB66E9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Borders>
                    <w:tl2br w:val="nil"/>
                    <w:tr2bl w:val="nil"/>
                  </w:tcBorders>
                  <w:noWrap w:val="0"/>
                  <w:vAlign w:val="center"/>
                </w:tcPr>
                <w:p w14:paraId="525F4D1F">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tcBorders>
                    <w:tl2br w:val="nil"/>
                    <w:tr2bl w:val="nil"/>
                  </w:tcBorders>
                  <w:shd w:val="clear" w:color="auto" w:fill="auto"/>
                  <w:noWrap w:val="0"/>
                  <w:vAlign w:val="center"/>
                </w:tcPr>
                <w:p w14:paraId="6B411548">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sz w:val="18"/>
                      <w:szCs w:val="18"/>
                      <w:highlight w:val="none"/>
                    </w:rPr>
                    <w:t>总氮</w:t>
                  </w:r>
                </w:p>
              </w:tc>
              <w:tc>
                <w:tcPr>
                  <w:tcW w:w="380" w:type="pct"/>
                  <w:tcBorders>
                    <w:tl2br w:val="nil"/>
                    <w:tr2bl w:val="nil"/>
                  </w:tcBorders>
                  <w:shd w:val="clear" w:color="auto" w:fill="auto"/>
                  <w:noWrap w:val="0"/>
                  <w:vAlign w:val="center"/>
                </w:tcPr>
                <w:p w14:paraId="3793141B">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tcBorders>
                    <w:tl2br w:val="nil"/>
                    <w:tr2bl w:val="nil"/>
                  </w:tcBorders>
                  <w:shd w:val="clear" w:color="auto" w:fill="auto"/>
                  <w:noWrap w:val="0"/>
                  <w:vAlign w:val="center"/>
                </w:tcPr>
                <w:p w14:paraId="10B842CA">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tcBorders>
                    <w:tl2br w:val="nil"/>
                    <w:tr2bl w:val="nil"/>
                  </w:tcBorders>
                  <w:shd w:val="clear" w:color="auto" w:fill="auto"/>
                  <w:noWrap w:val="0"/>
                  <w:vAlign w:val="center"/>
                </w:tcPr>
                <w:p w14:paraId="6CBD5794">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tcBorders>
                    <w:tl2br w:val="nil"/>
                    <w:tr2bl w:val="nil"/>
                  </w:tcBorders>
                  <w:shd w:val="clear" w:color="auto" w:fill="auto"/>
                  <w:noWrap w:val="0"/>
                  <w:vAlign w:val="center"/>
                </w:tcPr>
                <w:p w14:paraId="6FF1B540">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tcBorders>
                    <w:tl2br w:val="nil"/>
                    <w:tr2bl w:val="nil"/>
                  </w:tcBorders>
                  <w:shd w:val="clear" w:color="auto" w:fill="auto"/>
                  <w:noWrap w:val="0"/>
                  <w:vAlign w:val="center"/>
                </w:tcPr>
                <w:p w14:paraId="18C33267">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Borders>
                    <w:tl2br w:val="nil"/>
                    <w:tr2bl w:val="nil"/>
                  </w:tcBorders>
                  <w:shd w:val="clear" w:color="auto" w:fill="auto"/>
                  <w:noWrap w:val="0"/>
                  <w:vAlign w:val="center"/>
                </w:tcPr>
                <w:p w14:paraId="5B364CC0">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10.3</w:t>
                  </w:r>
                </w:p>
              </w:tc>
              <w:tc>
                <w:tcPr>
                  <w:tcW w:w="455" w:type="pct"/>
                  <w:tcBorders>
                    <w:tl2br w:val="nil"/>
                    <w:tr2bl w:val="nil"/>
                  </w:tcBorders>
                  <w:noWrap w:val="0"/>
                  <w:vAlign w:val="center"/>
                </w:tcPr>
                <w:p w14:paraId="3EA959A1">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0.0054</w:t>
                  </w:r>
                </w:p>
              </w:tc>
              <w:tc>
                <w:tcPr>
                  <w:tcW w:w="658" w:type="pct"/>
                  <w:vMerge w:val="continue"/>
                  <w:tcBorders>
                    <w:tl2br w:val="nil"/>
                    <w:tr2bl w:val="nil"/>
                  </w:tcBorders>
                  <w:noWrap w:val="0"/>
                  <w:vAlign w:val="center"/>
                </w:tcPr>
                <w:p w14:paraId="7580C126">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0B6261E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Pr>
                <w:p w14:paraId="43BABCC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Pr>
                <w:p w14:paraId="7BA59F3A">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shd w:val="clear" w:color="auto" w:fill="auto"/>
                  <w:vAlign w:val="center"/>
                </w:tcPr>
                <w:p w14:paraId="1FC966EC">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eastAsia="zh-CN"/>
                    </w:rPr>
                    <w:t>总磷</w:t>
                  </w:r>
                  <w:r>
                    <w:rPr>
                      <w:rFonts w:hint="default" w:ascii="Times New Roman" w:hAnsi="Times New Roman" w:eastAsia="宋体" w:cs="Times New Roman"/>
                      <w:color w:val="auto"/>
                      <w:sz w:val="18"/>
                      <w:szCs w:val="18"/>
                      <w:highlight w:val="none"/>
                    </w:rPr>
                    <w:t>（以P计）</w:t>
                  </w:r>
                </w:p>
              </w:tc>
              <w:tc>
                <w:tcPr>
                  <w:tcW w:w="380" w:type="pct"/>
                  <w:shd w:val="clear" w:color="auto" w:fill="auto"/>
                  <w:vAlign w:val="center"/>
                </w:tcPr>
                <w:p w14:paraId="18D301D0">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shd w:val="clear" w:color="auto" w:fill="auto"/>
                  <w:vAlign w:val="center"/>
                </w:tcPr>
                <w:p w14:paraId="1ECE0993">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shd w:val="clear" w:color="auto" w:fill="auto"/>
                  <w:vAlign w:val="center"/>
                </w:tcPr>
                <w:p w14:paraId="190795F1">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shd w:val="clear" w:color="auto" w:fill="auto"/>
                  <w:vAlign w:val="center"/>
                </w:tcPr>
                <w:p w14:paraId="3E62E3E7">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shd w:val="clear" w:color="auto" w:fill="auto"/>
                  <w:vAlign w:val="center"/>
                </w:tcPr>
                <w:p w14:paraId="630078C6">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vAlign w:val="center"/>
                </w:tcPr>
                <w:p w14:paraId="3570D95F">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1.3</w:t>
                  </w:r>
                </w:p>
              </w:tc>
              <w:tc>
                <w:tcPr>
                  <w:tcW w:w="455" w:type="pct"/>
                  <w:vAlign w:val="center"/>
                </w:tcPr>
                <w:p w14:paraId="67E87FCA">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0.000675</w:t>
                  </w:r>
                </w:p>
              </w:tc>
              <w:tc>
                <w:tcPr>
                  <w:tcW w:w="658" w:type="pct"/>
                  <w:vMerge w:val="continue"/>
                </w:tcPr>
                <w:p w14:paraId="7A9A72EF">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0CC890D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Pr>
                <w:p w14:paraId="0F07C50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Pr>
                <w:p w14:paraId="796518E4">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shd w:val="clear" w:color="auto" w:fill="auto"/>
                  <w:vAlign w:val="center"/>
                </w:tcPr>
                <w:p w14:paraId="160570C3">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动植物油</w:t>
                  </w:r>
                </w:p>
              </w:tc>
              <w:tc>
                <w:tcPr>
                  <w:tcW w:w="380" w:type="pct"/>
                  <w:shd w:val="clear" w:color="auto" w:fill="auto"/>
                  <w:vAlign w:val="center"/>
                </w:tcPr>
                <w:p w14:paraId="56BC09EA">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shd w:val="clear" w:color="auto" w:fill="auto"/>
                  <w:vAlign w:val="center"/>
                </w:tcPr>
                <w:p w14:paraId="3646D43E">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shd w:val="clear" w:color="auto" w:fill="auto"/>
                  <w:vAlign w:val="center"/>
                </w:tcPr>
                <w:p w14:paraId="12A03B63">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shd w:val="clear" w:color="auto" w:fill="auto"/>
                  <w:vAlign w:val="center"/>
                </w:tcPr>
                <w:p w14:paraId="04F64028">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shd w:val="clear" w:color="auto" w:fill="auto"/>
                  <w:vAlign w:val="center"/>
                </w:tcPr>
                <w:p w14:paraId="0F22D651">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Pr>
                <w:p w14:paraId="339FED05">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3.06</w:t>
                  </w:r>
                </w:p>
              </w:tc>
              <w:tc>
                <w:tcPr>
                  <w:tcW w:w="455" w:type="pct"/>
                </w:tcPr>
                <w:p w14:paraId="1FF04319">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0.0016</w:t>
                  </w:r>
                </w:p>
              </w:tc>
              <w:tc>
                <w:tcPr>
                  <w:tcW w:w="658" w:type="pct"/>
                  <w:vMerge w:val="continue"/>
                </w:tcPr>
                <w:p w14:paraId="51D2CFAD">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r w14:paraId="243E2FC6">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trHeight w:val="283" w:hRule="atLeast"/>
              </w:trPr>
              <w:tc>
                <w:tcPr>
                  <w:tcW w:w="465" w:type="pct"/>
                  <w:vMerge w:val="continue"/>
                </w:tcPr>
                <w:p w14:paraId="2B281FB8">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298" w:type="pct"/>
                  <w:vMerge w:val="continue"/>
                </w:tcPr>
                <w:p w14:paraId="6BE51961">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c>
                <w:tcPr>
                  <w:tcW w:w="612" w:type="pct"/>
                  <w:shd w:val="clear" w:color="auto" w:fill="auto"/>
                  <w:vAlign w:val="center"/>
                </w:tcPr>
                <w:p w14:paraId="234A7241">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石油类</w:t>
                  </w:r>
                </w:p>
              </w:tc>
              <w:tc>
                <w:tcPr>
                  <w:tcW w:w="380" w:type="pct"/>
                  <w:shd w:val="clear" w:color="auto" w:fill="auto"/>
                  <w:vAlign w:val="center"/>
                </w:tcPr>
                <w:p w14:paraId="6FAA2F9A">
                  <w:pPr>
                    <w:keepNext w:val="0"/>
                    <w:keepLines w:val="0"/>
                    <w:suppressLineNumbers w:val="0"/>
                    <w:spacing w:before="0" w:beforeAutospacing="0" w:after="0" w:afterAutospacing="0" w:line="260" w:lineRule="exact"/>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402" w:type="pct"/>
                  <w:shd w:val="clear" w:color="auto" w:fill="auto"/>
                  <w:vAlign w:val="center"/>
                </w:tcPr>
                <w:p w14:paraId="174326ED">
                  <w:pPr>
                    <w:keepNext w:val="0"/>
                    <w:keepLines w:val="0"/>
                    <w:widowControl/>
                    <w:suppressLineNumbers w:val="0"/>
                    <w:spacing w:before="0" w:beforeAutospacing="0" w:after="0" w:afterAutospacing="0"/>
                    <w:ind w:left="0" w:leftChars="0" w:right="0" w:rightChars="0"/>
                    <w:jc w:val="center"/>
                    <w:textAlignment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sz w:val="18"/>
                      <w:szCs w:val="18"/>
                      <w:highlight w:val="none"/>
                      <w:lang w:val="en-US" w:eastAsia="zh-CN"/>
                    </w:rPr>
                    <w:t>/</w:t>
                  </w:r>
                </w:p>
              </w:tc>
              <w:tc>
                <w:tcPr>
                  <w:tcW w:w="348" w:type="pct"/>
                  <w:shd w:val="clear" w:color="auto" w:fill="auto"/>
                  <w:vAlign w:val="center"/>
                </w:tcPr>
                <w:p w14:paraId="0336E0AD">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356" w:type="pct"/>
                  <w:shd w:val="clear" w:color="auto" w:fill="auto"/>
                  <w:vAlign w:val="center"/>
                </w:tcPr>
                <w:p w14:paraId="5F3FCFDA">
                  <w:pPr>
                    <w:pStyle w:val="97"/>
                    <w:keepNext w:val="0"/>
                    <w:keepLines w:val="0"/>
                    <w:suppressLineNumbers w:val="0"/>
                    <w:spacing w:before="0" w:beforeAutospacing="0" w:after="0" w:afterAutospacing="0"/>
                    <w:ind w:left="0" w:leftChars="0" w:right="0" w:rightChars="0"/>
                    <w:rPr>
                      <w:rFonts w:hint="eastAsia"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529" w:type="pct"/>
                  <w:shd w:val="clear" w:color="auto" w:fill="auto"/>
                  <w:vAlign w:val="center"/>
                </w:tcPr>
                <w:p w14:paraId="4578D3A0">
                  <w:pPr>
                    <w:pStyle w:val="97"/>
                    <w:keepNext w:val="0"/>
                    <w:keepLines w:val="0"/>
                    <w:suppressLineNumbers w:val="0"/>
                    <w:spacing w:before="0" w:beforeAutospacing="0" w:after="0" w:afterAutospacing="0"/>
                    <w:ind w:left="0" w:leftChars="0" w:right="0" w:rightChars="0"/>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sz w:val="18"/>
                      <w:szCs w:val="18"/>
                      <w:highlight w:val="none"/>
                      <w:lang w:val="en-US" w:eastAsia="zh-CN"/>
                    </w:rPr>
                    <w:t>/</w:t>
                  </w:r>
                </w:p>
              </w:tc>
              <w:tc>
                <w:tcPr>
                  <w:tcW w:w="492" w:type="pct"/>
                </w:tcPr>
                <w:p w14:paraId="76BB00EF">
                  <w:pPr>
                    <w:keepNext w:val="0"/>
                    <w:keepLines w:val="0"/>
                    <w:suppressLineNumbers w:val="0"/>
                    <w:spacing w:before="0" w:beforeAutospacing="0" w:after="0" w:afterAutospacing="0" w:line="260" w:lineRule="exact"/>
                    <w:ind w:left="0" w:leftChars="0" w:right="0" w:rightChars="0"/>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6.54</w:t>
                  </w:r>
                </w:p>
              </w:tc>
              <w:tc>
                <w:tcPr>
                  <w:tcW w:w="455" w:type="pct"/>
                </w:tcPr>
                <w:p w14:paraId="53A84D07">
                  <w:pPr>
                    <w:keepNext w:val="0"/>
                    <w:keepLines w:val="0"/>
                    <w:widowControl/>
                    <w:suppressLineNumbers w:val="0"/>
                    <w:spacing w:before="0" w:beforeAutospacing="0" w:after="0" w:afterAutospacing="0"/>
                    <w:ind w:left="0" w:right="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0.00342</w:t>
                  </w:r>
                </w:p>
              </w:tc>
              <w:tc>
                <w:tcPr>
                  <w:tcW w:w="658" w:type="pct"/>
                  <w:vMerge w:val="continue"/>
                </w:tcPr>
                <w:p w14:paraId="6B3D9497">
                  <w:pPr>
                    <w:pStyle w:val="97"/>
                    <w:keepNext w:val="0"/>
                    <w:keepLines w:val="0"/>
                    <w:suppressLineNumbers w:val="0"/>
                    <w:spacing w:before="0" w:beforeAutospacing="0" w:after="0" w:afterAutospacing="0"/>
                    <w:ind w:left="0" w:right="0"/>
                    <w:rPr>
                      <w:rFonts w:hint="default" w:ascii="Times New Roman" w:hAnsi="Times New Roman" w:eastAsia="宋体" w:cs="Times New Roman"/>
                      <w:color w:val="auto"/>
                      <w:sz w:val="18"/>
                      <w:szCs w:val="18"/>
                      <w:highlight w:val="none"/>
                    </w:rPr>
                  </w:pPr>
                </w:p>
              </w:tc>
            </w:tr>
          </w:tbl>
          <w:p w14:paraId="2DCACBD0">
            <w:pPr>
              <w:pStyle w:val="44"/>
              <w:keepNext w:val="0"/>
              <w:keepLines w:val="0"/>
              <w:suppressLineNumbers w:val="0"/>
              <w:spacing w:before="0" w:beforeAutospacing="0" w:after="0" w:afterAutospacing="0"/>
              <w:ind w:left="0" w:right="0"/>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2.1 废水源强核算</w:t>
            </w:r>
          </w:p>
          <w:p w14:paraId="48F491B5">
            <w:pPr>
              <w:pStyle w:val="44"/>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①生活用水</w:t>
            </w:r>
            <w:r>
              <w:rPr>
                <w:rFonts w:hint="eastAsia" w:ascii="Times New Roman" w:hAnsi="Times New Roman" w:cs="Times New Roman"/>
                <w:color w:val="auto"/>
                <w:kern w:val="2"/>
                <w:sz w:val="24"/>
                <w:szCs w:val="24"/>
                <w:highlight w:val="none"/>
                <w:lang w:val="en-US" w:eastAsia="zh-CN" w:bidi="ar-SA"/>
              </w:rPr>
              <w:t>及食堂用水</w:t>
            </w:r>
          </w:p>
          <w:p w14:paraId="5DB1DAEE">
            <w:pPr>
              <w:pStyle w:val="73"/>
              <w:keepNext w:val="0"/>
              <w:keepLines w:val="0"/>
              <w:suppressLineNumbers w:val="0"/>
              <w:spacing w:before="5" w:beforeAutospacing="0" w:after="0" w:afterAutospacing="0" w:line="359" w:lineRule="auto"/>
              <w:ind w:left="109" w:right="89" w:firstLine="481"/>
              <w:jc w:val="both"/>
              <w:rPr>
                <w:rFonts w:hint="default"/>
                <w:color w:val="auto"/>
                <w:highlight w:val="none"/>
              </w:rPr>
            </w:pPr>
            <w:r>
              <w:rPr>
                <w:rFonts w:hint="eastAsia"/>
                <w:color w:val="auto"/>
                <w:spacing w:val="-4"/>
                <w:highlight w:val="none"/>
                <w:lang w:val="en-US" w:eastAsia="zh-CN"/>
              </w:rPr>
              <w:t>根据水平衡章节，本项目生活污水排放量为180m</w:t>
            </w:r>
            <w:r>
              <w:rPr>
                <w:rFonts w:hint="eastAsia"/>
                <w:color w:val="auto"/>
                <w:spacing w:val="-4"/>
                <w:highlight w:val="none"/>
                <w:vertAlign w:val="superscript"/>
                <w:lang w:val="en-US" w:eastAsia="zh-CN"/>
              </w:rPr>
              <w:t>3</w:t>
            </w:r>
            <w:r>
              <w:rPr>
                <w:rFonts w:hint="eastAsia"/>
                <w:color w:val="auto"/>
                <w:spacing w:val="-4"/>
                <w:highlight w:val="none"/>
                <w:lang w:val="en-US" w:eastAsia="zh-CN"/>
              </w:rPr>
              <w:t>/a，食堂废水年排放量为80m</w:t>
            </w:r>
            <w:r>
              <w:rPr>
                <w:rFonts w:hint="eastAsia"/>
                <w:color w:val="auto"/>
                <w:spacing w:val="-4"/>
                <w:highlight w:val="none"/>
                <w:vertAlign w:val="superscript"/>
                <w:lang w:val="en-US" w:eastAsia="zh-CN"/>
              </w:rPr>
              <w:t>3</w:t>
            </w:r>
            <w:r>
              <w:rPr>
                <w:rFonts w:hint="eastAsia"/>
                <w:color w:val="auto"/>
                <w:spacing w:val="-4"/>
                <w:highlight w:val="none"/>
                <w:lang w:val="en-US" w:eastAsia="zh-CN"/>
              </w:rPr>
              <w:t>/a，</w:t>
            </w:r>
            <w:r>
              <w:rPr>
                <w:rFonts w:hint="eastAsia"/>
                <w:color w:val="auto"/>
                <w:spacing w:val="-1"/>
                <w:highlight w:val="none"/>
                <w:lang w:val="en-US" w:eastAsia="zh-CN"/>
              </w:rPr>
              <w:t>食堂</w:t>
            </w:r>
            <w:r>
              <w:rPr>
                <w:rFonts w:hint="default"/>
                <w:color w:val="auto"/>
                <w:spacing w:val="-1"/>
                <w:highlight w:val="none"/>
              </w:rPr>
              <w:t>废水经隔油池处理后，与生活污</w:t>
            </w:r>
            <w:r>
              <w:rPr>
                <w:rFonts w:hint="default"/>
                <w:color w:val="auto"/>
                <w:spacing w:val="-3"/>
                <w:highlight w:val="none"/>
              </w:rPr>
              <w:t>水经化粪池处理后，由市政污水管网排入阜新市北控水务有限公司污水处理厂集中</w:t>
            </w:r>
            <w:r>
              <w:rPr>
                <w:rFonts w:hint="default"/>
                <w:color w:val="auto"/>
                <w:spacing w:val="-4"/>
                <w:highlight w:val="none"/>
              </w:rPr>
              <w:t>处理。</w:t>
            </w:r>
          </w:p>
          <w:p w14:paraId="4A0EC89F">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ind w:left="0" w:right="0"/>
              <w:jc w:val="both"/>
              <w:textAlignment w:val="auto"/>
              <w:rPr>
                <w:rFonts w:hint="eastAsia" w:ascii="Times New Roman" w:hAnsi="Times New Roman" w:cs="Times New Roman"/>
                <w:color w:val="auto"/>
                <w:sz w:val="24"/>
                <w:highlight w:val="none"/>
                <w:shd w:val="clear" w:color="auto" w:fill="FFFFFF"/>
                <w:lang w:val="en-US" w:eastAsia="zh-CN"/>
              </w:rPr>
            </w:pPr>
            <w:r>
              <w:rPr>
                <w:rFonts w:hint="default"/>
                <w:color w:val="auto"/>
                <w:spacing w:val="-3"/>
                <w:highlight w:val="none"/>
              </w:rPr>
              <w:t>生活污水的主要污染物为</w:t>
            </w:r>
            <w:r>
              <w:rPr>
                <w:rFonts w:hint="default"/>
                <w:color w:val="auto"/>
                <w:spacing w:val="-60"/>
                <w:highlight w:val="none"/>
              </w:rPr>
              <w:t xml:space="preserve"> </w:t>
            </w:r>
            <w:r>
              <w:rPr>
                <w:rFonts w:hint="default" w:ascii="Times New Roman" w:hAnsi="Times New Roman" w:eastAsia="Times New Roman" w:cs="Times New Roman"/>
                <w:color w:val="auto"/>
                <w:spacing w:val="-3"/>
                <w:highlight w:val="none"/>
              </w:rPr>
              <w:t xml:space="preserve">pH </w:t>
            </w:r>
            <w:r>
              <w:rPr>
                <w:rFonts w:hint="default"/>
                <w:color w:val="auto"/>
                <w:spacing w:val="-3"/>
                <w:highlight w:val="none"/>
              </w:rPr>
              <w:t>值、</w:t>
            </w:r>
            <w:r>
              <w:rPr>
                <w:rFonts w:hint="default" w:ascii="Times New Roman" w:hAnsi="Times New Roman" w:eastAsia="Times New Roman" w:cs="Times New Roman"/>
                <w:color w:val="auto"/>
                <w:spacing w:val="-3"/>
                <w:highlight w:val="none"/>
              </w:rPr>
              <w:t>COD</w:t>
            </w:r>
            <w:r>
              <w:rPr>
                <w:rFonts w:hint="default" w:ascii="Times New Roman" w:hAnsi="Times New Roman" w:eastAsia="Times New Roman" w:cs="Times New Roman"/>
                <w:color w:val="auto"/>
                <w:spacing w:val="-3"/>
                <w:position w:val="-1"/>
                <w:sz w:val="15"/>
                <w:szCs w:val="15"/>
                <w:highlight w:val="none"/>
              </w:rPr>
              <w:t>Cr</w:t>
            </w:r>
            <w:r>
              <w:rPr>
                <w:rFonts w:hint="default"/>
                <w:color w:val="auto"/>
                <w:spacing w:val="-3"/>
                <w:highlight w:val="none"/>
              </w:rPr>
              <w:t>、</w:t>
            </w:r>
            <w:r>
              <w:rPr>
                <w:rFonts w:hint="default" w:ascii="Times New Roman" w:hAnsi="Times New Roman" w:eastAsia="Times New Roman" w:cs="Times New Roman"/>
                <w:color w:val="auto"/>
                <w:spacing w:val="-3"/>
                <w:highlight w:val="none"/>
              </w:rPr>
              <w:t>NH</w:t>
            </w:r>
            <w:r>
              <w:rPr>
                <w:rFonts w:hint="default" w:ascii="Times New Roman" w:hAnsi="Times New Roman" w:eastAsia="Times New Roman" w:cs="Times New Roman"/>
                <w:color w:val="auto"/>
                <w:spacing w:val="-3"/>
                <w:position w:val="-1"/>
                <w:sz w:val="15"/>
                <w:szCs w:val="15"/>
                <w:highlight w:val="none"/>
              </w:rPr>
              <w:t>3</w:t>
            </w:r>
            <w:r>
              <w:rPr>
                <w:rFonts w:hint="default" w:ascii="Times New Roman" w:hAnsi="Times New Roman" w:eastAsia="Times New Roman" w:cs="Times New Roman"/>
                <w:color w:val="auto"/>
                <w:spacing w:val="-3"/>
                <w:highlight w:val="none"/>
              </w:rPr>
              <w:t>-N</w:t>
            </w:r>
            <w:r>
              <w:rPr>
                <w:rFonts w:hint="default" w:ascii="Times New Roman" w:hAnsi="Times New Roman" w:eastAsia="Times New Roman" w:cs="Times New Roman"/>
                <w:color w:val="auto"/>
                <w:spacing w:val="-32"/>
                <w:highlight w:val="none"/>
              </w:rPr>
              <w:t xml:space="preserve"> </w:t>
            </w:r>
            <w:r>
              <w:rPr>
                <w:rFonts w:hint="default"/>
                <w:color w:val="auto"/>
                <w:spacing w:val="-3"/>
                <w:highlight w:val="none"/>
              </w:rPr>
              <w:t>、</w:t>
            </w:r>
            <w:r>
              <w:rPr>
                <w:rFonts w:hint="default" w:ascii="Times New Roman" w:hAnsi="Times New Roman" w:eastAsia="Times New Roman" w:cs="Times New Roman"/>
                <w:color w:val="auto"/>
                <w:spacing w:val="-3"/>
                <w:highlight w:val="none"/>
              </w:rPr>
              <w:t>SS</w:t>
            </w:r>
            <w:r>
              <w:rPr>
                <w:rFonts w:hint="default" w:ascii="Times New Roman" w:hAnsi="Times New Roman" w:eastAsia="Times New Roman" w:cs="Times New Roman"/>
                <w:color w:val="auto"/>
                <w:spacing w:val="-35"/>
                <w:highlight w:val="none"/>
              </w:rPr>
              <w:t xml:space="preserve"> </w:t>
            </w:r>
            <w:r>
              <w:rPr>
                <w:rFonts w:hint="default"/>
                <w:color w:val="auto"/>
                <w:spacing w:val="-3"/>
                <w:highlight w:val="none"/>
              </w:rPr>
              <w:t>、</w:t>
            </w:r>
            <w:r>
              <w:rPr>
                <w:rFonts w:hint="default" w:ascii="Times New Roman" w:hAnsi="Times New Roman" w:eastAsia="Times New Roman" w:cs="Times New Roman"/>
                <w:color w:val="auto"/>
                <w:spacing w:val="-3"/>
                <w:highlight w:val="none"/>
              </w:rPr>
              <w:t>BOD</w:t>
            </w:r>
            <w:r>
              <w:rPr>
                <w:rFonts w:hint="default" w:ascii="Times New Roman" w:hAnsi="Times New Roman" w:eastAsia="Times New Roman" w:cs="Times New Roman"/>
                <w:color w:val="auto"/>
                <w:spacing w:val="-3"/>
                <w:position w:val="-1"/>
                <w:sz w:val="15"/>
                <w:szCs w:val="15"/>
                <w:highlight w:val="none"/>
              </w:rPr>
              <w:t>5</w:t>
            </w:r>
            <w:r>
              <w:rPr>
                <w:rFonts w:hint="default" w:ascii="Times New Roman" w:hAnsi="Times New Roman" w:eastAsia="Times New Roman" w:cs="Times New Roman"/>
                <w:color w:val="auto"/>
                <w:spacing w:val="-12"/>
                <w:position w:val="-1"/>
                <w:sz w:val="15"/>
                <w:szCs w:val="15"/>
                <w:highlight w:val="none"/>
              </w:rPr>
              <w:t xml:space="preserve"> </w:t>
            </w:r>
            <w:r>
              <w:rPr>
                <w:rFonts w:hint="default"/>
                <w:color w:val="auto"/>
                <w:spacing w:val="-3"/>
                <w:highlight w:val="none"/>
              </w:rPr>
              <w:t>、动植物油。</w:t>
            </w:r>
            <w:r>
              <w:rPr>
                <w:rFonts w:hint="eastAsia" w:ascii="Times New Roman" w:hAnsi="Times New Roman" w:cs="Times New Roman"/>
                <w:color w:val="auto"/>
                <w:sz w:val="24"/>
                <w:highlight w:val="none"/>
                <w:shd w:val="clear" w:color="auto" w:fill="FFFFFF"/>
              </w:rPr>
              <w:t>本项目</w:t>
            </w:r>
            <w:r>
              <w:rPr>
                <w:rFonts w:hint="eastAsia" w:ascii="Times New Roman" w:hAnsi="Times New Roman" w:cs="Times New Roman"/>
                <w:color w:val="auto"/>
                <w:sz w:val="24"/>
                <w:highlight w:val="none"/>
                <w:shd w:val="clear" w:color="auto" w:fill="FFFFFF"/>
                <w:lang w:val="en-US" w:eastAsia="zh-CN"/>
              </w:rPr>
              <w:t>生活</w:t>
            </w:r>
            <w:r>
              <w:rPr>
                <w:rFonts w:hint="eastAsia" w:ascii="Times New Roman" w:hAnsi="Times New Roman" w:cs="Times New Roman"/>
                <w:color w:val="auto"/>
                <w:sz w:val="24"/>
                <w:highlight w:val="none"/>
                <w:shd w:val="clear" w:color="auto" w:fill="FFFFFF"/>
              </w:rPr>
              <w:t>污水水质参考《城市污水厂处理设施设计计算》</w:t>
            </w:r>
            <w:r>
              <w:rPr>
                <w:rFonts w:hint="eastAsia" w:ascii="Times New Roman" w:hAnsi="Times New Roman" w:cs="Times New Roman"/>
                <w:color w:val="auto"/>
                <w:sz w:val="24"/>
                <w:highlight w:val="none"/>
                <w:shd w:val="clear" w:color="auto" w:fill="FFFFFF"/>
                <w:lang w:eastAsia="zh-CN"/>
              </w:rPr>
              <w:t>（</w:t>
            </w:r>
            <w:r>
              <w:rPr>
                <w:rFonts w:hint="eastAsia" w:ascii="Times New Roman" w:hAnsi="Times New Roman" w:cs="Times New Roman"/>
                <w:color w:val="auto"/>
                <w:sz w:val="24"/>
                <w:highlight w:val="none"/>
                <w:shd w:val="clear" w:color="auto" w:fill="FFFFFF"/>
              </w:rPr>
              <w:t>第二版 崔玉川主编</w:t>
            </w:r>
            <w:r>
              <w:rPr>
                <w:rFonts w:hint="eastAsia" w:ascii="Times New Roman" w:hAnsi="Times New Roman" w:cs="Times New Roman"/>
                <w:color w:val="auto"/>
                <w:sz w:val="24"/>
                <w:highlight w:val="none"/>
                <w:shd w:val="clear" w:color="auto" w:fill="FFFFFF"/>
                <w:lang w:eastAsia="zh-CN"/>
              </w:rPr>
              <w:t>）</w:t>
            </w:r>
            <w:r>
              <w:rPr>
                <w:rFonts w:hint="eastAsia" w:ascii="Times New Roman" w:hAnsi="Times New Roman" w:cs="Times New Roman"/>
                <w:color w:val="auto"/>
                <w:sz w:val="24"/>
                <w:highlight w:val="none"/>
                <w:shd w:val="clear" w:color="auto" w:fill="FFFFFF"/>
              </w:rPr>
              <w:t>，</w:t>
            </w:r>
            <w:r>
              <w:rPr>
                <w:rFonts w:hint="eastAsia" w:ascii="Times New Roman" w:hAnsi="Times New Roman" w:cs="Times New Roman"/>
                <w:color w:val="auto"/>
                <w:sz w:val="24"/>
                <w:highlight w:val="none"/>
                <w:shd w:val="clear" w:color="auto" w:fill="FFFFFF"/>
                <w:lang w:val="en-US" w:eastAsia="zh-CN"/>
              </w:rPr>
              <w:t>其中pH6-9、CODcr300mg/L、BOD</w:t>
            </w:r>
            <w:r>
              <w:rPr>
                <w:rFonts w:hint="eastAsia" w:ascii="Times New Roman" w:hAnsi="Times New Roman" w:cs="Times New Roman"/>
                <w:color w:val="auto"/>
                <w:sz w:val="24"/>
                <w:highlight w:val="none"/>
                <w:shd w:val="clear" w:color="auto" w:fill="FFFFFF"/>
                <w:vertAlign w:val="subscript"/>
                <w:lang w:val="en-US" w:eastAsia="zh-CN"/>
              </w:rPr>
              <w:t>5</w:t>
            </w:r>
            <w:r>
              <w:rPr>
                <w:rFonts w:hint="eastAsia" w:ascii="Times New Roman" w:hAnsi="Times New Roman" w:cs="Times New Roman"/>
                <w:color w:val="auto"/>
                <w:sz w:val="24"/>
                <w:highlight w:val="none"/>
                <w:shd w:val="clear" w:color="auto" w:fill="FFFFFF"/>
                <w:lang w:val="en-US" w:eastAsia="zh-CN"/>
              </w:rPr>
              <w:t>250mg/L、氨氮30mg/L、SS300mg/L、总氮50mg/L、总磷（以P计）5mg/L、动植物油20mg/L（产生浓度为100mg/L，隔油池去除效率80%）。</w:t>
            </w:r>
          </w:p>
          <w:p w14:paraId="295FE0B7">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ind w:left="0" w:right="0"/>
              <w:jc w:val="both"/>
              <w:textAlignment w:val="auto"/>
              <w:rPr>
                <w:rFonts w:hint="default" w:ascii="Times New Roman" w:hAnsi="Times New Roman" w:cs="Times New Roman"/>
                <w:color w:val="auto"/>
                <w:sz w:val="24"/>
                <w:highlight w:val="none"/>
                <w:shd w:val="clear" w:color="auto" w:fill="FFFFFF"/>
                <w:lang w:val="en-US" w:eastAsia="zh-CN"/>
              </w:rPr>
            </w:pPr>
            <w:r>
              <w:rPr>
                <w:rFonts w:hint="eastAsia" w:ascii="Times New Roman" w:hAnsi="Times New Roman" w:cs="Times New Roman"/>
                <w:color w:val="auto"/>
                <w:sz w:val="24"/>
                <w:highlight w:val="none"/>
                <w:shd w:val="clear" w:color="auto" w:fill="FFFFFF"/>
                <w:lang w:val="en-US" w:eastAsia="zh-CN"/>
              </w:rPr>
              <w:t>②地面清洗水及初期雨水</w:t>
            </w:r>
          </w:p>
          <w:p w14:paraId="602211E1">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ind w:left="0" w:right="0"/>
              <w:jc w:val="both"/>
              <w:textAlignment w:val="auto"/>
              <w:rPr>
                <w:rFonts w:hint="eastAsia"/>
                <w:color w:val="auto"/>
                <w:spacing w:val="-4"/>
                <w:highlight w:val="none"/>
                <w:lang w:eastAsia="zh-CN"/>
              </w:rPr>
            </w:pPr>
            <w:r>
              <w:rPr>
                <w:rFonts w:hint="eastAsia"/>
                <w:color w:val="auto"/>
                <w:spacing w:val="-1"/>
                <w:highlight w:val="none"/>
                <w:lang w:val="en-US" w:eastAsia="zh-CN"/>
              </w:rPr>
              <w:t>本项目对拆解工序地面进行清洗，主要污染物包括</w:t>
            </w:r>
            <w:r>
              <w:rPr>
                <w:rFonts w:hint="default" w:ascii="Times New Roman" w:hAnsi="Times New Roman" w:eastAsia="Times New Roman" w:cs="Times New Roman"/>
                <w:color w:val="auto"/>
                <w:spacing w:val="-1"/>
                <w:highlight w:val="none"/>
              </w:rPr>
              <w:t>COD</w:t>
            </w:r>
            <w:r>
              <w:rPr>
                <w:rFonts w:hint="default" w:ascii="Times New Roman" w:hAnsi="Times New Roman" w:eastAsia="Times New Roman" w:cs="Times New Roman"/>
                <w:color w:val="auto"/>
                <w:spacing w:val="-1"/>
                <w:position w:val="-1"/>
                <w:sz w:val="15"/>
                <w:szCs w:val="15"/>
                <w:highlight w:val="none"/>
              </w:rPr>
              <w:t>Cr</w:t>
            </w:r>
            <w:r>
              <w:rPr>
                <w:rFonts w:hint="default" w:ascii="Times New Roman" w:hAnsi="Times New Roman" w:eastAsia="Times New Roman" w:cs="Times New Roman"/>
                <w:color w:val="auto"/>
                <w:spacing w:val="-9"/>
                <w:position w:val="-1"/>
                <w:sz w:val="15"/>
                <w:szCs w:val="15"/>
                <w:highlight w:val="none"/>
              </w:rPr>
              <w:t xml:space="preserve"> </w:t>
            </w:r>
            <w:r>
              <w:rPr>
                <w:rFonts w:hint="default"/>
                <w:color w:val="auto"/>
                <w:spacing w:val="-1"/>
                <w:highlight w:val="none"/>
              </w:rPr>
              <w:t>、</w:t>
            </w:r>
            <w:r>
              <w:rPr>
                <w:rFonts w:hint="default" w:ascii="Times New Roman" w:hAnsi="Times New Roman" w:eastAsia="Times New Roman" w:cs="Times New Roman"/>
                <w:color w:val="auto"/>
                <w:spacing w:val="-1"/>
                <w:highlight w:val="none"/>
              </w:rPr>
              <w:t>NH</w:t>
            </w:r>
            <w:r>
              <w:rPr>
                <w:rFonts w:hint="default" w:ascii="Times New Roman" w:hAnsi="Times New Roman" w:eastAsia="Times New Roman" w:cs="Times New Roman"/>
                <w:color w:val="auto"/>
                <w:spacing w:val="-1"/>
                <w:position w:val="-1"/>
                <w:sz w:val="15"/>
                <w:szCs w:val="15"/>
                <w:highlight w:val="none"/>
              </w:rPr>
              <w:t>3</w:t>
            </w:r>
            <w:r>
              <w:rPr>
                <w:rFonts w:hint="default" w:ascii="Times New Roman" w:hAnsi="Times New Roman" w:eastAsia="Times New Roman" w:cs="Times New Roman"/>
                <w:color w:val="auto"/>
                <w:spacing w:val="-1"/>
                <w:highlight w:val="none"/>
              </w:rPr>
              <w:t>-N</w:t>
            </w:r>
            <w:r>
              <w:rPr>
                <w:rFonts w:hint="default" w:ascii="Times New Roman" w:hAnsi="Times New Roman" w:eastAsia="Times New Roman" w:cs="Times New Roman"/>
                <w:color w:val="auto"/>
                <w:spacing w:val="-32"/>
                <w:highlight w:val="none"/>
              </w:rPr>
              <w:t xml:space="preserve"> </w:t>
            </w:r>
            <w:r>
              <w:rPr>
                <w:rFonts w:hint="default"/>
                <w:color w:val="auto"/>
                <w:spacing w:val="-1"/>
                <w:highlight w:val="none"/>
              </w:rPr>
              <w:t>、</w:t>
            </w:r>
            <w:r>
              <w:rPr>
                <w:rFonts w:hint="default" w:ascii="Times New Roman" w:hAnsi="Times New Roman" w:eastAsia="Times New Roman" w:cs="Times New Roman"/>
                <w:color w:val="auto"/>
                <w:spacing w:val="-1"/>
                <w:highlight w:val="none"/>
              </w:rPr>
              <w:t>SS</w:t>
            </w:r>
            <w:r>
              <w:rPr>
                <w:rFonts w:hint="default"/>
                <w:color w:val="auto"/>
                <w:spacing w:val="-1"/>
                <w:highlight w:val="none"/>
              </w:rPr>
              <w:t>、</w:t>
            </w:r>
            <w:r>
              <w:rPr>
                <w:rFonts w:hint="default" w:ascii="Times New Roman" w:hAnsi="Times New Roman" w:eastAsia="Times New Roman" w:cs="Times New Roman"/>
                <w:color w:val="auto"/>
                <w:spacing w:val="-1"/>
                <w:highlight w:val="none"/>
              </w:rPr>
              <w:t>B</w:t>
            </w:r>
            <w:r>
              <w:rPr>
                <w:rFonts w:hint="default" w:ascii="Times New Roman" w:hAnsi="Times New Roman" w:eastAsia="Times New Roman" w:cs="Times New Roman"/>
                <w:color w:val="auto"/>
                <w:spacing w:val="-2"/>
                <w:highlight w:val="none"/>
              </w:rPr>
              <w:t>OD</w:t>
            </w:r>
            <w:r>
              <w:rPr>
                <w:rFonts w:hint="default" w:ascii="Times New Roman" w:hAnsi="Times New Roman" w:eastAsia="Times New Roman" w:cs="Times New Roman"/>
                <w:color w:val="auto"/>
                <w:spacing w:val="-2"/>
                <w:position w:val="-1"/>
                <w:sz w:val="15"/>
                <w:szCs w:val="15"/>
                <w:highlight w:val="none"/>
              </w:rPr>
              <w:t>5</w:t>
            </w:r>
            <w:r>
              <w:rPr>
                <w:rFonts w:hint="default" w:ascii="Times New Roman" w:hAnsi="Times New Roman" w:eastAsia="Times New Roman" w:cs="Times New Roman"/>
                <w:color w:val="auto"/>
                <w:spacing w:val="-10"/>
                <w:position w:val="-1"/>
                <w:sz w:val="15"/>
                <w:szCs w:val="15"/>
                <w:highlight w:val="none"/>
              </w:rPr>
              <w:t xml:space="preserve"> </w:t>
            </w:r>
            <w:r>
              <w:rPr>
                <w:rFonts w:hint="eastAsia"/>
                <w:color w:val="auto"/>
                <w:spacing w:val="-2"/>
                <w:highlight w:val="none"/>
                <w:lang w:val="en-US" w:eastAsia="zh-CN"/>
              </w:rPr>
              <w:t>以及</w:t>
            </w:r>
            <w:r>
              <w:rPr>
                <w:rFonts w:hint="default"/>
                <w:color w:val="auto"/>
                <w:spacing w:val="-2"/>
                <w:highlight w:val="none"/>
              </w:rPr>
              <w:t>石油类</w:t>
            </w:r>
            <w:r>
              <w:rPr>
                <w:rFonts w:hint="eastAsia"/>
                <w:color w:val="auto"/>
                <w:spacing w:val="-2"/>
                <w:highlight w:val="none"/>
                <w:lang w:eastAsia="zh-CN"/>
              </w:rPr>
              <w:t>；</w:t>
            </w:r>
            <w:r>
              <w:rPr>
                <w:rFonts w:hint="default"/>
                <w:color w:val="auto"/>
                <w:spacing w:val="-1"/>
                <w:highlight w:val="none"/>
              </w:rPr>
              <w:t>初期雨水主要</w:t>
            </w:r>
            <w:r>
              <w:rPr>
                <w:rFonts w:hint="eastAsia"/>
                <w:color w:val="auto"/>
                <w:spacing w:val="-1"/>
                <w:highlight w:val="none"/>
                <w:lang w:val="en-US" w:eastAsia="zh-CN"/>
              </w:rPr>
              <w:t>为厂内车辆暂存区汇集的污染雨水，</w:t>
            </w:r>
            <w:r>
              <w:rPr>
                <w:rFonts w:hint="default"/>
                <w:color w:val="auto"/>
                <w:spacing w:val="-1"/>
                <w:highlight w:val="none"/>
              </w:rPr>
              <w:t>污染物</w:t>
            </w:r>
            <w:r>
              <w:rPr>
                <w:rFonts w:hint="eastAsia"/>
                <w:color w:val="auto"/>
                <w:spacing w:val="-1"/>
                <w:highlight w:val="none"/>
                <w:lang w:val="en-US" w:eastAsia="zh-CN"/>
              </w:rPr>
              <w:t>包括</w:t>
            </w:r>
            <w:r>
              <w:rPr>
                <w:rFonts w:hint="default" w:ascii="Times New Roman" w:hAnsi="Times New Roman" w:eastAsia="Times New Roman" w:cs="Times New Roman"/>
                <w:color w:val="auto"/>
                <w:spacing w:val="-1"/>
                <w:highlight w:val="none"/>
              </w:rPr>
              <w:t>COD</w:t>
            </w:r>
            <w:r>
              <w:rPr>
                <w:rFonts w:hint="default" w:ascii="Times New Roman" w:hAnsi="Times New Roman" w:eastAsia="Times New Roman" w:cs="Times New Roman"/>
                <w:color w:val="auto"/>
                <w:spacing w:val="-1"/>
                <w:position w:val="-1"/>
                <w:sz w:val="15"/>
                <w:szCs w:val="15"/>
                <w:highlight w:val="none"/>
              </w:rPr>
              <w:t>Cr</w:t>
            </w:r>
            <w:r>
              <w:rPr>
                <w:rFonts w:hint="default" w:ascii="Times New Roman" w:hAnsi="Times New Roman" w:eastAsia="Times New Roman" w:cs="Times New Roman"/>
                <w:color w:val="auto"/>
                <w:spacing w:val="-9"/>
                <w:position w:val="-1"/>
                <w:sz w:val="15"/>
                <w:szCs w:val="15"/>
                <w:highlight w:val="none"/>
              </w:rPr>
              <w:t xml:space="preserve"> </w:t>
            </w:r>
            <w:r>
              <w:rPr>
                <w:rFonts w:hint="default"/>
                <w:color w:val="auto"/>
                <w:spacing w:val="-1"/>
                <w:highlight w:val="none"/>
              </w:rPr>
              <w:t>、</w:t>
            </w:r>
            <w:r>
              <w:rPr>
                <w:rFonts w:hint="default" w:ascii="Times New Roman" w:hAnsi="Times New Roman" w:eastAsia="Times New Roman" w:cs="Times New Roman"/>
                <w:color w:val="auto"/>
                <w:spacing w:val="-1"/>
                <w:highlight w:val="none"/>
              </w:rPr>
              <w:t>NH</w:t>
            </w:r>
            <w:r>
              <w:rPr>
                <w:rFonts w:hint="default" w:ascii="Times New Roman" w:hAnsi="Times New Roman" w:eastAsia="Times New Roman" w:cs="Times New Roman"/>
                <w:color w:val="auto"/>
                <w:spacing w:val="-1"/>
                <w:position w:val="-1"/>
                <w:sz w:val="15"/>
                <w:szCs w:val="15"/>
                <w:highlight w:val="none"/>
              </w:rPr>
              <w:t>3</w:t>
            </w:r>
            <w:r>
              <w:rPr>
                <w:rFonts w:hint="default" w:ascii="Times New Roman" w:hAnsi="Times New Roman" w:eastAsia="Times New Roman" w:cs="Times New Roman"/>
                <w:color w:val="auto"/>
                <w:spacing w:val="-1"/>
                <w:highlight w:val="none"/>
              </w:rPr>
              <w:t>-N</w:t>
            </w:r>
            <w:r>
              <w:rPr>
                <w:rFonts w:hint="default" w:ascii="Times New Roman" w:hAnsi="Times New Roman" w:eastAsia="Times New Roman" w:cs="Times New Roman"/>
                <w:color w:val="auto"/>
                <w:spacing w:val="-32"/>
                <w:highlight w:val="none"/>
              </w:rPr>
              <w:t xml:space="preserve"> </w:t>
            </w:r>
            <w:r>
              <w:rPr>
                <w:rFonts w:hint="default"/>
                <w:color w:val="auto"/>
                <w:spacing w:val="-1"/>
                <w:highlight w:val="none"/>
              </w:rPr>
              <w:t>、</w:t>
            </w:r>
            <w:r>
              <w:rPr>
                <w:rFonts w:hint="default" w:ascii="Times New Roman" w:hAnsi="Times New Roman" w:eastAsia="Times New Roman" w:cs="Times New Roman"/>
                <w:color w:val="auto"/>
                <w:spacing w:val="-1"/>
                <w:highlight w:val="none"/>
              </w:rPr>
              <w:t>SS</w:t>
            </w:r>
            <w:r>
              <w:rPr>
                <w:rFonts w:hint="default"/>
                <w:color w:val="auto"/>
                <w:spacing w:val="-1"/>
                <w:highlight w:val="none"/>
              </w:rPr>
              <w:t>、</w:t>
            </w:r>
            <w:r>
              <w:rPr>
                <w:rFonts w:hint="default" w:ascii="Times New Roman" w:hAnsi="Times New Roman" w:eastAsia="Times New Roman" w:cs="Times New Roman"/>
                <w:color w:val="auto"/>
                <w:spacing w:val="-1"/>
                <w:highlight w:val="none"/>
              </w:rPr>
              <w:t>B</w:t>
            </w:r>
            <w:r>
              <w:rPr>
                <w:rFonts w:hint="default" w:ascii="Times New Roman" w:hAnsi="Times New Roman" w:eastAsia="Times New Roman" w:cs="Times New Roman"/>
                <w:color w:val="auto"/>
                <w:spacing w:val="-2"/>
                <w:highlight w:val="none"/>
              </w:rPr>
              <w:t>OD</w:t>
            </w:r>
            <w:r>
              <w:rPr>
                <w:rFonts w:hint="default" w:ascii="Times New Roman" w:hAnsi="Times New Roman" w:eastAsia="Times New Roman" w:cs="Times New Roman"/>
                <w:color w:val="auto"/>
                <w:spacing w:val="-2"/>
                <w:position w:val="-1"/>
                <w:sz w:val="15"/>
                <w:szCs w:val="15"/>
                <w:highlight w:val="none"/>
              </w:rPr>
              <w:t>5</w:t>
            </w:r>
            <w:r>
              <w:rPr>
                <w:rFonts w:hint="default" w:ascii="Times New Roman" w:hAnsi="Times New Roman" w:eastAsia="Times New Roman" w:cs="Times New Roman"/>
                <w:color w:val="auto"/>
                <w:spacing w:val="-10"/>
                <w:position w:val="-1"/>
                <w:sz w:val="15"/>
                <w:szCs w:val="15"/>
                <w:highlight w:val="none"/>
              </w:rPr>
              <w:t xml:space="preserve"> </w:t>
            </w:r>
            <w:r>
              <w:rPr>
                <w:rFonts w:hint="eastAsia"/>
                <w:color w:val="auto"/>
                <w:spacing w:val="-2"/>
                <w:highlight w:val="none"/>
                <w:lang w:val="en-US" w:eastAsia="zh-CN"/>
              </w:rPr>
              <w:t>以及</w:t>
            </w:r>
            <w:r>
              <w:rPr>
                <w:rFonts w:hint="default"/>
                <w:color w:val="auto"/>
                <w:spacing w:val="-2"/>
                <w:highlight w:val="none"/>
              </w:rPr>
              <w:t>石油类</w:t>
            </w:r>
            <w:r>
              <w:rPr>
                <w:rFonts w:hint="eastAsia"/>
                <w:color w:val="auto"/>
                <w:spacing w:val="-2"/>
                <w:highlight w:val="none"/>
                <w:lang w:eastAsia="zh-CN"/>
              </w:rPr>
              <w:t>；</w:t>
            </w:r>
            <w:r>
              <w:rPr>
                <w:rFonts w:hint="eastAsia"/>
                <w:color w:val="auto"/>
                <w:spacing w:val="-2"/>
                <w:highlight w:val="none"/>
                <w:lang w:val="en-US" w:eastAsia="zh-CN"/>
              </w:rPr>
              <w:t>本次评价对上述废水采取类比法选取污染物源强，</w:t>
            </w:r>
            <w:r>
              <w:rPr>
                <w:rFonts w:hint="default"/>
                <w:color w:val="auto"/>
                <w:spacing w:val="-2"/>
                <w:highlight w:val="none"/>
              </w:rPr>
              <w:t>根据《再生</w:t>
            </w:r>
            <w:r>
              <w:rPr>
                <w:rFonts w:hint="default"/>
                <w:color w:val="auto"/>
                <w:spacing w:val="-1"/>
                <w:highlight w:val="none"/>
              </w:rPr>
              <w:t>资源与循环经济》（</w:t>
            </w:r>
            <w:r>
              <w:rPr>
                <w:rFonts w:hint="default" w:ascii="Times New Roman" w:hAnsi="Times New Roman" w:eastAsia="Times New Roman" w:cs="Times New Roman"/>
                <w:color w:val="auto"/>
                <w:spacing w:val="-1"/>
                <w:highlight w:val="none"/>
              </w:rPr>
              <w:t xml:space="preserve">2012 </w:t>
            </w:r>
            <w:r>
              <w:rPr>
                <w:rFonts w:hint="default"/>
                <w:color w:val="auto"/>
                <w:spacing w:val="-1"/>
                <w:highlight w:val="none"/>
              </w:rPr>
              <w:t>年第</w:t>
            </w:r>
            <w:r>
              <w:rPr>
                <w:rFonts w:hint="default"/>
                <w:color w:val="auto"/>
                <w:spacing w:val="-51"/>
                <w:highlight w:val="none"/>
              </w:rPr>
              <w:t xml:space="preserve"> </w:t>
            </w:r>
            <w:r>
              <w:rPr>
                <w:rFonts w:hint="default" w:ascii="Times New Roman" w:hAnsi="Times New Roman" w:eastAsia="Times New Roman" w:cs="Times New Roman"/>
                <w:color w:val="auto"/>
                <w:spacing w:val="-1"/>
                <w:highlight w:val="none"/>
              </w:rPr>
              <w:t xml:space="preserve">08 </w:t>
            </w:r>
            <w:r>
              <w:rPr>
                <w:rFonts w:hint="default"/>
                <w:color w:val="auto"/>
                <w:spacing w:val="-1"/>
                <w:highlight w:val="none"/>
              </w:rPr>
              <w:t>期，作者：陈清后，余海军，李长之）之《浅析</w:t>
            </w:r>
            <w:r>
              <w:rPr>
                <w:rFonts w:hint="default"/>
                <w:color w:val="auto"/>
                <w:spacing w:val="-3"/>
                <w:highlight w:val="none"/>
              </w:rPr>
              <w:t>报废汽车拆解厂废水循环处理技术的应用现状》的研究，报废汽车拆解厂的废水水</w:t>
            </w:r>
            <w:r>
              <w:rPr>
                <w:rFonts w:hint="default"/>
                <w:color w:val="auto"/>
                <w:highlight w:val="none"/>
              </w:rPr>
              <w:t>质范围约：</w:t>
            </w:r>
            <w:r>
              <w:rPr>
                <w:rFonts w:hint="default" w:ascii="Times New Roman" w:hAnsi="Times New Roman" w:eastAsia="Times New Roman" w:cs="Times New Roman"/>
                <w:color w:val="auto"/>
                <w:highlight w:val="none"/>
              </w:rPr>
              <w:t>COD</w:t>
            </w:r>
            <w:r>
              <w:rPr>
                <w:rFonts w:hint="default" w:ascii="Times New Roman" w:hAnsi="Times New Roman" w:eastAsia="Times New Roman" w:cs="Times New Roman"/>
                <w:color w:val="auto"/>
                <w:position w:val="-1"/>
                <w:sz w:val="15"/>
                <w:szCs w:val="15"/>
                <w:highlight w:val="none"/>
              </w:rPr>
              <w:t>Cr</w:t>
            </w:r>
            <w:r>
              <w:rPr>
                <w:rFonts w:hint="default"/>
                <w:color w:val="auto"/>
                <w:highlight w:val="none"/>
              </w:rPr>
              <w:t>：</w:t>
            </w:r>
            <w:r>
              <w:rPr>
                <w:rFonts w:hint="default" w:ascii="Times New Roman" w:hAnsi="Times New Roman" w:eastAsia="Times New Roman" w:cs="Times New Roman"/>
                <w:color w:val="auto"/>
                <w:highlight w:val="none"/>
              </w:rPr>
              <w:t>283</w:t>
            </w:r>
            <w:r>
              <w:rPr>
                <w:rFonts w:hint="default"/>
                <w:color w:val="auto"/>
                <w:highlight w:val="none"/>
              </w:rPr>
              <w:t>～</w:t>
            </w:r>
            <w:r>
              <w:rPr>
                <w:rFonts w:hint="default" w:ascii="Times New Roman" w:hAnsi="Times New Roman" w:eastAsia="Times New Roman" w:cs="Times New Roman"/>
                <w:color w:val="auto"/>
                <w:highlight w:val="none"/>
              </w:rPr>
              <w:t>562mg/L</w:t>
            </w:r>
            <w:r>
              <w:rPr>
                <w:rFonts w:hint="default" w:ascii="Times New Roman" w:hAnsi="Times New Roman" w:eastAsia="Times New Roman" w:cs="Times New Roman"/>
                <w:color w:val="auto"/>
                <w:spacing w:val="-26"/>
                <w:highlight w:val="none"/>
              </w:rPr>
              <w:t xml:space="preserve"> </w:t>
            </w:r>
            <w:r>
              <w:rPr>
                <w:rFonts w:hint="default"/>
                <w:color w:val="auto"/>
                <w:highlight w:val="none"/>
              </w:rPr>
              <w:t>，</w:t>
            </w:r>
            <w:r>
              <w:rPr>
                <w:rFonts w:hint="default" w:ascii="Times New Roman" w:hAnsi="Times New Roman" w:eastAsia="Times New Roman" w:cs="Times New Roman"/>
                <w:color w:val="auto"/>
                <w:highlight w:val="none"/>
              </w:rPr>
              <w:t>SS</w:t>
            </w:r>
            <w:r>
              <w:rPr>
                <w:rFonts w:hint="default"/>
                <w:color w:val="auto"/>
                <w:highlight w:val="none"/>
              </w:rPr>
              <w:t>：</w:t>
            </w:r>
            <w:r>
              <w:rPr>
                <w:rFonts w:hint="default" w:ascii="Times New Roman" w:hAnsi="Times New Roman" w:eastAsia="Times New Roman" w:cs="Times New Roman"/>
                <w:color w:val="auto"/>
                <w:highlight w:val="none"/>
              </w:rPr>
              <w:t>50</w:t>
            </w:r>
            <w:r>
              <w:rPr>
                <w:rFonts w:hint="default"/>
                <w:color w:val="auto"/>
                <w:highlight w:val="none"/>
              </w:rPr>
              <w:t>～</w:t>
            </w:r>
            <w:r>
              <w:rPr>
                <w:rFonts w:hint="default" w:ascii="Times New Roman" w:hAnsi="Times New Roman" w:eastAsia="Times New Roman" w:cs="Times New Roman"/>
                <w:color w:val="auto"/>
                <w:highlight w:val="none"/>
              </w:rPr>
              <w:t>73mg/L</w:t>
            </w:r>
            <w:r>
              <w:rPr>
                <w:rFonts w:hint="default" w:ascii="Times New Roman" w:hAnsi="Times New Roman" w:eastAsia="Times New Roman" w:cs="Times New Roman"/>
                <w:color w:val="auto"/>
                <w:spacing w:val="-26"/>
                <w:highlight w:val="none"/>
              </w:rPr>
              <w:t xml:space="preserve"> </w:t>
            </w:r>
            <w:r>
              <w:rPr>
                <w:rFonts w:hint="default"/>
                <w:color w:val="auto"/>
                <w:highlight w:val="none"/>
              </w:rPr>
              <w:t>，石油类：</w:t>
            </w:r>
            <w:r>
              <w:rPr>
                <w:rFonts w:hint="default" w:ascii="Times New Roman" w:hAnsi="Times New Roman" w:eastAsia="Times New Roman" w:cs="Times New Roman"/>
                <w:color w:val="auto"/>
                <w:highlight w:val="none"/>
              </w:rPr>
              <w:t>130</w:t>
            </w:r>
            <w:r>
              <w:rPr>
                <w:rFonts w:hint="default"/>
                <w:color w:val="auto"/>
                <w:highlight w:val="none"/>
              </w:rPr>
              <w:t>～</w:t>
            </w:r>
            <w:r>
              <w:rPr>
                <w:rFonts w:hint="default" w:ascii="Times New Roman" w:hAnsi="Times New Roman" w:eastAsia="Times New Roman" w:cs="Times New Roman"/>
                <w:color w:val="auto"/>
                <w:highlight w:val="none"/>
              </w:rPr>
              <w:t>3</w:t>
            </w:r>
            <w:r>
              <w:rPr>
                <w:rFonts w:hint="default" w:ascii="Times New Roman" w:hAnsi="Times New Roman" w:eastAsia="Times New Roman" w:cs="Times New Roman"/>
                <w:color w:val="auto"/>
                <w:spacing w:val="-1"/>
                <w:highlight w:val="none"/>
              </w:rPr>
              <w:t>80mg/L</w:t>
            </w:r>
            <w:r>
              <w:rPr>
                <w:rFonts w:hint="eastAsia" w:ascii="Times New Roman" w:hAnsi="Times New Roman" w:eastAsia="宋体" w:cs="Times New Roman"/>
                <w:color w:val="auto"/>
                <w:spacing w:val="-1"/>
                <w:highlight w:val="none"/>
                <w:lang w:eastAsia="zh-CN"/>
              </w:rPr>
              <w:t>，</w:t>
            </w:r>
            <w:r>
              <w:rPr>
                <w:rFonts w:hint="default"/>
                <w:color w:val="auto"/>
                <w:spacing w:val="-3"/>
                <w:highlight w:val="none"/>
              </w:rPr>
              <w:t>研究水质为预处理清洗和零部件拆解等报废汽车拆解企业的综合废水水质，本项目</w:t>
            </w:r>
            <w:r>
              <w:rPr>
                <w:rFonts w:hint="eastAsia"/>
                <w:color w:val="auto"/>
                <w:spacing w:val="-3"/>
                <w:highlight w:val="none"/>
                <w:lang w:val="en-US" w:eastAsia="zh-CN"/>
              </w:rPr>
              <w:t>不对拆解设备以及汽车零配件进行清洗，仅对拆解区</w:t>
            </w:r>
            <w:r>
              <w:rPr>
                <w:rFonts w:hint="default"/>
                <w:color w:val="auto"/>
                <w:spacing w:val="-3"/>
                <w:highlight w:val="none"/>
              </w:rPr>
              <w:t>地面进行清洗，</w:t>
            </w:r>
            <w:r>
              <w:rPr>
                <w:rFonts w:hint="eastAsia"/>
                <w:color w:val="auto"/>
                <w:spacing w:val="-3"/>
                <w:highlight w:val="none"/>
                <w:lang w:val="en-US" w:eastAsia="zh-CN"/>
              </w:rPr>
              <w:t>因此地面清洗废水以及初期雨水</w:t>
            </w:r>
            <w:r>
              <w:rPr>
                <w:rFonts w:hint="default"/>
                <w:color w:val="auto"/>
                <w:spacing w:val="-3"/>
                <w:highlight w:val="none"/>
              </w:rPr>
              <w:t>水质相对综合废水水</w:t>
            </w:r>
            <w:r>
              <w:rPr>
                <w:rFonts w:hint="default"/>
                <w:color w:val="auto"/>
                <w:spacing w:val="-4"/>
                <w:highlight w:val="none"/>
              </w:rPr>
              <w:t>质浓度应偏低</w:t>
            </w:r>
            <w:r>
              <w:rPr>
                <w:rFonts w:hint="eastAsia"/>
                <w:color w:val="auto"/>
                <w:spacing w:val="-4"/>
                <w:highlight w:val="none"/>
                <w:lang w:eastAsia="zh-CN"/>
              </w:rPr>
              <w:t>。</w:t>
            </w:r>
          </w:p>
          <w:p w14:paraId="1C32E1EB">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ind w:left="0" w:right="0"/>
              <w:jc w:val="both"/>
              <w:textAlignment w:val="auto"/>
              <w:rPr>
                <w:rFonts w:hint="default" w:ascii="Times New Roman" w:hAnsi="Times New Roman" w:cs="Times New Roman"/>
                <w:color w:val="auto"/>
                <w:sz w:val="24"/>
                <w:highlight w:val="none"/>
                <w:shd w:val="clear" w:color="auto" w:fill="FFFFFF"/>
                <w:lang w:val="en-US" w:eastAsia="zh-CN"/>
              </w:rPr>
            </w:pPr>
            <w:r>
              <w:rPr>
                <w:rFonts w:hint="eastAsia"/>
                <w:color w:val="auto"/>
                <w:spacing w:val="-4"/>
                <w:highlight w:val="none"/>
                <w:lang w:val="en-US" w:eastAsia="zh-CN"/>
              </w:rPr>
              <w:t>综上，本项目废水源强取值如下：</w:t>
            </w:r>
          </w:p>
          <w:p w14:paraId="1142F545">
            <w:pPr>
              <w:keepNext w:val="0"/>
              <w:keepLines w:val="0"/>
              <w:suppressLineNumbers w:val="0"/>
              <w:tabs>
                <w:tab w:val="left" w:pos="849"/>
                <w:tab w:val="center" w:pos="4295"/>
              </w:tabs>
              <w:topLinePunct/>
              <w:spacing w:before="0" w:beforeAutospacing="0" w:after="0" w:afterAutospacing="0" w:line="360" w:lineRule="auto"/>
              <w:ind w:left="0" w:right="0"/>
              <w:jc w:val="center"/>
              <w:rPr>
                <w:rFonts w:hint="default" w:ascii="Times New Roman" w:hAnsi="Times New Roman" w:eastAsia="宋体" w:cs="Times New Roman"/>
                <w:b/>
                <w:bCs/>
                <w:color w:val="auto"/>
                <w:kern w:val="0"/>
                <w:highlight w:val="none"/>
                <w:lang w:val="en-US" w:eastAsia="zh-CN"/>
              </w:rPr>
            </w:pPr>
            <w:r>
              <w:rPr>
                <w:rFonts w:hint="eastAsia" w:ascii="Times New Roman" w:hAnsi="Times New Roman" w:eastAsia="宋体" w:cs="Times New Roman"/>
                <w:b/>
                <w:bCs/>
                <w:color w:val="auto"/>
                <w:kern w:val="0"/>
                <w:highlight w:val="none"/>
                <w:lang w:val="en-US" w:eastAsia="zh-CN"/>
              </w:rPr>
              <w:t>表4-</w:t>
            </w:r>
            <w:r>
              <w:rPr>
                <w:rFonts w:hint="eastAsia" w:cs="Times New Roman"/>
                <w:b/>
                <w:bCs/>
                <w:color w:val="auto"/>
                <w:kern w:val="0"/>
                <w:highlight w:val="none"/>
                <w:lang w:val="en-US" w:eastAsia="zh-CN"/>
              </w:rPr>
              <w:t>15</w:t>
            </w:r>
            <w:r>
              <w:rPr>
                <w:rFonts w:hint="eastAsia" w:ascii="Times New Roman" w:hAnsi="Times New Roman" w:eastAsia="宋体" w:cs="Times New Roman"/>
                <w:b/>
                <w:bCs/>
                <w:color w:val="auto"/>
                <w:kern w:val="0"/>
                <w:highlight w:val="none"/>
                <w:lang w:val="en-US" w:eastAsia="zh-CN"/>
              </w:rPr>
              <w:t xml:space="preserve">  废水水质取值  mg/L</w:t>
            </w:r>
          </w:p>
          <w:tbl>
            <w:tblPr>
              <w:tblStyle w:val="27"/>
              <w:tblW w:w="4995"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67"/>
              <w:gridCol w:w="797"/>
              <w:gridCol w:w="968"/>
              <w:gridCol w:w="926"/>
              <w:gridCol w:w="797"/>
              <w:gridCol w:w="664"/>
              <w:gridCol w:w="695"/>
              <w:gridCol w:w="1548"/>
              <w:gridCol w:w="722"/>
              <w:gridCol w:w="723"/>
            </w:tblGrid>
            <w:tr w14:paraId="64B5748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5" w:type="pct"/>
                  <w:tcBorders>
                    <w:tl2br w:val="nil"/>
                    <w:tr2bl w:val="nil"/>
                  </w:tcBorders>
                  <w:noWrap w:val="0"/>
                  <w:vAlign w:val="center"/>
                </w:tcPr>
                <w:p w14:paraId="6D0BBD47">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废水类别</w:t>
                  </w:r>
                </w:p>
              </w:tc>
              <w:tc>
                <w:tcPr>
                  <w:tcW w:w="437" w:type="pct"/>
                  <w:tcBorders>
                    <w:tl2br w:val="nil"/>
                    <w:tr2bl w:val="nil"/>
                  </w:tcBorders>
                  <w:noWrap w:val="0"/>
                  <w:vAlign w:val="center"/>
                </w:tcPr>
                <w:p w14:paraId="3189DBAE">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pH</w:t>
                  </w:r>
                </w:p>
              </w:tc>
              <w:tc>
                <w:tcPr>
                  <w:tcW w:w="531" w:type="pct"/>
                  <w:tcBorders>
                    <w:tl2br w:val="nil"/>
                    <w:tr2bl w:val="nil"/>
                  </w:tcBorders>
                  <w:noWrap w:val="0"/>
                  <w:vAlign w:val="center"/>
                </w:tcPr>
                <w:p w14:paraId="1C28081D">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CODcr</w:t>
                  </w:r>
                </w:p>
              </w:tc>
              <w:tc>
                <w:tcPr>
                  <w:tcW w:w="508" w:type="pct"/>
                  <w:tcBorders>
                    <w:tl2br w:val="nil"/>
                    <w:tr2bl w:val="nil"/>
                  </w:tcBorders>
                  <w:noWrap w:val="0"/>
                  <w:vAlign w:val="center"/>
                </w:tcPr>
                <w:p w14:paraId="44F9432D">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BOD</w:t>
                  </w:r>
                  <w:r>
                    <w:rPr>
                      <w:rFonts w:hint="eastAsia" w:ascii="Times New Roman" w:hAnsi="Times New Roman"/>
                      <w:b/>
                      <w:bCs/>
                      <w:color w:val="auto"/>
                      <w:sz w:val="21"/>
                      <w:szCs w:val="21"/>
                      <w:highlight w:val="none"/>
                      <w:shd w:val="clear" w:color="auto" w:fill="FFFFFF"/>
                      <w:vertAlign w:val="subscript"/>
                      <w:lang w:val="en-US" w:eastAsia="zh-CN"/>
                    </w:rPr>
                    <w:t>5</w:t>
                  </w:r>
                </w:p>
              </w:tc>
              <w:tc>
                <w:tcPr>
                  <w:tcW w:w="437" w:type="pct"/>
                  <w:tcBorders>
                    <w:tl2br w:val="nil"/>
                    <w:tr2bl w:val="nil"/>
                  </w:tcBorders>
                  <w:noWrap w:val="0"/>
                  <w:vAlign w:val="center"/>
                </w:tcPr>
                <w:p w14:paraId="2CBAA50F">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氨氮</w:t>
                  </w:r>
                </w:p>
              </w:tc>
              <w:tc>
                <w:tcPr>
                  <w:tcW w:w="364" w:type="pct"/>
                  <w:tcBorders>
                    <w:tl2br w:val="nil"/>
                    <w:tr2bl w:val="nil"/>
                  </w:tcBorders>
                  <w:noWrap w:val="0"/>
                  <w:vAlign w:val="center"/>
                </w:tcPr>
                <w:p w14:paraId="379BF5C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SS</w:t>
                  </w:r>
                </w:p>
              </w:tc>
              <w:tc>
                <w:tcPr>
                  <w:tcW w:w="381" w:type="pct"/>
                  <w:tcBorders>
                    <w:tl2br w:val="nil"/>
                    <w:tr2bl w:val="nil"/>
                  </w:tcBorders>
                  <w:noWrap w:val="0"/>
                  <w:vAlign w:val="center"/>
                </w:tcPr>
                <w:p w14:paraId="4A0EC1C3">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总氮</w:t>
                  </w:r>
                </w:p>
              </w:tc>
              <w:tc>
                <w:tcPr>
                  <w:tcW w:w="849" w:type="pct"/>
                  <w:tcBorders>
                    <w:tl2br w:val="nil"/>
                    <w:tr2bl w:val="nil"/>
                  </w:tcBorders>
                  <w:noWrap w:val="0"/>
                  <w:vAlign w:val="center"/>
                </w:tcPr>
                <w:p w14:paraId="227CC762">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总磷（以P计）</w:t>
                  </w:r>
                </w:p>
              </w:tc>
              <w:tc>
                <w:tcPr>
                  <w:tcW w:w="396" w:type="pct"/>
                  <w:tcBorders>
                    <w:tl2br w:val="nil"/>
                    <w:tr2bl w:val="nil"/>
                  </w:tcBorders>
                  <w:noWrap w:val="0"/>
                  <w:vAlign w:val="center"/>
                </w:tcPr>
                <w:p w14:paraId="394C030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动植物油</w:t>
                  </w:r>
                </w:p>
              </w:tc>
              <w:tc>
                <w:tcPr>
                  <w:tcW w:w="396" w:type="pct"/>
                  <w:tcBorders>
                    <w:tl2br w:val="nil"/>
                    <w:tr2bl w:val="nil"/>
                  </w:tcBorders>
                  <w:noWrap w:val="0"/>
                  <w:vAlign w:val="center"/>
                </w:tcPr>
                <w:p w14:paraId="0498B0E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b/>
                      <w:bCs/>
                      <w:color w:val="auto"/>
                      <w:sz w:val="21"/>
                      <w:szCs w:val="21"/>
                      <w:highlight w:val="none"/>
                      <w:shd w:val="clear" w:color="auto" w:fill="FFFFFF"/>
                      <w:vertAlign w:val="baseline"/>
                      <w:lang w:val="en-US" w:eastAsia="zh-CN"/>
                    </w:rPr>
                  </w:pPr>
                  <w:r>
                    <w:rPr>
                      <w:rFonts w:hint="eastAsia" w:ascii="Times New Roman" w:hAnsi="Times New Roman"/>
                      <w:b/>
                      <w:bCs/>
                      <w:color w:val="auto"/>
                      <w:sz w:val="21"/>
                      <w:szCs w:val="21"/>
                      <w:highlight w:val="none"/>
                      <w:shd w:val="clear" w:color="auto" w:fill="FFFFFF"/>
                      <w:vertAlign w:val="baseline"/>
                      <w:lang w:val="en-US" w:eastAsia="zh-CN"/>
                    </w:rPr>
                    <w:t>石油类</w:t>
                  </w:r>
                </w:p>
              </w:tc>
            </w:tr>
            <w:tr w14:paraId="1BEA7E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5" w:type="pct"/>
                  <w:tcBorders>
                    <w:tl2br w:val="nil"/>
                    <w:tr2bl w:val="nil"/>
                  </w:tcBorders>
                  <w:noWrap w:val="0"/>
                  <w:vAlign w:val="center"/>
                </w:tcPr>
                <w:p w14:paraId="18673FD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生活污水</w:t>
                  </w:r>
                </w:p>
              </w:tc>
              <w:tc>
                <w:tcPr>
                  <w:tcW w:w="437" w:type="pct"/>
                  <w:tcBorders>
                    <w:tl2br w:val="nil"/>
                    <w:tr2bl w:val="nil"/>
                  </w:tcBorders>
                  <w:noWrap w:val="0"/>
                  <w:vAlign w:val="center"/>
                </w:tcPr>
                <w:p w14:paraId="6D61D6E8">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kern w:val="0"/>
                      <w:sz w:val="21"/>
                      <w:szCs w:val="21"/>
                      <w:highlight w:val="none"/>
                      <w:lang w:val="en-US" w:eastAsia="zh-CN" w:bidi="mn-Mong-CN"/>
                    </w:rPr>
                    <w:t>6-9</w:t>
                  </w:r>
                </w:p>
              </w:tc>
              <w:tc>
                <w:tcPr>
                  <w:tcW w:w="531" w:type="pct"/>
                  <w:tcBorders>
                    <w:tl2br w:val="nil"/>
                    <w:tr2bl w:val="nil"/>
                  </w:tcBorders>
                  <w:noWrap w:val="0"/>
                  <w:vAlign w:val="center"/>
                </w:tcPr>
                <w:p w14:paraId="4AA7598A">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300</w:t>
                  </w:r>
                </w:p>
              </w:tc>
              <w:tc>
                <w:tcPr>
                  <w:tcW w:w="508" w:type="pct"/>
                  <w:tcBorders>
                    <w:tl2br w:val="nil"/>
                    <w:tr2bl w:val="nil"/>
                  </w:tcBorders>
                  <w:noWrap w:val="0"/>
                  <w:vAlign w:val="center"/>
                </w:tcPr>
                <w:p w14:paraId="685512B2">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250</w:t>
                  </w:r>
                </w:p>
              </w:tc>
              <w:tc>
                <w:tcPr>
                  <w:tcW w:w="437" w:type="pct"/>
                  <w:tcBorders>
                    <w:tl2br w:val="nil"/>
                    <w:tr2bl w:val="nil"/>
                  </w:tcBorders>
                  <w:noWrap w:val="0"/>
                  <w:vAlign w:val="center"/>
                </w:tcPr>
                <w:p w14:paraId="4BD4CC52">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w:t>
                  </w:r>
                </w:p>
              </w:tc>
              <w:tc>
                <w:tcPr>
                  <w:tcW w:w="364" w:type="pct"/>
                  <w:tcBorders>
                    <w:tl2br w:val="nil"/>
                    <w:tr2bl w:val="nil"/>
                  </w:tcBorders>
                  <w:noWrap w:val="0"/>
                  <w:vAlign w:val="center"/>
                </w:tcPr>
                <w:p w14:paraId="30966EE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300</w:t>
                  </w:r>
                </w:p>
              </w:tc>
              <w:tc>
                <w:tcPr>
                  <w:tcW w:w="381" w:type="pct"/>
                  <w:tcBorders>
                    <w:tl2br w:val="nil"/>
                    <w:tr2bl w:val="nil"/>
                  </w:tcBorders>
                  <w:noWrap w:val="0"/>
                  <w:vAlign w:val="center"/>
                </w:tcPr>
                <w:p w14:paraId="4BDEECB6">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50</w:t>
                  </w:r>
                </w:p>
              </w:tc>
              <w:tc>
                <w:tcPr>
                  <w:tcW w:w="849" w:type="pct"/>
                  <w:tcBorders>
                    <w:tl2br w:val="nil"/>
                    <w:tr2bl w:val="nil"/>
                  </w:tcBorders>
                  <w:noWrap w:val="0"/>
                  <w:vAlign w:val="center"/>
                </w:tcPr>
                <w:p w14:paraId="7B8FCC36">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5</w:t>
                  </w:r>
                </w:p>
              </w:tc>
              <w:tc>
                <w:tcPr>
                  <w:tcW w:w="396" w:type="pct"/>
                  <w:tcBorders>
                    <w:tl2br w:val="nil"/>
                    <w:tr2bl w:val="nil"/>
                  </w:tcBorders>
                  <w:noWrap w:val="0"/>
                  <w:vAlign w:val="center"/>
                </w:tcPr>
                <w:p w14:paraId="76BC9EE2">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p>
              </w:tc>
              <w:tc>
                <w:tcPr>
                  <w:tcW w:w="396" w:type="pct"/>
                  <w:tcBorders>
                    <w:tl2br w:val="nil"/>
                    <w:tr2bl w:val="nil"/>
                  </w:tcBorders>
                  <w:noWrap w:val="0"/>
                  <w:vAlign w:val="center"/>
                </w:tcPr>
                <w:p w14:paraId="75BCED5B">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r>
            <w:tr w14:paraId="2E349A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5" w:type="pct"/>
                  <w:tcBorders>
                    <w:tl2br w:val="nil"/>
                    <w:tr2bl w:val="nil"/>
                  </w:tcBorders>
                  <w:noWrap w:val="0"/>
                  <w:vAlign w:val="center"/>
                </w:tcPr>
                <w:p w14:paraId="7D444257">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食堂废水</w:t>
                  </w:r>
                </w:p>
              </w:tc>
              <w:tc>
                <w:tcPr>
                  <w:tcW w:w="437" w:type="pct"/>
                  <w:tcBorders>
                    <w:tl2br w:val="nil"/>
                    <w:tr2bl w:val="nil"/>
                  </w:tcBorders>
                  <w:noWrap w:val="0"/>
                  <w:vAlign w:val="center"/>
                </w:tcPr>
                <w:p w14:paraId="10F9A783">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kern w:val="0"/>
                      <w:sz w:val="21"/>
                      <w:szCs w:val="21"/>
                      <w:highlight w:val="none"/>
                      <w:lang w:val="en-US" w:eastAsia="zh-CN" w:bidi="mn-Mong-CN"/>
                    </w:rPr>
                  </w:pPr>
                  <w:r>
                    <w:rPr>
                      <w:rFonts w:hint="eastAsia" w:ascii="Times New Roman" w:hAnsi="Times New Roman"/>
                      <w:color w:val="auto"/>
                      <w:kern w:val="0"/>
                      <w:sz w:val="21"/>
                      <w:szCs w:val="21"/>
                      <w:highlight w:val="none"/>
                      <w:lang w:val="en-US" w:eastAsia="zh-CN" w:bidi="mn-Mong-CN"/>
                    </w:rPr>
                    <w:t>6-9</w:t>
                  </w:r>
                </w:p>
              </w:tc>
              <w:tc>
                <w:tcPr>
                  <w:tcW w:w="531" w:type="pct"/>
                  <w:tcBorders>
                    <w:tl2br w:val="nil"/>
                    <w:tr2bl w:val="nil"/>
                  </w:tcBorders>
                  <w:noWrap w:val="0"/>
                  <w:vAlign w:val="center"/>
                </w:tcPr>
                <w:p w14:paraId="6C2F16A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300</w:t>
                  </w:r>
                </w:p>
              </w:tc>
              <w:tc>
                <w:tcPr>
                  <w:tcW w:w="508" w:type="pct"/>
                  <w:tcBorders>
                    <w:tl2br w:val="nil"/>
                    <w:tr2bl w:val="nil"/>
                  </w:tcBorders>
                  <w:noWrap w:val="0"/>
                  <w:vAlign w:val="center"/>
                </w:tcPr>
                <w:p w14:paraId="0A16145C">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250</w:t>
                  </w:r>
                </w:p>
              </w:tc>
              <w:tc>
                <w:tcPr>
                  <w:tcW w:w="437" w:type="pct"/>
                  <w:tcBorders>
                    <w:tl2br w:val="nil"/>
                    <w:tr2bl w:val="nil"/>
                  </w:tcBorders>
                  <w:noWrap w:val="0"/>
                  <w:vAlign w:val="center"/>
                </w:tcPr>
                <w:p w14:paraId="177C809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64" w:type="pct"/>
                  <w:tcBorders>
                    <w:tl2br w:val="nil"/>
                    <w:tr2bl w:val="nil"/>
                  </w:tcBorders>
                  <w:noWrap w:val="0"/>
                  <w:vAlign w:val="center"/>
                </w:tcPr>
                <w:p w14:paraId="7148D566">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300</w:t>
                  </w:r>
                </w:p>
              </w:tc>
              <w:tc>
                <w:tcPr>
                  <w:tcW w:w="381" w:type="pct"/>
                  <w:tcBorders>
                    <w:tl2br w:val="nil"/>
                    <w:tr2bl w:val="nil"/>
                  </w:tcBorders>
                  <w:noWrap w:val="0"/>
                  <w:vAlign w:val="center"/>
                </w:tcPr>
                <w:p w14:paraId="0876325A">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849" w:type="pct"/>
                  <w:tcBorders>
                    <w:tl2br w:val="nil"/>
                    <w:tr2bl w:val="nil"/>
                  </w:tcBorders>
                  <w:noWrap w:val="0"/>
                  <w:vAlign w:val="center"/>
                </w:tcPr>
                <w:p w14:paraId="0EFC5E0D">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96" w:type="pct"/>
                  <w:tcBorders>
                    <w:tl2br w:val="nil"/>
                    <w:tr2bl w:val="nil"/>
                  </w:tcBorders>
                  <w:noWrap w:val="0"/>
                  <w:vAlign w:val="center"/>
                </w:tcPr>
                <w:p w14:paraId="196CE5DD">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100</w:t>
                  </w:r>
                </w:p>
              </w:tc>
              <w:tc>
                <w:tcPr>
                  <w:tcW w:w="396" w:type="pct"/>
                  <w:tcBorders>
                    <w:tl2br w:val="nil"/>
                    <w:tr2bl w:val="nil"/>
                  </w:tcBorders>
                  <w:noWrap w:val="0"/>
                  <w:vAlign w:val="center"/>
                </w:tcPr>
                <w:p w14:paraId="2E3EE07C">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r>
            <w:tr w14:paraId="7B3301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5" w:type="pct"/>
                  <w:tcBorders>
                    <w:tl2br w:val="nil"/>
                    <w:tr2bl w:val="nil"/>
                  </w:tcBorders>
                  <w:noWrap w:val="0"/>
                  <w:vAlign w:val="center"/>
                </w:tcPr>
                <w:p w14:paraId="12B700A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地面清洗废水</w:t>
                  </w:r>
                </w:p>
              </w:tc>
              <w:tc>
                <w:tcPr>
                  <w:tcW w:w="437" w:type="pct"/>
                  <w:tcBorders>
                    <w:tl2br w:val="nil"/>
                    <w:tr2bl w:val="nil"/>
                  </w:tcBorders>
                  <w:noWrap w:val="0"/>
                  <w:vAlign w:val="center"/>
                </w:tcPr>
                <w:p w14:paraId="44FB26A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kern w:val="0"/>
                      <w:sz w:val="21"/>
                      <w:szCs w:val="21"/>
                      <w:highlight w:val="none"/>
                      <w:lang w:val="en-US" w:eastAsia="zh-CN" w:bidi="mn-Mong-CN"/>
                    </w:rPr>
                  </w:pPr>
                  <w:r>
                    <w:rPr>
                      <w:rFonts w:hint="eastAsia" w:ascii="Times New Roman" w:hAnsi="Times New Roman"/>
                      <w:color w:val="auto"/>
                      <w:kern w:val="0"/>
                      <w:sz w:val="21"/>
                      <w:szCs w:val="21"/>
                      <w:highlight w:val="none"/>
                      <w:lang w:val="en-US" w:eastAsia="zh-CN" w:bidi="mn-Mong-CN"/>
                    </w:rPr>
                    <w:t>6-9</w:t>
                  </w:r>
                </w:p>
              </w:tc>
              <w:tc>
                <w:tcPr>
                  <w:tcW w:w="531" w:type="pct"/>
                  <w:tcBorders>
                    <w:tl2br w:val="nil"/>
                    <w:tr2bl w:val="nil"/>
                  </w:tcBorders>
                  <w:noWrap w:val="0"/>
                  <w:vAlign w:val="center"/>
                </w:tcPr>
                <w:p w14:paraId="09897F2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450</w:t>
                  </w:r>
                </w:p>
              </w:tc>
              <w:tc>
                <w:tcPr>
                  <w:tcW w:w="508" w:type="pct"/>
                  <w:tcBorders>
                    <w:tl2br w:val="nil"/>
                    <w:tr2bl w:val="nil"/>
                  </w:tcBorders>
                  <w:noWrap w:val="0"/>
                  <w:vAlign w:val="center"/>
                </w:tcPr>
                <w:p w14:paraId="08D2D8D9">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437" w:type="pct"/>
                  <w:tcBorders>
                    <w:tl2br w:val="nil"/>
                    <w:tr2bl w:val="nil"/>
                  </w:tcBorders>
                  <w:noWrap w:val="0"/>
                  <w:vAlign w:val="center"/>
                </w:tcPr>
                <w:p w14:paraId="4E3DD6CC">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64" w:type="pct"/>
                  <w:tcBorders>
                    <w:tl2br w:val="nil"/>
                    <w:tr2bl w:val="nil"/>
                  </w:tcBorders>
                  <w:noWrap w:val="0"/>
                  <w:vAlign w:val="center"/>
                </w:tcPr>
                <w:p w14:paraId="00960001">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300</w:t>
                  </w:r>
                </w:p>
              </w:tc>
              <w:tc>
                <w:tcPr>
                  <w:tcW w:w="381" w:type="pct"/>
                  <w:tcBorders>
                    <w:tl2br w:val="nil"/>
                    <w:tr2bl w:val="nil"/>
                  </w:tcBorders>
                  <w:noWrap w:val="0"/>
                  <w:vAlign w:val="center"/>
                </w:tcPr>
                <w:p w14:paraId="3E640B6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849" w:type="pct"/>
                  <w:tcBorders>
                    <w:tl2br w:val="nil"/>
                    <w:tr2bl w:val="nil"/>
                  </w:tcBorders>
                  <w:noWrap w:val="0"/>
                  <w:vAlign w:val="center"/>
                </w:tcPr>
                <w:p w14:paraId="07939FDF">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96" w:type="pct"/>
                  <w:tcBorders>
                    <w:tl2br w:val="nil"/>
                    <w:tr2bl w:val="nil"/>
                  </w:tcBorders>
                  <w:noWrap w:val="0"/>
                  <w:vAlign w:val="center"/>
                </w:tcPr>
                <w:p w14:paraId="2EA67F6C">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96" w:type="pct"/>
                  <w:tcBorders>
                    <w:tl2br w:val="nil"/>
                    <w:tr2bl w:val="nil"/>
                  </w:tcBorders>
                  <w:noWrap w:val="0"/>
                  <w:vAlign w:val="center"/>
                </w:tcPr>
                <w:p w14:paraId="0258F6E3">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130</w:t>
                  </w:r>
                </w:p>
              </w:tc>
            </w:tr>
            <w:tr w14:paraId="464B67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95" w:type="pct"/>
                  <w:tcBorders>
                    <w:tl2br w:val="nil"/>
                    <w:tr2bl w:val="nil"/>
                  </w:tcBorders>
                  <w:noWrap w:val="0"/>
                  <w:vAlign w:val="center"/>
                </w:tcPr>
                <w:p w14:paraId="0D6A221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初期雨水</w:t>
                  </w:r>
                </w:p>
              </w:tc>
              <w:tc>
                <w:tcPr>
                  <w:tcW w:w="437" w:type="pct"/>
                  <w:tcBorders>
                    <w:tl2br w:val="nil"/>
                    <w:tr2bl w:val="nil"/>
                  </w:tcBorders>
                  <w:noWrap w:val="0"/>
                  <w:vAlign w:val="center"/>
                </w:tcPr>
                <w:p w14:paraId="5C87CF30">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kern w:val="0"/>
                      <w:sz w:val="21"/>
                      <w:szCs w:val="21"/>
                      <w:highlight w:val="none"/>
                      <w:lang w:val="en-US" w:eastAsia="zh-CN" w:bidi="mn-Mong-CN"/>
                    </w:rPr>
                  </w:pPr>
                  <w:r>
                    <w:rPr>
                      <w:rFonts w:hint="eastAsia" w:ascii="Times New Roman" w:hAnsi="Times New Roman"/>
                      <w:color w:val="auto"/>
                      <w:kern w:val="0"/>
                      <w:sz w:val="21"/>
                      <w:szCs w:val="21"/>
                      <w:highlight w:val="none"/>
                      <w:lang w:val="en-US" w:eastAsia="zh-CN" w:bidi="mn-Mong-CN"/>
                    </w:rPr>
                    <w:t>6-9</w:t>
                  </w:r>
                </w:p>
              </w:tc>
              <w:tc>
                <w:tcPr>
                  <w:tcW w:w="531" w:type="pct"/>
                  <w:tcBorders>
                    <w:tl2br w:val="nil"/>
                    <w:tr2bl w:val="nil"/>
                  </w:tcBorders>
                  <w:noWrap w:val="0"/>
                  <w:vAlign w:val="center"/>
                </w:tcPr>
                <w:p w14:paraId="1227FCE4">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300</w:t>
                  </w:r>
                </w:p>
              </w:tc>
              <w:tc>
                <w:tcPr>
                  <w:tcW w:w="508" w:type="pct"/>
                  <w:tcBorders>
                    <w:tl2br w:val="nil"/>
                    <w:tr2bl w:val="nil"/>
                  </w:tcBorders>
                  <w:noWrap w:val="0"/>
                  <w:vAlign w:val="center"/>
                </w:tcPr>
                <w:p w14:paraId="6E43058F">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437" w:type="pct"/>
                  <w:tcBorders>
                    <w:tl2br w:val="nil"/>
                    <w:tr2bl w:val="nil"/>
                  </w:tcBorders>
                  <w:noWrap w:val="0"/>
                  <w:vAlign w:val="center"/>
                </w:tcPr>
                <w:p w14:paraId="268B9DF1">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64" w:type="pct"/>
                  <w:tcBorders>
                    <w:tl2br w:val="nil"/>
                    <w:tr2bl w:val="nil"/>
                  </w:tcBorders>
                  <w:noWrap w:val="0"/>
                  <w:vAlign w:val="center"/>
                </w:tcPr>
                <w:p w14:paraId="1BD43DBB">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200</w:t>
                  </w:r>
                </w:p>
              </w:tc>
              <w:tc>
                <w:tcPr>
                  <w:tcW w:w="381" w:type="pct"/>
                  <w:tcBorders>
                    <w:tl2br w:val="nil"/>
                    <w:tr2bl w:val="nil"/>
                  </w:tcBorders>
                  <w:noWrap w:val="0"/>
                  <w:vAlign w:val="center"/>
                </w:tcPr>
                <w:p w14:paraId="6445A54D">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849" w:type="pct"/>
                  <w:tcBorders>
                    <w:tl2br w:val="nil"/>
                    <w:tr2bl w:val="nil"/>
                  </w:tcBorders>
                  <w:noWrap w:val="0"/>
                  <w:vAlign w:val="center"/>
                </w:tcPr>
                <w:p w14:paraId="4E610AE2">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96" w:type="pct"/>
                  <w:tcBorders>
                    <w:tl2br w:val="nil"/>
                    <w:tr2bl w:val="nil"/>
                  </w:tcBorders>
                  <w:noWrap w:val="0"/>
                  <w:vAlign w:val="center"/>
                </w:tcPr>
                <w:p w14:paraId="6EEE7B4C">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color w:val="auto"/>
                      <w:sz w:val="21"/>
                      <w:szCs w:val="21"/>
                      <w:highlight w:val="none"/>
                      <w:shd w:val="clear" w:color="auto" w:fill="FFFFFF"/>
                      <w:vertAlign w:val="baseline"/>
                      <w:lang w:val="en-US" w:eastAsia="zh-CN"/>
                    </w:rPr>
                  </w:pPr>
                </w:p>
              </w:tc>
              <w:tc>
                <w:tcPr>
                  <w:tcW w:w="396" w:type="pct"/>
                  <w:tcBorders>
                    <w:tl2br w:val="nil"/>
                    <w:tr2bl w:val="nil"/>
                  </w:tcBorders>
                  <w:noWrap w:val="0"/>
                  <w:vAlign w:val="center"/>
                </w:tcPr>
                <w:p w14:paraId="6B03794D">
                  <w:pPr>
                    <w:pStyle w:val="44"/>
                    <w:keepNext w:val="0"/>
                    <w:keepLines w:val="0"/>
                    <w:pageBreakBefore w:val="0"/>
                    <w:widowControl w:val="0"/>
                    <w:suppressLineNumbers w:val="0"/>
                    <w:kinsoku/>
                    <w:wordWrap/>
                    <w:overflowPunct/>
                    <w:topLinePunct w:val="0"/>
                    <w:autoSpaceDE/>
                    <w:autoSpaceDN w:val="0"/>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color w:val="auto"/>
                      <w:sz w:val="21"/>
                      <w:szCs w:val="21"/>
                      <w:highlight w:val="none"/>
                      <w:shd w:val="clear" w:color="auto" w:fill="FFFFFF"/>
                      <w:vertAlign w:val="baseline"/>
                      <w:lang w:val="en-US" w:eastAsia="zh-CN"/>
                    </w:rPr>
                  </w:pPr>
                  <w:r>
                    <w:rPr>
                      <w:rFonts w:hint="eastAsia" w:ascii="Times New Roman" w:hAnsi="Times New Roman"/>
                      <w:color w:val="auto"/>
                      <w:sz w:val="21"/>
                      <w:szCs w:val="21"/>
                      <w:highlight w:val="none"/>
                      <w:shd w:val="clear" w:color="auto" w:fill="FFFFFF"/>
                      <w:vertAlign w:val="baseline"/>
                      <w:lang w:val="en-US" w:eastAsia="zh-CN"/>
                    </w:rPr>
                    <w:t>130</w:t>
                  </w:r>
                </w:p>
              </w:tc>
            </w:tr>
          </w:tbl>
          <w:p w14:paraId="0E50C889">
            <w:pPr>
              <w:pStyle w:val="44"/>
              <w:keepNext w:val="0"/>
              <w:keepLines w:val="0"/>
              <w:suppressLineNumbers w:val="0"/>
              <w:spacing w:before="0" w:beforeAutospacing="0" w:after="0" w:afterAutospacing="0"/>
              <w:ind w:left="0" w:right="0"/>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2.2 废水达标排放分析</w:t>
            </w:r>
          </w:p>
          <w:p w14:paraId="49869FFD">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b/>
                <w:bCs/>
                <w:color w:val="auto"/>
                <w:kern w:val="0"/>
                <w:highlight w:val="none"/>
              </w:rPr>
            </w:pPr>
            <w:r>
              <w:rPr>
                <w:rFonts w:hint="default" w:ascii="Times New Roman" w:hAnsi="Times New Roman" w:cs="Times New Roman"/>
                <w:bCs/>
                <w:color w:val="auto"/>
                <w:sz w:val="24"/>
                <w:highlight w:val="none"/>
              </w:rPr>
              <w:t>本项目废水</w:t>
            </w:r>
            <w:r>
              <w:rPr>
                <w:rFonts w:hint="default" w:ascii="Times New Roman" w:hAnsi="Times New Roman" w:cs="Times New Roman"/>
                <w:color w:val="auto"/>
                <w:sz w:val="24"/>
                <w:highlight w:val="none"/>
                <w:lang w:val="en-GB"/>
              </w:rPr>
              <w:t>达标情况见下表。</w:t>
            </w:r>
          </w:p>
          <w:p w14:paraId="3E989B5A">
            <w:pPr>
              <w:keepNext w:val="0"/>
              <w:keepLines w:val="0"/>
              <w:suppressLineNumbers w:val="0"/>
              <w:tabs>
                <w:tab w:val="left" w:pos="849"/>
                <w:tab w:val="center" w:pos="4295"/>
              </w:tabs>
              <w:topLinePunct/>
              <w:spacing w:before="0" w:beforeAutospacing="0" w:after="0" w:afterAutospacing="0" w:line="360" w:lineRule="auto"/>
              <w:ind w:left="0" w:right="0"/>
              <w:jc w:val="center"/>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b/>
                <w:bCs/>
                <w:color w:val="auto"/>
                <w:kern w:val="0"/>
                <w:highlight w:val="none"/>
              </w:rPr>
              <w:t>表4-</w:t>
            </w:r>
            <w:r>
              <w:rPr>
                <w:rFonts w:hint="eastAsia" w:cs="Times New Roman"/>
                <w:b/>
                <w:bCs/>
                <w:color w:val="auto"/>
                <w:kern w:val="0"/>
                <w:highlight w:val="none"/>
                <w:lang w:val="en-US" w:eastAsia="zh-CN"/>
              </w:rPr>
              <w:t>16</w:t>
            </w:r>
            <w:r>
              <w:rPr>
                <w:rFonts w:hint="eastAsia" w:ascii="Times New Roman" w:hAnsi="Times New Roman" w:cs="Times New Roman"/>
                <w:b/>
                <w:bCs/>
                <w:color w:val="auto"/>
                <w:kern w:val="0"/>
                <w:highlight w:val="none"/>
              </w:rPr>
              <w:t xml:space="preserve"> </w:t>
            </w:r>
            <w:r>
              <w:rPr>
                <w:rFonts w:hint="eastAsia" w:ascii="Times New Roman" w:hAnsi="Times New Roman" w:cs="Times New Roman"/>
                <w:b/>
                <w:bCs/>
                <w:color w:val="auto"/>
                <w:kern w:val="0"/>
                <w:highlight w:val="none"/>
                <w:lang w:val="en-US" w:eastAsia="zh-CN"/>
              </w:rPr>
              <w:t xml:space="preserve"> </w:t>
            </w:r>
            <w:r>
              <w:rPr>
                <w:rFonts w:hint="default" w:ascii="Times New Roman" w:hAnsi="Times New Roman" w:cs="Times New Roman"/>
                <w:b/>
                <w:bCs/>
                <w:color w:val="auto"/>
                <w:kern w:val="0"/>
                <w:highlight w:val="none"/>
              </w:rPr>
              <w:t>废水达标情况一览表（单位：mg/L）</w:t>
            </w:r>
          </w:p>
          <w:tbl>
            <w:tblPr>
              <w:tblStyle w:val="26"/>
              <w:tblW w:w="4995"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480"/>
              <w:gridCol w:w="1116"/>
              <w:gridCol w:w="890"/>
              <w:gridCol w:w="562"/>
              <w:gridCol w:w="728"/>
              <w:gridCol w:w="624"/>
              <w:gridCol w:w="709"/>
              <w:gridCol w:w="801"/>
              <w:gridCol w:w="711"/>
              <w:gridCol w:w="891"/>
              <w:gridCol w:w="749"/>
              <w:gridCol w:w="846"/>
            </w:tblGrid>
            <w:tr w14:paraId="26FEDB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896" w:type="pct"/>
                  <w:gridSpan w:val="2"/>
                  <w:tcBorders>
                    <w:right w:val="single" w:color="auto" w:sz="4" w:space="0"/>
                  </w:tcBorders>
                  <w:noWrap w:val="0"/>
                  <w:vAlign w:val="center"/>
                </w:tcPr>
                <w:p w14:paraId="558A0A66">
                  <w:pPr>
                    <w:pStyle w:val="78"/>
                    <w:keepNext w:val="0"/>
                    <w:keepLines w:val="0"/>
                    <w:suppressLineNumbers w:val="0"/>
                    <w:snapToGrid w:val="0"/>
                    <w:spacing w:before="0" w:beforeAutospacing="0" w:after="0" w:afterAutospacing="0" w:line="240" w:lineRule="auto"/>
                    <w:ind w:left="0" w:right="0"/>
                    <w:rPr>
                      <w:rFonts w:hint="default" w:ascii="Times New Roman" w:hAnsi="Times New Roman" w:cs="Times New Roman"/>
                      <w:color w:val="auto"/>
                      <w:sz w:val="18"/>
                      <w:szCs w:val="18"/>
                      <w:highlight w:val="none"/>
                    </w:rPr>
                  </w:pPr>
                  <w:r>
                    <w:rPr>
                      <w:rFonts w:hint="default" w:ascii="Times New Roman" w:hAnsi="Times New Roman" w:cs="Times New Roman"/>
                      <w:bCs/>
                      <w:color w:val="auto"/>
                      <w:sz w:val="18"/>
                      <w:szCs w:val="18"/>
                      <w:highlight w:val="none"/>
                    </w:rPr>
                    <w:t>因子</w:t>
                  </w:r>
                </w:p>
              </w:tc>
              <w:tc>
                <w:tcPr>
                  <w:tcW w:w="510" w:type="pct"/>
                  <w:tcBorders>
                    <w:left w:val="single" w:color="auto" w:sz="4" w:space="0"/>
                  </w:tcBorders>
                  <w:noWrap w:val="0"/>
                  <w:vAlign w:val="center"/>
                </w:tcPr>
                <w:p w14:paraId="1A7B91F0">
                  <w:pPr>
                    <w:pStyle w:val="85"/>
                    <w:keepNext w:val="0"/>
                    <w:keepLines w:val="0"/>
                    <w:suppressLineNumbers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color w:val="auto"/>
                      <w:sz w:val="18"/>
                      <w:szCs w:val="18"/>
                      <w:highlight w:val="none"/>
                    </w:rPr>
                  </w:pPr>
                  <w:r>
                    <w:rPr>
                      <w:rFonts w:hint="eastAsia" w:ascii="Times New Roman" w:hAnsi="Times New Roman" w:cs="Times New Roman"/>
                      <w:bCs/>
                      <w:color w:val="auto"/>
                      <w:sz w:val="18"/>
                      <w:szCs w:val="18"/>
                      <w:highlight w:val="none"/>
                      <w:lang w:val="en-US" w:eastAsia="zh-CN"/>
                    </w:rPr>
                    <w:t>排</w:t>
                  </w:r>
                  <w:r>
                    <w:rPr>
                      <w:rFonts w:hint="default" w:ascii="Times New Roman" w:hAnsi="Times New Roman" w:cs="Times New Roman"/>
                      <w:bCs/>
                      <w:color w:val="auto"/>
                      <w:sz w:val="18"/>
                      <w:szCs w:val="18"/>
                      <w:highlight w:val="none"/>
                    </w:rPr>
                    <w:t>水量</w:t>
                  </w:r>
                  <w:r>
                    <w:rPr>
                      <w:rFonts w:hint="eastAsia" w:ascii="Times New Roman" w:hAnsi="Times New Roman" w:cs="Times New Roman"/>
                      <w:bCs/>
                      <w:color w:val="auto"/>
                      <w:sz w:val="18"/>
                      <w:szCs w:val="18"/>
                      <w:highlight w:val="none"/>
                      <w:lang w:val="en-US" w:eastAsia="zh-CN"/>
                    </w:rPr>
                    <w:t>t</w:t>
                  </w:r>
                  <w:r>
                    <w:rPr>
                      <w:rFonts w:hint="default" w:ascii="Times New Roman" w:hAnsi="Times New Roman" w:cs="Times New Roman"/>
                      <w:bCs/>
                      <w:color w:val="auto"/>
                      <w:sz w:val="18"/>
                      <w:szCs w:val="18"/>
                      <w:highlight w:val="none"/>
                    </w:rPr>
                    <w:t>/a</w:t>
                  </w:r>
                </w:p>
              </w:tc>
              <w:tc>
                <w:tcPr>
                  <w:tcW w:w="330" w:type="pct"/>
                  <w:noWrap w:val="0"/>
                  <w:vAlign w:val="center"/>
                </w:tcPr>
                <w:p w14:paraId="590735C1">
                  <w:pPr>
                    <w:pStyle w:val="85"/>
                    <w:keepNext w:val="0"/>
                    <w:keepLines w:val="0"/>
                    <w:suppressLineNumbers w:val="0"/>
                    <w:adjustRightInd w:val="0"/>
                    <w:snapToGrid w:val="0"/>
                    <w:spacing w:before="0" w:beforeAutospacing="0" w:after="0" w:afterAutospacing="0" w:line="240" w:lineRule="auto"/>
                    <w:ind w:left="-105" w:leftChars="-50" w:right="-105" w:rightChars="-50" w:firstLine="0" w:firstLineChars="0"/>
                    <w:jc w:val="center"/>
                    <w:rPr>
                      <w:rFonts w:hint="default" w:ascii="Times New Roman" w:hAnsi="Times New Roman" w:cs="Times New Roman"/>
                      <w:bCs/>
                      <w:color w:val="auto"/>
                      <w:sz w:val="18"/>
                      <w:szCs w:val="18"/>
                      <w:highlight w:val="none"/>
                      <w:lang w:val="en-US" w:eastAsia="zh-CN"/>
                    </w:rPr>
                  </w:pPr>
                  <w:r>
                    <w:rPr>
                      <w:rFonts w:hint="eastAsia" w:ascii="Times New Roman" w:hAnsi="Times New Roman" w:cs="Times New Roman"/>
                      <w:bCs/>
                      <w:color w:val="auto"/>
                      <w:sz w:val="18"/>
                      <w:szCs w:val="18"/>
                      <w:highlight w:val="none"/>
                      <w:lang w:val="en-US" w:eastAsia="zh-CN"/>
                    </w:rPr>
                    <w:t>pH</w:t>
                  </w:r>
                </w:p>
              </w:tc>
              <w:tc>
                <w:tcPr>
                  <w:tcW w:w="421" w:type="pct"/>
                  <w:noWrap w:val="0"/>
                  <w:vAlign w:val="center"/>
                </w:tcPr>
                <w:p w14:paraId="685CF2E3">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CODcr</w:t>
                  </w:r>
                </w:p>
              </w:tc>
              <w:tc>
                <w:tcPr>
                  <w:tcW w:w="364" w:type="pct"/>
                  <w:noWrap w:val="0"/>
                  <w:vAlign w:val="center"/>
                </w:tcPr>
                <w:p w14:paraId="46D6EA3E">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BOD</w:t>
                  </w:r>
                  <w:r>
                    <w:rPr>
                      <w:rFonts w:hint="default" w:ascii="Times New Roman" w:hAnsi="Times New Roman" w:cs="Times New Roman"/>
                      <w:color w:val="auto"/>
                      <w:sz w:val="18"/>
                      <w:szCs w:val="18"/>
                      <w:highlight w:val="none"/>
                      <w:vertAlign w:val="subscript"/>
                    </w:rPr>
                    <w:t>5</w:t>
                  </w:r>
                </w:p>
              </w:tc>
              <w:tc>
                <w:tcPr>
                  <w:tcW w:w="411" w:type="pct"/>
                  <w:noWrap w:val="0"/>
                  <w:vAlign w:val="center"/>
                </w:tcPr>
                <w:p w14:paraId="2E62D76A">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SS</w:t>
                  </w:r>
                </w:p>
              </w:tc>
              <w:tc>
                <w:tcPr>
                  <w:tcW w:w="388" w:type="pct"/>
                  <w:noWrap w:val="0"/>
                  <w:vAlign w:val="center"/>
                </w:tcPr>
                <w:p w14:paraId="1785D944">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rPr>
                  </w:pPr>
                  <w:r>
                    <w:rPr>
                      <w:rFonts w:hint="default" w:ascii="Times New Roman" w:hAnsi="Times New Roman" w:cs="Times New Roman"/>
                      <w:color w:val="auto"/>
                      <w:sz w:val="18"/>
                      <w:szCs w:val="18"/>
                      <w:highlight w:val="none"/>
                    </w:rPr>
                    <w:t>氨氮</w:t>
                  </w:r>
                </w:p>
              </w:tc>
              <w:tc>
                <w:tcPr>
                  <w:tcW w:w="375" w:type="pct"/>
                  <w:noWrap w:val="0"/>
                  <w:vAlign w:val="center"/>
                </w:tcPr>
                <w:p w14:paraId="41A31966">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总氮</w:t>
                  </w:r>
                </w:p>
              </w:tc>
              <w:tc>
                <w:tcPr>
                  <w:tcW w:w="433" w:type="pct"/>
                  <w:noWrap w:val="0"/>
                  <w:vAlign w:val="center"/>
                </w:tcPr>
                <w:p w14:paraId="6322F8B8">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总磷</w:t>
                  </w:r>
                </w:p>
              </w:tc>
              <w:tc>
                <w:tcPr>
                  <w:tcW w:w="433" w:type="pct"/>
                  <w:noWrap w:val="0"/>
                  <w:vAlign w:val="center"/>
                </w:tcPr>
                <w:p w14:paraId="525D72DC">
                  <w:pPr>
                    <w:keepNext w:val="0"/>
                    <w:keepLines w:val="0"/>
                    <w:suppressLineNumbers w:val="0"/>
                    <w:adjustRightInd w:val="0"/>
                    <w:snapToGrid w:val="0"/>
                    <w:spacing w:before="0" w:beforeAutospacing="0" w:after="0" w:afterAutospacing="0"/>
                    <w:ind w:left="-105" w:leftChars="-50" w:right="-105" w:rightChars="-50"/>
                    <w:jc w:val="center"/>
                    <w:rPr>
                      <w:rFonts w:hint="eastAsia" w:ascii="Times New Roman" w:hAnsi="Times New Roman" w:eastAsia="宋体" w:cs="Times New Roman"/>
                      <w:color w:val="auto"/>
                      <w:sz w:val="18"/>
                      <w:szCs w:val="18"/>
                      <w:highlight w:val="none"/>
                      <w:lang w:eastAsia="zh-CN"/>
                    </w:rPr>
                  </w:pPr>
                  <w:r>
                    <w:rPr>
                      <w:rFonts w:hint="eastAsia" w:ascii="Times New Roman" w:hAnsi="Times New Roman" w:cs="Times New Roman"/>
                      <w:color w:val="auto"/>
                      <w:sz w:val="18"/>
                      <w:szCs w:val="18"/>
                      <w:highlight w:val="none"/>
                      <w:lang w:val="en-US" w:eastAsia="zh-CN"/>
                    </w:rPr>
                    <w:t>动植物油</w:t>
                  </w:r>
                </w:p>
              </w:tc>
              <w:tc>
                <w:tcPr>
                  <w:tcW w:w="434" w:type="pct"/>
                  <w:noWrap w:val="0"/>
                  <w:vAlign w:val="center"/>
                </w:tcPr>
                <w:p w14:paraId="10C266D1">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石油类</w:t>
                  </w:r>
                </w:p>
              </w:tc>
            </w:tr>
            <w:tr w14:paraId="7A65626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34" w:hRule="atLeast"/>
                <w:jc w:val="center"/>
              </w:trPr>
              <w:tc>
                <w:tcPr>
                  <w:tcW w:w="896" w:type="pct"/>
                  <w:gridSpan w:val="2"/>
                  <w:tcBorders>
                    <w:right w:val="single" w:color="auto" w:sz="4" w:space="0"/>
                  </w:tcBorders>
                  <w:noWrap w:val="0"/>
                  <w:vAlign w:val="center"/>
                </w:tcPr>
                <w:p w14:paraId="2AAC9FB8">
                  <w:pPr>
                    <w:keepNext w:val="0"/>
                    <w:keepLines w:val="0"/>
                    <w:suppressLineNumbers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ascii="Times New Roman" w:hAnsi="Times New Roman" w:cs="Times New Roman"/>
                      <w:bCs/>
                      <w:color w:val="auto"/>
                      <w:sz w:val="18"/>
                      <w:szCs w:val="18"/>
                      <w:highlight w:val="none"/>
                      <w:lang w:val="en-US" w:eastAsia="zh-CN"/>
                    </w:rPr>
                    <w:t>总排口废水</w:t>
                  </w:r>
                  <w:r>
                    <w:rPr>
                      <w:rFonts w:hint="eastAsia" w:cs="Times New Roman"/>
                      <w:bCs/>
                      <w:color w:val="auto"/>
                      <w:sz w:val="18"/>
                      <w:szCs w:val="18"/>
                      <w:highlight w:val="none"/>
                      <w:lang w:val="en-US" w:eastAsia="zh-CN"/>
                    </w:rPr>
                    <w:t>浓度</w:t>
                  </w:r>
                </w:p>
              </w:tc>
              <w:tc>
                <w:tcPr>
                  <w:tcW w:w="510" w:type="pct"/>
                  <w:tcBorders>
                    <w:left w:val="single" w:color="auto" w:sz="4" w:space="0"/>
                  </w:tcBorders>
                  <w:noWrap w:val="0"/>
                  <w:vAlign w:val="center"/>
                </w:tcPr>
                <w:p w14:paraId="01DFB96B">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eastAsia="宋体" w:cs="Times New Roman"/>
                      <w:color w:val="auto"/>
                      <w:kern w:val="0"/>
                      <w:sz w:val="18"/>
                      <w:szCs w:val="18"/>
                      <w:highlight w:val="none"/>
                      <w:lang w:val="en-US" w:eastAsia="zh-CN" w:bidi="mn-Mong-CN"/>
                    </w:rPr>
                  </w:pPr>
                  <w:r>
                    <w:rPr>
                      <w:rFonts w:hint="eastAsia" w:cs="Times New Roman"/>
                      <w:color w:val="auto"/>
                      <w:kern w:val="0"/>
                      <w:sz w:val="18"/>
                      <w:szCs w:val="18"/>
                      <w:highlight w:val="none"/>
                      <w:lang w:val="en-US" w:eastAsia="zh-CN" w:bidi="mn-Mong-CN"/>
                    </w:rPr>
                    <w:t>523.25</w:t>
                  </w:r>
                </w:p>
              </w:tc>
              <w:tc>
                <w:tcPr>
                  <w:tcW w:w="330" w:type="pct"/>
                  <w:noWrap w:val="0"/>
                  <w:vAlign w:val="center"/>
                </w:tcPr>
                <w:p w14:paraId="745353DB">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kern w:val="0"/>
                      <w:sz w:val="18"/>
                      <w:szCs w:val="18"/>
                      <w:highlight w:val="none"/>
                      <w:lang w:val="en-US" w:eastAsia="zh-CN" w:bidi="mn-Mong-CN"/>
                    </w:rPr>
                  </w:pPr>
                  <w:r>
                    <w:rPr>
                      <w:rFonts w:hint="eastAsia" w:ascii="Times New Roman" w:hAnsi="Times New Roman" w:cs="Times New Roman"/>
                      <w:color w:val="auto"/>
                      <w:kern w:val="0"/>
                      <w:sz w:val="18"/>
                      <w:szCs w:val="18"/>
                      <w:highlight w:val="none"/>
                      <w:lang w:val="en-US" w:eastAsia="zh-CN" w:bidi="mn-Mong-CN"/>
                    </w:rPr>
                    <w:t>6-9</w:t>
                  </w:r>
                </w:p>
              </w:tc>
              <w:tc>
                <w:tcPr>
                  <w:tcW w:w="421" w:type="pct"/>
                  <w:noWrap w:val="0"/>
                  <w:vAlign w:val="center"/>
                </w:tcPr>
                <w:p w14:paraId="1B93EB0A">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cs="Times New Roman"/>
                      <w:bCs/>
                      <w:color w:val="auto"/>
                      <w:sz w:val="18"/>
                      <w:szCs w:val="18"/>
                      <w:highlight w:val="none"/>
                      <w:lang w:val="en-US" w:eastAsia="zh-CN"/>
                    </w:rPr>
                    <w:t>228</w:t>
                  </w:r>
                </w:p>
              </w:tc>
              <w:tc>
                <w:tcPr>
                  <w:tcW w:w="364" w:type="pct"/>
                  <w:noWrap w:val="0"/>
                  <w:vAlign w:val="center"/>
                </w:tcPr>
                <w:p w14:paraId="3306FCDF">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93</w:t>
                  </w:r>
                </w:p>
              </w:tc>
              <w:tc>
                <w:tcPr>
                  <w:tcW w:w="411" w:type="pct"/>
                  <w:noWrap w:val="0"/>
                  <w:vAlign w:val="center"/>
                </w:tcPr>
                <w:p w14:paraId="70E91B4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cs="Times New Roman"/>
                      <w:bCs/>
                      <w:color w:val="auto"/>
                      <w:sz w:val="18"/>
                      <w:szCs w:val="18"/>
                      <w:highlight w:val="none"/>
                      <w:lang w:val="en-US" w:eastAsia="zh-CN"/>
                    </w:rPr>
                    <w:t>133.8</w:t>
                  </w:r>
                </w:p>
              </w:tc>
              <w:tc>
                <w:tcPr>
                  <w:tcW w:w="388" w:type="pct"/>
                  <w:noWrap w:val="0"/>
                  <w:vAlign w:val="center"/>
                </w:tcPr>
                <w:p w14:paraId="54D45D47">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cs="Times New Roman"/>
                      <w:bCs/>
                      <w:color w:val="auto"/>
                      <w:sz w:val="18"/>
                      <w:szCs w:val="18"/>
                      <w:highlight w:val="none"/>
                      <w:lang w:val="en-US" w:eastAsia="zh-CN"/>
                    </w:rPr>
                    <w:t>7.22</w:t>
                  </w:r>
                </w:p>
              </w:tc>
              <w:tc>
                <w:tcPr>
                  <w:tcW w:w="375" w:type="pct"/>
                  <w:noWrap w:val="0"/>
                  <w:vAlign w:val="center"/>
                </w:tcPr>
                <w:p w14:paraId="3341F6F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cs="Times New Roman"/>
                      <w:bCs/>
                      <w:color w:val="auto"/>
                      <w:sz w:val="18"/>
                      <w:szCs w:val="18"/>
                      <w:highlight w:val="none"/>
                      <w:lang w:val="en-US" w:eastAsia="zh-CN"/>
                    </w:rPr>
                    <w:t>10.3</w:t>
                  </w:r>
                </w:p>
              </w:tc>
              <w:tc>
                <w:tcPr>
                  <w:tcW w:w="433" w:type="pct"/>
                  <w:noWrap w:val="0"/>
                  <w:vAlign w:val="center"/>
                </w:tcPr>
                <w:p w14:paraId="0E9F72F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cs="Times New Roman"/>
                      <w:bCs/>
                      <w:color w:val="auto"/>
                      <w:sz w:val="18"/>
                      <w:szCs w:val="18"/>
                      <w:highlight w:val="none"/>
                      <w:lang w:val="en-US" w:eastAsia="zh-CN"/>
                    </w:rPr>
                    <w:t>1.3</w:t>
                  </w:r>
                </w:p>
              </w:tc>
              <w:tc>
                <w:tcPr>
                  <w:tcW w:w="433" w:type="pct"/>
                  <w:noWrap w:val="0"/>
                  <w:vAlign w:val="center"/>
                </w:tcPr>
                <w:p w14:paraId="35D7D15C">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bCs/>
                      <w:color w:val="auto"/>
                      <w:sz w:val="18"/>
                      <w:szCs w:val="18"/>
                      <w:highlight w:val="none"/>
                      <w:lang w:val="en-US" w:eastAsia="zh-CN"/>
                    </w:rPr>
                  </w:pPr>
                  <w:r>
                    <w:rPr>
                      <w:rFonts w:hint="eastAsia" w:cs="Times New Roman"/>
                      <w:bCs/>
                      <w:color w:val="auto"/>
                      <w:sz w:val="18"/>
                      <w:szCs w:val="18"/>
                      <w:highlight w:val="none"/>
                      <w:lang w:val="en-US" w:eastAsia="zh-CN"/>
                    </w:rPr>
                    <w:t>3.06</w:t>
                  </w:r>
                </w:p>
              </w:tc>
              <w:tc>
                <w:tcPr>
                  <w:tcW w:w="434" w:type="pct"/>
                  <w:noWrap w:val="0"/>
                  <w:vAlign w:val="center"/>
                </w:tcPr>
                <w:p w14:paraId="44745BF8">
                  <w:pPr>
                    <w:keepNext w:val="0"/>
                    <w:keepLines w:val="0"/>
                    <w:suppressLineNumbers w:val="0"/>
                    <w:adjustRightInd w:val="0"/>
                    <w:snapToGrid w:val="0"/>
                    <w:spacing w:before="0" w:beforeAutospacing="0" w:after="0" w:afterAutospacing="0"/>
                    <w:ind w:left="0" w:right="0"/>
                    <w:jc w:val="center"/>
                    <w:rPr>
                      <w:rFonts w:hint="default" w:cs="Times New Roman"/>
                      <w:bCs/>
                      <w:color w:val="auto"/>
                      <w:sz w:val="18"/>
                      <w:szCs w:val="18"/>
                      <w:highlight w:val="none"/>
                      <w:lang w:val="en-US" w:eastAsia="zh-CN"/>
                    </w:rPr>
                  </w:pPr>
                  <w:r>
                    <w:rPr>
                      <w:rFonts w:hint="eastAsia" w:cs="Times New Roman"/>
                      <w:bCs/>
                      <w:color w:val="auto"/>
                      <w:sz w:val="18"/>
                      <w:szCs w:val="18"/>
                      <w:highlight w:val="none"/>
                      <w:lang w:val="en-US" w:eastAsia="zh-CN"/>
                    </w:rPr>
                    <w:t>6.54</w:t>
                  </w:r>
                </w:p>
              </w:tc>
            </w:tr>
            <w:tr w14:paraId="7CB3D1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285" w:type="pct"/>
                  <w:vMerge w:val="restart"/>
                  <w:tcBorders>
                    <w:right w:val="single" w:color="auto" w:sz="4" w:space="0"/>
                  </w:tcBorders>
                  <w:noWrap w:val="0"/>
                  <w:vAlign w:val="center"/>
                </w:tcPr>
                <w:p w14:paraId="6F0E525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标准值</w:t>
                  </w:r>
                </w:p>
              </w:tc>
              <w:tc>
                <w:tcPr>
                  <w:tcW w:w="610" w:type="pct"/>
                  <w:tcBorders>
                    <w:right w:val="single" w:color="auto" w:sz="4" w:space="0"/>
                  </w:tcBorders>
                  <w:noWrap w:val="0"/>
                  <w:vAlign w:val="center"/>
                </w:tcPr>
                <w:p w14:paraId="73FA232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DB21/1627-2008</w:t>
                  </w:r>
                </w:p>
              </w:tc>
              <w:tc>
                <w:tcPr>
                  <w:tcW w:w="510" w:type="pct"/>
                  <w:tcBorders>
                    <w:left w:val="single" w:color="auto" w:sz="4" w:space="0"/>
                  </w:tcBorders>
                  <w:noWrap w:val="0"/>
                  <w:vAlign w:val="center"/>
                </w:tcPr>
                <w:p w14:paraId="3A57CA6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330" w:type="pct"/>
                  <w:noWrap w:val="0"/>
                  <w:vAlign w:val="center"/>
                </w:tcPr>
                <w:p w14:paraId="7DAFC66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421" w:type="pct"/>
                  <w:noWrap w:val="0"/>
                  <w:vAlign w:val="center"/>
                </w:tcPr>
                <w:p w14:paraId="51A0531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300</w:t>
                  </w:r>
                </w:p>
              </w:tc>
              <w:tc>
                <w:tcPr>
                  <w:tcW w:w="364" w:type="pct"/>
                  <w:noWrap w:val="0"/>
                  <w:vAlign w:val="center"/>
                </w:tcPr>
                <w:p w14:paraId="650C50F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250</w:t>
                  </w:r>
                </w:p>
              </w:tc>
              <w:tc>
                <w:tcPr>
                  <w:tcW w:w="411" w:type="pct"/>
                  <w:noWrap w:val="0"/>
                  <w:vAlign w:val="center"/>
                </w:tcPr>
                <w:p w14:paraId="10EAF6D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300</w:t>
                  </w:r>
                </w:p>
              </w:tc>
              <w:tc>
                <w:tcPr>
                  <w:tcW w:w="388" w:type="pct"/>
                  <w:noWrap w:val="0"/>
                  <w:vAlign w:val="center"/>
                </w:tcPr>
                <w:p w14:paraId="279DBAA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30</w:t>
                  </w:r>
                </w:p>
              </w:tc>
              <w:tc>
                <w:tcPr>
                  <w:tcW w:w="375" w:type="pct"/>
                  <w:noWrap w:val="0"/>
                  <w:vAlign w:val="center"/>
                </w:tcPr>
                <w:p w14:paraId="07DED4D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50</w:t>
                  </w:r>
                </w:p>
              </w:tc>
              <w:tc>
                <w:tcPr>
                  <w:tcW w:w="433" w:type="pct"/>
                  <w:noWrap w:val="0"/>
                  <w:vAlign w:val="center"/>
                </w:tcPr>
                <w:p w14:paraId="1D216A8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5</w:t>
                  </w:r>
                </w:p>
              </w:tc>
              <w:tc>
                <w:tcPr>
                  <w:tcW w:w="433" w:type="pct"/>
                  <w:noWrap w:val="0"/>
                  <w:vAlign w:val="center"/>
                </w:tcPr>
                <w:p w14:paraId="7834A2F0">
                  <w:pPr>
                    <w:keepNext w:val="0"/>
                    <w:keepLines w:val="0"/>
                    <w:suppressLineNumbers w:val="0"/>
                    <w:adjustRightInd w:val="0"/>
                    <w:snapToGrid w:val="0"/>
                    <w:spacing w:before="0" w:beforeAutospacing="0" w:after="0" w:afterAutospacing="0"/>
                    <w:ind w:left="-105" w:leftChars="-50" w:right="-105" w:rightChars="-50"/>
                    <w:jc w:val="center"/>
                    <w:rPr>
                      <w:rFonts w:hint="eastAsia" w:ascii="Times New Roman" w:hAnsi="Times New Roman" w:eastAsia="宋体" w:cs="Times New Roman"/>
                      <w:color w:val="auto"/>
                      <w:sz w:val="18"/>
                      <w:szCs w:val="18"/>
                      <w:highlight w:val="none"/>
                      <w:lang w:val="en-US" w:eastAsia="zh-CN"/>
                    </w:rPr>
                  </w:pPr>
                </w:p>
              </w:tc>
              <w:tc>
                <w:tcPr>
                  <w:tcW w:w="434" w:type="pct"/>
                  <w:noWrap w:val="0"/>
                  <w:vAlign w:val="center"/>
                </w:tcPr>
                <w:p w14:paraId="5CD1FBA0">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r>
            <w:tr w14:paraId="5ED7F2A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285" w:type="pct"/>
                  <w:vMerge w:val="continue"/>
                  <w:tcBorders>
                    <w:right w:val="single" w:color="auto" w:sz="4" w:space="0"/>
                  </w:tcBorders>
                  <w:noWrap w:val="0"/>
                  <w:vAlign w:val="center"/>
                </w:tcPr>
                <w:p w14:paraId="7D5C71B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18"/>
                      <w:szCs w:val="18"/>
                      <w:highlight w:val="none"/>
                      <w:lang w:val="en-US" w:eastAsia="zh-CN" w:bidi="ar-SA"/>
                    </w:rPr>
                  </w:pPr>
                </w:p>
              </w:tc>
              <w:tc>
                <w:tcPr>
                  <w:tcW w:w="610" w:type="pct"/>
                  <w:tcBorders>
                    <w:right w:val="single" w:color="auto" w:sz="4" w:space="0"/>
                  </w:tcBorders>
                  <w:noWrap w:val="0"/>
                  <w:vAlign w:val="center"/>
                </w:tcPr>
                <w:p w14:paraId="45D0DBC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both"/>
                    <w:textAlignment w:val="auto"/>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GB8978-1996</w:t>
                  </w:r>
                </w:p>
              </w:tc>
              <w:tc>
                <w:tcPr>
                  <w:tcW w:w="510" w:type="pct"/>
                  <w:tcBorders>
                    <w:left w:val="single" w:color="auto" w:sz="4" w:space="0"/>
                  </w:tcBorders>
                  <w:noWrap w:val="0"/>
                  <w:vAlign w:val="center"/>
                </w:tcPr>
                <w:p w14:paraId="2761C27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330" w:type="pct"/>
                  <w:noWrap w:val="0"/>
                  <w:vAlign w:val="center"/>
                </w:tcPr>
                <w:p w14:paraId="6D42CCE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color w:val="auto"/>
                      <w:kern w:val="0"/>
                      <w:sz w:val="18"/>
                      <w:szCs w:val="18"/>
                      <w:highlight w:val="none"/>
                      <w:lang w:val="en-US" w:eastAsia="zh-CN" w:bidi="mn-Mong-CN"/>
                    </w:rPr>
                    <w:t>6-9</w:t>
                  </w:r>
                </w:p>
              </w:tc>
              <w:tc>
                <w:tcPr>
                  <w:tcW w:w="421" w:type="pct"/>
                  <w:noWrap w:val="0"/>
                  <w:vAlign w:val="center"/>
                </w:tcPr>
                <w:p w14:paraId="6604AFB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364" w:type="pct"/>
                  <w:noWrap w:val="0"/>
                  <w:vAlign w:val="center"/>
                </w:tcPr>
                <w:p w14:paraId="4DCC6CC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411" w:type="pct"/>
                  <w:noWrap w:val="0"/>
                  <w:vAlign w:val="center"/>
                </w:tcPr>
                <w:p w14:paraId="08A911E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388" w:type="pct"/>
                  <w:noWrap w:val="0"/>
                  <w:vAlign w:val="center"/>
                </w:tcPr>
                <w:p w14:paraId="163CDA6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375" w:type="pct"/>
                  <w:noWrap w:val="0"/>
                  <w:vAlign w:val="center"/>
                </w:tcPr>
                <w:p w14:paraId="3A19602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433" w:type="pct"/>
                  <w:noWrap w:val="0"/>
                  <w:vAlign w:val="center"/>
                </w:tcPr>
                <w:p w14:paraId="369FBB7E">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18"/>
                      <w:szCs w:val="18"/>
                      <w:highlight w:val="none"/>
                      <w:vertAlign w:val="baseline"/>
                      <w:lang w:val="en-US" w:eastAsia="zh-CN" w:bidi="ar-SA"/>
                    </w:rPr>
                  </w:pPr>
                  <w:r>
                    <w:rPr>
                      <w:rFonts w:hint="eastAsia" w:ascii="Times New Roman" w:hAnsi="Times New Roman" w:eastAsia="宋体" w:cs="Times New Roman"/>
                      <w:color w:val="auto"/>
                      <w:kern w:val="2"/>
                      <w:sz w:val="18"/>
                      <w:szCs w:val="18"/>
                      <w:highlight w:val="none"/>
                      <w:vertAlign w:val="baseline"/>
                      <w:lang w:val="en-US" w:eastAsia="zh-CN" w:bidi="ar-SA"/>
                    </w:rPr>
                    <w:t>/</w:t>
                  </w:r>
                </w:p>
              </w:tc>
              <w:tc>
                <w:tcPr>
                  <w:tcW w:w="433" w:type="pct"/>
                  <w:noWrap w:val="0"/>
                  <w:vAlign w:val="center"/>
                </w:tcPr>
                <w:p w14:paraId="50266D49">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eastAsia="宋体"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100</w:t>
                  </w:r>
                </w:p>
              </w:tc>
              <w:tc>
                <w:tcPr>
                  <w:tcW w:w="434" w:type="pct"/>
                  <w:noWrap w:val="0"/>
                  <w:vAlign w:val="center"/>
                </w:tcPr>
                <w:p w14:paraId="0E408E04">
                  <w:pPr>
                    <w:keepNext w:val="0"/>
                    <w:keepLines w:val="0"/>
                    <w:suppressLineNumbers w:val="0"/>
                    <w:adjustRightInd w:val="0"/>
                    <w:snapToGrid w:val="0"/>
                    <w:spacing w:before="0" w:beforeAutospacing="0" w:after="0" w:afterAutospacing="0"/>
                    <w:ind w:left="-105" w:leftChars="-50" w:right="-105" w:rightChars="-50"/>
                    <w:jc w:val="center"/>
                    <w:rPr>
                      <w:rFonts w:hint="eastAsia" w:ascii="Times New Roman" w:hAnsi="Times New Roman" w:cs="Times New Roman"/>
                      <w:color w:val="auto"/>
                      <w:sz w:val="18"/>
                      <w:szCs w:val="18"/>
                      <w:highlight w:val="none"/>
                      <w:lang w:val="en-US" w:eastAsia="zh-CN"/>
                    </w:rPr>
                  </w:pPr>
                </w:p>
              </w:tc>
            </w:tr>
            <w:tr w14:paraId="514F62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896" w:type="pct"/>
                  <w:gridSpan w:val="2"/>
                  <w:tcBorders>
                    <w:right w:val="single" w:color="auto" w:sz="4" w:space="0"/>
                  </w:tcBorders>
                  <w:noWrap w:val="0"/>
                  <w:vAlign w:val="center"/>
                </w:tcPr>
                <w:p w14:paraId="4D662EBD">
                  <w:pPr>
                    <w:keepNext w:val="0"/>
                    <w:keepLines w:val="0"/>
                    <w:suppressLineNumbers w:val="0"/>
                    <w:spacing w:before="0" w:beforeAutospacing="0" w:after="0" w:afterAutospacing="0"/>
                    <w:ind w:left="0" w:right="0"/>
                    <w:jc w:val="center"/>
                    <w:rPr>
                      <w:rFonts w:hint="default" w:ascii="Times New Roman" w:hAnsi="Times New Roman" w:cs="Times New Roman"/>
                      <w:bCs/>
                      <w:color w:val="auto"/>
                      <w:sz w:val="18"/>
                      <w:szCs w:val="18"/>
                      <w:highlight w:val="none"/>
                    </w:rPr>
                  </w:pPr>
                  <w:r>
                    <w:rPr>
                      <w:rFonts w:hint="default" w:ascii="Times New Roman" w:hAnsi="Times New Roman" w:cs="Times New Roman"/>
                      <w:bCs/>
                      <w:color w:val="auto"/>
                      <w:sz w:val="18"/>
                      <w:szCs w:val="18"/>
                      <w:highlight w:val="none"/>
                    </w:rPr>
                    <w:t>是否达标</w:t>
                  </w:r>
                </w:p>
              </w:tc>
              <w:tc>
                <w:tcPr>
                  <w:tcW w:w="510" w:type="pct"/>
                  <w:tcBorders>
                    <w:left w:val="single" w:color="auto" w:sz="4" w:space="0"/>
                  </w:tcBorders>
                  <w:noWrap w:val="0"/>
                  <w:vAlign w:val="center"/>
                </w:tcPr>
                <w:p w14:paraId="5C95696D">
                  <w:pPr>
                    <w:keepNext w:val="0"/>
                    <w:keepLines w:val="0"/>
                    <w:suppressLineNumbers w:val="0"/>
                    <w:adjustRightInd w:val="0"/>
                    <w:snapToGrid w:val="0"/>
                    <w:spacing w:before="0" w:beforeAutospacing="0" w:after="0" w:afterAutospacing="0"/>
                    <w:ind w:left="-105" w:leftChars="-50" w:right="-105" w:rightChars="-50"/>
                    <w:jc w:val="center"/>
                    <w:rPr>
                      <w:rFonts w:hint="eastAsia" w:ascii="Times New Roman" w:hAnsi="Times New Roman" w:eastAsia="宋体" w:cs="Times New Roman"/>
                      <w:color w:val="auto"/>
                      <w:kern w:val="0"/>
                      <w:sz w:val="18"/>
                      <w:szCs w:val="18"/>
                      <w:highlight w:val="none"/>
                      <w:lang w:eastAsia="zh-CN" w:bidi="mn-Mong-CN"/>
                    </w:rPr>
                  </w:pPr>
                  <w:r>
                    <w:rPr>
                      <w:rFonts w:hint="eastAsia" w:ascii="Times New Roman" w:hAnsi="Times New Roman" w:cs="Times New Roman"/>
                      <w:color w:val="auto"/>
                      <w:kern w:val="0"/>
                      <w:sz w:val="18"/>
                      <w:szCs w:val="18"/>
                      <w:highlight w:val="none"/>
                      <w:lang w:val="en-US" w:eastAsia="zh-CN" w:bidi="mn-Mong-CN"/>
                    </w:rPr>
                    <w:t>/</w:t>
                  </w:r>
                </w:p>
              </w:tc>
              <w:tc>
                <w:tcPr>
                  <w:tcW w:w="330" w:type="pct"/>
                  <w:noWrap w:val="0"/>
                  <w:vAlign w:val="center"/>
                </w:tcPr>
                <w:p w14:paraId="3339D7C6">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kern w:val="0"/>
                      <w:sz w:val="18"/>
                      <w:szCs w:val="18"/>
                      <w:highlight w:val="none"/>
                      <w:lang w:val="en-US" w:eastAsia="zh-CN" w:bidi="mn-Mong-CN"/>
                    </w:rPr>
                  </w:pPr>
                  <w:r>
                    <w:rPr>
                      <w:rFonts w:hint="eastAsia" w:ascii="Times New Roman" w:hAnsi="Times New Roman" w:cs="Times New Roman"/>
                      <w:color w:val="auto"/>
                      <w:kern w:val="0"/>
                      <w:sz w:val="18"/>
                      <w:szCs w:val="18"/>
                      <w:highlight w:val="none"/>
                      <w:lang w:val="en-US" w:eastAsia="zh-CN" w:bidi="mn-Mong-CN"/>
                    </w:rPr>
                    <w:t>达标</w:t>
                  </w:r>
                </w:p>
              </w:tc>
              <w:tc>
                <w:tcPr>
                  <w:tcW w:w="421" w:type="pct"/>
                  <w:noWrap w:val="0"/>
                  <w:vAlign w:val="center"/>
                </w:tcPr>
                <w:p w14:paraId="1A2F8FDB">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364" w:type="pct"/>
                  <w:noWrap w:val="0"/>
                  <w:vAlign w:val="center"/>
                </w:tcPr>
                <w:p w14:paraId="716A3A2E">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411" w:type="pct"/>
                  <w:noWrap w:val="0"/>
                  <w:vAlign w:val="center"/>
                </w:tcPr>
                <w:p w14:paraId="0475A9E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388" w:type="pct"/>
                  <w:noWrap w:val="0"/>
                  <w:vAlign w:val="center"/>
                </w:tcPr>
                <w:p w14:paraId="5F094048">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375" w:type="pct"/>
                  <w:noWrap w:val="0"/>
                  <w:vAlign w:val="center"/>
                </w:tcPr>
                <w:p w14:paraId="246D4384">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433" w:type="pct"/>
                  <w:noWrap w:val="0"/>
                  <w:vAlign w:val="center"/>
                </w:tcPr>
                <w:p w14:paraId="5AE3B064">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433" w:type="pct"/>
                  <w:noWrap w:val="0"/>
                  <w:vAlign w:val="center"/>
                </w:tcPr>
                <w:p w14:paraId="1D74669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r>
                    <w:rPr>
                      <w:rFonts w:hint="eastAsia" w:ascii="Times New Roman" w:hAnsi="Times New Roman" w:cs="Times New Roman"/>
                      <w:color w:val="auto"/>
                      <w:kern w:val="0"/>
                      <w:sz w:val="18"/>
                      <w:szCs w:val="18"/>
                      <w:highlight w:val="none"/>
                      <w:lang w:val="en-US" w:eastAsia="zh-CN" w:bidi="mn-Mong-CN"/>
                    </w:rPr>
                    <w:t>达标</w:t>
                  </w:r>
                </w:p>
              </w:tc>
              <w:tc>
                <w:tcPr>
                  <w:tcW w:w="434" w:type="pct"/>
                  <w:noWrap w:val="0"/>
                  <w:vAlign w:val="center"/>
                </w:tcPr>
                <w:p w14:paraId="40A956DA">
                  <w:pPr>
                    <w:keepNext w:val="0"/>
                    <w:keepLines w:val="0"/>
                    <w:suppressLineNumbers w:val="0"/>
                    <w:spacing w:before="0" w:beforeAutospacing="0" w:after="0" w:afterAutospacing="0"/>
                    <w:ind w:left="0" w:right="0"/>
                    <w:jc w:val="center"/>
                    <w:rPr>
                      <w:rFonts w:hint="eastAsia" w:ascii="Times New Roman" w:hAnsi="Times New Roman" w:cs="Times New Roman"/>
                      <w:color w:val="auto"/>
                      <w:kern w:val="0"/>
                      <w:sz w:val="18"/>
                      <w:szCs w:val="18"/>
                      <w:highlight w:val="none"/>
                      <w:lang w:val="en-US" w:eastAsia="zh-CN" w:bidi="mn-Mong-CN"/>
                    </w:rPr>
                  </w:pPr>
                  <w:r>
                    <w:rPr>
                      <w:rFonts w:hint="eastAsia" w:ascii="Times New Roman" w:hAnsi="Times New Roman" w:cs="Times New Roman"/>
                      <w:color w:val="auto"/>
                      <w:kern w:val="0"/>
                      <w:sz w:val="18"/>
                      <w:szCs w:val="18"/>
                      <w:highlight w:val="none"/>
                      <w:lang w:val="en-US" w:eastAsia="zh-CN" w:bidi="mn-Mong-CN"/>
                    </w:rPr>
                    <w:t>达标</w:t>
                  </w:r>
                </w:p>
              </w:tc>
            </w:tr>
            <w:tr w14:paraId="1B33DC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90" w:hRule="atLeast"/>
                <w:jc w:val="center"/>
              </w:trPr>
              <w:tc>
                <w:tcPr>
                  <w:tcW w:w="896" w:type="pct"/>
                  <w:gridSpan w:val="2"/>
                  <w:tcBorders>
                    <w:right w:val="single" w:color="auto" w:sz="4" w:space="0"/>
                  </w:tcBorders>
                  <w:noWrap w:val="0"/>
                  <w:vAlign w:val="center"/>
                </w:tcPr>
                <w:p w14:paraId="1E4AC787">
                  <w:pPr>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bCs/>
                      <w:color w:val="auto"/>
                      <w:sz w:val="18"/>
                      <w:szCs w:val="18"/>
                      <w:highlight w:val="none"/>
                    </w:rPr>
                  </w:pPr>
                  <w:r>
                    <w:rPr>
                      <w:rFonts w:hint="default" w:ascii="Times New Roman" w:hAnsi="Times New Roman" w:cs="Times New Roman"/>
                      <w:bCs/>
                      <w:color w:val="auto"/>
                      <w:sz w:val="18"/>
                      <w:szCs w:val="18"/>
                      <w:highlight w:val="none"/>
                    </w:rPr>
                    <w:t>排放量（t/a）</w:t>
                  </w:r>
                </w:p>
              </w:tc>
              <w:tc>
                <w:tcPr>
                  <w:tcW w:w="510" w:type="pct"/>
                  <w:tcBorders>
                    <w:left w:val="single" w:color="auto" w:sz="4" w:space="0"/>
                  </w:tcBorders>
                  <w:noWrap w:val="0"/>
                  <w:vAlign w:val="center"/>
                </w:tcPr>
                <w:p w14:paraId="48D60F0E">
                  <w:pPr>
                    <w:keepNext w:val="0"/>
                    <w:keepLines w:val="0"/>
                    <w:suppressLineNumbers w:val="0"/>
                    <w:adjustRightInd w:val="0"/>
                    <w:snapToGrid w:val="0"/>
                    <w:spacing w:before="0" w:beforeAutospacing="0" w:after="0" w:afterAutospacing="0"/>
                    <w:ind w:left="-105" w:leftChars="-50" w:right="-105" w:rightChars="-50"/>
                    <w:jc w:val="center"/>
                    <w:rPr>
                      <w:rFonts w:hint="eastAsia" w:ascii="Times New Roman" w:hAnsi="Times New Roman" w:eastAsia="宋体" w:cs="Times New Roman"/>
                      <w:color w:val="auto"/>
                      <w:kern w:val="0"/>
                      <w:sz w:val="18"/>
                      <w:szCs w:val="18"/>
                      <w:highlight w:val="none"/>
                      <w:lang w:val="en-US" w:eastAsia="zh-CN" w:bidi="mn-Mong-CN"/>
                    </w:rPr>
                  </w:pPr>
                  <w:r>
                    <w:rPr>
                      <w:rFonts w:hint="eastAsia" w:ascii="Times New Roman" w:hAnsi="Times New Roman" w:cs="Times New Roman"/>
                      <w:color w:val="auto"/>
                      <w:kern w:val="0"/>
                      <w:sz w:val="18"/>
                      <w:szCs w:val="18"/>
                      <w:highlight w:val="none"/>
                      <w:lang w:val="en-US" w:eastAsia="zh-CN" w:bidi="mn-Mong-CN"/>
                    </w:rPr>
                    <w:t>/</w:t>
                  </w:r>
                </w:p>
              </w:tc>
              <w:tc>
                <w:tcPr>
                  <w:tcW w:w="330" w:type="pct"/>
                  <w:noWrap w:val="0"/>
                  <w:vAlign w:val="center"/>
                </w:tcPr>
                <w:p w14:paraId="552CB3CE">
                  <w:pPr>
                    <w:keepNext w:val="0"/>
                    <w:keepLines w:val="0"/>
                    <w:suppressLineNumbers w:val="0"/>
                    <w:adjustRightInd w:val="0"/>
                    <w:snapToGrid w:val="0"/>
                    <w:spacing w:before="0" w:beforeAutospacing="0" w:after="0" w:afterAutospacing="0"/>
                    <w:ind w:left="-105" w:leftChars="-50" w:right="-105" w:rightChars="-50"/>
                    <w:jc w:val="center"/>
                    <w:rPr>
                      <w:rFonts w:hint="default" w:ascii="Times New Roman" w:hAnsi="Times New Roman" w:cs="Times New Roman"/>
                      <w:color w:val="auto"/>
                      <w:kern w:val="0"/>
                      <w:sz w:val="18"/>
                      <w:szCs w:val="18"/>
                      <w:highlight w:val="none"/>
                      <w:lang w:val="en-US" w:eastAsia="zh-CN" w:bidi="mn-Mong-CN"/>
                    </w:rPr>
                  </w:pPr>
                  <w:r>
                    <w:rPr>
                      <w:rFonts w:hint="eastAsia" w:ascii="Times New Roman" w:hAnsi="Times New Roman" w:cs="Times New Roman"/>
                      <w:color w:val="auto"/>
                      <w:kern w:val="0"/>
                      <w:sz w:val="18"/>
                      <w:szCs w:val="18"/>
                      <w:highlight w:val="none"/>
                      <w:lang w:val="en-US" w:eastAsia="zh-CN" w:bidi="mn-Mong-CN"/>
                    </w:rPr>
                    <w:t>/</w:t>
                  </w:r>
                </w:p>
              </w:tc>
              <w:tc>
                <w:tcPr>
                  <w:tcW w:w="421" w:type="pct"/>
                  <w:noWrap w:val="0"/>
                  <w:vAlign w:val="center"/>
                </w:tcPr>
                <w:p w14:paraId="78F8DB47">
                  <w:pPr>
                    <w:keepNext w:val="0"/>
                    <w:keepLines w:val="0"/>
                    <w:widowControl/>
                    <w:suppressLineNumbers w:val="0"/>
                    <w:spacing w:before="0" w:beforeAutospacing="0" w:after="0" w:afterAutospacing="0"/>
                    <w:ind w:left="-105" w:leftChars="-50" w:right="-105" w:rightChars="-5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0.11935</w:t>
                  </w:r>
                </w:p>
              </w:tc>
              <w:tc>
                <w:tcPr>
                  <w:tcW w:w="364" w:type="pct"/>
                  <w:noWrap w:val="0"/>
                  <w:vAlign w:val="center"/>
                </w:tcPr>
                <w:p w14:paraId="715BB493">
                  <w:pPr>
                    <w:keepNext w:val="0"/>
                    <w:keepLines w:val="0"/>
                    <w:widowControl/>
                    <w:suppressLineNumbers w:val="0"/>
                    <w:spacing w:before="0" w:beforeAutospacing="0" w:after="0" w:afterAutospacing="0"/>
                    <w:ind w:left="-105" w:leftChars="-50" w:right="-105" w:rightChars="-5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0.04875</w:t>
                  </w:r>
                </w:p>
              </w:tc>
              <w:tc>
                <w:tcPr>
                  <w:tcW w:w="411" w:type="pct"/>
                  <w:noWrap w:val="0"/>
                  <w:vAlign w:val="center"/>
                </w:tcPr>
                <w:p w14:paraId="74BB0CCC">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0.007</w:t>
                  </w:r>
                </w:p>
              </w:tc>
              <w:tc>
                <w:tcPr>
                  <w:tcW w:w="388" w:type="pct"/>
                  <w:noWrap w:val="0"/>
                  <w:vAlign w:val="center"/>
                </w:tcPr>
                <w:p w14:paraId="3E651CE9">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0.00378</w:t>
                  </w:r>
                </w:p>
              </w:tc>
              <w:tc>
                <w:tcPr>
                  <w:tcW w:w="375" w:type="pct"/>
                  <w:noWrap w:val="0"/>
                  <w:vAlign w:val="center"/>
                </w:tcPr>
                <w:p w14:paraId="0C46A585">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0.0054</w:t>
                  </w:r>
                </w:p>
              </w:tc>
              <w:tc>
                <w:tcPr>
                  <w:tcW w:w="433" w:type="pct"/>
                  <w:noWrap w:val="0"/>
                  <w:vAlign w:val="center"/>
                </w:tcPr>
                <w:p w14:paraId="090CC7C7">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0.000675</w:t>
                  </w:r>
                </w:p>
              </w:tc>
              <w:tc>
                <w:tcPr>
                  <w:tcW w:w="433" w:type="pct"/>
                  <w:noWrap w:val="0"/>
                  <w:vAlign w:val="center"/>
                </w:tcPr>
                <w:p w14:paraId="4C8CB45B">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0.0016</w:t>
                  </w:r>
                </w:p>
              </w:tc>
              <w:tc>
                <w:tcPr>
                  <w:tcW w:w="434" w:type="pct"/>
                  <w:noWrap w:val="0"/>
                  <w:vAlign w:val="center"/>
                </w:tcPr>
                <w:p w14:paraId="17089BC6">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0.003.42</w:t>
                  </w:r>
                </w:p>
              </w:tc>
            </w:tr>
          </w:tbl>
          <w:p w14:paraId="0D994E32">
            <w:pPr>
              <w:pStyle w:val="44"/>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根据上表可知，废水中的</w:t>
            </w:r>
            <w:r>
              <w:rPr>
                <w:rFonts w:hint="eastAsia" w:ascii="Times New Roman" w:hAnsi="Times New Roman" w:eastAsia="宋体" w:cs="Times New Roman"/>
                <w:color w:val="auto"/>
                <w:sz w:val="24"/>
                <w:szCs w:val="24"/>
                <w:highlight w:val="none"/>
                <w:vertAlign w:val="baseline"/>
                <w:lang w:val="en-US" w:eastAsia="zh-CN"/>
              </w:rPr>
              <w:t>CODcr、BOD</w:t>
            </w:r>
            <w:r>
              <w:rPr>
                <w:rFonts w:hint="eastAsia" w:ascii="Times New Roman" w:hAnsi="Times New Roman" w:eastAsia="宋体" w:cs="Times New Roman"/>
                <w:color w:val="auto"/>
                <w:sz w:val="24"/>
                <w:szCs w:val="24"/>
                <w:highlight w:val="none"/>
                <w:vertAlign w:val="subscript"/>
                <w:lang w:val="en-US" w:eastAsia="zh-CN"/>
              </w:rPr>
              <w:t>5、</w:t>
            </w:r>
            <w:r>
              <w:rPr>
                <w:rFonts w:hint="eastAsia" w:ascii="Times New Roman" w:hAnsi="Times New Roman" w:eastAsia="宋体" w:cs="Times New Roman"/>
                <w:color w:val="auto"/>
                <w:sz w:val="24"/>
                <w:szCs w:val="24"/>
                <w:highlight w:val="none"/>
                <w:vertAlign w:val="baseline"/>
                <w:lang w:val="en-US" w:eastAsia="zh-CN"/>
              </w:rPr>
              <w:t>SS、氨氮、总氮、</w:t>
            </w:r>
            <w:r>
              <w:rPr>
                <w:rFonts w:hint="eastAsia" w:ascii="Times New Roman" w:hAnsi="Times New Roman" w:cs="Times New Roman"/>
                <w:color w:val="auto"/>
                <w:sz w:val="24"/>
                <w:szCs w:val="24"/>
                <w:highlight w:val="none"/>
                <w:vertAlign w:val="baseline"/>
                <w:lang w:val="en-US" w:eastAsia="zh-CN"/>
              </w:rPr>
              <w:t>总磷</w:t>
            </w:r>
            <w:r>
              <w:rPr>
                <w:rFonts w:hint="eastAsia" w:ascii="Times New Roman" w:hAnsi="Times New Roman" w:eastAsia="宋体" w:cs="Times New Roman"/>
                <w:color w:val="auto"/>
                <w:sz w:val="24"/>
                <w:szCs w:val="24"/>
                <w:highlight w:val="none"/>
                <w:vertAlign w:val="baseline"/>
                <w:lang w:val="en-US" w:eastAsia="zh-CN"/>
              </w:rPr>
              <w:t>（以P计）</w:t>
            </w:r>
            <w:r>
              <w:rPr>
                <w:rFonts w:hint="eastAsia" w:ascii="Times New Roman" w:hAnsi="Times New Roman" w:cs="Times New Roman"/>
                <w:color w:val="auto"/>
                <w:sz w:val="24"/>
                <w:szCs w:val="24"/>
                <w:highlight w:val="none"/>
                <w:vertAlign w:val="baseline"/>
                <w:lang w:val="en-US" w:eastAsia="zh-CN"/>
              </w:rPr>
              <w:t>、石油类</w:t>
            </w:r>
            <w:r>
              <w:rPr>
                <w:rFonts w:hint="eastAsia" w:ascii="Times New Roman" w:hAnsi="Times New Roman" w:eastAsia="宋体" w:cs="Times New Roman"/>
                <w:color w:val="auto"/>
                <w:sz w:val="24"/>
                <w:szCs w:val="24"/>
                <w:highlight w:val="none"/>
                <w:vertAlign w:val="baseline"/>
                <w:lang w:val="en-US" w:eastAsia="zh-CN"/>
              </w:rPr>
              <w:t>的排放浓度满足</w:t>
            </w:r>
            <w:r>
              <w:rPr>
                <w:rFonts w:hint="eastAsia" w:ascii="Times New Roman" w:hAnsi="Times New Roman" w:eastAsia="宋体" w:cs="Times New Roman"/>
                <w:color w:val="auto"/>
                <w:sz w:val="24"/>
                <w:szCs w:val="24"/>
                <w:highlight w:val="none"/>
                <w:lang w:val="en-US" w:eastAsia="zh-CN"/>
              </w:rPr>
              <w:t>《辽宁省污水综合排放标准》（DB21/1627-2008）表2中排入污水处理厂标准限值要求，pH、动植物油排放浓度满足《污水综合排放标准》（GB8978-1996）中的标准限值要求。</w:t>
            </w:r>
          </w:p>
          <w:p w14:paraId="611C2144">
            <w:pPr>
              <w:pStyle w:val="44"/>
              <w:keepNext w:val="0"/>
              <w:keepLines w:val="0"/>
              <w:suppressLineNumbers w:val="0"/>
              <w:spacing w:before="0" w:beforeAutospacing="0" w:after="0" w:afterAutospacing="0"/>
              <w:ind w:left="0" w:right="0"/>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2.3 废水排放口基本情况</w:t>
            </w:r>
          </w:p>
          <w:p w14:paraId="2746EF07">
            <w:pPr>
              <w:keepNext w:val="0"/>
              <w:keepLines w:val="0"/>
              <w:suppressLineNumbers w:val="0"/>
              <w:spacing w:before="0" w:beforeAutospacing="0" w:after="0" w:afterAutospacing="0" w:line="360" w:lineRule="auto"/>
              <w:ind w:left="0" w:right="0" w:firstLine="480" w:firstLineChars="200"/>
              <w:rPr>
                <w:rFonts w:hint="default" w:ascii="Times New Roman" w:hAnsi="Times New Roman" w:cs="Times New Roman"/>
                <w:b/>
                <w:bCs/>
                <w:color w:val="auto"/>
                <w:szCs w:val="20"/>
                <w:highlight w:val="none"/>
              </w:rPr>
            </w:pPr>
            <w:r>
              <w:rPr>
                <w:rFonts w:hint="default" w:ascii="Times New Roman" w:hAnsi="Times New Roman" w:cs="Times New Roman"/>
                <w:color w:val="auto"/>
                <w:sz w:val="24"/>
                <w:szCs w:val="24"/>
                <w:highlight w:val="none"/>
              </w:rPr>
              <w:t>本项目废水通过厂区污水排口（排放口编号：</w:t>
            </w:r>
            <w:r>
              <w:rPr>
                <w:rFonts w:hint="eastAsia" w:ascii="Times New Roman" w:hAnsi="Times New Roman" w:cs="Times New Roman"/>
                <w:color w:val="auto"/>
                <w:sz w:val="24"/>
                <w:szCs w:val="24"/>
                <w:highlight w:val="none"/>
                <w:lang w:val="en-US" w:eastAsia="zh-CN"/>
              </w:rPr>
              <w:t>DW001</w:t>
            </w:r>
            <w:r>
              <w:rPr>
                <w:rFonts w:hint="default" w:ascii="Times New Roman" w:hAnsi="Times New Roman" w:cs="Times New Roman"/>
                <w:color w:val="auto"/>
                <w:sz w:val="24"/>
                <w:szCs w:val="24"/>
                <w:highlight w:val="none"/>
              </w:rPr>
              <w:t>）排入市政污水管网，最终</w:t>
            </w:r>
            <w:r>
              <w:rPr>
                <w:rFonts w:hint="default" w:ascii="Times New Roman" w:hAnsi="Times New Roman" w:eastAsia="宋体" w:cs="Times New Roman"/>
                <w:color w:val="auto"/>
                <w:sz w:val="24"/>
                <w:szCs w:val="24"/>
                <w:highlight w:val="none"/>
              </w:rPr>
              <w:t>进入阜新市北控水务有限公司污水处理厂</w:t>
            </w:r>
            <w:r>
              <w:rPr>
                <w:rFonts w:hint="default" w:ascii="Times New Roman" w:hAnsi="Times New Roman" w:cs="Times New Roman"/>
                <w:color w:val="auto"/>
                <w:sz w:val="24"/>
                <w:szCs w:val="24"/>
                <w:highlight w:val="none"/>
              </w:rPr>
              <w:t>。废水排放信息详见下表。</w:t>
            </w:r>
            <w:bookmarkStart w:id="4" w:name="BIAO5"/>
          </w:p>
          <w:p w14:paraId="1AF89C1D">
            <w:pPr>
              <w:pStyle w:val="86"/>
              <w:keepNext w:val="0"/>
              <w:keepLines w:val="0"/>
              <w:suppressLineNumbers w:val="0"/>
              <w:adjustRightInd w:val="0"/>
              <w:snapToGrid w:val="0"/>
              <w:spacing w:before="0" w:beforeAutospacing="0" w:after="0" w:afterAutospacing="0" w:line="348" w:lineRule="auto"/>
              <w:ind w:left="0" w:right="0" w:firstLine="0" w:firstLineChars="0"/>
              <w:jc w:val="center"/>
              <w:rPr>
                <w:rFonts w:hint="default" w:ascii="Times New Roman" w:hAnsi="Times New Roman" w:cs="Times New Roman"/>
                <w:color w:val="auto"/>
                <w:szCs w:val="20"/>
                <w:highlight w:val="none"/>
              </w:rPr>
            </w:pPr>
            <w:r>
              <w:rPr>
                <w:rFonts w:hint="default" w:ascii="Times New Roman" w:hAnsi="Times New Roman" w:cs="Times New Roman"/>
                <w:b/>
                <w:bCs/>
                <w:color w:val="auto"/>
                <w:szCs w:val="20"/>
                <w:highlight w:val="none"/>
              </w:rPr>
              <w:t>表4-</w:t>
            </w:r>
            <w:r>
              <w:rPr>
                <w:rFonts w:hint="eastAsia" w:cs="Times New Roman"/>
                <w:b/>
                <w:bCs/>
                <w:color w:val="auto"/>
                <w:szCs w:val="20"/>
                <w:highlight w:val="none"/>
                <w:lang w:val="en-US" w:eastAsia="zh-CN"/>
              </w:rPr>
              <w:t>17</w:t>
            </w:r>
            <w:r>
              <w:rPr>
                <w:rFonts w:hint="default" w:ascii="Times New Roman" w:hAnsi="Times New Roman" w:cs="Times New Roman"/>
                <w:b/>
                <w:bCs/>
                <w:color w:val="auto"/>
                <w:szCs w:val="20"/>
                <w:highlight w:val="none"/>
              </w:rPr>
              <w:t xml:space="preserve">  废水</w:t>
            </w:r>
            <w:r>
              <w:rPr>
                <w:rFonts w:hint="eastAsia" w:ascii="Times New Roman" w:hAnsi="Times New Roman" w:cs="Times New Roman"/>
                <w:b/>
                <w:bCs/>
                <w:color w:val="auto"/>
                <w:szCs w:val="20"/>
                <w:highlight w:val="none"/>
                <w:lang w:val="en-US" w:eastAsia="zh-CN"/>
              </w:rPr>
              <w:t>排放口基本信息</w:t>
            </w:r>
            <w:r>
              <w:rPr>
                <w:rFonts w:hint="default" w:ascii="Times New Roman" w:hAnsi="Times New Roman" w:cs="Times New Roman"/>
                <w:b/>
                <w:bCs/>
                <w:color w:val="auto"/>
                <w:szCs w:val="20"/>
                <w:highlight w:val="none"/>
              </w:rPr>
              <w:t>表</w:t>
            </w:r>
          </w:p>
          <w:tbl>
            <w:tblPr>
              <w:tblStyle w:val="26"/>
              <w:tblW w:w="499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63"/>
              <w:gridCol w:w="737"/>
              <w:gridCol w:w="797"/>
              <w:gridCol w:w="1663"/>
              <w:gridCol w:w="1776"/>
              <w:gridCol w:w="1154"/>
              <w:gridCol w:w="489"/>
              <w:gridCol w:w="1504"/>
              <w:gridCol w:w="724"/>
            </w:tblGrid>
            <w:tr w14:paraId="15F18AA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0" w:hRule="atLeast"/>
                <w:tblHeader/>
                <w:jc w:val="center"/>
              </w:trPr>
              <w:tc>
                <w:tcPr>
                  <w:tcW w:w="145" w:type="pct"/>
                  <w:noWrap w:val="0"/>
                  <w:vAlign w:val="center"/>
                </w:tcPr>
                <w:p w14:paraId="0E902FB3">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序号</w:t>
                  </w:r>
                </w:p>
              </w:tc>
              <w:tc>
                <w:tcPr>
                  <w:tcW w:w="404" w:type="pct"/>
                  <w:noWrap w:val="0"/>
                  <w:vAlign w:val="center"/>
                </w:tcPr>
                <w:p w14:paraId="62440EAF">
                  <w:pPr>
                    <w:pStyle w:val="82"/>
                    <w:keepNext w:val="0"/>
                    <w:keepLines w:val="0"/>
                    <w:suppressLineNumbers w:val="0"/>
                    <w:adjustRightInd w:val="0"/>
                    <w:snapToGrid w:val="0"/>
                    <w:spacing w:before="0" w:beforeAutospacing="0" w:after="0" w:afterAutospacing="0"/>
                    <w:ind w:left="0" w:right="0"/>
                    <w:jc w:val="both"/>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排放口名称</w:t>
                  </w:r>
                </w:p>
              </w:tc>
              <w:tc>
                <w:tcPr>
                  <w:tcW w:w="437" w:type="pct"/>
                  <w:noWrap w:val="0"/>
                  <w:vAlign w:val="center"/>
                </w:tcPr>
                <w:p w14:paraId="09015143">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排放口编号</w:t>
                  </w:r>
                </w:p>
              </w:tc>
              <w:tc>
                <w:tcPr>
                  <w:tcW w:w="912" w:type="pct"/>
                  <w:noWrap w:val="0"/>
                  <w:vAlign w:val="center"/>
                </w:tcPr>
                <w:p w14:paraId="4118B01C">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lang w:val="en-US" w:eastAsia="zh-CN"/>
                    </w:rPr>
                  </w:pPr>
                  <w:r>
                    <w:rPr>
                      <w:rFonts w:hint="eastAsia" w:ascii="Times New Roman" w:hAnsi="Times New Roman"/>
                      <w:color w:val="auto"/>
                      <w:sz w:val="21"/>
                      <w:szCs w:val="21"/>
                      <w:highlight w:val="none"/>
                      <w:lang w:val="en-US" w:eastAsia="zh-CN"/>
                    </w:rPr>
                    <w:t>排放口坐标</w:t>
                  </w:r>
                </w:p>
              </w:tc>
              <w:tc>
                <w:tcPr>
                  <w:tcW w:w="974" w:type="pct"/>
                  <w:noWrap w:val="0"/>
                  <w:vAlign w:val="center"/>
                </w:tcPr>
                <w:p w14:paraId="1D01E2B4">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污染物种类</w:t>
                  </w:r>
                </w:p>
              </w:tc>
              <w:tc>
                <w:tcPr>
                  <w:tcW w:w="633" w:type="pct"/>
                  <w:noWrap w:val="0"/>
                  <w:vAlign w:val="center"/>
                </w:tcPr>
                <w:p w14:paraId="3A8CCE2D">
                  <w:pPr>
                    <w:pStyle w:val="82"/>
                    <w:keepNext w:val="0"/>
                    <w:keepLines w:val="0"/>
                    <w:suppressLineNumbers w:val="0"/>
                    <w:adjustRightInd w:val="0"/>
                    <w:snapToGrid w:val="0"/>
                    <w:spacing w:before="0" w:beforeAutospacing="0" w:after="0" w:afterAutospacing="0"/>
                    <w:ind w:left="0" w:right="0"/>
                    <w:jc w:val="center"/>
                    <w:rPr>
                      <w:rFonts w:hint="eastAsia" w:ascii="Times New Roman" w:hAnsi="Times New Roman" w:eastAsia="宋体"/>
                      <w:color w:val="auto"/>
                      <w:sz w:val="21"/>
                      <w:szCs w:val="21"/>
                      <w:highlight w:val="none"/>
                      <w:lang w:val="en-US" w:eastAsia="zh-CN"/>
                    </w:rPr>
                  </w:pPr>
                  <w:r>
                    <w:rPr>
                      <w:rFonts w:hint="default" w:ascii="Times New Roman" w:hAnsi="Times New Roman"/>
                      <w:color w:val="auto"/>
                      <w:sz w:val="21"/>
                      <w:szCs w:val="21"/>
                      <w:highlight w:val="none"/>
                    </w:rPr>
                    <w:t>排放去向</w:t>
                  </w:r>
                </w:p>
              </w:tc>
              <w:tc>
                <w:tcPr>
                  <w:tcW w:w="268" w:type="pct"/>
                  <w:noWrap w:val="0"/>
                  <w:vAlign w:val="center"/>
                </w:tcPr>
                <w:p w14:paraId="12B81342">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排放方式</w:t>
                  </w:r>
                </w:p>
              </w:tc>
              <w:tc>
                <w:tcPr>
                  <w:tcW w:w="825" w:type="pct"/>
                  <w:noWrap w:val="0"/>
                  <w:vAlign w:val="center"/>
                </w:tcPr>
                <w:p w14:paraId="65006271">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排放规律</w:t>
                  </w:r>
                </w:p>
              </w:tc>
              <w:tc>
                <w:tcPr>
                  <w:tcW w:w="397" w:type="pct"/>
                  <w:noWrap w:val="0"/>
                  <w:vAlign w:val="center"/>
                </w:tcPr>
                <w:p w14:paraId="6D58B5D0">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排放口类型</w:t>
                  </w:r>
                </w:p>
              </w:tc>
            </w:tr>
            <w:tr w14:paraId="60D74A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145" w:type="pct"/>
                  <w:noWrap w:val="0"/>
                  <w:vAlign w:val="center"/>
                </w:tcPr>
                <w:p w14:paraId="58C60FA7">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1</w:t>
                  </w:r>
                </w:p>
              </w:tc>
              <w:tc>
                <w:tcPr>
                  <w:tcW w:w="404" w:type="pct"/>
                  <w:noWrap w:val="0"/>
                  <w:vAlign w:val="center"/>
                </w:tcPr>
                <w:p w14:paraId="06FC59C8">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olor w:val="auto"/>
                      <w:sz w:val="21"/>
                      <w:szCs w:val="21"/>
                      <w:highlight w:val="none"/>
                      <w:lang w:val="en-US" w:eastAsia="zh-CN"/>
                    </w:rPr>
                  </w:pPr>
                  <w:r>
                    <w:rPr>
                      <w:rFonts w:hint="eastAsia" w:ascii="Times New Roman" w:hAnsi="Times New Roman"/>
                      <w:color w:val="auto"/>
                      <w:sz w:val="21"/>
                      <w:szCs w:val="21"/>
                      <w:highlight w:val="none"/>
                      <w:lang w:val="en-US" w:eastAsia="zh-CN"/>
                    </w:rPr>
                    <w:t>污水总排口</w:t>
                  </w:r>
                </w:p>
              </w:tc>
              <w:tc>
                <w:tcPr>
                  <w:tcW w:w="437" w:type="pct"/>
                  <w:noWrap w:val="0"/>
                  <w:vAlign w:val="center"/>
                </w:tcPr>
                <w:p w14:paraId="50DAA227">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DW001</w:t>
                  </w:r>
                </w:p>
              </w:tc>
              <w:tc>
                <w:tcPr>
                  <w:tcW w:w="912" w:type="pct"/>
                  <w:noWrap w:val="0"/>
                  <w:vAlign w:val="center"/>
                </w:tcPr>
                <w:p w14:paraId="72B8EA97">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E</w:t>
                  </w:r>
                  <w:r>
                    <w:rPr>
                      <w:rFonts w:hint="default" w:ascii="Times New Roman" w:hAnsi="Times New Roman" w:cs="Times New Roman"/>
                      <w:color w:val="auto"/>
                      <w:sz w:val="21"/>
                      <w:szCs w:val="21"/>
                      <w:highlight w:val="none"/>
                      <w:lang w:val="en-US" w:eastAsia="zh-CN"/>
                    </w:rPr>
                    <w:t>121°35′10.635″</w:t>
                  </w:r>
                </w:p>
                <w:p w14:paraId="2A3533B3">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N</w:t>
                  </w:r>
                  <w:r>
                    <w:rPr>
                      <w:rFonts w:hint="default" w:ascii="Times New Roman" w:hAnsi="Times New Roman" w:cs="Times New Roman"/>
                      <w:color w:val="auto"/>
                      <w:sz w:val="21"/>
                      <w:szCs w:val="21"/>
                      <w:highlight w:val="none"/>
                      <w:lang w:val="en-US" w:eastAsia="zh-CN"/>
                    </w:rPr>
                    <w:t>42°1′7.549″</w:t>
                  </w:r>
                </w:p>
              </w:tc>
              <w:tc>
                <w:tcPr>
                  <w:tcW w:w="974" w:type="pct"/>
                  <w:noWrap w:val="0"/>
                  <w:vAlign w:val="center"/>
                </w:tcPr>
                <w:p w14:paraId="3BA6BDCC">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ind w:left="0" w:leftChars="0" w:right="0" w:firstLine="0" w:firstLineChars="0"/>
                    <w:jc w:val="left"/>
                    <w:textAlignment w:val="auto"/>
                    <w:rPr>
                      <w:rFonts w:hint="default" w:ascii="Times New Roman" w:hAnsi="Times New Roman"/>
                      <w:color w:val="auto"/>
                      <w:sz w:val="21"/>
                      <w:szCs w:val="21"/>
                      <w:highlight w:val="none"/>
                    </w:rPr>
                  </w:pPr>
                  <w:r>
                    <w:rPr>
                      <w:rFonts w:hint="eastAsia"/>
                      <w:color w:val="auto"/>
                      <w:highlight w:val="none"/>
                    </w:rPr>
                    <w:t>pH</w:t>
                  </w:r>
                  <w:r>
                    <w:rPr>
                      <w:rFonts w:hint="eastAsia"/>
                      <w:color w:val="auto"/>
                      <w:highlight w:val="none"/>
                      <w:lang w:val="en-US" w:eastAsia="zh-CN"/>
                    </w:rPr>
                    <w:t>、</w:t>
                  </w:r>
                  <w:r>
                    <w:rPr>
                      <w:rFonts w:hint="eastAsia"/>
                      <w:color w:val="auto"/>
                      <w:highlight w:val="none"/>
                    </w:rPr>
                    <w:t>CODcr</w:t>
                  </w:r>
                  <w:r>
                    <w:rPr>
                      <w:rFonts w:hint="eastAsia"/>
                      <w:color w:val="auto"/>
                      <w:highlight w:val="none"/>
                      <w:lang w:val="en-US" w:eastAsia="zh-CN"/>
                    </w:rPr>
                    <w:t>、</w:t>
                  </w:r>
                  <w:r>
                    <w:rPr>
                      <w:rFonts w:hint="eastAsia"/>
                      <w:color w:val="auto"/>
                      <w:highlight w:val="none"/>
                    </w:rPr>
                    <w:t>BOD5</w:t>
                  </w:r>
                  <w:r>
                    <w:rPr>
                      <w:rFonts w:hint="eastAsia"/>
                      <w:color w:val="auto"/>
                      <w:highlight w:val="none"/>
                      <w:lang w:val="en-US" w:eastAsia="zh-CN"/>
                    </w:rPr>
                    <w:t>、</w:t>
                  </w:r>
                  <w:r>
                    <w:rPr>
                      <w:rFonts w:hint="eastAsia"/>
                      <w:color w:val="auto"/>
                      <w:highlight w:val="none"/>
                    </w:rPr>
                    <w:t>SS</w:t>
                  </w:r>
                  <w:r>
                    <w:rPr>
                      <w:rFonts w:hint="eastAsia"/>
                      <w:color w:val="auto"/>
                      <w:highlight w:val="none"/>
                      <w:lang w:val="en-US" w:eastAsia="zh-CN"/>
                    </w:rPr>
                    <w:t>、</w:t>
                  </w:r>
                  <w:r>
                    <w:rPr>
                      <w:rFonts w:hint="eastAsia"/>
                      <w:color w:val="auto"/>
                      <w:highlight w:val="none"/>
                    </w:rPr>
                    <w:t>氨氮</w:t>
                  </w:r>
                  <w:r>
                    <w:rPr>
                      <w:rFonts w:hint="eastAsia"/>
                      <w:color w:val="auto"/>
                      <w:highlight w:val="none"/>
                      <w:lang w:val="en-US" w:eastAsia="zh-CN"/>
                    </w:rPr>
                    <w:t>、</w:t>
                  </w:r>
                  <w:r>
                    <w:rPr>
                      <w:rFonts w:hint="eastAsia"/>
                      <w:color w:val="auto"/>
                      <w:highlight w:val="none"/>
                    </w:rPr>
                    <w:t>总氮</w:t>
                  </w:r>
                  <w:r>
                    <w:rPr>
                      <w:rFonts w:hint="eastAsia"/>
                      <w:color w:val="auto"/>
                      <w:highlight w:val="none"/>
                      <w:lang w:val="en-US" w:eastAsia="zh-CN"/>
                    </w:rPr>
                    <w:t>、</w:t>
                  </w:r>
                  <w:r>
                    <w:rPr>
                      <w:rFonts w:hint="eastAsia"/>
                      <w:color w:val="auto"/>
                      <w:highlight w:val="none"/>
                    </w:rPr>
                    <w:t>总磷</w:t>
                  </w:r>
                  <w:r>
                    <w:rPr>
                      <w:rFonts w:hint="eastAsia"/>
                      <w:color w:val="auto"/>
                      <w:highlight w:val="none"/>
                      <w:lang w:val="en-US" w:eastAsia="zh-CN"/>
                    </w:rPr>
                    <w:t>、</w:t>
                  </w:r>
                  <w:r>
                    <w:rPr>
                      <w:rFonts w:hint="eastAsia"/>
                      <w:color w:val="auto"/>
                      <w:highlight w:val="none"/>
                    </w:rPr>
                    <w:t>动植物油</w:t>
                  </w:r>
                  <w:r>
                    <w:rPr>
                      <w:rFonts w:hint="eastAsia"/>
                      <w:color w:val="auto"/>
                      <w:highlight w:val="none"/>
                      <w:lang w:val="en-US" w:eastAsia="zh-CN"/>
                    </w:rPr>
                    <w:t>、</w:t>
                  </w:r>
                  <w:r>
                    <w:rPr>
                      <w:rFonts w:hint="eastAsia"/>
                      <w:color w:val="auto"/>
                      <w:highlight w:val="none"/>
                    </w:rPr>
                    <w:t>石油类</w:t>
                  </w:r>
                </w:p>
              </w:tc>
              <w:tc>
                <w:tcPr>
                  <w:tcW w:w="633" w:type="pct"/>
                  <w:noWrap w:val="0"/>
                  <w:vAlign w:val="center"/>
                </w:tcPr>
                <w:p w14:paraId="1D00ABF5">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eastAsia="宋体" w:cs="Times New Roman"/>
                      <w:color w:val="auto"/>
                      <w:kern w:val="2"/>
                      <w:sz w:val="21"/>
                      <w:szCs w:val="24"/>
                      <w:highlight w:val="none"/>
                      <w:lang w:val="en-US" w:eastAsia="zh-CN" w:bidi="ar-SA"/>
                    </w:rPr>
                    <w:t>阜新市北控水务有限公司污水处理厂</w:t>
                  </w:r>
                </w:p>
              </w:tc>
              <w:tc>
                <w:tcPr>
                  <w:tcW w:w="268" w:type="pct"/>
                  <w:noWrap w:val="0"/>
                  <w:vAlign w:val="center"/>
                </w:tcPr>
                <w:p w14:paraId="5238676A">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间歇排放</w:t>
                  </w:r>
                </w:p>
              </w:tc>
              <w:tc>
                <w:tcPr>
                  <w:tcW w:w="825" w:type="pct"/>
                  <w:noWrap w:val="0"/>
                  <w:vAlign w:val="center"/>
                </w:tcPr>
                <w:p w14:paraId="0D401686">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default" w:ascii="Times New Roman" w:hAnsi="Times New Roman"/>
                      <w:color w:val="auto"/>
                      <w:sz w:val="21"/>
                      <w:szCs w:val="21"/>
                      <w:highlight w:val="none"/>
                    </w:rPr>
                    <w:t>间断排放，排放期间流量不稳定且无规律，但不属于冲击型排放</w:t>
                  </w:r>
                </w:p>
              </w:tc>
              <w:tc>
                <w:tcPr>
                  <w:tcW w:w="397" w:type="pct"/>
                  <w:noWrap w:val="0"/>
                  <w:vAlign w:val="center"/>
                </w:tcPr>
                <w:p w14:paraId="55D188EF">
                  <w:pPr>
                    <w:pStyle w:val="82"/>
                    <w:keepNext w:val="0"/>
                    <w:keepLines w:val="0"/>
                    <w:suppressLineNumbers w:val="0"/>
                    <w:adjustRightInd w:val="0"/>
                    <w:snapToGrid w:val="0"/>
                    <w:spacing w:before="0" w:beforeAutospacing="0" w:after="0" w:afterAutospacing="0"/>
                    <w:ind w:left="0" w:right="0"/>
                    <w:jc w:val="center"/>
                    <w:rPr>
                      <w:rFonts w:hint="default" w:ascii="Times New Roman" w:hAnsi="Times New Roman"/>
                      <w:color w:val="auto"/>
                      <w:sz w:val="21"/>
                      <w:szCs w:val="21"/>
                      <w:highlight w:val="none"/>
                    </w:rPr>
                  </w:pPr>
                  <w:r>
                    <w:rPr>
                      <w:rFonts w:hint="eastAsia" w:ascii="Times New Roman" w:hAnsi="Times New Roman"/>
                      <w:color w:val="auto"/>
                      <w:sz w:val="21"/>
                      <w:szCs w:val="21"/>
                      <w:highlight w:val="none"/>
                    </w:rPr>
                    <w:t>一般</w:t>
                  </w:r>
                  <w:r>
                    <w:rPr>
                      <w:rFonts w:hint="default" w:ascii="Times New Roman" w:hAnsi="Times New Roman"/>
                      <w:color w:val="auto"/>
                      <w:sz w:val="21"/>
                      <w:szCs w:val="21"/>
                      <w:highlight w:val="none"/>
                    </w:rPr>
                    <w:t>排放口</w:t>
                  </w:r>
                </w:p>
              </w:tc>
            </w:tr>
            <w:bookmarkEnd w:id="4"/>
          </w:tbl>
          <w:p w14:paraId="1522A0E9">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482" w:firstLineChars="200"/>
              <w:textAlignment w:val="auto"/>
              <w:rPr>
                <w:rFonts w:hint="default"/>
                <w:b/>
                <w:bCs/>
                <w:color w:val="auto"/>
                <w:spacing w:val="-3"/>
                <w:highlight w:val="none"/>
              </w:rPr>
            </w:pPr>
            <w:r>
              <w:rPr>
                <w:rFonts w:hint="eastAsia" w:ascii="Times New Roman" w:hAnsi="Times New Roman" w:eastAsia="宋体" w:cs="Times New Roman"/>
                <w:b/>
                <w:bCs/>
                <w:color w:val="auto"/>
                <w:kern w:val="2"/>
                <w:sz w:val="24"/>
                <w:szCs w:val="24"/>
                <w:highlight w:val="none"/>
                <w:lang w:val="en-US" w:eastAsia="zh-CN" w:bidi="ar-SA"/>
              </w:rPr>
              <w:t xml:space="preserve">2.4 </w:t>
            </w:r>
            <w:r>
              <w:rPr>
                <w:rFonts w:hint="default"/>
                <w:b/>
                <w:bCs/>
                <w:color w:val="auto"/>
                <w:spacing w:val="-3"/>
                <w:highlight w:val="none"/>
              </w:rPr>
              <w:t>废水处理措施可行性分析</w:t>
            </w:r>
          </w:p>
          <w:p w14:paraId="2E3E98BB">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470" w:firstLineChars="200"/>
              <w:textAlignment w:val="auto"/>
              <w:rPr>
                <w:rFonts w:hint="default" w:ascii="Times New Roman" w:hAnsi="Times New Roman" w:cs="Times New Roman"/>
                <w:b/>
                <w:bCs/>
                <w:color w:val="auto"/>
                <w:spacing w:val="-3"/>
                <w:highlight w:val="none"/>
                <w:lang w:val="en-US" w:eastAsia="zh-CN"/>
              </w:rPr>
            </w:pPr>
            <w:r>
              <w:rPr>
                <w:rFonts w:hint="default" w:ascii="Times New Roman" w:hAnsi="Times New Roman" w:cs="Times New Roman"/>
                <w:b/>
                <w:bCs/>
                <w:color w:val="auto"/>
                <w:spacing w:val="-3"/>
                <w:highlight w:val="none"/>
                <w:lang w:eastAsia="zh-CN"/>
              </w:rPr>
              <w:t>（</w:t>
            </w:r>
            <w:r>
              <w:rPr>
                <w:rFonts w:hint="default" w:ascii="Times New Roman" w:hAnsi="Times New Roman" w:cs="Times New Roman"/>
                <w:b/>
                <w:bCs/>
                <w:color w:val="auto"/>
                <w:spacing w:val="-3"/>
                <w:highlight w:val="none"/>
                <w:lang w:val="en-US" w:eastAsia="zh-CN"/>
              </w:rPr>
              <w:t>1）初期雨水处理措施可行性分析</w:t>
            </w:r>
          </w:p>
          <w:p w14:paraId="24823F17">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468" w:firstLineChars="200"/>
              <w:textAlignment w:val="auto"/>
              <w:rPr>
                <w:rFonts w:hint="default" w:ascii="Times New Roman" w:hAnsi="Times New Roman" w:eastAsia="宋体" w:cs="Times New Roman"/>
                <w:color w:val="auto"/>
                <w:kern w:val="2"/>
                <w:sz w:val="24"/>
                <w:szCs w:val="18"/>
                <w:highlight w:val="none"/>
                <w:lang w:val="en-US" w:eastAsia="zh-CN" w:bidi="ar-SA"/>
              </w:rPr>
            </w:pPr>
            <w:r>
              <w:rPr>
                <w:rFonts w:hint="default"/>
                <w:color w:val="auto"/>
                <w:spacing w:val="-3"/>
              </w:rPr>
              <w:t>本项目在报废</w:t>
            </w:r>
            <w:r>
              <w:rPr>
                <w:rFonts w:hint="eastAsia"/>
                <w:color w:val="auto"/>
                <w:spacing w:val="-3"/>
                <w:lang w:val="en-US" w:eastAsia="zh-CN"/>
              </w:rPr>
              <w:t>车辆</w:t>
            </w:r>
            <w:r>
              <w:rPr>
                <w:rFonts w:hint="default"/>
                <w:color w:val="auto"/>
                <w:spacing w:val="-3"/>
              </w:rPr>
              <w:t>暂存区</w:t>
            </w:r>
            <w:r>
              <w:rPr>
                <w:rFonts w:hint="eastAsia"/>
                <w:color w:val="auto"/>
                <w:spacing w:val="-3"/>
                <w:lang w:val="en-US" w:eastAsia="zh-CN"/>
              </w:rPr>
              <w:t>设置</w:t>
            </w:r>
            <w:r>
              <w:rPr>
                <w:rFonts w:hint="default"/>
                <w:color w:val="auto"/>
                <w:spacing w:val="-3"/>
              </w:rPr>
              <w:t>初期雨水截流设施，将</w:t>
            </w:r>
            <w:r>
              <w:rPr>
                <w:rFonts w:hint="default"/>
                <w:color w:val="auto"/>
                <w:spacing w:val="4"/>
              </w:rPr>
              <w:t>初期雨水引至初期雨水收集池</w:t>
            </w:r>
            <w:r>
              <w:rPr>
                <w:rFonts w:hint="default" w:ascii="Times New Roman" w:hAnsi="Times New Roman" w:eastAsia="宋体" w:cs="Times New Roman"/>
                <w:color w:val="auto"/>
                <w:kern w:val="2"/>
                <w:sz w:val="24"/>
                <w:szCs w:val="18"/>
                <w:highlight w:val="none"/>
                <w:lang w:val="en-US" w:eastAsia="zh-CN" w:bidi="ar-SA"/>
              </w:rPr>
              <w:t>（</w:t>
            </w:r>
            <w:r>
              <w:rPr>
                <w:rFonts w:hint="eastAsia" w:ascii="Times New Roman" w:hAnsi="Times New Roman" w:eastAsia="宋体" w:cs="Times New Roman"/>
                <w:color w:val="auto"/>
                <w:kern w:val="2"/>
                <w:sz w:val="24"/>
                <w:szCs w:val="18"/>
                <w:highlight w:val="none"/>
                <w:lang w:val="en-US" w:eastAsia="zh-CN" w:bidi="ar-SA"/>
              </w:rPr>
              <w:t>50</w:t>
            </w:r>
            <w:r>
              <w:rPr>
                <w:rFonts w:hint="default" w:ascii="Times New Roman" w:hAnsi="Times New Roman" w:eastAsia="宋体" w:cs="Times New Roman"/>
                <w:color w:val="auto"/>
                <w:kern w:val="2"/>
                <w:sz w:val="24"/>
                <w:szCs w:val="18"/>
                <w:highlight w:val="none"/>
                <w:lang w:val="en-US" w:eastAsia="zh-CN" w:bidi="ar-SA"/>
              </w:rPr>
              <w:t>m</w:t>
            </w:r>
            <w:r>
              <w:rPr>
                <w:rFonts w:hint="eastAsia" w:ascii="Times New Roman" w:hAnsi="Times New Roman" w:eastAsia="宋体" w:cs="Times New Roman"/>
                <w:color w:val="auto"/>
                <w:kern w:val="2"/>
                <w:sz w:val="24"/>
                <w:szCs w:val="18"/>
                <w:highlight w:val="none"/>
                <w:vertAlign w:val="superscript"/>
                <w:lang w:val="en-US" w:eastAsia="zh-CN" w:bidi="ar-SA"/>
              </w:rPr>
              <w:t>3</w:t>
            </w:r>
            <w:r>
              <w:rPr>
                <w:rFonts w:hint="default" w:ascii="Times New Roman" w:hAnsi="Times New Roman" w:eastAsia="宋体" w:cs="Times New Roman"/>
                <w:color w:val="auto"/>
                <w:kern w:val="2"/>
                <w:sz w:val="24"/>
                <w:szCs w:val="18"/>
                <w:highlight w:val="none"/>
                <w:lang w:val="en-US" w:eastAsia="zh-CN" w:bidi="ar-SA"/>
              </w:rPr>
              <w:t>），经厂区内污水处理设施处理达标，由市政污水管网排入阜新市北控水务有限公司污水处理厂集中处理后排放。根据</w:t>
            </w:r>
            <w:r>
              <w:rPr>
                <w:rFonts w:hint="eastAsia" w:ascii="Times New Roman" w:hAnsi="Times New Roman" w:eastAsia="宋体" w:cs="Times New Roman"/>
                <w:color w:val="auto"/>
                <w:kern w:val="2"/>
                <w:sz w:val="24"/>
                <w:szCs w:val="18"/>
                <w:highlight w:val="none"/>
                <w:lang w:val="en-US" w:eastAsia="zh-CN" w:bidi="ar-SA"/>
              </w:rPr>
              <w:t>水平衡章节</w:t>
            </w:r>
            <w:r>
              <w:rPr>
                <w:rFonts w:hint="default" w:ascii="Times New Roman" w:hAnsi="Times New Roman" w:eastAsia="宋体" w:cs="Times New Roman"/>
                <w:color w:val="auto"/>
                <w:kern w:val="2"/>
                <w:sz w:val="24"/>
                <w:szCs w:val="18"/>
                <w:highlight w:val="none"/>
                <w:lang w:val="en-US" w:eastAsia="zh-CN" w:bidi="ar-SA"/>
              </w:rPr>
              <w:t>核算，</w:t>
            </w:r>
            <w:r>
              <w:rPr>
                <w:rFonts w:hint="eastAsia" w:ascii="Times New Roman" w:hAnsi="Times New Roman" w:eastAsia="宋体" w:cs="Times New Roman"/>
                <w:color w:val="auto"/>
                <w:kern w:val="2"/>
                <w:sz w:val="24"/>
                <w:szCs w:val="18"/>
                <w:highlight w:val="none"/>
                <w:lang w:val="en-US" w:eastAsia="zh-CN" w:bidi="ar-SA"/>
              </w:rPr>
              <w:t>单次</w:t>
            </w:r>
            <w:r>
              <w:rPr>
                <w:rFonts w:hint="default" w:ascii="Times New Roman" w:hAnsi="Times New Roman" w:eastAsia="宋体" w:cs="Times New Roman"/>
                <w:color w:val="auto"/>
                <w:kern w:val="2"/>
                <w:sz w:val="24"/>
                <w:szCs w:val="18"/>
                <w:highlight w:val="none"/>
                <w:lang w:val="en-US" w:eastAsia="zh-CN" w:bidi="ar-SA"/>
              </w:rPr>
              <w:t>最大初期雨水量为</w:t>
            </w:r>
            <w:r>
              <w:rPr>
                <w:rFonts w:hint="eastAsia" w:ascii="Times New Roman" w:hAnsi="Times New Roman" w:eastAsia="宋体" w:cs="Times New Roman"/>
                <w:color w:val="auto"/>
                <w:kern w:val="2"/>
                <w:sz w:val="24"/>
                <w:szCs w:val="18"/>
                <w:highlight w:val="none"/>
                <w:lang w:val="en-US" w:eastAsia="zh-CN" w:bidi="ar-SA"/>
              </w:rPr>
              <w:t>27</w:t>
            </w:r>
            <w:r>
              <w:rPr>
                <w:rFonts w:hint="default" w:ascii="Times New Roman" w:hAnsi="Times New Roman" w:eastAsia="宋体" w:cs="Times New Roman"/>
                <w:color w:val="auto"/>
                <w:kern w:val="2"/>
                <w:sz w:val="24"/>
                <w:szCs w:val="18"/>
                <w:highlight w:val="none"/>
                <w:lang w:val="en-US" w:eastAsia="zh-CN" w:bidi="ar-SA"/>
              </w:rPr>
              <w:t>m</w:t>
            </w:r>
            <w:r>
              <w:rPr>
                <w:rFonts w:hint="default" w:ascii="Times New Roman" w:hAnsi="Times New Roman" w:eastAsia="宋体" w:cs="Times New Roman"/>
                <w:color w:val="auto"/>
                <w:kern w:val="2"/>
                <w:sz w:val="24"/>
                <w:szCs w:val="18"/>
                <w:highlight w:val="none"/>
                <w:vertAlign w:val="superscript"/>
                <w:lang w:val="en-US" w:eastAsia="zh-CN" w:bidi="ar-SA"/>
              </w:rPr>
              <w:t>3</w:t>
            </w:r>
            <w:r>
              <w:rPr>
                <w:rFonts w:hint="default" w:ascii="Times New Roman" w:hAnsi="Times New Roman" w:eastAsia="宋体" w:cs="Times New Roman"/>
                <w:color w:val="auto"/>
                <w:kern w:val="2"/>
                <w:sz w:val="24"/>
                <w:szCs w:val="18"/>
                <w:highlight w:val="none"/>
                <w:lang w:val="en-US" w:eastAsia="zh-CN" w:bidi="ar-SA"/>
              </w:rPr>
              <w:t>/次，项目设置的初期雨水池容积为</w:t>
            </w:r>
            <w:r>
              <w:rPr>
                <w:rFonts w:hint="eastAsia" w:ascii="Times New Roman" w:hAnsi="Times New Roman" w:eastAsia="宋体" w:cs="Times New Roman"/>
                <w:color w:val="auto"/>
                <w:kern w:val="2"/>
                <w:sz w:val="24"/>
                <w:szCs w:val="18"/>
                <w:highlight w:val="none"/>
                <w:lang w:val="en-US" w:eastAsia="zh-CN" w:bidi="ar-SA"/>
              </w:rPr>
              <w:t>50</w:t>
            </w:r>
            <w:r>
              <w:rPr>
                <w:rFonts w:hint="default" w:ascii="Times New Roman" w:hAnsi="Times New Roman" w:eastAsia="宋体" w:cs="Times New Roman"/>
                <w:color w:val="auto"/>
                <w:kern w:val="2"/>
                <w:sz w:val="24"/>
                <w:szCs w:val="18"/>
                <w:highlight w:val="none"/>
                <w:lang w:val="en-US" w:eastAsia="zh-CN" w:bidi="ar-SA"/>
              </w:rPr>
              <w:t>m</w:t>
            </w:r>
            <w:r>
              <w:rPr>
                <w:rFonts w:hint="default" w:ascii="Times New Roman" w:hAnsi="Times New Roman" w:eastAsia="宋体" w:cs="Times New Roman"/>
                <w:color w:val="auto"/>
                <w:kern w:val="2"/>
                <w:sz w:val="24"/>
                <w:szCs w:val="18"/>
                <w:highlight w:val="none"/>
                <w:vertAlign w:val="superscript"/>
                <w:lang w:val="en-US" w:eastAsia="zh-CN" w:bidi="ar-SA"/>
              </w:rPr>
              <w:t>3</w:t>
            </w:r>
            <w:r>
              <w:rPr>
                <w:rFonts w:hint="default" w:ascii="Times New Roman" w:hAnsi="Times New Roman" w:eastAsia="宋体" w:cs="Times New Roman"/>
                <w:color w:val="auto"/>
                <w:kern w:val="2"/>
                <w:sz w:val="24"/>
                <w:szCs w:val="18"/>
                <w:highlight w:val="none"/>
                <w:lang w:val="en-US" w:eastAsia="zh-CN" w:bidi="ar-SA"/>
              </w:rPr>
              <w:t>，可满足初期雨水暂存需求。</w:t>
            </w:r>
            <w:r>
              <w:rPr>
                <w:rFonts w:hint="eastAsia" w:ascii="Times New Roman" w:hAnsi="Times New Roman" w:eastAsia="宋体" w:cs="Times New Roman"/>
                <w:color w:val="auto"/>
                <w:kern w:val="2"/>
                <w:sz w:val="24"/>
                <w:szCs w:val="18"/>
                <w:highlight w:val="none"/>
                <w:lang w:val="en-US" w:eastAsia="zh-CN" w:bidi="ar-SA"/>
              </w:rPr>
              <w:t>因此初期雨水池设置可行。</w:t>
            </w:r>
          </w:p>
          <w:p w14:paraId="6BA56D4D">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470" w:firstLineChars="200"/>
              <w:textAlignment w:val="auto"/>
              <w:rPr>
                <w:rFonts w:hint="default" w:ascii="Times New Roman" w:hAnsi="Times New Roman" w:eastAsia="宋体" w:cs="Times New Roman"/>
                <w:b/>
                <w:bCs/>
                <w:color w:val="auto"/>
                <w:spacing w:val="-3"/>
                <w:highlight w:val="none"/>
                <w:lang w:val="en-US" w:eastAsia="zh-CN"/>
              </w:rPr>
            </w:pPr>
            <w:r>
              <w:rPr>
                <w:rFonts w:hint="eastAsia" w:ascii="Times New Roman" w:hAnsi="Times New Roman" w:eastAsia="宋体" w:cs="Times New Roman"/>
                <w:b/>
                <w:bCs/>
                <w:color w:val="auto"/>
                <w:spacing w:val="-3"/>
                <w:highlight w:val="none"/>
                <w:lang w:val="en-US" w:eastAsia="zh-CN"/>
              </w:rPr>
              <w:t>（2）</w:t>
            </w:r>
            <w:r>
              <w:rPr>
                <w:rFonts w:hint="default" w:ascii="Times New Roman" w:hAnsi="Times New Roman" w:eastAsia="宋体" w:cs="Times New Roman"/>
                <w:b/>
                <w:bCs/>
                <w:color w:val="auto"/>
                <w:spacing w:val="-3"/>
                <w:highlight w:val="none"/>
                <w:lang w:eastAsia="zh-CN"/>
              </w:rPr>
              <w:t>生活污水处理措施可行性分析</w:t>
            </w:r>
          </w:p>
          <w:p w14:paraId="19D53F4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468" w:firstLineChars="200"/>
              <w:jc w:val="both"/>
              <w:textAlignment w:val="auto"/>
              <w:rPr>
                <w:rFonts w:hint="default" w:ascii="Times New Roman" w:hAnsi="Times New Roman" w:cs="Times New Roman"/>
                <w:color w:val="auto"/>
                <w:spacing w:val="-1"/>
              </w:rPr>
            </w:pPr>
            <w:r>
              <w:rPr>
                <w:rFonts w:hint="default" w:ascii="Times New Roman" w:hAnsi="Times New Roman" w:cs="Times New Roman"/>
                <w:color w:val="auto"/>
                <w:spacing w:val="-3"/>
                <w:lang w:val="en-US" w:eastAsia="zh-CN"/>
              </w:rPr>
              <w:t>食堂</w:t>
            </w:r>
            <w:r>
              <w:rPr>
                <w:rFonts w:hint="default" w:ascii="Times New Roman" w:hAnsi="Times New Roman" w:cs="Times New Roman"/>
                <w:color w:val="auto"/>
                <w:spacing w:val="-3"/>
              </w:rPr>
              <w:t>废水经隔油池处理后，与生活污水经化粪池处理后，由市政污水管网排入阜新市北控水务有限公司污水处理厂集中处理。参照《排污许可证申请与核发技术</w:t>
            </w:r>
            <w:r>
              <w:rPr>
                <w:rFonts w:hint="default" w:ascii="Times New Roman" w:hAnsi="Times New Roman" w:cs="Times New Roman"/>
                <w:color w:val="auto"/>
                <w:spacing w:val="1"/>
              </w:rPr>
              <w:t>规范 废弃资源加工工业》（</w:t>
            </w:r>
            <w:r>
              <w:rPr>
                <w:rFonts w:hint="default" w:ascii="Times New Roman" w:hAnsi="Times New Roman" w:eastAsia="Times New Roman" w:cs="Times New Roman"/>
                <w:color w:val="auto"/>
              </w:rPr>
              <w:t>HJ</w:t>
            </w:r>
            <w:r>
              <w:rPr>
                <w:rFonts w:hint="default" w:ascii="Times New Roman" w:hAnsi="Times New Roman" w:eastAsia="Times New Roman" w:cs="Times New Roman"/>
                <w:color w:val="auto"/>
                <w:spacing w:val="1"/>
              </w:rPr>
              <w:t>1034-2019</w:t>
            </w:r>
            <w:r>
              <w:rPr>
                <w:rFonts w:hint="default" w:ascii="Times New Roman" w:hAnsi="Times New Roman" w:cs="Times New Roman"/>
                <w:color w:val="auto"/>
                <w:spacing w:val="1"/>
              </w:rPr>
              <w:t>）生活污</w:t>
            </w:r>
            <w:r>
              <w:rPr>
                <w:rFonts w:hint="default" w:ascii="Times New Roman" w:hAnsi="Times New Roman" w:cs="Times New Roman"/>
                <w:color w:val="auto"/>
              </w:rPr>
              <w:t>水—隔油</w:t>
            </w:r>
            <w:r>
              <w:rPr>
                <w:rFonts w:hint="default" w:ascii="Times New Roman" w:hAnsi="Times New Roman" w:eastAsia="Times New Roman" w:cs="Times New Roman"/>
                <w:color w:val="auto"/>
              </w:rPr>
              <w:t>+</w:t>
            </w:r>
            <w:r>
              <w:rPr>
                <w:rFonts w:hint="default" w:ascii="Times New Roman" w:hAnsi="Times New Roman" w:cs="Times New Roman"/>
                <w:color w:val="auto"/>
              </w:rPr>
              <w:t>化粪池。项目选用的</w:t>
            </w:r>
            <w:r>
              <w:rPr>
                <w:rFonts w:hint="default" w:ascii="Times New Roman" w:hAnsi="Times New Roman" w:cs="Times New Roman"/>
                <w:color w:val="auto"/>
                <w:spacing w:val="8"/>
              </w:rPr>
              <w:t>污染治理工艺属于可行技术。本项目生活污水量</w:t>
            </w:r>
            <w:r>
              <w:rPr>
                <w:rFonts w:hint="default" w:ascii="Times New Roman" w:hAnsi="Times New Roman" w:cs="Times New Roman"/>
                <w:color w:val="auto"/>
                <w:spacing w:val="8"/>
                <w:lang w:val="en-US" w:eastAsia="zh-CN"/>
              </w:rPr>
              <w:t>1.04</w:t>
            </w:r>
            <w:r>
              <w:rPr>
                <w:rFonts w:hint="default" w:ascii="Times New Roman" w:hAnsi="Times New Roman" w:eastAsia="Times New Roman" w:cs="Times New Roman"/>
                <w:color w:val="auto"/>
                <w:spacing w:val="8"/>
              </w:rPr>
              <w:t>m</w:t>
            </w:r>
            <w:r>
              <w:rPr>
                <w:rFonts w:hint="default" w:ascii="Times New Roman" w:hAnsi="Times New Roman" w:eastAsia="Times New Roman" w:cs="Times New Roman"/>
                <w:color w:val="auto"/>
                <w:spacing w:val="8"/>
                <w:position w:val="8"/>
                <w:sz w:val="15"/>
                <w:szCs w:val="15"/>
              </w:rPr>
              <w:t>3</w:t>
            </w:r>
            <w:r>
              <w:rPr>
                <w:rFonts w:hint="default" w:ascii="Times New Roman" w:hAnsi="Times New Roman" w:eastAsia="Times New Roman" w:cs="Times New Roman"/>
                <w:color w:val="auto"/>
                <w:spacing w:val="8"/>
              </w:rPr>
              <w:t>/d</w:t>
            </w:r>
            <w:r>
              <w:rPr>
                <w:rFonts w:hint="default" w:ascii="Times New Roman" w:hAnsi="Times New Roman" w:eastAsia="Times New Roman" w:cs="Times New Roman"/>
                <w:color w:val="auto"/>
                <w:spacing w:val="-17"/>
              </w:rPr>
              <w:t xml:space="preserve"> </w:t>
            </w:r>
            <w:r>
              <w:rPr>
                <w:rFonts w:hint="default" w:ascii="Times New Roman" w:hAnsi="Times New Roman" w:cs="Times New Roman"/>
                <w:color w:val="auto"/>
                <w:spacing w:val="8"/>
              </w:rPr>
              <w:t>，其中餐饮废水量为</w:t>
            </w:r>
            <w:r>
              <w:rPr>
                <w:rFonts w:hint="default" w:ascii="Times New Roman" w:hAnsi="Times New Roman" w:eastAsia="宋体" w:cs="Times New Roman"/>
                <w:color w:val="auto"/>
                <w:spacing w:val="-3"/>
                <w:lang w:val="en-US" w:eastAsia="zh-CN"/>
              </w:rPr>
              <w:t>0.32</w:t>
            </w:r>
            <w:r>
              <w:rPr>
                <w:rFonts w:hint="default" w:ascii="Times New Roman" w:hAnsi="Times New Roman" w:eastAsia="Times New Roman" w:cs="Times New Roman"/>
                <w:color w:val="auto"/>
                <w:spacing w:val="-3"/>
              </w:rPr>
              <w:t>m</w:t>
            </w:r>
            <w:r>
              <w:rPr>
                <w:rFonts w:hint="default" w:ascii="Times New Roman" w:hAnsi="Times New Roman" w:eastAsia="Times New Roman" w:cs="Times New Roman"/>
                <w:color w:val="auto"/>
                <w:spacing w:val="-3"/>
                <w:position w:val="7"/>
                <w:sz w:val="15"/>
                <w:szCs w:val="15"/>
              </w:rPr>
              <w:t>3</w:t>
            </w:r>
            <w:r>
              <w:rPr>
                <w:rFonts w:hint="default" w:ascii="Times New Roman" w:hAnsi="Times New Roman" w:eastAsia="Times New Roman" w:cs="Times New Roman"/>
                <w:color w:val="auto"/>
                <w:spacing w:val="-3"/>
              </w:rPr>
              <w:t>/d</w:t>
            </w:r>
            <w:r>
              <w:rPr>
                <w:rFonts w:hint="default" w:ascii="Times New Roman" w:hAnsi="Times New Roman" w:cs="Times New Roman"/>
                <w:color w:val="auto"/>
                <w:spacing w:val="-3"/>
              </w:rPr>
              <w:t>；隔油池容积为</w:t>
            </w:r>
            <w:r>
              <w:rPr>
                <w:rFonts w:hint="default" w:ascii="Times New Roman" w:hAnsi="Times New Roman" w:cs="Times New Roman"/>
                <w:color w:val="auto"/>
                <w:spacing w:val="-35"/>
              </w:rPr>
              <w:t xml:space="preserve"> </w:t>
            </w:r>
            <w:r>
              <w:rPr>
                <w:rFonts w:hint="default" w:ascii="Times New Roman" w:hAnsi="Times New Roman" w:eastAsia="Times New Roman" w:cs="Times New Roman"/>
                <w:color w:val="auto"/>
                <w:spacing w:val="-3"/>
              </w:rPr>
              <w:t>5m</w:t>
            </w:r>
            <w:r>
              <w:rPr>
                <w:rFonts w:hint="default" w:ascii="Times New Roman" w:hAnsi="Times New Roman" w:eastAsia="Times New Roman" w:cs="Times New Roman"/>
                <w:color w:val="auto"/>
                <w:spacing w:val="-3"/>
                <w:position w:val="7"/>
                <w:sz w:val="15"/>
                <w:szCs w:val="15"/>
              </w:rPr>
              <w:t>3</w:t>
            </w:r>
            <w:r>
              <w:rPr>
                <w:rFonts w:hint="default" w:ascii="Times New Roman" w:hAnsi="Times New Roman" w:eastAsia="Times New Roman" w:cs="Times New Roman"/>
                <w:color w:val="auto"/>
                <w:spacing w:val="-10"/>
                <w:position w:val="7"/>
                <w:sz w:val="15"/>
                <w:szCs w:val="15"/>
              </w:rPr>
              <w:t xml:space="preserve"> </w:t>
            </w:r>
            <w:r>
              <w:rPr>
                <w:rFonts w:hint="default" w:ascii="Times New Roman" w:hAnsi="Times New Roman" w:cs="Times New Roman"/>
                <w:color w:val="auto"/>
                <w:spacing w:val="-3"/>
              </w:rPr>
              <w:t>，防渗化粪池容积为</w:t>
            </w:r>
            <w:r>
              <w:rPr>
                <w:rFonts w:hint="default" w:ascii="Times New Roman" w:hAnsi="Times New Roman" w:cs="Times New Roman"/>
                <w:color w:val="auto"/>
                <w:spacing w:val="-55"/>
              </w:rPr>
              <w:t xml:space="preserve"> </w:t>
            </w:r>
            <w:r>
              <w:rPr>
                <w:rFonts w:hint="default" w:ascii="Times New Roman" w:hAnsi="Times New Roman" w:eastAsia="Times New Roman" w:cs="Times New Roman"/>
                <w:color w:val="auto"/>
                <w:spacing w:val="-3"/>
              </w:rPr>
              <w:t>20m</w:t>
            </w:r>
            <w:r>
              <w:rPr>
                <w:rFonts w:hint="default" w:ascii="Times New Roman" w:hAnsi="Times New Roman" w:eastAsia="Times New Roman" w:cs="Times New Roman"/>
                <w:color w:val="auto"/>
                <w:spacing w:val="-3"/>
                <w:position w:val="7"/>
                <w:sz w:val="15"/>
                <w:szCs w:val="15"/>
              </w:rPr>
              <w:t>3</w:t>
            </w:r>
            <w:r>
              <w:rPr>
                <w:rFonts w:hint="default" w:ascii="Times New Roman" w:hAnsi="Times New Roman" w:eastAsia="Times New Roman" w:cs="Times New Roman"/>
                <w:color w:val="auto"/>
                <w:spacing w:val="-9"/>
                <w:position w:val="7"/>
                <w:sz w:val="15"/>
                <w:szCs w:val="15"/>
              </w:rPr>
              <w:t xml:space="preserve"> </w:t>
            </w:r>
            <w:r>
              <w:rPr>
                <w:rFonts w:hint="default" w:ascii="Times New Roman" w:hAnsi="Times New Roman" w:cs="Times New Roman"/>
                <w:color w:val="auto"/>
                <w:spacing w:val="-3"/>
              </w:rPr>
              <w:t>，可满足本项目污水处理需</w:t>
            </w:r>
            <w:r>
              <w:rPr>
                <w:rFonts w:hint="default" w:ascii="Times New Roman" w:hAnsi="Times New Roman" w:cs="Times New Roman"/>
                <w:color w:val="auto"/>
                <w:spacing w:val="-1"/>
              </w:rPr>
              <w:t>求。因此，本项目</w:t>
            </w:r>
            <w:r>
              <w:rPr>
                <w:rFonts w:hint="default" w:ascii="Times New Roman" w:hAnsi="Times New Roman" w:cs="Times New Roman"/>
                <w:color w:val="auto"/>
                <w:spacing w:val="-1"/>
                <w:lang w:val="en-US" w:eastAsia="zh-CN"/>
              </w:rPr>
              <w:t>生活污水</w:t>
            </w:r>
            <w:r>
              <w:rPr>
                <w:rFonts w:hint="default" w:ascii="Times New Roman" w:hAnsi="Times New Roman" w:cs="Times New Roman"/>
                <w:color w:val="auto"/>
                <w:spacing w:val="-1"/>
              </w:rPr>
              <w:t>废水处理措施可行。</w:t>
            </w:r>
          </w:p>
          <w:p w14:paraId="7FA77AA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leftChars="0" w:right="0" w:firstLine="478" w:firstLineChars="200"/>
              <w:textAlignment w:val="auto"/>
              <w:rPr>
                <w:rFonts w:hint="default" w:ascii="Times New Roman" w:hAnsi="Times New Roman" w:eastAsia="宋体" w:cs="Times New Roman"/>
                <w:b/>
                <w:bCs/>
                <w:color w:val="auto"/>
                <w:spacing w:val="-1"/>
                <w:lang w:val="en-US" w:eastAsia="zh-CN"/>
              </w:rPr>
            </w:pPr>
            <w:r>
              <w:rPr>
                <w:rFonts w:hint="default" w:ascii="Times New Roman" w:hAnsi="Times New Roman" w:cs="Times New Roman"/>
                <w:b/>
                <w:bCs/>
                <w:color w:val="auto"/>
                <w:spacing w:val="-1"/>
                <w:lang w:eastAsia="zh-CN"/>
              </w:rPr>
              <w:t>（</w:t>
            </w:r>
            <w:r>
              <w:rPr>
                <w:rFonts w:hint="default" w:ascii="Times New Roman" w:hAnsi="Times New Roman" w:cs="Times New Roman"/>
                <w:b/>
                <w:bCs/>
                <w:color w:val="auto"/>
                <w:spacing w:val="-1"/>
                <w:lang w:val="en-US" w:eastAsia="zh-CN"/>
              </w:rPr>
              <w:t>3）</w:t>
            </w:r>
            <w:r>
              <w:rPr>
                <w:rFonts w:hint="default" w:ascii="Times New Roman" w:hAnsi="Times New Roman" w:cs="Times New Roman"/>
                <w:b/>
                <w:bCs/>
                <w:color w:val="auto"/>
                <w:sz w:val="24"/>
                <w:highlight w:val="none"/>
                <w:lang w:val="en-US" w:eastAsia="zh-CN"/>
              </w:rPr>
              <w:t>一体化</w:t>
            </w:r>
            <w:r>
              <w:rPr>
                <w:rFonts w:hint="default" w:ascii="Times New Roman" w:hAnsi="Times New Roman" w:eastAsia="宋体" w:cs="Times New Roman"/>
                <w:b/>
                <w:bCs/>
                <w:color w:val="auto"/>
                <w:sz w:val="24"/>
                <w:highlight w:val="none"/>
                <w:lang w:val="en-US" w:eastAsia="zh-CN"/>
              </w:rPr>
              <w:t>污水处理设施可行性分析</w:t>
            </w:r>
          </w:p>
          <w:p w14:paraId="141BC9D8">
            <w:pPr>
              <w:pStyle w:val="73"/>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本项目地面</w:t>
            </w:r>
            <w:r>
              <w:rPr>
                <w:rFonts w:hint="eastAsia" w:cs="Times New Roman"/>
                <w:color w:val="auto"/>
                <w:sz w:val="24"/>
                <w:highlight w:val="none"/>
                <w:lang w:val="en-US" w:eastAsia="zh-CN"/>
              </w:rPr>
              <w:t>清洗</w:t>
            </w:r>
            <w:r>
              <w:rPr>
                <w:rFonts w:hint="default" w:ascii="Times New Roman" w:hAnsi="Times New Roman" w:eastAsia="宋体" w:cs="Times New Roman"/>
                <w:color w:val="auto"/>
                <w:sz w:val="24"/>
                <w:highlight w:val="none"/>
                <w:lang w:val="en-US" w:eastAsia="zh-CN"/>
              </w:rPr>
              <w:t>废水经厂内</w:t>
            </w:r>
            <w:r>
              <w:rPr>
                <w:rFonts w:hint="eastAsia" w:cs="Times New Roman"/>
                <w:color w:val="auto"/>
                <w:sz w:val="24"/>
                <w:highlight w:val="none"/>
                <w:lang w:val="en-US" w:eastAsia="zh-CN"/>
              </w:rPr>
              <w:t>一体化</w:t>
            </w:r>
            <w:r>
              <w:rPr>
                <w:rFonts w:hint="default" w:ascii="Times New Roman" w:hAnsi="Times New Roman" w:eastAsia="宋体" w:cs="Times New Roman"/>
                <w:color w:val="auto"/>
                <w:sz w:val="24"/>
                <w:highlight w:val="none"/>
                <w:lang w:val="en-US" w:eastAsia="zh-CN"/>
              </w:rPr>
              <w:t>污水处理设施（均质+隔油池+絮凝+沉淀）处理达标后排入园区污水管网；初期雨水经初期雨水收集池收集后，排入厂区污水处理设施（均质+隔油+絮凝+沉淀）处理</w:t>
            </w:r>
            <w:r>
              <w:rPr>
                <w:rFonts w:hint="eastAsia" w:cs="Times New Roman"/>
                <w:color w:val="auto"/>
                <w:sz w:val="24"/>
                <w:highlight w:val="none"/>
                <w:lang w:val="en-US" w:eastAsia="zh-CN"/>
              </w:rPr>
              <w:t>；</w:t>
            </w:r>
            <w:r>
              <w:rPr>
                <w:rFonts w:hint="default"/>
                <w:color w:val="auto"/>
                <w:spacing w:val="-2"/>
              </w:rPr>
              <w:t>污</w:t>
            </w:r>
            <w:r>
              <w:rPr>
                <w:rFonts w:hint="default"/>
                <w:color w:val="auto"/>
                <w:spacing w:val="-3"/>
              </w:rPr>
              <w:t>水处理设施设计处理能力为</w:t>
            </w:r>
            <w:r>
              <w:rPr>
                <w:rFonts w:hint="eastAsia" w:ascii="Times New Roman" w:hAnsi="Times New Roman" w:eastAsia="宋体" w:cs="Times New Roman"/>
                <w:color w:val="auto"/>
                <w:spacing w:val="-3"/>
                <w:lang w:val="en-US" w:eastAsia="zh-CN"/>
              </w:rPr>
              <w:t>3</w:t>
            </w:r>
            <w:r>
              <w:rPr>
                <w:rFonts w:hint="default" w:ascii="Times New Roman" w:hAnsi="Times New Roman" w:eastAsia="Times New Roman" w:cs="Times New Roman"/>
                <w:color w:val="auto"/>
                <w:spacing w:val="-3"/>
              </w:rPr>
              <w:t>m</w:t>
            </w:r>
            <w:r>
              <w:rPr>
                <w:rFonts w:hint="default" w:ascii="Times New Roman" w:hAnsi="Times New Roman" w:eastAsia="Times New Roman" w:cs="Times New Roman"/>
                <w:color w:val="auto"/>
                <w:spacing w:val="-3"/>
                <w:position w:val="7"/>
                <w:sz w:val="15"/>
                <w:szCs w:val="15"/>
              </w:rPr>
              <w:t>3</w:t>
            </w:r>
            <w:r>
              <w:rPr>
                <w:rFonts w:hint="default" w:ascii="Times New Roman" w:hAnsi="Times New Roman" w:eastAsia="Times New Roman" w:cs="Times New Roman"/>
                <w:color w:val="auto"/>
                <w:spacing w:val="-3"/>
              </w:rPr>
              <w:t>/h</w:t>
            </w:r>
            <w:r>
              <w:rPr>
                <w:rFonts w:hint="eastAsia" w:eastAsia="宋体" w:cs="Times New Roman"/>
                <w:color w:val="auto"/>
                <w:spacing w:val="-3"/>
                <w:lang w:eastAsia="zh-CN"/>
              </w:rPr>
              <w:t>。</w:t>
            </w:r>
            <w:r>
              <w:rPr>
                <w:rFonts w:hint="eastAsia" w:cs="Times New Roman"/>
                <w:color w:val="auto"/>
                <w:sz w:val="24"/>
                <w:highlight w:val="none"/>
                <w:lang w:val="en-US" w:eastAsia="zh-CN"/>
              </w:rPr>
              <w:t>上述废水处理</w:t>
            </w:r>
            <w:r>
              <w:rPr>
                <w:rFonts w:hint="default" w:ascii="Times New Roman" w:hAnsi="Times New Roman" w:eastAsia="宋体" w:cs="Times New Roman"/>
                <w:color w:val="auto"/>
                <w:sz w:val="24"/>
                <w:highlight w:val="none"/>
                <w:lang w:val="en-US" w:eastAsia="zh-CN"/>
              </w:rPr>
              <w:t>达标后排入园区污水管网；本项目</w:t>
            </w:r>
            <w:r>
              <w:rPr>
                <w:rFonts w:hint="eastAsia" w:cs="Times New Roman"/>
                <w:color w:val="auto"/>
                <w:sz w:val="24"/>
                <w:highlight w:val="none"/>
                <w:lang w:val="en-US" w:eastAsia="zh-CN"/>
              </w:rPr>
              <w:t>食堂废水经隔油池处理后，与</w:t>
            </w:r>
            <w:r>
              <w:rPr>
                <w:rFonts w:hint="default" w:ascii="Times New Roman" w:hAnsi="Times New Roman" w:eastAsia="宋体" w:cs="Times New Roman"/>
                <w:color w:val="auto"/>
                <w:sz w:val="24"/>
                <w:highlight w:val="none"/>
                <w:lang w:val="en-US" w:eastAsia="zh-CN"/>
              </w:rPr>
              <w:t>生活污水</w:t>
            </w:r>
            <w:r>
              <w:rPr>
                <w:rFonts w:hint="eastAsia" w:cs="Times New Roman"/>
                <w:color w:val="auto"/>
                <w:sz w:val="24"/>
                <w:highlight w:val="none"/>
                <w:lang w:val="en-US" w:eastAsia="zh-CN"/>
              </w:rPr>
              <w:t>一同</w:t>
            </w:r>
            <w:r>
              <w:rPr>
                <w:rFonts w:hint="default" w:ascii="Times New Roman" w:hAnsi="Times New Roman" w:eastAsia="宋体" w:cs="Times New Roman"/>
                <w:color w:val="auto"/>
                <w:sz w:val="24"/>
                <w:highlight w:val="none"/>
                <w:lang w:val="en-US" w:eastAsia="zh-CN"/>
              </w:rPr>
              <w:t>经厂区化粪池处理后，与处理后的地面清洗废水和初期雨水一起</w:t>
            </w:r>
            <w:r>
              <w:rPr>
                <w:rFonts w:hint="eastAsia" w:cs="Times New Roman"/>
                <w:color w:val="auto"/>
                <w:sz w:val="24"/>
                <w:highlight w:val="none"/>
                <w:lang w:val="en-US" w:eastAsia="zh-CN"/>
              </w:rPr>
              <w:t>由</w:t>
            </w:r>
            <w:r>
              <w:rPr>
                <w:rFonts w:hint="default" w:ascii="Times New Roman" w:hAnsi="Times New Roman" w:eastAsia="宋体" w:cs="Times New Roman"/>
                <w:color w:val="auto"/>
                <w:sz w:val="24"/>
                <w:highlight w:val="none"/>
                <w:lang w:val="en-US" w:eastAsia="zh-CN"/>
              </w:rPr>
              <w:t>园区污水管网排入阜新</w:t>
            </w:r>
            <w:r>
              <w:rPr>
                <w:rFonts w:hint="eastAsia" w:cs="Times New Roman"/>
                <w:color w:val="auto"/>
                <w:sz w:val="24"/>
                <w:highlight w:val="none"/>
                <w:lang w:val="en-US" w:eastAsia="zh-CN"/>
              </w:rPr>
              <w:t>北</w:t>
            </w:r>
            <w:r>
              <w:rPr>
                <w:rFonts w:hint="default" w:ascii="Times New Roman" w:hAnsi="Times New Roman" w:eastAsia="宋体" w:cs="Times New Roman"/>
                <w:color w:val="auto"/>
                <w:sz w:val="24"/>
                <w:highlight w:val="none"/>
                <w:lang w:val="en-US" w:eastAsia="zh-CN"/>
              </w:rPr>
              <w:t>控水务有限公司处理，最终排入细河。</w:t>
            </w:r>
          </w:p>
          <w:p w14:paraId="427799BD">
            <w:pPr>
              <w:pStyle w:val="73"/>
              <w:keepNext w:val="0"/>
              <w:keepLines w:val="0"/>
              <w:pageBreakBefore w:val="0"/>
              <w:widowControl w:val="0"/>
              <w:suppressLineNumbers w:val="0"/>
              <w:kinsoku/>
              <w:wordWrap/>
              <w:overflowPunct w:val="0"/>
              <w:topLinePunct w:val="0"/>
              <w:autoSpaceDE w:val="0"/>
              <w:autoSpaceDN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highlight w:val="none"/>
                <w:lang w:val="en-US" w:eastAsia="zh-CN"/>
              </w:rPr>
            </w:pPr>
            <w:r>
              <w:rPr>
                <w:rFonts w:hint="eastAsia" w:cs="Times New Roman"/>
                <w:color w:val="auto"/>
                <w:sz w:val="24"/>
                <w:highlight w:val="none"/>
                <w:lang w:val="en-US" w:eastAsia="zh-CN"/>
              </w:rPr>
              <w:t>根据预测，本项目地面清洗废水+初期雨水日均排水量为2.285t/d，因此项目设置的一体化污水处理设施处理能力可满足废水处理的需求。</w:t>
            </w:r>
          </w:p>
          <w:p w14:paraId="43181770">
            <w:pPr>
              <w:pStyle w:val="15"/>
              <w:keepNext w:val="0"/>
              <w:keepLines w:val="0"/>
              <w:suppressLineNumbers w:val="0"/>
              <w:spacing w:before="0" w:beforeAutospacing="0" w:after="0" w:afterAutospacing="0" w:line="360" w:lineRule="auto"/>
              <w:ind w:left="0" w:leftChars="0" w:right="0" w:firstLine="480" w:firstLineChars="200"/>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 w:val="24"/>
                <w:highlight w:val="none"/>
                <w:lang w:val="en-US" w:eastAsia="zh-CN"/>
              </w:rPr>
              <w:t>根据《排污许可证申请与核发技术规范 废弃资源加工工业》（HJ1034-2019）表A.2可行技术，本项目</w:t>
            </w:r>
            <w:r>
              <w:rPr>
                <w:rFonts w:hint="eastAsia" w:cs="Times New Roman"/>
                <w:color w:val="auto"/>
                <w:sz w:val="24"/>
                <w:highlight w:val="none"/>
                <w:lang w:val="en-US" w:eastAsia="zh-CN"/>
              </w:rPr>
              <w:t>地面清洗废水</w:t>
            </w:r>
            <w:r>
              <w:rPr>
                <w:rFonts w:hint="default" w:ascii="Times New Roman" w:hAnsi="Times New Roman" w:eastAsia="宋体" w:cs="Times New Roman"/>
                <w:color w:val="auto"/>
                <w:sz w:val="24"/>
                <w:highlight w:val="none"/>
                <w:lang w:val="en-US" w:eastAsia="zh-CN"/>
              </w:rPr>
              <w:t>和初期雨水采用“均质+隔油池+絮凝+沉淀”处理工艺，</w:t>
            </w:r>
            <w:r>
              <w:rPr>
                <w:rFonts w:hint="eastAsia" w:cs="Times New Roman"/>
                <w:color w:val="auto"/>
                <w:sz w:val="24"/>
                <w:highlight w:val="none"/>
                <w:lang w:val="en-US" w:eastAsia="zh-CN"/>
              </w:rPr>
              <w:t>食堂废水采用隔油池+化粪池，</w:t>
            </w:r>
            <w:r>
              <w:rPr>
                <w:rFonts w:hint="eastAsia" w:ascii="Times New Roman" w:hAnsi="Times New Roman" w:eastAsia="宋体" w:cs="Times New Roman"/>
                <w:color w:val="auto"/>
                <w:sz w:val="24"/>
                <w:highlight w:val="none"/>
                <w:lang w:val="en-US" w:eastAsia="zh-CN"/>
              </w:rPr>
              <w:t>生活污水采用化粪池，</w:t>
            </w:r>
            <w:r>
              <w:rPr>
                <w:rFonts w:hint="eastAsia" w:cs="Times New Roman"/>
                <w:color w:val="auto"/>
                <w:sz w:val="24"/>
                <w:highlight w:val="none"/>
                <w:lang w:val="en-US" w:eastAsia="zh-CN"/>
              </w:rPr>
              <w:t>均</w:t>
            </w:r>
            <w:r>
              <w:rPr>
                <w:rFonts w:hint="default" w:ascii="Times New Roman" w:hAnsi="Times New Roman" w:eastAsia="宋体" w:cs="Times New Roman"/>
                <w:color w:val="auto"/>
                <w:sz w:val="24"/>
                <w:szCs w:val="24"/>
                <w:highlight w:val="none"/>
                <w:lang w:eastAsia="zh-CN"/>
              </w:rPr>
              <w:t>为可行技术。</w:t>
            </w:r>
          </w:p>
          <w:p w14:paraId="0C39AECF">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
                <w:color w:val="auto"/>
                <w:szCs w:val="21"/>
                <w:highlight w:val="none"/>
              </w:rPr>
              <w:t>表4-</w:t>
            </w:r>
            <w:r>
              <w:rPr>
                <w:rFonts w:hint="eastAsia" w:cs="Times New Roman"/>
                <w:b/>
                <w:color w:val="auto"/>
                <w:szCs w:val="21"/>
                <w:highlight w:val="none"/>
                <w:lang w:val="en-US" w:eastAsia="zh-CN"/>
              </w:rPr>
              <w:t xml:space="preserve">18  </w:t>
            </w:r>
            <w:r>
              <w:rPr>
                <w:rFonts w:hint="default" w:ascii="Times New Roman" w:hAnsi="Times New Roman" w:eastAsia="宋体" w:cs="Times New Roman"/>
                <w:b/>
                <w:color w:val="auto"/>
                <w:szCs w:val="21"/>
                <w:highlight w:val="none"/>
              </w:rPr>
              <w:t>废水污染治理设施</w:t>
            </w:r>
            <w:r>
              <w:rPr>
                <w:rFonts w:hint="eastAsia" w:cs="Times New Roman"/>
                <w:b/>
                <w:color w:val="auto"/>
                <w:szCs w:val="21"/>
                <w:highlight w:val="none"/>
                <w:lang w:val="en-US" w:eastAsia="zh-CN"/>
              </w:rPr>
              <w:t>可行性对照表</w:t>
            </w:r>
          </w:p>
          <w:tbl>
            <w:tblPr>
              <w:tblStyle w:val="26"/>
              <w:tblW w:w="4998" w:type="pct"/>
              <w:tblInd w:w="-1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066"/>
              <w:gridCol w:w="1915"/>
              <w:gridCol w:w="1088"/>
              <w:gridCol w:w="2395"/>
              <w:gridCol w:w="1462"/>
              <w:gridCol w:w="1196"/>
            </w:tblGrid>
            <w:tr w14:paraId="3920D7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584" w:type="pct"/>
                  <w:tcBorders>
                    <w:tl2br w:val="nil"/>
                    <w:tr2bl w:val="nil"/>
                  </w:tcBorders>
                  <w:noWrap w:val="0"/>
                  <w:vAlign w:val="center"/>
                </w:tcPr>
                <w:p w14:paraId="4125A705">
                  <w:pPr>
                    <w:pStyle w:val="98"/>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废水类别</w:t>
                  </w:r>
                </w:p>
              </w:tc>
              <w:tc>
                <w:tcPr>
                  <w:tcW w:w="1049" w:type="pct"/>
                  <w:tcBorders>
                    <w:tl2br w:val="nil"/>
                    <w:tr2bl w:val="nil"/>
                  </w:tcBorders>
                  <w:noWrap w:val="0"/>
                  <w:vAlign w:val="center"/>
                </w:tcPr>
                <w:p w14:paraId="2ECAA271">
                  <w:pPr>
                    <w:pStyle w:val="98"/>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污染物种类</w:t>
                  </w:r>
                </w:p>
              </w:tc>
              <w:tc>
                <w:tcPr>
                  <w:tcW w:w="596" w:type="pct"/>
                  <w:tcBorders>
                    <w:tl2br w:val="nil"/>
                    <w:tr2bl w:val="nil"/>
                  </w:tcBorders>
                  <w:noWrap w:val="0"/>
                  <w:vAlign w:val="center"/>
                </w:tcPr>
                <w:p w14:paraId="035F5A23">
                  <w:pPr>
                    <w:pStyle w:val="98"/>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排放去向</w:t>
                  </w:r>
                </w:p>
              </w:tc>
              <w:tc>
                <w:tcPr>
                  <w:tcW w:w="1312" w:type="pct"/>
                  <w:tcBorders>
                    <w:tl2br w:val="nil"/>
                    <w:tr2bl w:val="nil"/>
                  </w:tcBorders>
                  <w:noWrap w:val="0"/>
                  <w:vAlign w:val="center"/>
                </w:tcPr>
                <w:p w14:paraId="5ACB11C6">
                  <w:pPr>
                    <w:pStyle w:val="98"/>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污染治理设施名称</w:t>
                  </w:r>
                </w:p>
              </w:tc>
              <w:tc>
                <w:tcPr>
                  <w:tcW w:w="801" w:type="pct"/>
                  <w:tcBorders>
                    <w:tl2br w:val="nil"/>
                    <w:tr2bl w:val="nil"/>
                  </w:tcBorders>
                  <w:noWrap w:val="0"/>
                  <w:vAlign w:val="center"/>
                </w:tcPr>
                <w:p w14:paraId="66AC730D">
                  <w:pPr>
                    <w:pStyle w:val="98"/>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cs="Times New Roman"/>
                      <w:b/>
                      <w:bCs/>
                      <w:color w:val="auto"/>
                      <w:sz w:val="21"/>
                      <w:szCs w:val="21"/>
                      <w:highlight w:val="none"/>
                      <w:lang w:val="en-US" w:eastAsia="zh-CN"/>
                    </w:rPr>
                    <w:t>本项目废水治理工艺</w:t>
                  </w:r>
                </w:p>
              </w:tc>
              <w:tc>
                <w:tcPr>
                  <w:tcW w:w="655" w:type="pct"/>
                  <w:tcBorders>
                    <w:tl2br w:val="nil"/>
                    <w:tr2bl w:val="nil"/>
                  </w:tcBorders>
                  <w:noWrap w:val="0"/>
                  <w:vAlign w:val="center"/>
                </w:tcPr>
                <w:p w14:paraId="5470D1E4">
                  <w:pPr>
                    <w:pStyle w:val="98"/>
                    <w:keepNext w:val="0"/>
                    <w:keepLines w:val="0"/>
                    <w:suppressLineNumbers w:val="0"/>
                    <w:spacing w:before="0" w:beforeAutospacing="0" w:after="0" w:afterAutospacing="0"/>
                    <w:ind w:left="0" w:right="0"/>
                    <w:rPr>
                      <w:rFonts w:hint="default" w:ascii="Times New Roman" w:hAnsi="Times New Roman" w:eastAsia="宋体" w:cs="Times New Roman"/>
                      <w:b/>
                      <w:bCs/>
                      <w:color w:val="auto"/>
                      <w:sz w:val="21"/>
                      <w:szCs w:val="21"/>
                      <w:highlight w:val="none"/>
                    </w:rPr>
                  </w:pPr>
                  <w:r>
                    <w:rPr>
                      <w:rFonts w:hint="default" w:ascii="Times New Roman" w:hAnsi="Times New Roman" w:eastAsia="宋体" w:cs="Times New Roman"/>
                      <w:b/>
                      <w:bCs/>
                      <w:color w:val="auto"/>
                      <w:sz w:val="21"/>
                      <w:szCs w:val="21"/>
                      <w:highlight w:val="none"/>
                    </w:rPr>
                    <w:t>是否为可行技术</w:t>
                  </w:r>
                </w:p>
              </w:tc>
            </w:tr>
            <w:tr w14:paraId="5485EA8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08" w:hRule="atLeast"/>
              </w:trPr>
              <w:tc>
                <w:tcPr>
                  <w:tcW w:w="584" w:type="pct"/>
                  <w:tcBorders>
                    <w:tl2br w:val="nil"/>
                    <w:tr2bl w:val="nil"/>
                  </w:tcBorders>
                  <w:noWrap w:val="0"/>
                  <w:vAlign w:val="center"/>
                </w:tcPr>
                <w:p w14:paraId="158E5CBA">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地面</w:t>
                  </w:r>
                  <w:r>
                    <w:rPr>
                      <w:rFonts w:hint="eastAsia" w:ascii="Times New Roman" w:hAnsi="Times New Roman" w:cs="Times New Roman"/>
                      <w:color w:val="auto"/>
                      <w:sz w:val="21"/>
                      <w:szCs w:val="21"/>
                      <w:highlight w:val="none"/>
                      <w:lang w:val="en-US" w:eastAsia="zh-CN"/>
                    </w:rPr>
                    <w:t>清洗</w:t>
                  </w:r>
                  <w:r>
                    <w:rPr>
                      <w:rFonts w:hint="default" w:ascii="Times New Roman" w:hAnsi="Times New Roman" w:eastAsia="宋体" w:cs="Times New Roman"/>
                      <w:color w:val="auto"/>
                      <w:sz w:val="21"/>
                      <w:szCs w:val="21"/>
                      <w:highlight w:val="none"/>
                    </w:rPr>
                    <w:t>废水</w:t>
                  </w:r>
                </w:p>
              </w:tc>
              <w:tc>
                <w:tcPr>
                  <w:tcW w:w="1049" w:type="pct"/>
                  <w:vMerge w:val="restart"/>
                  <w:tcBorders>
                    <w:tl2br w:val="nil"/>
                    <w:tr2bl w:val="nil"/>
                  </w:tcBorders>
                  <w:noWrap w:val="0"/>
                  <w:vAlign w:val="center"/>
                </w:tcPr>
                <w:p w14:paraId="10525CB9">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pH值、化学需氧量、石油类、氨氮、悬浮物</w:t>
                  </w:r>
                </w:p>
              </w:tc>
              <w:tc>
                <w:tcPr>
                  <w:tcW w:w="596" w:type="pct"/>
                  <w:vMerge w:val="restart"/>
                  <w:tcBorders>
                    <w:tl2br w:val="nil"/>
                    <w:tr2bl w:val="nil"/>
                  </w:tcBorders>
                  <w:noWrap w:val="0"/>
                  <w:vAlign w:val="center"/>
                </w:tcPr>
                <w:p w14:paraId="2E75DC5B">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厂内综合污水处理设施</w:t>
                  </w:r>
                </w:p>
              </w:tc>
              <w:tc>
                <w:tcPr>
                  <w:tcW w:w="1312" w:type="pct"/>
                  <w:vMerge w:val="restart"/>
                  <w:tcBorders>
                    <w:tl2br w:val="nil"/>
                    <w:tr2bl w:val="nil"/>
                  </w:tcBorders>
                  <w:noWrap w:val="0"/>
                  <w:vAlign w:val="center"/>
                </w:tcPr>
                <w:p w14:paraId="0204C7A1">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Cs w:val="21"/>
                      <w:highlight w:val="none"/>
                    </w:rPr>
                    <w:t>均质+隔油池+絮凝+沉淀，均质+隔油池+絮凝+沉淀+过滤等组合处理技术，其他</w:t>
                  </w:r>
                </w:p>
              </w:tc>
              <w:tc>
                <w:tcPr>
                  <w:tcW w:w="801" w:type="pct"/>
                  <w:vMerge w:val="restart"/>
                  <w:tcBorders>
                    <w:tl2br w:val="nil"/>
                    <w:tr2bl w:val="nil"/>
                  </w:tcBorders>
                  <w:noWrap w:val="0"/>
                  <w:vAlign w:val="center"/>
                </w:tcPr>
                <w:p w14:paraId="12F45718">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均质+隔油+絮凝+沉淀</w:t>
                  </w:r>
                </w:p>
              </w:tc>
              <w:tc>
                <w:tcPr>
                  <w:tcW w:w="655" w:type="pct"/>
                  <w:vMerge w:val="restart"/>
                  <w:tcBorders>
                    <w:tl2br w:val="nil"/>
                    <w:tr2bl w:val="nil"/>
                  </w:tcBorders>
                  <w:noWrap w:val="0"/>
                  <w:vAlign w:val="center"/>
                </w:tcPr>
                <w:p w14:paraId="102F05BF">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w:t>
                  </w:r>
                </w:p>
              </w:tc>
            </w:tr>
            <w:tr w14:paraId="2CC8AE8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584" w:type="pct"/>
                  <w:tcBorders>
                    <w:tl2br w:val="nil"/>
                    <w:tr2bl w:val="nil"/>
                  </w:tcBorders>
                  <w:noWrap w:val="0"/>
                  <w:vAlign w:val="center"/>
                </w:tcPr>
                <w:p w14:paraId="656ABCA4">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初期雨水</w:t>
                  </w:r>
                </w:p>
              </w:tc>
              <w:tc>
                <w:tcPr>
                  <w:tcW w:w="1049" w:type="pct"/>
                  <w:vMerge w:val="continue"/>
                  <w:tcBorders>
                    <w:tl2br w:val="nil"/>
                    <w:tr2bl w:val="nil"/>
                  </w:tcBorders>
                  <w:noWrap w:val="0"/>
                  <w:vAlign w:val="center"/>
                </w:tcPr>
                <w:p w14:paraId="68C7EAFF">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596" w:type="pct"/>
                  <w:vMerge w:val="continue"/>
                  <w:tcBorders>
                    <w:tl2br w:val="nil"/>
                    <w:tr2bl w:val="nil"/>
                  </w:tcBorders>
                  <w:noWrap w:val="0"/>
                  <w:vAlign w:val="center"/>
                </w:tcPr>
                <w:p w14:paraId="71952977">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1312" w:type="pct"/>
                  <w:vMerge w:val="continue"/>
                  <w:tcBorders>
                    <w:tl2br w:val="nil"/>
                    <w:tr2bl w:val="nil"/>
                  </w:tcBorders>
                  <w:noWrap w:val="0"/>
                  <w:vAlign w:val="center"/>
                </w:tcPr>
                <w:p w14:paraId="21567AAB">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p>
              </w:tc>
              <w:tc>
                <w:tcPr>
                  <w:tcW w:w="801" w:type="pct"/>
                  <w:vMerge w:val="continue"/>
                  <w:tcBorders>
                    <w:tl2br w:val="nil"/>
                    <w:tr2bl w:val="nil"/>
                  </w:tcBorders>
                  <w:noWrap w:val="0"/>
                  <w:vAlign w:val="center"/>
                </w:tcPr>
                <w:p w14:paraId="0F384E89">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rPr>
                  </w:pPr>
                </w:p>
              </w:tc>
              <w:tc>
                <w:tcPr>
                  <w:tcW w:w="655" w:type="pct"/>
                  <w:vMerge w:val="continue"/>
                  <w:tcBorders>
                    <w:tl2br w:val="nil"/>
                    <w:tr2bl w:val="nil"/>
                  </w:tcBorders>
                  <w:noWrap w:val="0"/>
                  <w:vAlign w:val="center"/>
                </w:tcPr>
                <w:p w14:paraId="7CB9311F">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p>
              </w:tc>
            </w:tr>
            <w:tr w14:paraId="0A76C7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c>
                <w:tcPr>
                  <w:tcW w:w="584" w:type="pct"/>
                  <w:tcBorders>
                    <w:tl2br w:val="nil"/>
                    <w:tr2bl w:val="nil"/>
                  </w:tcBorders>
                  <w:noWrap w:val="0"/>
                  <w:vAlign w:val="center"/>
                </w:tcPr>
                <w:p w14:paraId="796589F1">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生活污水和食堂废水</w:t>
                  </w:r>
                </w:p>
              </w:tc>
              <w:tc>
                <w:tcPr>
                  <w:tcW w:w="1049" w:type="pct"/>
                  <w:tcBorders>
                    <w:tl2br w:val="nil"/>
                    <w:tr2bl w:val="nil"/>
                  </w:tcBorders>
                  <w:noWrap w:val="0"/>
                  <w:vAlign w:val="center"/>
                </w:tcPr>
                <w:p w14:paraId="1ED4DC4B">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pH值、化学需氧量、氨氮、悬浮物、五日生化需氧量、总磷</w:t>
                  </w:r>
                </w:p>
              </w:tc>
              <w:tc>
                <w:tcPr>
                  <w:tcW w:w="596" w:type="pct"/>
                  <w:tcBorders>
                    <w:tl2br w:val="nil"/>
                    <w:tr2bl w:val="nil"/>
                  </w:tcBorders>
                  <w:noWrap w:val="0"/>
                  <w:vAlign w:val="center"/>
                </w:tcPr>
                <w:p w14:paraId="3565DC2F">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市政污水处理厂</w:t>
                  </w:r>
                </w:p>
              </w:tc>
              <w:tc>
                <w:tcPr>
                  <w:tcW w:w="1312" w:type="pct"/>
                  <w:tcBorders>
                    <w:tl2br w:val="nil"/>
                    <w:tr2bl w:val="nil"/>
                  </w:tcBorders>
                  <w:noWrap w:val="0"/>
                  <w:vAlign w:val="center"/>
                </w:tcPr>
                <w:p w14:paraId="5B1691C8">
                  <w:pPr>
                    <w:pStyle w:val="98"/>
                    <w:keepNext w:val="0"/>
                    <w:keepLines w:val="0"/>
                    <w:suppressLineNumbers w:val="0"/>
                    <w:spacing w:before="0" w:beforeAutospacing="0" w:after="0" w:afterAutospacing="0"/>
                    <w:ind w:left="0" w:right="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p>
              </w:tc>
              <w:tc>
                <w:tcPr>
                  <w:tcW w:w="801" w:type="pct"/>
                  <w:tcBorders>
                    <w:tl2br w:val="nil"/>
                    <w:tr2bl w:val="nil"/>
                  </w:tcBorders>
                  <w:noWrap w:val="0"/>
                  <w:vAlign w:val="center"/>
                </w:tcPr>
                <w:p w14:paraId="0ED29300">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隔油池+化粪池</w:t>
                  </w:r>
                </w:p>
              </w:tc>
              <w:tc>
                <w:tcPr>
                  <w:tcW w:w="655" w:type="pct"/>
                  <w:tcBorders>
                    <w:tl2br w:val="nil"/>
                    <w:tr2bl w:val="nil"/>
                  </w:tcBorders>
                  <w:noWrap w:val="0"/>
                  <w:vAlign w:val="center"/>
                </w:tcPr>
                <w:p w14:paraId="6054E4B0">
                  <w:pPr>
                    <w:pStyle w:val="98"/>
                    <w:keepNext w:val="0"/>
                    <w:keepLines w:val="0"/>
                    <w:suppressLineNumbers w:val="0"/>
                    <w:spacing w:before="0" w:beforeAutospacing="0" w:after="0" w:afterAutospacing="0"/>
                    <w:ind w:left="0" w:right="0"/>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是</w:t>
                  </w:r>
                </w:p>
              </w:tc>
            </w:tr>
          </w:tbl>
          <w:p w14:paraId="370777D2">
            <w:pPr>
              <w:keepNext w:val="0"/>
              <w:keepLines w:val="0"/>
              <w:pageBreakBefore w:val="0"/>
              <w:widowControl w:val="0"/>
              <w:suppressLineNumbers w:val="0"/>
              <w:kinsoku/>
              <w:wordWrap/>
              <w:overflowPunct w:val="0"/>
              <w:topLinePunct w:val="0"/>
              <w:autoSpaceDE w:val="0"/>
              <w:autoSpaceDN w:val="0"/>
              <w:bidi w:val="0"/>
              <w:adjustRightInd w:val="0"/>
              <w:snapToGrid w:val="0"/>
              <w:spacing w:before="0" w:beforeAutospacing="0" w:after="0" w:afterAutospacing="0" w:line="360" w:lineRule="auto"/>
              <w:ind w:left="0" w:right="0" w:firstLine="482" w:firstLineChars="200"/>
              <w:jc w:val="both"/>
              <w:textAlignment w:val="auto"/>
              <w:rPr>
                <w:rFonts w:hint="eastAsia"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2.5 污水处理厂依托可行性分析</w:t>
            </w:r>
          </w:p>
          <w:p w14:paraId="7AC311AB">
            <w:pPr>
              <w:pStyle w:val="99"/>
              <w:keepNext w:val="0"/>
              <w:keepLines w:val="0"/>
              <w:pageBreakBefore w:val="0"/>
              <w:widowControl w:val="0"/>
              <w:suppressLineNumbers w:val="0"/>
              <w:kinsoku/>
              <w:wordWrap/>
              <w:overflowPunct/>
              <w:topLinePunct/>
              <w:bidi w:val="0"/>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本项目污水经市政排水管网引至</w:t>
            </w:r>
            <w:r>
              <w:rPr>
                <w:rFonts w:hint="eastAsia" w:ascii="Times New Roman" w:hAnsi="Times New Roman" w:eastAsia="宋体" w:cs="Times New Roman"/>
                <w:color w:val="auto"/>
                <w:sz w:val="24"/>
                <w:szCs w:val="24"/>
                <w:highlight w:val="none"/>
              </w:rPr>
              <w:t>阜新市北控水务有限公司</w:t>
            </w:r>
            <w:r>
              <w:rPr>
                <w:rFonts w:hint="default" w:ascii="Times New Roman" w:hAnsi="Times New Roman" w:eastAsia="宋体" w:cs="Times New Roman"/>
                <w:color w:val="auto"/>
                <w:sz w:val="24"/>
                <w:szCs w:val="24"/>
                <w:highlight w:val="none"/>
              </w:rPr>
              <w:t>进行处理。</w:t>
            </w:r>
            <w:r>
              <w:rPr>
                <w:rFonts w:hint="eastAsia" w:ascii="Times New Roman" w:hAnsi="Times New Roman" w:eastAsia="宋体" w:cs="Times New Roman"/>
                <w:color w:val="auto"/>
                <w:sz w:val="24"/>
                <w:szCs w:val="24"/>
                <w:highlight w:val="none"/>
              </w:rPr>
              <w:t>阜新市北控水务有限公司</w:t>
            </w:r>
            <w:r>
              <w:rPr>
                <w:rFonts w:hint="default" w:ascii="Times New Roman" w:hAnsi="Times New Roman" w:eastAsia="宋体" w:cs="Times New Roman"/>
                <w:color w:val="auto"/>
                <w:sz w:val="24"/>
                <w:szCs w:val="24"/>
                <w:highlight w:val="none"/>
              </w:rPr>
              <w:t>位于辽宁省阜新市细河区四合镇新地村</w:t>
            </w:r>
            <w:r>
              <w:rPr>
                <w:rFonts w:hint="eastAsia" w:ascii="Times New Roman" w:hAnsi="Times New Roman" w:eastAsia="宋体" w:cs="Times New Roman"/>
                <w:color w:val="auto"/>
                <w:sz w:val="24"/>
                <w:szCs w:val="24"/>
                <w:highlight w:val="none"/>
              </w:rPr>
              <w:t>细</w:t>
            </w:r>
            <w:r>
              <w:rPr>
                <w:rFonts w:hint="default" w:ascii="Times New Roman" w:hAnsi="Times New Roman" w:eastAsia="宋体" w:cs="Times New Roman"/>
                <w:color w:val="auto"/>
                <w:sz w:val="24"/>
                <w:szCs w:val="24"/>
                <w:highlight w:val="none"/>
              </w:rPr>
              <w:t>河东岸，</w:t>
            </w:r>
            <w:r>
              <w:rPr>
                <w:rFonts w:hint="eastAsia" w:ascii="Times New Roman" w:hAnsi="Times New Roman" w:eastAsia="宋体" w:cs="Times New Roman"/>
                <w:color w:val="auto"/>
                <w:sz w:val="24"/>
                <w:szCs w:val="24"/>
                <w:highlight w:val="none"/>
              </w:rPr>
              <w:t>主要负责处理细河北岸的污水，包括玉龙新城、经济开发区的生产、生活污水，</w:t>
            </w:r>
            <w:r>
              <w:rPr>
                <w:rFonts w:hint="default" w:ascii="Times New Roman" w:hAnsi="Times New Roman" w:eastAsia="宋体" w:cs="Times New Roman"/>
                <w:color w:val="auto"/>
                <w:sz w:val="24"/>
                <w:szCs w:val="24"/>
                <w:highlight w:val="none"/>
              </w:rPr>
              <w:t>设计日处理污水1</w:t>
            </w:r>
            <w:r>
              <w:rPr>
                <w:rFonts w:hint="eastAsia"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rPr>
              <w:t>万m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，采用A</w:t>
            </w:r>
            <w:r>
              <w:rPr>
                <w:rFonts w:hint="eastAsia" w:ascii="Times New Roman" w:hAnsi="Times New Roman" w:eastAsia="宋体" w:cs="Times New Roman"/>
                <w:color w:val="auto"/>
                <w:sz w:val="24"/>
                <w:szCs w:val="24"/>
                <w:highlight w:val="none"/>
              </w:rPr>
              <w:t>2</w:t>
            </w:r>
            <w:r>
              <w:rPr>
                <w:rFonts w:hint="default" w:ascii="Times New Roman" w:hAnsi="Times New Roman" w:eastAsia="宋体" w:cs="Times New Roman"/>
                <w:color w:val="auto"/>
                <w:sz w:val="24"/>
                <w:szCs w:val="24"/>
                <w:highlight w:val="none"/>
              </w:rPr>
              <w:t>/O</w:t>
            </w:r>
            <w:r>
              <w:rPr>
                <w:rFonts w:hint="eastAsia" w:ascii="Times New Roman" w:hAnsi="Times New Roman" w:eastAsia="宋体" w:cs="Times New Roman"/>
                <w:color w:val="auto"/>
                <w:sz w:val="24"/>
                <w:szCs w:val="24"/>
                <w:highlight w:val="none"/>
              </w:rPr>
              <w:t>+深度处理+消毒工艺</w:t>
            </w:r>
            <w:r>
              <w:rPr>
                <w:rFonts w:hint="default" w:ascii="Times New Roman" w:hAnsi="Times New Roman" w:eastAsia="宋体" w:cs="Times New Roman"/>
                <w:color w:val="auto"/>
                <w:sz w:val="24"/>
                <w:szCs w:val="24"/>
                <w:highlight w:val="none"/>
              </w:rPr>
              <w:t>，出水标准执行《城镇污水处理厂污染物排放标准》</w:t>
            </w:r>
            <w:r>
              <w:rPr>
                <w:rFonts w:hint="eastAsia" w:cs="Times New Roman"/>
                <w:color w:val="auto"/>
                <w:sz w:val="24"/>
                <w:szCs w:val="24"/>
                <w:highlight w:val="none"/>
                <w:lang w:val="en-US" w:eastAsia="zh-CN"/>
              </w:rPr>
              <w:t xml:space="preserve"> </w:t>
            </w:r>
            <w:r>
              <w:rPr>
                <w:rFonts w:hint="default" w:ascii="Times New Roman" w:hAnsi="Times New Roman" w:eastAsia="宋体" w:cs="Times New Roman"/>
                <w:color w:val="auto"/>
                <w:sz w:val="24"/>
                <w:szCs w:val="24"/>
                <w:highlight w:val="none"/>
              </w:rPr>
              <w:t>GB18918-2002</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含2006年，2025年修改单）</w:t>
            </w:r>
            <w:r>
              <w:rPr>
                <w:rFonts w:hint="default" w:ascii="Times New Roman" w:hAnsi="Times New Roman" w:eastAsia="宋体" w:cs="Times New Roman"/>
                <w:color w:val="auto"/>
                <w:sz w:val="24"/>
                <w:szCs w:val="24"/>
                <w:highlight w:val="none"/>
              </w:rPr>
              <w:t>一级A标准，出水排入细河。污水处理厂目前日平均处理污水量为</w:t>
            </w:r>
            <w:r>
              <w:rPr>
                <w:rFonts w:hint="eastAsia" w:ascii="Times New Roman" w:hAnsi="Times New Roman" w:eastAsia="宋体" w:cs="Times New Roman"/>
                <w:color w:val="auto"/>
                <w:sz w:val="24"/>
                <w:szCs w:val="24"/>
                <w:highlight w:val="none"/>
              </w:rPr>
              <w:t>10.94</w:t>
            </w:r>
            <w:r>
              <w:rPr>
                <w:rFonts w:hint="default" w:ascii="Times New Roman" w:hAnsi="Times New Roman" w:eastAsia="宋体" w:cs="Times New Roman"/>
                <w:color w:val="auto"/>
                <w:sz w:val="24"/>
                <w:szCs w:val="24"/>
                <w:highlight w:val="none"/>
              </w:rPr>
              <w:t>万m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，剩余处理能力为</w:t>
            </w:r>
            <w:r>
              <w:rPr>
                <w:rFonts w:hint="eastAsia" w:ascii="Times New Roman" w:hAnsi="Times New Roman" w:eastAsia="宋体" w:cs="Times New Roman"/>
                <w:color w:val="auto"/>
                <w:sz w:val="24"/>
                <w:szCs w:val="24"/>
                <w:highlight w:val="none"/>
              </w:rPr>
              <w:t>1.06</w:t>
            </w:r>
            <w:r>
              <w:rPr>
                <w:rFonts w:hint="default" w:ascii="Times New Roman" w:hAnsi="Times New Roman" w:eastAsia="宋体" w:cs="Times New Roman"/>
                <w:color w:val="auto"/>
                <w:sz w:val="24"/>
                <w:szCs w:val="24"/>
                <w:highlight w:val="none"/>
              </w:rPr>
              <w:t>万m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w:t>
            </w:r>
          </w:p>
          <w:p w14:paraId="1EE8458A">
            <w:pPr>
              <w:pStyle w:val="99"/>
              <w:keepNext w:val="0"/>
              <w:keepLines w:val="0"/>
              <w:pageBreakBefore w:val="0"/>
              <w:widowControl w:val="0"/>
              <w:suppressLineNumbers w:val="0"/>
              <w:kinsoku/>
              <w:wordWrap/>
              <w:overflowPunct/>
              <w:topLinePunct/>
              <w:bidi w:val="0"/>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本项目废水总排放量</w:t>
            </w:r>
            <w:r>
              <w:rPr>
                <w:rFonts w:hint="eastAsia" w:ascii="Times New Roman" w:hAnsi="Times New Roman" w:eastAsia="宋体" w:cs="Times New Roman"/>
                <w:color w:val="auto"/>
                <w:sz w:val="24"/>
                <w:szCs w:val="24"/>
                <w:highlight w:val="none"/>
                <w:lang w:val="en-US" w:eastAsia="zh-CN"/>
              </w:rPr>
              <w:t>约</w:t>
            </w:r>
            <w:r>
              <w:rPr>
                <w:rFonts w:hint="default" w:ascii="Times New Roman" w:hAnsi="Times New Roman" w:eastAsia="宋体" w:cs="Times New Roman"/>
                <w:color w:val="auto"/>
                <w:sz w:val="24"/>
                <w:szCs w:val="24"/>
                <w:highlight w:val="none"/>
              </w:rPr>
              <w:t>为</w:t>
            </w:r>
            <w:r>
              <w:rPr>
                <w:rFonts w:hint="eastAsia" w:ascii="Times New Roman" w:hAnsi="Times New Roman" w:eastAsia="宋体" w:cs="Times New Roman"/>
                <w:color w:val="auto"/>
                <w:sz w:val="24"/>
                <w:szCs w:val="24"/>
                <w:highlight w:val="none"/>
                <w:lang w:val="en-US" w:eastAsia="zh-CN"/>
              </w:rPr>
              <w:t>2.093</w:t>
            </w:r>
            <w:r>
              <w:rPr>
                <w:rFonts w:hint="default" w:ascii="Times New Roman" w:hAnsi="Times New Roman" w:eastAsia="宋体" w:cs="Times New Roman"/>
                <w:color w:val="auto"/>
                <w:sz w:val="24"/>
                <w:szCs w:val="24"/>
                <w:highlight w:val="none"/>
              </w:rPr>
              <w:t>m</w:t>
            </w:r>
            <w:r>
              <w:rPr>
                <w:rFonts w:hint="default" w:ascii="Times New Roman" w:hAnsi="Times New Roman" w:eastAsia="宋体" w:cs="Times New Roman"/>
                <w:color w:val="auto"/>
                <w:sz w:val="24"/>
                <w:szCs w:val="24"/>
                <w:highlight w:val="none"/>
                <w:vertAlign w:val="superscript"/>
              </w:rPr>
              <w:t>3</w:t>
            </w:r>
            <w:r>
              <w:rPr>
                <w:rFonts w:hint="default" w:ascii="Times New Roman" w:hAnsi="Times New Roman" w:eastAsia="宋体" w:cs="Times New Roman"/>
                <w:color w:val="auto"/>
                <w:sz w:val="24"/>
                <w:szCs w:val="24"/>
                <w:highlight w:val="none"/>
              </w:rPr>
              <w:t>/d，废水水质较为简单，产生的污水远小于该污水处理厂的日处理量，本项目污水不会对</w:t>
            </w:r>
            <w:r>
              <w:rPr>
                <w:rFonts w:hint="eastAsia" w:ascii="Times New Roman" w:hAnsi="Times New Roman" w:eastAsia="宋体" w:cs="Times New Roman"/>
                <w:color w:val="auto"/>
                <w:sz w:val="24"/>
                <w:szCs w:val="24"/>
                <w:highlight w:val="none"/>
              </w:rPr>
              <w:t>阜新市北控水务有限公司</w:t>
            </w:r>
            <w:r>
              <w:rPr>
                <w:rFonts w:hint="default" w:ascii="Times New Roman" w:hAnsi="Times New Roman" w:eastAsia="宋体" w:cs="Times New Roman"/>
                <w:color w:val="auto"/>
                <w:sz w:val="24"/>
                <w:szCs w:val="24"/>
                <w:highlight w:val="none"/>
              </w:rPr>
              <w:t>形成水量上的冲击</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本项目排放的污染物浓度均低于</w:t>
            </w:r>
            <w:r>
              <w:rPr>
                <w:rFonts w:hint="eastAsia" w:ascii="Times New Roman" w:hAnsi="Times New Roman" w:eastAsia="宋体" w:cs="Times New Roman"/>
                <w:color w:val="auto"/>
                <w:sz w:val="24"/>
                <w:szCs w:val="24"/>
                <w:highlight w:val="none"/>
              </w:rPr>
              <w:t>阜新市北控水务有限公司</w:t>
            </w:r>
            <w:r>
              <w:rPr>
                <w:rFonts w:hint="default" w:ascii="Times New Roman" w:hAnsi="Times New Roman" w:eastAsia="宋体" w:cs="Times New Roman"/>
                <w:color w:val="auto"/>
                <w:sz w:val="24"/>
                <w:szCs w:val="24"/>
                <w:highlight w:val="none"/>
              </w:rPr>
              <w:t>设计进水水质指标，因此本项目废水依托该污水处理厂处理是可行的。</w:t>
            </w:r>
          </w:p>
          <w:p w14:paraId="77925746">
            <w:pPr>
              <w:pStyle w:val="99"/>
              <w:keepNext w:val="0"/>
              <w:keepLines w:val="0"/>
              <w:pageBreakBefore w:val="0"/>
              <w:widowControl w:val="0"/>
              <w:suppressLineNumbers w:val="0"/>
              <w:kinsoku/>
              <w:wordWrap/>
              <w:overflowPunct/>
              <w:topLinePunct/>
              <w:bidi w:val="0"/>
              <w:snapToGrid/>
              <w:spacing w:before="0" w:beforeAutospacing="0" w:after="0" w:afterAutospacing="0" w:line="360" w:lineRule="auto"/>
              <w:ind w:left="0" w:leftChars="0" w:right="0" w:rightChars="0" w:firstLine="480" w:firstLineChars="200"/>
              <w:jc w:val="both"/>
              <w:textAlignment w:val="auto"/>
              <w:outlineLvl w:val="9"/>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综上所述，本项目废水排放量少，水质简单，且能够得到有效处理，出水水质满足该污水处理厂收水要求，废水排水去向合理可行，对区域地表水环境影响较小。</w:t>
            </w:r>
          </w:p>
          <w:p w14:paraId="19EE57A5">
            <w:pPr>
              <w:pStyle w:val="99"/>
              <w:keepNext w:val="0"/>
              <w:keepLines w:val="0"/>
              <w:pageBreakBefore w:val="0"/>
              <w:widowControl w:val="0"/>
              <w:suppressLineNumbers w:val="0"/>
              <w:kinsoku/>
              <w:wordWrap/>
              <w:overflowPunct/>
              <w:topLinePunct/>
              <w:bidi w:val="0"/>
              <w:snapToGrid/>
              <w:spacing w:before="0" w:beforeAutospacing="0" w:after="0" w:afterAutospacing="0" w:line="360" w:lineRule="auto"/>
              <w:ind w:left="0" w:leftChars="0" w:right="0" w:rightChars="0" w:firstLine="482" w:firstLineChars="200"/>
              <w:textAlignment w:val="auto"/>
              <w:outlineLvl w:val="9"/>
              <w:rPr>
                <w:rFonts w:hint="default" w:ascii="Times New Roman" w:hAnsi="Times New Roman" w:eastAsia="宋体" w:cs="Times New Roman"/>
                <w:b/>
                <w:bCs/>
                <w:color w:val="auto"/>
                <w:sz w:val="24"/>
                <w:szCs w:val="24"/>
                <w:highlight w:val="none"/>
              </w:rPr>
            </w:pPr>
            <w:r>
              <w:rPr>
                <w:rFonts w:hint="eastAsia" w:cs="Times New Roman"/>
                <w:b/>
                <w:bCs/>
                <w:color w:val="auto"/>
                <w:sz w:val="24"/>
                <w:szCs w:val="24"/>
                <w:highlight w:val="none"/>
                <w:lang w:val="en-US" w:eastAsia="zh-CN"/>
              </w:rPr>
              <w:t xml:space="preserve">2.6 </w:t>
            </w:r>
            <w:r>
              <w:rPr>
                <w:rFonts w:hint="default" w:ascii="Times New Roman" w:hAnsi="Times New Roman" w:eastAsia="宋体" w:cs="Times New Roman"/>
                <w:b/>
                <w:bCs/>
                <w:color w:val="auto"/>
                <w:sz w:val="24"/>
                <w:szCs w:val="24"/>
                <w:highlight w:val="none"/>
              </w:rPr>
              <w:t>废水监测要求</w:t>
            </w:r>
          </w:p>
          <w:p w14:paraId="4B5CA23D">
            <w:pPr>
              <w:pStyle w:val="99"/>
              <w:keepNext w:val="0"/>
              <w:keepLines w:val="0"/>
              <w:pageBreakBefore w:val="0"/>
              <w:widowControl w:val="0"/>
              <w:suppressLineNumbers w:val="0"/>
              <w:kinsoku/>
              <w:wordWrap/>
              <w:overflowPunct/>
              <w:topLinePunct/>
              <w:bidi w:val="0"/>
              <w:snapToGrid/>
              <w:spacing w:before="0" w:beforeAutospacing="0" w:after="0" w:afterAutospacing="0" w:line="360" w:lineRule="auto"/>
              <w:ind w:left="0" w:leftChars="0" w:right="0" w:rightChars="0" w:firstLine="480" w:firstLineChars="200"/>
              <w:textAlignment w:val="auto"/>
              <w:outlineLvl w:val="9"/>
              <w:rPr>
                <w:rFonts w:hint="eastAsia" w:ascii="Times New Roman" w:hAnsi="Times New Roman" w:eastAsia="宋体" w:cs="Times New Roman"/>
                <w:b/>
                <w:color w:val="auto"/>
                <w:szCs w:val="21"/>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根据《排污单位自行监测技术指南 总则》（HJ819-2017）、</w:t>
            </w:r>
            <w:r>
              <w:rPr>
                <w:rFonts w:hint="default" w:ascii="Times New Roman" w:hAnsi="Times New Roman" w:eastAsia="宋体" w:cs="Times New Roman"/>
                <w:color w:val="auto"/>
                <w:sz w:val="24"/>
                <w:szCs w:val="24"/>
                <w:highlight w:val="none"/>
              </w:rPr>
              <w:t>根据《排污许可申请与核发技术规范  废弃资源加工工业》（HJ1034-2019）</w:t>
            </w:r>
            <w:r>
              <w:rPr>
                <w:rFonts w:hint="default" w:ascii="Times New Roman" w:hAnsi="Times New Roman" w:eastAsia="宋体" w:cs="Times New Roman"/>
                <w:color w:val="auto"/>
                <w:sz w:val="24"/>
                <w:szCs w:val="24"/>
                <w:highlight w:val="none"/>
                <w:lang w:eastAsia="zh-CN"/>
              </w:rPr>
              <w:t>表</w:t>
            </w:r>
            <w:r>
              <w:rPr>
                <w:rFonts w:hint="default" w:ascii="Times New Roman" w:hAnsi="Times New Roman" w:eastAsia="宋体" w:cs="Times New Roman"/>
                <w:color w:val="auto"/>
                <w:sz w:val="24"/>
                <w:szCs w:val="24"/>
                <w:highlight w:val="none"/>
                <w:lang w:val="en-US" w:eastAsia="zh-CN"/>
              </w:rPr>
              <w:t>34废机动车加工类企业自行监测</w:t>
            </w:r>
            <w:r>
              <w:rPr>
                <w:rFonts w:hint="default" w:ascii="Times New Roman" w:hAnsi="Times New Roman" w:eastAsia="宋体" w:cs="Times New Roman"/>
                <w:color w:val="auto"/>
                <w:sz w:val="24"/>
                <w:szCs w:val="24"/>
                <w:highlight w:val="none"/>
              </w:rPr>
              <w:t>的要求，本项目投产后的</w:t>
            </w:r>
            <w:r>
              <w:rPr>
                <w:rFonts w:hint="default" w:ascii="Times New Roman" w:hAnsi="Times New Roman" w:eastAsia="宋体" w:cs="Times New Roman"/>
                <w:color w:val="auto"/>
                <w:sz w:val="24"/>
                <w:szCs w:val="24"/>
                <w:highlight w:val="none"/>
                <w:lang w:eastAsia="zh-CN"/>
              </w:rPr>
              <w:t>例行</w:t>
            </w:r>
            <w:r>
              <w:rPr>
                <w:rFonts w:hint="default" w:ascii="Times New Roman" w:hAnsi="Times New Roman" w:eastAsia="宋体" w:cs="Times New Roman"/>
                <w:color w:val="auto"/>
                <w:sz w:val="24"/>
                <w:szCs w:val="24"/>
                <w:highlight w:val="none"/>
              </w:rPr>
              <w:t>监测计划见下表</w:t>
            </w:r>
            <w:r>
              <w:rPr>
                <w:rFonts w:hint="eastAsia" w:cs="Times New Roman"/>
                <w:color w:val="auto"/>
                <w:sz w:val="24"/>
                <w:szCs w:val="24"/>
                <w:highlight w:val="none"/>
                <w:lang w:val="en-US" w:eastAsia="zh-CN"/>
              </w:rPr>
              <w:t>。</w:t>
            </w:r>
          </w:p>
          <w:p w14:paraId="14867D8D">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表4-</w:t>
            </w:r>
            <w:r>
              <w:rPr>
                <w:rFonts w:hint="eastAsia" w:cs="Times New Roman"/>
                <w:b/>
                <w:color w:val="auto"/>
                <w:szCs w:val="21"/>
                <w:highlight w:val="none"/>
                <w:lang w:val="en-US" w:eastAsia="zh-CN"/>
              </w:rPr>
              <w:t xml:space="preserve">19  </w:t>
            </w:r>
            <w:r>
              <w:rPr>
                <w:rFonts w:hint="default" w:ascii="Times New Roman" w:hAnsi="Times New Roman" w:eastAsia="宋体" w:cs="Times New Roman"/>
                <w:b/>
                <w:color w:val="auto"/>
                <w:szCs w:val="21"/>
                <w:highlight w:val="none"/>
              </w:rPr>
              <w:t>运营期废水监测方案</w:t>
            </w:r>
          </w:p>
          <w:tbl>
            <w:tblPr>
              <w:tblStyle w:val="26"/>
              <w:tblW w:w="4996"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830"/>
              <w:gridCol w:w="1116"/>
              <w:gridCol w:w="2595"/>
              <w:gridCol w:w="885"/>
              <w:gridCol w:w="3693"/>
            </w:tblGrid>
            <w:tr w14:paraId="6A8A6E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tcBorders>
                    <w:tl2br w:val="nil"/>
                    <w:tr2bl w:val="nil"/>
                  </w:tcBorders>
                  <w:noWrap w:val="0"/>
                  <w:vAlign w:val="center"/>
                </w:tcPr>
                <w:p w14:paraId="2F318FDE">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监测内容</w:t>
                  </w:r>
                </w:p>
              </w:tc>
              <w:tc>
                <w:tcPr>
                  <w:tcW w:w="612" w:type="pct"/>
                  <w:tcBorders>
                    <w:tl2br w:val="nil"/>
                    <w:tr2bl w:val="nil"/>
                  </w:tcBorders>
                  <w:noWrap w:val="0"/>
                  <w:vAlign w:val="center"/>
                </w:tcPr>
                <w:p w14:paraId="4AEFC3F7">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监测点位</w:t>
                  </w:r>
                </w:p>
              </w:tc>
              <w:tc>
                <w:tcPr>
                  <w:tcW w:w="1423" w:type="pct"/>
                  <w:tcBorders>
                    <w:tl2br w:val="nil"/>
                    <w:tr2bl w:val="nil"/>
                  </w:tcBorders>
                  <w:noWrap w:val="0"/>
                  <w:vAlign w:val="center"/>
                </w:tcPr>
                <w:p w14:paraId="1931D71E">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监测项目</w:t>
                  </w:r>
                </w:p>
              </w:tc>
              <w:tc>
                <w:tcPr>
                  <w:tcW w:w="485" w:type="pct"/>
                  <w:tcBorders>
                    <w:tl2br w:val="nil"/>
                    <w:tr2bl w:val="nil"/>
                  </w:tcBorders>
                  <w:noWrap w:val="0"/>
                  <w:vAlign w:val="center"/>
                </w:tcPr>
                <w:p w14:paraId="3DFDBFC3">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监测频次</w:t>
                  </w:r>
                </w:p>
              </w:tc>
              <w:tc>
                <w:tcPr>
                  <w:tcW w:w="2022" w:type="pct"/>
                  <w:tcBorders>
                    <w:tl2br w:val="nil"/>
                    <w:tr2bl w:val="nil"/>
                  </w:tcBorders>
                  <w:noWrap w:val="0"/>
                  <w:vAlign w:val="center"/>
                </w:tcPr>
                <w:p w14:paraId="663DC5DD">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b/>
                      <w:color w:val="auto"/>
                      <w:szCs w:val="21"/>
                      <w:highlight w:val="none"/>
                    </w:rPr>
                    <w:t>执行标准</w:t>
                  </w:r>
                </w:p>
              </w:tc>
            </w:tr>
            <w:tr w14:paraId="429AC1C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55" w:type="pct"/>
                  <w:tcBorders>
                    <w:tl2br w:val="nil"/>
                    <w:tr2bl w:val="nil"/>
                  </w:tcBorders>
                  <w:noWrap w:val="0"/>
                  <w:vAlign w:val="center"/>
                </w:tcPr>
                <w:p w14:paraId="500CF0E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eastAsia="宋体" w:cs="Times New Roman"/>
                      <w:color w:val="auto"/>
                      <w:szCs w:val="21"/>
                      <w:highlight w:val="none"/>
                    </w:rPr>
                    <w:t>废水</w:t>
                  </w:r>
                </w:p>
              </w:tc>
              <w:tc>
                <w:tcPr>
                  <w:tcW w:w="612" w:type="pct"/>
                  <w:tcBorders>
                    <w:tl2br w:val="nil"/>
                    <w:tr2bl w:val="nil"/>
                  </w:tcBorders>
                  <w:noWrap w:val="0"/>
                  <w:vAlign w:val="center"/>
                </w:tcPr>
                <w:p w14:paraId="34D4DE62">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bCs/>
                      <w:color w:val="auto"/>
                      <w:szCs w:val="21"/>
                      <w:highlight w:val="none"/>
                    </w:rPr>
                    <w:t>厂区总排口</w:t>
                  </w:r>
                  <w:r>
                    <w:rPr>
                      <w:rFonts w:hint="eastAsia" w:cs="Times New Roman"/>
                      <w:bCs/>
                      <w:color w:val="auto"/>
                      <w:szCs w:val="21"/>
                      <w:highlight w:val="none"/>
                      <w:lang w:val="en-US" w:eastAsia="zh-CN"/>
                    </w:rPr>
                    <w:t>DW001</w:t>
                  </w:r>
                </w:p>
              </w:tc>
              <w:tc>
                <w:tcPr>
                  <w:tcW w:w="1423" w:type="pct"/>
                  <w:tcBorders>
                    <w:tl2br w:val="nil"/>
                    <w:tr2bl w:val="nil"/>
                  </w:tcBorders>
                  <w:noWrap w:val="0"/>
                  <w:vAlign w:val="center"/>
                </w:tcPr>
                <w:p w14:paraId="599E9A4F">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lang w:val="en-US" w:eastAsia="zh-CN"/>
                    </w:rPr>
                  </w:pPr>
                  <w:r>
                    <w:rPr>
                      <w:rFonts w:hint="default" w:ascii="Times New Roman" w:hAnsi="Times New Roman" w:eastAsia="宋体" w:cs="Times New Roman"/>
                      <w:color w:val="auto"/>
                      <w:szCs w:val="21"/>
                      <w:highlight w:val="none"/>
                    </w:rPr>
                    <w:t>pH值、化学需氧量、石油类、氨氮、悬浮物、五日生化需氧量、</w:t>
                  </w:r>
                  <w:r>
                    <w:rPr>
                      <w:rFonts w:hint="eastAsia" w:cs="Times New Roman"/>
                      <w:color w:val="auto"/>
                      <w:szCs w:val="21"/>
                      <w:highlight w:val="none"/>
                      <w:lang w:val="en-US" w:eastAsia="zh-CN"/>
                    </w:rPr>
                    <w:t>总磷</w:t>
                  </w:r>
                  <w:r>
                    <w:rPr>
                      <w:rFonts w:hint="eastAsia" w:ascii="Times New Roman" w:hAnsi="Times New Roman" w:eastAsia="宋体" w:cs="Times New Roman"/>
                      <w:color w:val="auto"/>
                      <w:szCs w:val="21"/>
                      <w:highlight w:val="none"/>
                      <w:lang w:val="en-US" w:eastAsia="zh-CN"/>
                    </w:rPr>
                    <w:t>（以P计）、总氮、动植物油</w:t>
                  </w:r>
                </w:p>
              </w:tc>
              <w:tc>
                <w:tcPr>
                  <w:tcW w:w="485" w:type="pct"/>
                  <w:tcBorders>
                    <w:tl2br w:val="nil"/>
                    <w:tr2bl w:val="nil"/>
                  </w:tcBorders>
                  <w:noWrap w:val="0"/>
                  <w:vAlign w:val="center"/>
                </w:tcPr>
                <w:p w14:paraId="626D261E">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1次/年</w:t>
                  </w:r>
                </w:p>
              </w:tc>
              <w:tc>
                <w:tcPr>
                  <w:tcW w:w="2022" w:type="pct"/>
                  <w:tcBorders>
                    <w:tl2br w:val="nil"/>
                    <w:tr2bl w:val="nil"/>
                  </w:tcBorders>
                  <w:noWrap w:val="0"/>
                  <w:vAlign w:val="center"/>
                </w:tcPr>
                <w:p w14:paraId="17A01579">
                  <w:pPr>
                    <w:keepNext w:val="0"/>
                    <w:keepLines w:val="0"/>
                    <w:suppressLineNumbers w:val="0"/>
                    <w:spacing w:before="0" w:beforeAutospacing="0" w:after="0" w:afterAutospacing="0"/>
                    <w:ind w:left="0" w:right="0"/>
                    <w:jc w:val="center"/>
                    <w:rPr>
                      <w:rFonts w:hint="default" w:ascii="Times New Roman" w:hAnsi="Times New Roman" w:eastAsia="宋体" w:cs="Times New Roman"/>
                      <w:b/>
                      <w:color w:val="auto"/>
                      <w:szCs w:val="21"/>
                      <w:highlight w:val="none"/>
                    </w:rPr>
                  </w:pPr>
                  <w:r>
                    <w:rPr>
                      <w:rFonts w:hint="default" w:ascii="Times New Roman" w:hAnsi="Times New Roman" w:eastAsia="宋体" w:cs="Times New Roman"/>
                      <w:color w:val="auto"/>
                      <w:szCs w:val="21"/>
                      <w:highlight w:val="none"/>
                    </w:rPr>
                    <w:t>《辽宁省污水综合排放标准》（DB21/1627-2008）表2中排入污水处理厂标准限值；pH、动植物油参照执行《污水综合排放标准》（GB8978-1996）表2标准</w:t>
                  </w:r>
                </w:p>
              </w:tc>
            </w:tr>
            <w:tr w14:paraId="0217A22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000" w:type="pct"/>
                  <w:gridSpan w:val="5"/>
                  <w:tcBorders>
                    <w:tl2br w:val="nil"/>
                    <w:tr2bl w:val="nil"/>
                  </w:tcBorders>
                  <w:noWrap w:val="0"/>
                  <w:vAlign w:val="center"/>
                </w:tcPr>
                <w:p w14:paraId="7521D98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szCs w:val="21"/>
                      <w:highlight w:val="none"/>
                    </w:rPr>
                  </w:pPr>
                  <w:r>
                    <w:rPr>
                      <w:rFonts w:hint="default" w:ascii="Times New Roman" w:hAnsi="Times New Roman"/>
                      <w:color w:val="auto"/>
                      <w:sz w:val="21"/>
                      <w:szCs w:val="21"/>
                      <w:highlight w:val="none"/>
                    </w:rPr>
                    <w:t>注：本表格所列监测频次为最低监测频次，当地管理部门有具体要求的，从其规定</w:t>
                  </w:r>
                </w:p>
              </w:tc>
            </w:tr>
          </w:tbl>
          <w:p w14:paraId="076CB2F6">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firstLine="482" w:firstLineChars="200"/>
              <w:jc w:val="both"/>
              <w:textAlignment w:val="auto"/>
              <w:rPr>
                <w:rFonts w:hint="default" w:ascii="Times New Roman" w:hAnsi="Times New Roman" w:eastAsia="宋体" w:cs="Times New Roman"/>
                <w:b/>
                <w:bCs/>
                <w:color w:val="auto"/>
                <w:kern w:val="2"/>
                <w:sz w:val="24"/>
                <w:szCs w:val="24"/>
                <w:highlight w:val="none"/>
                <w:lang w:val="en-US" w:eastAsia="zh-CN"/>
              </w:rPr>
            </w:pPr>
            <w:r>
              <w:rPr>
                <w:rFonts w:hint="eastAsia" w:ascii="Times New Roman" w:hAnsi="Times New Roman" w:eastAsia="宋体" w:cs="Times New Roman"/>
                <w:b/>
                <w:bCs/>
                <w:color w:val="auto"/>
                <w:kern w:val="2"/>
                <w:sz w:val="24"/>
                <w:szCs w:val="24"/>
                <w:highlight w:val="none"/>
                <w:lang w:val="en-US" w:eastAsia="zh-CN"/>
              </w:rPr>
              <w:t>2.6 废水影响分析</w:t>
            </w:r>
          </w:p>
          <w:p w14:paraId="5E0A9B85">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cs="Times New Roman"/>
                <w:b/>
                <w:color w:val="auto"/>
                <w:sz w:val="24"/>
                <w:szCs w:val="36"/>
                <w:highlight w:val="none"/>
                <w:lang w:val="en-US" w:eastAsia="zh-CN"/>
              </w:rPr>
            </w:pPr>
            <w:r>
              <w:rPr>
                <w:rFonts w:hint="eastAsia" w:ascii="Times New Roman" w:hAnsi="Times New Roman" w:eastAsia="宋体" w:cs="Times New Roman"/>
                <w:color w:val="auto"/>
                <w:kern w:val="2"/>
                <w:sz w:val="24"/>
                <w:szCs w:val="24"/>
                <w:highlight w:val="none"/>
                <w:lang w:val="en-US" w:eastAsia="zh-CN" w:bidi="ar-SA"/>
              </w:rPr>
              <w:t>综上所述，本项目废水在采取有效的措施后，废水中的</w:t>
            </w:r>
            <w:r>
              <w:rPr>
                <w:rFonts w:hint="eastAsia" w:ascii="Times New Roman" w:hAnsi="Times New Roman" w:eastAsia="宋体" w:cs="Times New Roman"/>
                <w:color w:val="auto"/>
                <w:sz w:val="24"/>
                <w:szCs w:val="24"/>
                <w:highlight w:val="none"/>
                <w:vertAlign w:val="baseline"/>
                <w:lang w:val="en-US" w:eastAsia="zh-CN"/>
              </w:rPr>
              <w:t>CODcr、BOD</w:t>
            </w:r>
            <w:r>
              <w:rPr>
                <w:rFonts w:hint="eastAsia" w:ascii="Times New Roman" w:hAnsi="Times New Roman" w:eastAsia="宋体" w:cs="Times New Roman"/>
                <w:color w:val="auto"/>
                <w:sz w:val="24"/>
                <w:szCs w:val="24"/>
                <w:highlight w:val="none"/>
                <w:vertAlign w:val="subscript"/>
                <w:lang w:val="en-US" w:eastAsia="zh-CN"/>
              </w:rPr>
              <w:t>5、</w:t>
            </w:r>
            <w:r>
              <w:rPr>
                <w:rFonts w:hint="eastAsia" w:ascii="Times New Roman" w:hAnsi="Times New Roman" w:eastAsia="宋体" w:cs="Times New Roman"/>
                <w:color w:val="auto"/>
                <w:sz w:val="24"/>
                <w:szCs w:val="24"/>
                <w:highlight w:val="none"/>
                <w:vertAlign w:val="baseline"/>
                <w:lang w:val="en-US" w:eastAsia="zh-CN"/>
              </w:rPr>
              <w:t>SS、氨氮、</w:t>
            </w:r>
            <w:r>
              <w:rPr>
                <w:rFonts w:hint="eastAsia" w:cs="Times New Roman"/>
                <w:color w:val="auto"/>
                <w:sz w:val="24"/>
                <w:szCs w:val="24"/>
                <w:highlight w:val="none"/>
                <w:vertAlign w:val="baseline"/>
                <w:lang w:val="en-US" w:eastAsia="zh-CN"/>
              </w:rPr>
              <w:t>总磷</w:t>
            </w:r>
            <w:r>
              <w:rPr>
                <w:rFonts w:hint="eastAsia" w:ascii="Times New Roman" w:hAnsi="Times New Roman" w:eastAsia="宋体" w:cs="Times New Roman"/>
                <w:color w:val="auto"/>
                <w:sz w:val="24"/>
                <w:szCs w:val="24"/>
                <w:highlight w:val="none"/>
                <w:vertAlign w:val="baseline"/>
                <w:lang w:val="en-US" w:eastAsia="zh-CN"/>
              </w:rPr>
              <w:t>（以P计）、总氮</w:t>
            </w:r>
            <w:r>
              <w:rPr>
                <w:rFonts w:hint="eastAsia" w:cs="Times New Roman"/>
                <w:color w:val="auto"/>
                <w:sz w:val="24"/>
                <w:szCs w:val="24"/>
                <w:highlight w:val="none"/>
                <w:vertAlign w:val="baseline"/>
                <w:lang w:val="en-US" w:eastAsia="zh-CN"/>
              </w:rPr>
              <w:t>、石油类</w:t>
            </w:r>
            <w:r>
              <w:rPr>
                <w:rFonts w:hint="eastAsia" w:ascii="Times New Roman" w:hAnsi="Times New Roman" w:eastAsia="宋体" w:cs="Times New Roman"/>
                <w:color w:val="auto"/>
                <w:sz w:val="24"/>
                <w:szCs w:val="24"/>
                <w:highlight w:val="none"/>
                <w:vertAlign w:val="baseline"/>
                <w:lang w:val="en-US" w:eastAsia="zh-CN"/>
              </w:rPr>
              <w:t>的排放浓度满足</w:t>
            </w:r>
            <w:r>
              <w:rPr>
                <w:rFonts w:hint="eastAsia" w:ascii="Times New Roman" w:hAnsi="Times New Roman" w:eastAsia="宋体" w:cs="Times New Roman"/>
                <w:color w:val="auto"/>
                <w:sz w:val="24"/>
                <w:szCs w:val="24"/>
                <w:highlight w:val="none"/>
                <w:lang w:val="en-US" w:eastAsia="zh-CN"/>
              </w:rPr>
              <w:t>《辽宁省污水综合排放标准》（DB21/1627-2008）表2中排入污水处理厂标准限值要求，pH、动植物油排放浓度满足《污水综合排放标准》（GB8978-1996）中的标准限值要求。</w:t>
            </w:r>
            <w:r>
              <w:rPr>
                <w:rFonts w:hint="eastAsia" w:ascii="Times New Roman" w:hAnsi="Times New Roman" w:eastAsia="宋体" w:cs="Times New Roman"/>
                <w:color w:val="auto"/>
                <w:kern w:val="2"/>
                <w:sz w:val="24"/>
                <w:szCs w:val="24"/>
                <w:highlight w:val="none"/>
                <w:lang w:val="en-US" w:eastAsia="zh-CN" w:bidi="ar-SA"/>
              </w:rPr>
              <w:t>能够满足</w:t>
            </w:r>
            <w:r>
              <w:rPr>
                <w:rFonts w:hint="default" w:ascii="Times New Roman" w:hAnsi="Times New Roman" w:eastAsia="宋体" w:cs="Times New Roman"/>
                <w:color w:val="auto"/>
                <w:sz w:val="24"/>
                <w:szCs w:val="24"/>
                <w:highlight w:val="none"/>
              </w:rPr>
              <w:t>阜新市北控水务有限公司污水处理厂</w:t>
            </w:r>
            <w:r>
              <w:rPr>
                <w:rFonts w:hint="eastAsia" w:ascii="Times New Roman" w:hAnsi="Times New Roman" w:eastAsia="宋体" w:cs="Times New Roman"/>
                <w:color w:val="auto"/>
                <w:kern w:val="2"/>
                <w:sz w:val="24"/>
                <w:szCs w:val="24"/>
                <w:highlight w:val="none"/>
                <w:lang w:val="en-US" w:eastAsia="zh-CN" w:bidi="ar-SA"/>
              </w:rPr>
              <w:t>进水水质要求，废水能够实现达标排放，不会对周边水环境造成较大的影响。</w:t>
            </w:r>
          </w:p>
          <w:p w14:paraId="7A485C8E">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20" w:leftChars="200" w:right="0"/>
              <w:jc w:val="left"/>
              <w:textAlignment w:val="auto"/>
              <w:rPr>
                <w:rFonts w:hint="default" w:ascii="Times New Roman" w:hAnsi="Times New Roman" w:cs="Times New Roman"/>
                <w:b/>
                <w:bCs/>
                <w:color w:val="auto"/>
                <w:sz w:val="24"/>
                <w:szCs w:val="24"/>
                <w:highlight w:val="none"/>
              </w:rPr>
            </w:pPr>
            <w:r>
              <w:rPr>
                <w:rFonts w:hint="eastAsia" w:ascii="Times New Roman" w:hAnsi="Times New Roman" w:cs="Times New Roman"/>
                <w:b/>
                <w:color w:val="auto"/>
                <w:sz w:val="24"/>
                <w:szCs w:val="36"/>
                <w:highlight w:val="none"/>
                <w:lang w:val="en-US" w:eastAsia="zh-CN"/>
              </w:rPr>
              <w:t>3</w:t>
            </w:r>
            <w:r>
              <w:rPr>
                <w:rFonts w:hint="eastAsia" w:cs="Times New Roman"/>
                <w:b/>
                <w:color w:val="auto"/>
                <w:sz w:val="24"/>
                <w:szCs w:val="36"/>
                <w:highlight w:val="none"/>
                <w:lang w:val="en-US" w:eastAsia="zh-CN"/>
              </w:rPr>
              <w:t xml:space="preserve"> </w:t>
            </w:r>
            <w:r>
              <w:rPr>
                <w:rFonts w:hint="eastAsia" w:ascii="Times New Roman" w:hAnsi="Times New Roman" w:cs="Times New Roman"/>
                <w:b/>
                <w:color w:val="auto"/>
                <w:sz w:val="24"/>
                <w:szCs w:val="36"/>
                <w:highlight w:val="none"/>
              </w:rPr>
              <w:t>运营期</w:t>
            </w:r>
            <w:r>
              <w:rPr>
                <w:rFonts w:hint="default" w:ascii="Times New Roman" w:hAnsi="Times New Roman" w:cs="Times New Roman"/>
                <w:b/>
                <w:color w:val="auto"/>
                <w:sz w:val="24"/>
                <w:szCs w:val="36"/>
                <w:highlight w:val="none"/>
              </w:rPr>
              <w:t>噪声</w:t>
            </w:r>
            <w:r>
              <w:rPr>
                <w:rFonts w:hint="eastAsia" w:ascii="Times New Roman" w:hAnsi="Times New Roman" w:cs="Times New Roman"/>
                <w:b/>
                <w:color w:val="auto"/>
                <w:sz w:val="24"/>
                <w:szCs w:val="36"/>
                <w:highlight w:val="none"/>
                <w:lang w:val="en-US" w:eastAsia="zh-CN"/>
              </w:rPr>
              <w:t>环境</w:t>
            </w:r>
            <w:r>
              <w:rPr>
                <w:rFonts w:hint="default" w:ascii="Times New Roman" w:hAnsi="Times New Roman" w:cs="Times New Roman"/>
                <w:b/>
                <w:bCs/>
                <w:color w:val="auto"/>
                <w:sz w:val="24"/>
                <w:szCs w:val="24"/>
                <w:highlight w:val="none"/>
              </w:rPr>
              <w:t>影响分析及保护措施</w:t>
            </w:r>
          </w:p>
          <w:p w14:paraId="4C1BF2D9">
            <w:pPr>
              <w:pStyle w:val="44"/>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firstLine="468" w:firstLineChars="200"/>
              <w:jc w:val="both"/>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color w:val="auto"/>
                <w:spacing w:val="-3"/>
                <w:highlight w:val="none"/>
              </w:rPr>
              <w:t>本项目运营期噪声主要来自引爆机、扒胎机、气动焊机、风机等设备产生的噪</w:t>
            </w:r>
            <w:r>
              <w:rPr>
                <w:rFonts w:hint="default" w:ascii="Times New Roman" w:hAnsi="Times New Roman" w:cs="Times New Roman"/>
                <w:color w:val="auto"/>
                <w:spacing w:val="-2"/>
                <w:highlight w:val="none"/>
              </w:rPr>
              <w:t>声，</w:t>
            </w:r>
            <w:r>
              <w:rPr>
                <w:rFonts w:hint="default" w:ascii="Times New Roman" w:hAnsi="Times New Roman" w:cs="Times New Roman"/>
                <w:color w:val="auto"/>
                <w:spacing w:val="-2"/>
                <w:highlight w:val="none"/>
                <w:lang w:val="en-US" w:eastAsia="zh-CN"/>
              </w:rPr>
              <w:t>其中废钢破碎工序的3#风机位于车间内部，二级活性炭箱配套1#风机</w:t>
            </w:r>
            <w:r>
              <w:rPr>
                <w:rFonts w:hint="eastAsia" w:ascii="Times New Roman" w:hAnsi="Times New Roman" w:cs="Times New Roman"/>
                <w:color w:val="auto"/>
                <w:spacing w:val="-2"/>
                <w:highlight w:val="none"/>
                <w:lang w:val="en-US" w:eastAsia="zh-CN"/>
              </w:rPr>
              <w:t>以</w:t>
            </w:r>
            <w:r>
              <w:rPr>
                <w:rFonts w:hint="default" w:ascii="Times New Roman" w:hAnsi="Times New Roman" w:cs="Times New Roman"/>
                <w:color w:val="auto"/>
                <w:spacing w:val="-2"/>
                <w:highlight w:val="none"/>
                <w:lang w:val="en-US" w:eastAsia="zh-CN"/>
              </w:rPr>
              <w:t>及车辆剪切工序的2#风机位于室外，各主要产噪设备</w:t>
            </w:r>
            <w:r>
              <w:rPr>
                <w:rFonts w:hint="default" w:ascii="Times New Roman" w:hAnsi="Times New Roman" w:cs="Times New Roman"/>
                <w:color w:val="auto"/>
                <w:spacing w:val="-2"/>
                <w:highlight w:val="none"/>
              </w:rPr>
              <w:t>噪声源强在</w:t>
            </w:r>
            <w:r>
              <w:rPr>
                <w:rFonts w:hint="default" w:ascii="Times New Roman" w:hAnsi="Times New Roman" w:cs="Times New Roman"/>
                <w:color w:val="auto"/>
                <w:spacing w:val="-44"/>
                <w:highlight w:val="none"/>
              </w:rPr>
              <w:t xml:space="preserve"> </w:t>
            </w:r>
            <w:r>
              <w:rPr>
                <w:rFonts w:hint="default" w:ascii="Times New Roman" w:hAnsi="Times New Roman" w:eastAsia="宋体" w:cs="Times New Roman"/>
                <w:color w:val="auto"/>
                <w:spacing w:val="-2"/>
                <w:highlight w:val="none"/>
                <w:lang w:val="en-US" w:eastAsia="zh-CN"/>
              </w:rPr>
              <w:t>80-90</w:t>
            </w:r>
            <w:r>
              <w:rPr>
                <w:rFonts w:hint="default" w:ascii="Times New Roman" w:hAnsi="Times New Roman" w:eastAsia="Times New Roman" w:cs="Times New Roman"/>
                <w:color w:val="auto"/>
                <w:spacing w:val="-2"/>
                <w:highlight w:val="none"/>
              </w:rPr>
              <w:t>dB</w:t>
            </w:r>
            <w:r>
              <w:rPr>
                <w:rFonts w:hint="default" w:ascii="Times New Roman" w:hAnsi="Times New Roman" w:cs="Times New Roman"/>
                <w:color w:val="auto"/>
                <w:spacing w:val="-2"/>
                <w:highlight w:val="none"/>
              </w:rPr>
              <w:t>（</w:t>
            </w:r>
            <w:r>
              <w:rPr>
                <w:rFonts w:hint="default" w:ascii="Times New Roman" w:hAnsi="Times New Roman" w:eastAsia="Times New Roman" w:cs="Times New Roman"/>
                <w:color w:val="auto"/>
                <w:spacing w:val="-2"/>
                <w:highlight w:val="none"/>
              </w:rPr>
              <w:t>A</w:t>
            </w:r>
            <w:r>
              <w:rPr>
                <w:rFonts w:hint="default" w:ascii="Times New Roman" w:hAnsi="Times New Roman" w:cs="Times New Roman"/>
                <w:color w:val="auto"/>
                <w:spacing w:val="-2"/>
                <w:highlight w:val="none"/>
              </w:rPr>
              <w:t>）之间</w:t>
            </w:r>
            <w:r>
              <w:rPr>
                <w:rFonts w:hint="default" w:ascii="Times New Roman" w:hAnsi="Times New Roman" w:eastAsia="宋体" w:cs="Times New Roman"/>
                <w:color w:val="auto"/>
                <w:kern w:val="2"/>
                <w:sz w:val="24"/>
                <w:szCs w:val="24"/>
                <w:highlight w:val="none"/>
                <w:lang w:val="en-US" w:eastAsia="zh-CN" w:bidi="ar-SA"/>
              </w:rPr>
              <w:t>，生产厂房墙体的综合隔声效果保守按照20dB（A）计。噪声预测模式采用《环境影响评价技术导则  声环境》（HJ2.4-2021）附录A中工业噪声预测计算模式进行预测。</w:t>
            </w:r>
          </w:p>
          <w:p w14:paraId="3CE962CD">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20" w:leftChars="200" w:right="0"/>
              <w:jc w:val="left"/>
              <w:textAlignment w:val="auto"/>
              <w:rPr>
                <w:rFonts w:hint="eastAsia" w:ascii="Times New Roman" w:hAnsi="Times New Roman" w:cs="Times New Roman"/>
                <w:b/>
                <w:color w:val="auto"/>
                <w:sz w:val="24"/>
                <w:szCs w:val="36"/>
                <w:highlight w:val="none"/>
                <w:lang w:val="en-US" w:eastAsia="zh-CN"/>
              </w:rPr>
            </w:pPr>
            <w:r>
              <w:rPr>
                <w:rFonts w:hint="eastAsia" w:ascii="Times New Roman" w:hAnsi="Times New Roman" w:cs="Times New Roman"/>
                <w:b/>
                <w:color w:val="auto"/>
                <w:sz w:val="24"/>
                <w:szCs w:val="36"/>
                <w:highlight w:val="none"/>
                <w:lang w:val="en-US" w:eastAsia="zh-CN"/>
              </w:rPr>
              <w:t>3.1源强参数</w:t>
            </w:r>
          </w:p>
          <w:p w14:paraId="66164D8E">
            <w:pPr>
              <w:keepNext w:val="0"/>
              <w:keepLines w:val="0"/>
              <w:suppressLineNumbers w:val="0"/>
              <w:adjustRightInd w:val="0"/>
              <w:snapToGrid w:val="0"/>
              <w:spacing w:before="0" w:beforeAutospacing="0" w:after="0" w:afterAutospacing="0" w:line="360" w:lineRule="auto"/>
              <w:ind w:left="0" w:right="0"/>
              <w:jc w:val="center"/>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表4-</w:t>
            </w:r>
            <w:r>
              <w:rPr>
                <w:rFonts w:hint="eastAsia" w:cs="Times New Roman"/>
                <w:b/>
                <w:bCs/>
                <w:color w:val="auto"/>
                <w:kern w:val="2"/>
                <w:sz w:val="21"/>
                <w:szCs w:val="21"/>
                <w:highlight w:val="none"/>
                <w:lang w:val="en-US" w:eastAsia="zh-CN" w:bidi="ar-SA"/>
              </w:rPr>
              <w:t>20</w:t>
            </w:r>
            <w:r>
              <w:rPr>
                <w:rFonts w:hint="eastAsia" w:ascii="Times New Roman" w:hAnsi="Times New Roman" w:eastAsia="宋体" w:cs="Times New Roman"/>
                <w:b/>
                <w:bCs/>
                <w:color w:val="auto"/>
                <w:kern w:val="2"/>
                <w:sz w:val="21"/>
                <w:szCs w:val="21"/>
                <w:highlight w:val="none"/>
                <w:lang w:val="en-US" w:eastAsia="zh-CN" w:bidi="ar-SA"/>
              </w:rPr>
              <w:t xml:space="preserve">  工业企业噪声源强调查清单（室内声源）</w:t>
            </w:r>
          </w:p>
          <w:tbl>
            <w:tblPr>
              <w:tblStyle w:val="26"/>
              <w:tblW w:w="5000"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201"/>
              <w:gridCol w:w="440"/>
              <w:gridCol w:w="641"/>
              <w:gridCol w:w="674"/>
              <w:gridCol w:w="516"/>
              <w:gridCol w:w="345"/>
              <w:gridCol w:w="407"/>
              <w:gridCol w:w="272"/>
              <w:gridCol w:w="540"/>
              <w:gridCol w:w="503"/>
              <w:gridCol w:w="715"/>
              <w:gridCol w:w="434"/>
              <w:gridCol w:w="662"/>
              <w:gridCol w:w="768"/>
              <w:gridCol w:w="554"/>
              <w:gridCol w:w="695"/>
              <w:gridCol w:w="749"/>
            </w:tblGrid>
            <w:tr w14:paraId="2464BC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5DFD35C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序号</w:t>
                  </w:r>
                </w:p>
              </w:tc>
              <w:tc>
                <w:tcPr>
                  <w:tcW w:w="242" w:type="pct"/>
                  <w:vMerge w:val="restart"/>
                  <w:tcBorders>
                    <w:tl2br w:val="nil"/>
                    <w:tr2bl w:val="nil"/>
                  </w:tcBorders>
                  <w:noWrap w:val="0"/>
                  <w:vAlign w:val="center"/>
                </w:tcPr>
                <w:p w14:paraId="7646258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建筑物名称</w:t>
                  </w:r>
                </w:p>
              </w:tc>
              <w:tc>
                <w:tcPr>
                  <w:tcW w:w="352" w:type="pct"/>
                  <w:vMerge w:val="restart"/>
                  <w:tcBorders>
                    <w:tl2br w:val="nil"/>
                    <w:tr2bl w:val="nil"/>
                  </w:tcBorders>
                  <w:noWrap w:val="0"/>
                  <w:vAlign w:val="center"/>
                </w:tcPr>
                <w:p w14:paraId="5282AA3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声源名称</w:t>
                  </w:r>
                </w:p>
              </w:tc>
              <w:tc>
                <w:tcPr>
                  <w:tcW w:w="370" w:type="pct"/>
                  <w:vMerge w:val="restart"/>
                  <w:tcBorders>
                    <w:tl2br w:val="nil"/>
                    <w:tr2bl w:val="nil"/>
                  </w:tcBorders>
                  <w:noWrap w:val="0"/>
                  <w:vAlign w:val="center"/>
                </w:tcPr>
                <w:p w14:paraId="7BF4308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声功率级/dB(A)</w:t>
                  </w:r>
                </w:p>
              </w:tc>
              <w:tc>
                <w:tcPr>
                  <w:tcW w:w="283" w:type="pct"/>
                  <w:vMerge w:val="restart"/>
                  <w:tcBorders>
                    <w:tl2br w:val="nil"/>
                    <w:tr2bl w:val="nil"/>
                  </w:tcBorders>
                  <w:noWrap w:val="0"/>
                  <w:vAlign w:val="center"/>
                </w:tcPr>
                <w:p w14:paraId="1044126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声源控制措施</w:t>
                  </w:r>
                </w:p>
              </w:tc>
              <w:tc>
                <w:tcPr>
                  <w:tcW w:w="561" w:type="pct"/>
                  <w:gridSpan w:val="3"/>
                  <w:tcBorders>
                    <w:tl2br w:val="nil"/>
                    <w:tr2bl w:val="nil"/>
                  </w:tcBorders>
                  <w:noWrap w:val="0"/>
                  <w:vAlign w:val="center"/>
                </w:tcPr>
                <w:p w14:paraId="3F26860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空间相对位置/m</w:t>
                  </w:r>
                </w:p>
              </w:tc>
              <w:tc>
                <w:tcPr>
                  <w:tcW w:w="572" w:type="pct"/>
                  <w:gridSpan w:val="2"/>
                  <w:vMerge w:val="restart"/>
                  <w:tcBorders>
                    <w:tl2br w:val="nil"/>
                    <w:tr2bl w:val="nil"/>
                  </w:tcBorders>
                  <w:noWrap w:val="0"/>
                  <w:vAlign w:val="center"/>
                </w:tcPr>
                <w:p w14:paraId="53D4740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距室内边界距离/m</w:t>
                  </w:r>
                </w:p>
              </w:tc>
              <w:tc>
                <w:tcPr>
                  <w:tcW w:w="392" w:type="pct"/>
                  <w:vMerge w:val="restart"/>
                  <w:tcBorders>
                    <w:tl2br w:val="nil"/>
                    <w:tr2bl w:val="nil"/>
                  </w:tcBorders>
                  <w:noWrap w:val="0"/>
                  <w:vAlign w:val="center"/>
                </w:tcPr>
                <w:p w14:paraId="76E351E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室内边界声级/dB(A)</w:t>
                  </w:r>
                </w:p>
              </w:tc>
              <w:tc>
                <w:tcPr>
                  <w:tcW w:w="238" w:type="pct"/>
                  <w:vMerge w:val="restart"/>
                  <w:tcBorders>
                    <w:tl2br w:val="nil"/>
                    <w:tr2bl w:val="nil"/>
                  </w:tcBorders>
                  <w:noWrap w:val="0"/>
                  <w:vAlign w:val="center"/>
                </w:tcPr>
                <w:p w14:paraId="0D8BC6F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运行时段</w:t>
                  </w:r>
                </w:p>
              </w:tc>
              <w:tc>
                <w:tcPr>
                  <w:tcW w:w="363" w:type="pct"/>
                  <w:vMerge w:val="restart"/>
                  <w:tcBorders>
                    <w:tl2br w:val="nil"/>
                    <w:tr2bl w:val="nil"/>
                  </w:tcBorders>
                  <w:noWrap w:val="0"/>
                  <w:vAlign w:val="center"/>
                </w:tcPr>
                <w:p w14:paraId="06432EC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建筑物插入损失/dB(A)</w:t>
                  </w:r>
                </w:p>
              </w:tc>
              <w:tc>
                <w:tcPr>
                  <w:tcW w:w="725" w:type="pct"/>
                  <w:gridSpan w:val="2"/>
                  <w:tcBorders>
                    <w:tl2br w:val="nil"/>
                    <w:tr2bl w:val="nil"/>
                  </w:tcBorders>
                  <w:noWrap w:val="0"/>
                  <w:vAlign w:val="center"/>
                </w:tcPr>
                <w:p w14:paraId="3FF780B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建筑物外噪声</w:t>
                  </w:r>
                </w:p>
              </w:tc>
              <w:tc>
                <w:tcPr>
                  <w:tcW w:w="789" w:type="pct"/>
                  <w:gridSpan w:val="2"/>
                  <w:tcBorders>
                    <w:tl2br w:val="nil"/>
                    <w:tr2bl w:val="nil"/>
                  </w:tcBorders>
                  <w:noWrap w:val="0"/>
                  <w:vAlign w:val="center"/>
                </w:tcPr>
                <w:p w14:paraId="4301331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厂界</w:t>
                  </w:r>
                  <w:r>
                    <w:rPr>
                      <w:rFonts w:hint="default" w:ascii="Times New Roman" w:hAnsi="Times New Roman" w:cs="Times New Roman"/>
                      <w:b/>
                      <w:bCs/>
                      <w:color w:val="auto"/>
                      <w:kern w:val="2"/>
                      <w:sz w:val="18"/>
                      <w:szCs w:val="18"/>
                      <w:highlight w:val="none"/>
                      <w:lang w:val="en-US" w:eastAsia="zh-CN" w:bidi="ar-SA"/>
                    </w:rPr>
                    <w:t>外1m</w:t>
                  </w:r>
                  <w:r>
                    <w:rPr>
                      <w:rFonts w:hint="default" w:ascii="Times New Roman" w:hAnsi="Times New Roman" w:eastAsia="宋体" w:cs="Times New Roman"/>
                      <w:b/>
                      <w:bCs/>
                      <w:color w:val="auto"/>
                      <w:kern w:val="2"/>
                      <w:sz w:val="18"/>
                      <w:szCs w:val="18"/>
                      <w:highlight w:val="none"/>
                      <w:lang w:val="en-US" w:eastAsia="zh-CN" w:bidi="ar-SA"/>
                    </w:rPr>
                    <w:t>噪声</w:t>
                  </w:r>
                </w:p>
              </w:tc>
            </w:tr>
            <w:tr w14:paraId="0A88564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FA2E46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60B662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3334FA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30063A7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12C27C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189" w:type="pct"/>
                  <w:tcBorders>
                    <w:tl2br w:val="nil"/>
                    <w:tr2bl w:val="nil"/>
                  </w:tcBorders>
                  <w:noWrap w:val="0"/>
                  <w:vAlign w:val="center"/>
                </w:tcPr>
                <w:p w14:paraId="55C5D3C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X</w:t>
                  </w:r>
                </w:p>
              </w:tc>
              <w:tc>
                <w:tcPr>
                  <w:tcW w:w="223" w:type="pct"/>
                  <w:tcBorders>
                    <w:tl2br w:val="nil"/>
                    <w:tr2bl w:val="nil"/>
                  </w:tcBorders>
                  <w:noWrap w:val="0"/>
                  <w:vAlign w:val="center"/>
                </w:tcPr>
                <w:p w14:paraId="191A5FA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Y</w:t>
                  </w:r>
                </w:p>
              </w:tc>
              <w:tc>
                <w:tcPr>
                  <w:tcW w:w="149" w:type="pct"/>
                  <w:tcBorders>
                    <w:tl2br w:val="nil"/>
                    <w:tr2bl w:val="nil"/>
                  </w:tcBorders>
                  <w:noWrap w:val="0"/>
                  <w:vAlign w:val="center"/>
                </w:tcPr>
                <w:p w14:paraId="41407BC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Z</w:t>
                  </w:r>
                </w:p>
              </w:tc>
              <w:tc>
                <w:tcPr>
                  <w:tcW w:w="572" w:type="pct"/>
                  <w:gridSpan w:val="2"/>
                  <w:vMerge w:val="continue"/>
                  <w:tcBorders>
                    <w:tl2br w:val="nil"/>
                    <w:tr2bl w:val="nil"/>
                  </w:tcBorders>
                  <w:noWrap w:val="0"/>
                  <w:vAlign w:val="center"/>
                </w:tcPr>
                <w:p w14:paraId="784BE2C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392" w:type="pct"/>
                  <w:vMerge w:val="continue"/>
                  <w:tcBorders>
                    <w:tl2br w:val="nil"/>
                    <w:tr2bl w:val="nil"/>
                  </w:tcBorders>
                  <w:noWrap w:val="0"/>
                  <w:vAlign w:val="center"/>
                </w:tcPr>
                <w:p w14:paraId="203F9A4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238" w:type="pct"/>
                  <w:vMerge w:val="continue"/>
                  <w:tcBorders>
                    <w:tl2br w:val="nil"/>
                    <w:tr2bl w:val="nil"/>
                  </w:tcBorders>
                  <w:noWrap w:val="0"/>
                  <w:vAlign w:val="center"/>
                </w:tcPr>
                <w:p w14:paraId="3D23326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03FAB6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p>
              </w:tc>
              <w:tc>
                <w:tcPr>
                  <w:tcW w:w="421" w:type="pct"/>
                  <w:tcBorders>
                    <w:tl2br w:val="nil"/>
                    <w:tr2bl w:val="nil"/>
                  </w:tcBorders>
                  <w:noWrap w:val="0"/>
                  <w:vAlign w:val="center"/>
                </w:tcPr>
                <w:p w14:paraId="2C270D9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声压级/dB(A)</w:t>
                  </w:r>
                </w:p>
              </w:tc>
              <w:tc>
                <w:tcPr>
                  <w:tcW w:w="303" w:type="pct"/>
                  <w:tcBorders>
                    <w:tl2br w:val="nil"/>
                    <w:tr2bl w:val="nil"/>
                  </w:tcBorders>
                  <w:noWrap w:val="0"/>
                  <w:vAlign w:val="center"/>
                </w:tcPr>
                <w:p w14:paraId="26FF821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距离/m</w:t>
                  </w:r>
                </w:p>
              </w:tc>
              <w:tc>
                <w:tcPr>
                  <w:tcW w:w="381" w:type="pct"/>
                  <w:tcBorders>
                    <w:tl2br w:val="nil"/>
                    <w:tr2bl w:val="nil"/>
                  </w:tcBorders>
                  <w:noWrap w:val="0"/>
                  <w:vAlign w:val="center"/>
                </w:tcPr>
                <w:p w14:paraId="7958BCA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声压级/dB(A)</w:t>
                  </w:r>
                </w:p>
              </w:tc>
              <w:tc>
                <w:tcPr>
                  <w:tcW w:w="408" w:type="pct"/>
                  <w:tcBorders>
                    <w:tl2br w:val="nil"/>
                    <w:tr2bl w:val="nil"/>
                  </w:tcBorders>
                  <w:noWrap w:val="0"/>
                  <w:vAlign w:val="center"/>
                </w:tcPr>
                <w:p w14:paraId="18C8929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default" w:ascii="Times New Roman" w:hAnsi="Times New Roman" w:eastAsia="宋体" w:cs="Times New Roman"/>
                      <w:b/>
                      <w:bCs/>
                      <w:color w:val="auto"/>
                      <w:kern w:val="2"/>
                      <w:sz w:val="18"/>
                      <w:szCs w:val="18"/>
                      <w:highlight w:val="none"/>
                      <w:lang w:val="en-US" w:eastAsia="zh-CN" w:bidi="ar-SA"/>
                    </w:rPr>
                    <w:t>距离/m</w:t>
                  </w:r>
                </w:p>
              </w:tc>
            </w:tr>
            <w:tr w14:paraId="6B610B6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trPr>
              <w:tc>
                <w:tcPr>
                  <w:tcW w:w="110" w:type="pct"/>
                  <w:vMerge w:val="restart"/>
                  <w:tcBorders>
                    <w:tl2br w:val="nil"/>
                    <w:tr2bl w:val="nil"/>
                  </w:tcBorders>
                  <w:noWrap w:val="0"/>
                  <w:vAlign w:val="center"/>
                </w:tcPr>
                <w:p w14:paraId="0796667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1</w:t>
                  </w:r>
                </w:p>
              </w:tc>
              <w:tc>
                <w:tcPr>
                  <w:tcW w:w="242" w:type="pct"/>
                  <w:vMerge w:val="restart"/>
                  <w:tcBorders>
                    <w:tl2br w:val="nil"/>
                    <w:tr2bl w:val="nil"/>
                  </w:tcBorders>
                  <w:noWrap w:val="0"/>
                  <w:vAlign w:val="center"/>
                </w:tcPr>
                <w:p w14:paraId="6856D12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生产车间</w:t>
                  </w:r>
                </w:p>
              </w:tc>
              <w:tc>
                <w:tcPr>
                  <w:tcW w:w="352" w:type="pct"/>
                  <w:vMerge w:val="restart"/>
                  <w:tcBorders>
                    <w:tl2br w:val="nil"/>
                    <w:tr2bl w:val="nil"/>
                  </w:tcBorders>
                  <w:noWrap w:val="0"/>
                  <w:vAlign w:val="center"/>
                </w:tcPr>
                <w:p w14:paraId="4D6270C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1#冷煤回收机</w:t>
                  </w:r>
                </w:p>
              </w:tc>
              <w:tc>
                <w:tcPr>
                  <w:tcW w:w="370" w:type="pct"/>
                  <w:vMerge w:val="restart"/>
                  <w:tcBorders>
                    <w:tl2br w:val="nil"/>
                    <w:tr2bl w:val="nil"/>
                  </w:tcBorders>
                  <w:noWrap w:val="0"/>
                  <w:vAlign w:val="center"/>
                </w:tcPr>
                <w:p w14:paraId="5F4F720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restart"/>
                  <w:tcBorders>
                    <w:tl2br w:val="nil"/>
                    <w:tr2bl w:val="nil"/>
                  </w:tcBorders>
                  <w:noWrap w:val="0"/>
                  <w:vAlign w:val="center"/>
                </w:tcPr>
                <w:p w14:paraId="2AE5235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基础减振、厂房隔声等措施</w:t>
                  </w:r>
                </w:p>
              </w:tc>
              <w:tc>
                <w:tcPr>
                  <w:tcW w:w="189" w:type="pct"/>
                  <w:vMerge w:val="restart"/>
                  <w:tcBorders>
                    <w:tl2br w:val="nil"/>
                    <w:tr2bl w:val="nil"/>
                  </w:tcBorders>
                  <w:noWrap w:val="0"/>
                  <w:vAlign w:val="center"/>
                </w:tcPr>
                <w:p w14:paraId="3F27000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w:t>
                  </w:r>
                </w:p>
              </w:tc>
              <w:tc>
                <w:tcPr>
                  <w:tcW w:w="223" w:type="pct"/>
                  <w:vMerge w:val="restart"/>
                  <w:tcBorders>
                    <w:tl2br w:val="nil"/>
                    <w:tr2bl w:val="nil"/>
                  </w:tcBorders>
                  <w:noWrap w:val="0"/>
                  <w:vAlign w:val="center"/>
                </w:tcPr>
                <w:p w14:paraId="33FACE8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240</w:t>
                  </w:r>
                </w:p>
              </w:tc>
              <w:tc>
                <w:tcPr>
                  <w:tcW w:w="149" w:type="pct"/>
                  <w:vMerge w:val="restart"/>
                  <w:tcBorders>
                    <w:tl2br w:val="nil"/>
                    <w:tr2bl w:val="nil"/>
                  </w:tcBorders>
                  <w:noWrap w:val="0"/>
                  <w:vAlign w:val="center"/>
                </w:tcPr>
                <w:p w14:paraId="7BF9B48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1B51FCE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327FA99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392" w:type="pct"/>
                  <w:tcBorders>
                    <w:tl2br w:val="nil"/>
                    <w:tr2bl w:val="nil"/>
                  </w:tcBorders>
                  <w:noWrap w:val="0"/>
                  <w:vAlign w:val="center"/>
                </w:tcPr>
                <w:p w14:paraId="17E8830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55</w:t>
                  </w:r>
                </w:p>
              </w:tc>
              <w:tc>
                <w:tcPr>
                  <w:tcW w:w="238" w:type="pct"/>
                  <w:vMerge w:val="restart"/>
                  <w:tcBorders>
                    <w:tl2br w:val="nil"/>
                    <w:tr2bl w:val="nil"/>
                  </w:tcBorders>
                  <w:noWrap w:val="0"/>
                  <w:vAlign w:val="center"/>
                </w:tcPr>
                <w:p w14:paraId="2B53F1B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昼间</w:t>
                  </w:r>
                </w:p>
              </w:tc>
              <w:tc>
                <w:tcPr>
                  <w:tcW w:w="363" w:type="pct"/>
                  <w:vMerge w:val="restart"/>
                  <w:tcBorders>
                    <w:tl2br w:val="nil"/>
                    <w:tr2bl w:val="nil"/>
                  </w:tcBorders>
                  <w:noWrap w:val="0"/>
                  <w:vAlign w:val="center"/>
                </w:tcPr>
                <w:p w14:paraId="2DEF118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26</w:t>
                  </w:r>
                </w:p>
              </w:tc>
              <w:tc>
                <w:tcPr>
                  <w:tcW w:w="421" w:type="pct"/>
                  <w:tcBorders>
                    <w:tl2br w:val="nil"/>
                    <w:tr2bl w:val="nil"/>
                  </w:tcBorders>
                  <w:shd w:val="clear" w:color="auto" w:fill="auto"/>
                  <w:noWrap w:val="0"/>
                  <w:vAlign w:val="top"/>
                </w:tcPr>
                <w:p w14:paraId="01F574D1">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29</w:t>
                  </w:r>
                </w:p>
              </w:tc>
              <w:tc>
                <w:tcPr>
                  <w:tcW w:w="303" w:type="pct"/>
                  <w:tcBorders>
                    <w:tl2br w:val="nil"/>
                    <w:tr2bl w:val="nil"/>
                  </w:tcBorders>
                  <w:noWrap w:val="0"/>
                  <w:vAlign w:val="center"/>
                </w:tcPr>
                <w:p w14:paraId="4CAB52B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6F30DA4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408" w:type="pct"/>
                  <w:tcBorders>
                    <w:tl2br w:val="nil"/>
                    <w:tr2bl w:val="nil"/>
                  </w:tcBorders>
                  <w:noWrap w:val="0"/>
                  <w:vAlign w:val="center"/>
                </w:tcPr>
                <w:p w14:paraId="1DBB495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048BAA0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32E55E2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C16366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0A6A7F9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64BA1BE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D25611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1C13BD4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14DEE11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2AD5626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6E9A5E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2358529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195</w:t>
                  </w:r>
                </w:p>
              </w:tc>
              <w:tc>
                <w:tcPr>
                  <w:tcW w:w="392" w:type="pct"/>
                  <w:tcBorders>
                    <w:tl2br w:val="nil"/>
                    <w:tr2bl w:val="nil"/>
                  </w:tcBorders>
                  <w:noWrap w:val="0"/>
                  <w:vAlign w:val="center"/>
                </w:tcPr>
                <w:p w14:paraId="59C43FC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44</w:t>
                  </w:r>
                </w:p>
              </w:tc>
              <w:tc>
                <w:tcPr>
                  <w:tcW w:w="238" w:type="pct"/>
                  <w:vMerge w:val="continue"/>
                  <w:tcBorders>
                    <w:tl2br w:val="nil"/>
                    <w:tr2bl w:val="nil"/>
                  </w:tcBorders>
                  <w:noWrap w:val="0"/>
                  <w:vAlign w:val="center"/>
                </w:tcPr>
                <w:p w14:paraId="162E9DA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569D43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77214D0">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w:t>
                  </w:r>
                </w:p>
              </w:tc>
              <w:tc>
                <w:tcPr>
                  <w:tcW w:w="303" w:type="pct"/>
                  <w:tcBorders>
                    <w:tl2br w:val="nil"/>
                    <w:tr2bl w:val="nil"/>
                  </w:tcBorders>
                  <w:noWrap w:val="0"/>
                  <w:vAlign w:val="center"/>
                </w:tcPr>
                <w:p w14:paraId="080D995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BAE209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w:t>
                  </w:r>
                </w:p>
              </w:tc>
              <w:tc>
                <w:tcPr>
                  <w:tcW w:w="408" w:type="pct"/>
                  <w:tcBorders>
                    <w:tl2br w:val="nil"/>
                    <w:tr2bl w:val="nil"/>
                  </w:tcBorders>
                  <w:noWrap w:val="0"/>
                  <w:vAlign w:val="center"/>
                </w:tcPr>
                <w:p w14:paraId="3108417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3B9C5D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514A2E3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48FE87E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5A6969D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318007F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97A7FA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0D235B0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7E8076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2C23F7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6F298F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7E311C2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w:t>
                  </w:r>
                </w:p>
              </w:tc>
              <w:tc>
                <w:tcPr>
                  <w:tcW w:w="392" w:type="pct"/>
                  <w:tcBorders>
                    <w:tl2br w:val="nil"/>
                    <w:tr2bl w:val="nil"/>
                  </w:tcBorders>
                  <w:noWrap w:val="0"/>
                  <w:vAlign w:val="center"/>
                </w:tcPr>
                <w:p w14:paraId="0B2AFC7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78</w:t>
                  </w:r>
                </w:p>
              </w:tc>
              <w:tc>
                <w:tcPr>
                  <w:tcW w:w="238" w:type="pct"/>
                  <w:vMerge w:val="continue"/>
                  <w:tcBorders>
                    <w:tl2br w:val="nil"/>
                    <w:tr2bl w:val="nil"/>
                  </w:tcBorders>
                  <w:noWrap w:val="0"/>
                  <w:vAlign w:val="center"/>
                </w:tcPr>
                <w:p w14:paraId="0B4ED5A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2A5B4E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1A7BABF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52</w:t>
                  </w:r>
                </w:p>
              </w:tc>
              <w:tc>
                <w:tcPr>
                  <w:tcW w:w="303" w:type="pct"/>
                  <w:tcBorders>
                    <w:tl2br w:val="nil"/>
                    <w:tr2bl w:val="nil"/>
                  </w:tcBorders>
                  <w:noWrap w:val="0"/>
                  <w:vAlign w:val="center"/>
                </w:tcPr>
                <w:p w14:paraId="707C3D1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69DBFAD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c>
                <w:tcPr>
                  <w:tcW w:w="408" w:type="pct"/>
                  <w:tcBorders>
                    <w:tl2br w:val="nil"/>
                    <w:tr2bl w:val="nil"/>
                  </w:tcBorders>
                  <w:noWrap w:val="0"/>
                  <w:vAlign w:val="center"/>
                </w:tcPr>
                <w:p w14:paraId="4A100C4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42133F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A1C567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5B5EEBA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744478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FA36D7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B496BB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E0BCFD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19C8B3F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5942E5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401445C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2C7A473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w:t>
                  </w:r>
                </w:p>
              </w:tc>
              <w:tc>
                <w:tcPr>
                  <w:tcW w:w="392" w:type="pct"/>
                  <w:tcBorders>
                    <w:tl2br w:val="nil"/>
                    <w:tr2bl w:val="nil"/>
                  </w:tcBorders>
                  <w:noWrap w:val="0"/>
                  <w:vAlign w:val="center"/>
                </w:tcPr>
                <w:p w14:paraId="636A88F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76</w:t>
                  </w:r>
                </w:p>
              </w:tc>
              <w:tc>
                <w:tcPr>
                  <w:tcW w:w="238" w:type="pct"/>
                  <w:vMerge w:val="continue"/>
                  <w:tcBorders>
                    <w:tl2br w:val="nil"/>
                    <w:tr2bl w:val="nil"/>
                  </w:tcBorders>
                  <w:noWrap w:val="0"/>
                  <w:vAlign w:val="center"/>
                </w:tcPr>
                <w:p w14:paraId="3171BA2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6A25253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73E8C6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303" w:type="pct"/>
                  <w:tcBorders>
                    <w:tl2br w:val="nil"/>
                    <w:tr2bl w:val="nil"/>
                  </w:tcBorders>
                  <w:noWrap w:val="0"/>
                  <w:vAlign w:val="center"/>
                </w:tcPr>
                <w:p w14:paraId="0FC2D19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27A38B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408" w:type="pct"/>
                  <w:tcBorders>
                    <w:tl2br w:val="nil"/>
                    <w:tr2bl w:val="nil"/>
                  </w:tcBorders>
                  <w:noWrap w:val="0"/>
                  <w:vAlign w:val="center"/>
                </w:tcPr>
                <w:p w14:paraId="3C07C48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65D80C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22915B9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2</w:t>
                  </w:r>
                </w:p>
              </w:tc>
              <w:tc>
                <w:tcPr>
                  <w:tcW w:w="242" w:type="pct"/>
                  <w:vMerge w:val="continue"/>
                  <w:tcBorders>
                    <w:tl2br w:val="nil"/>
                    <w:tr2bl w:val="nil"/>
                  </w:tcBorders>
                  <w:noWrap w:val="0"/>
                  <w:vAlign w:val="center"/>
                </w:tcPr>
                <w:p w14:paraId="10B674C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6814D62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2#冷煤回收机</w:t>
                  </w:r>
                </w:p>
              </w:tc>
              <w:tc>
                <w:tcPr>
                  <w:tcW w:w="370" w:type="pct"/>
                  <w:vMerge w:val="restart"/>
                  <w:tcBorders>
                    <w:tl2br w:val="nil"/>
                    <w:tr2bl w:val="nil"/>
                  </w:tcBorders>
                  <w:noWrap w:val="0"/>
                  <w:vAlign w:val="center"/>
                </w:tcPr>
                <w:p w14:paraId="09A4B8E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11B1B49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1001BCB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223" w:type="pct"/>
                  <w:vMerge w:val="restart"/>
                  <w:tcBorders>
                    <w:tl2br w:val="nil"/>
                    <w:tr2bl w:val="nil"/>
                  </w:tcBorders>
                  <w:noWrap w:val="0"/>
                  <w:vAlign w:val="center"/>
                </w:tcPr>
                <w:p w14:paraId="2541883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235</w:t>
                  </w:r>
                </w:p>
              </w:tc>
              <w:tc>
                <w:tcPr>
                  <w:tcW w:w="149" w:type="pct"/>
                  <w:vMerge w:val="restart"/>
                  <w:tcBorders>
                    <w:tl2br w:val="nil"/>
                    <w:tr2bl w:val="nil"/>
                  </w:tcBorders>
                  <w:noWrap w:val="0"/>
                  <w:vAlign w:val="center"/>
                </w:tcPr>
                <w:p w14:paraId="67621F2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6D8403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10DAD75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49</w:t>
                  </w:r>
                </w:p>
              </w:tc>
              <w:tc>
                <w:tcPr>
                  <w:tcW w:w="392" w:type="pct"/>
                  <w:tcBorders>
                    <w:tl2br w:val="nil"/>
                    <w:tr2bl w:val="nil"/>
                  </w:tcBorders>
                  <w:noWrap w:val="0"/>
                  <w:vAlign w:val="center"/>
                </w:tcPr>
                <w:p w14:paraId="2976A5B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238" w:type="pct"/>
                  <w:vMerge w:val="continue"/>
                  <w:tcBorders>
                    <w:tl2br w:val="nil"/>
                    <w:tr2bl w:val="nil"/>
                  </w:tcBorders>
                  <w:noWrap w:val="0"/>
                  <w:vAlign w:val="center"/>
                </w:tcPr>
                <w:p w14:paraId="6A4092F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09666F2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6DA86A0D">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03" w:type="pct"/>
                  <w:tcBorders>
                    <w:tl2br w:val="nil"/>
                    <w:tr2bl w:val="nil"/>
                  </w:tcBorders>
                  <w:noWrap w:val="0"/>
                  <w:vAlign w:val="center"/>
                </w:tcPr>
                <w:p w14:paraId="0270346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754EB2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-16</w:t>
                  </w:r>
                </w:p>
              </w:tc>
              <w:tc>
                <w:tcPr>
                  <w:tcW w:w="408" w:type="pct"/>
                  <w:tcBorders>
                    <w:tl2br w:val="nil"/>
                    <w:tr2bl w:val="nil"/>
                  </w:tcBorders>
                  <w:shd w:val="clear" w:color="auto" w:fill="auto"/>
                  <w:noWrap w:val="0"/>
                  <w:vAlign w:val="center"/>
                </w:tcPr>
                <w:p w14:paraId="1AF43C1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4E4258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5ED1263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FB0310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97E180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B7369A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5ECDAFD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0D8DDE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5DF5CFE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F46CDE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78F4F2E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35A0EBC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190</w:t>
                  </w:r>
                </w:p>
              </w:tc>
              <w:tc>
                <w:tcPr>
                  <w:tcW w:w="392" w:type="pct"/>
                  <w:tcBorders>
                    <w:tl2br w:val="nil"/>
                    <w:tr2bl w:val="nil"/>
                  </w:tcBorders>
                  <w:noWrap w:val="0"/>
                  <w:vAlign w:val="center"/>
                </w:tcPr>
                <w:p w14:paraId="3D1E7F9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44</w:t>
                  </w:r>
                </w:p>
              </w:tc>
              <w:tc>
                <w:tcPr>
                  <w:tcW w:w="238" w:type="pct"/>
                  <w:vMerge w:val="continue"/>
                  <w:tcBorders>
                    <w:tl2br w:val="nil"/>
                    <w:tr2bl w:val="nil"/>
                  </w:tcBorders>
                  <w:noWrap w:val="0"/>
                  <w:vAlign w:val="center"/>
                </w:tcPr>
                <w:p w14:paraId="167E806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78E916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0724B59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w:t>
                  </w:r>
                </w:p>
              </w:tc>
              <w:tc>
                <w:tcPr>
                  <w:tcW w:w="303" w:type="pct"/>
                  <w:tcBorders>
                    <w:tl2br w:val="nil"/>
                    <w:tr2bl w:val="nil"/>
                  </w:tcBorders>
                  <w:noWrap w:val="0"/>
                  <w:vAlign w:val="center"/>
                </w:tcPr>
                <w:p w14:paraId="537E18F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8FA126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w:t>
                  </w:r>
                </w:p>
              </w:tc>
              <w:tc>
                <w:tcPr>
                  <w:tcW w:w="408" w:type="pct"/>
                  <w:tcBorders>
                    <w:tl2br w:val="nil"/>
                    <w:tr2bl w:val="nil"/>
                  </w:tcBorders>
                  <w:shd w:val="clear" w:color="auto" w:fill="auto"/>
                  <w:noWrap w:val="0"/>
                  <w:vAlign w:val="center"/>
                </w:tcPr>
                <w:p w14:paraId="38D903E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717A91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0F7869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51C0AF6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3CB69E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5E74F2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BD231C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3CB98B3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10C6DAF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0E3BA5C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2264A8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3750095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11</w:t>
                  </w:r>
                </w:p>
              </w:tc>
              <w:tc>
                <w:tcPr>
                  <w:tcW w:w="392" w:type="pct"/>
                  <w:tcBorders>
                    <w:tl2br w:val="nil"/>
                    <w:tr2bl w:val="nil"/>
                  </w:tcBorders>
                  <w:noWrap w:val="0"/>
                  <w:vAlign w:val="center"/>
                </w:tcPr>
                <w:p w14:paraId="56B325D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69</w:t>
                  </w:r>
                </w:p>
              </w:tc>
              <w:tc>
                <w:tcPr>
                  <w:tcW w:w="238" w:type="pct"/>
                  <w:vMerge w:val="continue"/>
                  <w:tcBorders>
                    <w:tl2br w:val="nil"/>
                    <w:tr2bl w:val="nil"/>
                  </w:tcBorders>
                  <w:noWrap w:val="0"/>
                  <w:vAlign w:val="center"/>
                </w:tcPr>
                <w:p w14:paraId="17329D3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8B4A09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02C868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43</w:t>
                  </w:r>
                </w:p>
              </w:tc>
              <w:tc>
                <w:tcPr>
                  <w:tcW w:w="303" w:type="pct"/>
                  <w:tcBorders>
                    <w:tl2br w:val="nil"/>
                    <w:tr2bl w:val="nil"/>
                  </w:tcBorders>
                  <w:shd w:val="clear" w:color="auto" w:fill="auto"/>
                  <w:noWrap w:val="0"/>
                  <w:vAlign w:val="center"/>
                </w:tcPr>
                <w:p w14:paraId="4A74705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545B44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37</w:t>
                  </w:r>
                </w:p>
              </w:tc>
              <w:tc>
                <w:tcPr>
                  <w:tcW w:w="408" w:type="pct"/>
                  <w:tcBorders>
                    <w:tl2br w:val="nil"/>
                    <w:tr2bl w:val="nil"/>
                  </w:tcBorders>
                  <w:shd w:val="clear" w:color="auto" w:fill="auto"/>
                  <w:noWrap w:val="0"/>
                  <w:vAlign w:val="center"/>
                </w:tcPr>
                <w:p w14:paraId="32D9B21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0248C4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4F145A7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8F4E3C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6952083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08E515E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35044AF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163570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2ED68C3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B82233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39D7932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1706B3C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10</w:t>
                  </w:r>
                </w:p>
              </w:tc>
              <w:tc>
                <w:tcPr>
                  <w:tcW w:w="392" w:type="pct"/>
                  <w:tcBorders>
                    <w:tl2br w:val="nil"/>
                    <w:tr2bl w:val="nil"/>
                  </w:tcBorders>
                  <w:noWrap w:val="0"/>
                  <w:vAlign w:val="center"/>
                </w:tcPr>
                <w:p w14:paraId="77F8E3F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70</w:t>
                  </w:r>
                </w:p>
              </w:tc>
              <w:tc>
                <w:tcPr>
                  <w:tcW w:w="238" w:type="pct"/>
                  <w:vMerge w:val="continue"/>
                  <w:tcBorders>
                    <w:tl2br w:val="nil"/>
                    <w:tr2bl w:val="nil"/>
                  </w:tcBorders>
                  <w:noWrap w:val="0"/>
                  <w:vAlign w:val="center"/>
                </w:tcPr>
                <w:p w14:paraId="19D137F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EAFFC9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61B9754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44</w:t>
                  </w:r>
                </w:p>
              </w:tc>
              <w:tc>
                <w:tcPr>
                  <w:tcW w:w="303" w:type="pct"/>
                  <w:tcBorders>
                    <w:tl2br w:val="nil"/>
                    <w:tr2bl w:val="nil"/>
                  </w:tcBorders>
                  <w:shd w:val="clear" w:color="auto" w:fill="auto"/>
                  <w:noWrap w:val="0"/>
                  <w:vAlign w:val="center"/>
                </w:tcPr>
                <w:p w14:paraId="6E7CCDE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4377B9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11.7</w:t>
                  </w:r>
                </w:p>
              </w:tc>
              <w:tc>
                <w:tcPr>
                  <w:tcW w:w="408" w:type="pct"/>
                  <w:tcBorders>
                    <w:tl2br w:val="nil"/>
                    <w:tr2bl w:val="nil"/>
                  </w:tcBorders>
                  <w:shd w:val="clear" w:color="auto" w:fill="auto"/>
                  <w:noWrap w:val="0"/>
                  <w:vAlign w:val="center"/>
                </w:tcPr>
                <w:p w14:paraId="129E850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59FD37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7DE94673">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3</w:t>
                  </w:r>
                </w:p>
              </w:tc>
              <w:tc>
                <w:tcPr>
                  <w:tcW w:w="242" w:type="pct"/>
                  <w:vMerge w:val="continue"/>
                  <w:tcBorders>
                    <w:tl2br w:val="nil"/>
                    <w:tr2bl w:val="nil"/>
                  </w:tcBorders>
                  <w:noWrap w:val="0"/>
                  <w:vAlign w:val="center"/>
                </w:tcPr>
                <w:p w14:paraId="0A141C6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46601918">
                  <w:pPr>
                    <w:pStyle w:val="13"/>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bidi="ar-SA"/>
                    </w:rPr>
                    <w:t>1#玻璃切割刀</w:t>
                  </w:r>
                </w:p>
              </w:tc>
              <w:tc>
                <w:tcPr>
                  <w:tcW w:w="370" w:type="pct"/>
                  <w:vMerge w:val="restart"/>
                  <w:tcBorders>
                    <w:tl2br w:val="nil"/>
                    <w:tr2bl w:val="nil"/>
                  </w:tcBorders>
                  <w:noWrap w:val="0"/>
                  <w:vAlign w:val="center"/>
                </w:tcPr>
                <w:p w14:paraId="5FF123F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5A7C83E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6EDFDA8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w:t>
                  </w:r>
                </w:p>
              </w:tc>
              <w:tc>
                <w:tcPr>
                  <w:tcW w:w="223" w:type="pct"/>
                  <w:vMerge w:val="restart"/>
                  <w:tcBorders>
                    <w:tl2br w:val="nil"/>
                    <w:tr2bl w:val="nil"/>
                  </w:tcBorders>
                  <w:noWrap w:val="0"/>
                  <w:vAlign w:val="center"/>
                </w:tcPr>
                <w:p w14:paraId="49C5E2D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237</w:t>
                  </w:r>
                </w:p>
              </w:tc>
              <w:tc>
                <w:tcPr>
                  <w:tcW w:w="149" w:type="pct"/>
                  <w:vMerge w:val="restart"/>
                  <w:tcBorders>
                    <w:tl2br w:val="nil"/>
                    <w:tr2bl w:val="nil"/>
                  </w:tcBorders>
                  <w:noWrap w:val="0"/>
                  <w:vAlign w:val="center"/>
                </w:tcPr>
                <w:p w14:paraId="14E61F8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73B9055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7C43019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392" w:type="pct"/>
                  <w:tcBorders>
                    <w:tl2br w:val="nil"/>
                    <w:tr2bl w:val="nil"/>
                  </w:tcBorders>
                  <w:noWrap w:val="0"/>
                  <w:vAlign w:val="center"/>
                </w:tcPr>
                <w:p w14:paraId="28408F5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55</w:t>
                  </w:r>
                </w:p>
              </w:tc>
              <w:tc>
                <w:tcPr>
                  <w:tcW w:w="238" w:type="pct"/>
                  <w:vMerge w:val="continue"/>
                  <w:tcBorders>
                    <w:tl2br w:val="nil"/>
                    <w:tr2bl w:val="nil"/>
                  </w:tcBorders>
                  <w:noWrap w:val="0"/>
                  <w:vAlign w:val="center"/>
                </w:tcPr>
                <w:p w14:paraId="3D6C406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92B6A3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B2D8D2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29</w:t>
                  </w:r>
                </w:p>
              </w:tc>
              <w:tc>
                <w:tcPr>
                  <w:tcW w:w="303" w:type="pct"/>
                  <w:tcBorders>
                    <w:tl2br w:val="nil"/>
                    <w:tr2bl w:val="nil"/>
                  </w:tcBorders>
                  <w:shd w:val="clear" w:color="auto" w:fill="auto"/>
                  <w:noWrap w:val="0"/>
                  <w:vAlign w:val="center"/>
                </w:tcPr>
                <w:p w14:paraId="71B2CC7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2F1181F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408" w:type="pct"/>
                  <w:tcBorders>
                    <w:tl2br w:val="nil"/>
                    <w:tr2bl w:val="nil"/>
                  </w:tcBorders>
                  <w:shd w:val="clear" w:color="auto" w:fill="auto"/>
                  <w:noWrap w:val="0"/>
                  <w:vAlign w:val="center"/>
                </w:tcPr>
                <w:p w14:paraId="1944FFA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26CE75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509A97C6">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42" w:type="pct"/>
                  <w:vMerge w:val="continue"/>
                  <w:tcBorders>
                    <w:tl2br w:val="nil"/>
                    <w:tr2bl w:val="nil"/>
                  </w:tcBorders>
                  <w:noWrap w:val="0"/>
                  <w:vAlign w:val="center"/>
                </w:tcPr>
                <w:p w14:paraId="3486A887">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52" w:type="pct"/>
                  <w:vMerge w:val="continue"/>
                  <w:tcBorders>
                    <w:tl2br w:val="nil"/>
                    <w:tr2bl w:val="nil"/>
                  </w:tcBorders>
                  <w:noWrap w:val="0"/>
                  <w:vAlign w:val="center"/>
                </w:tcPr>
                <w:p w14:paraId="7ABC3B2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70" w:type="pct"/>
                  <w:vMerge w:val="continue"/>
                  <w:tcBorders>
                    <w:tl2br w:val="nil"/>
                    <w:tr2bl w:val="nil"/>
                  </w:tcBorders>
                  <w:noWrap w:val="0"/>
                  <w:vAlign w:val="center"/>
                </w:tcPr>
                <w:p w14:paraId="0024D87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83" w:type="pct"/>
                  <w:vMerge w:val="continue"/>
                  <w:tcBorders>
                    <w:tl2br w:val="nil"/>
                    <w:tr2bl w:val="nil"/>
                  </w:tcBorders>
                  <w:noWrap w:val="0"/>
                  <w:vAlign w:val="center"/>
                </w:tcPr>
                <w:p w14:paraId="6739947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89" w:type="pct"/>
                  <w:vMerge w:val="continue"/>
                  <w:tcBorders>
                    <w:tl2br w:val="nil"/>
                    <w:tr2bl w:val="nil"/>
                  </w:tcBorders>
                  <w:noWrap w:val="0"/>
                  <w:vAlign w:val="center"/>
                </w:tcPr>
                <w:p w14:paraId="55BBB021">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23" w:type="pct"/>
                  <w:vMerge w:val="continue"/>
                  <w:tcBorders>
                    <w:tl2br w:val="nil"/>
                    <w:tr2bl w:val="nil"/>
                  </w:tcBorders>
                  <w:noWrap w:val="0"/>
                  <w:vAlign w:val="center"/>
                </w:tcPr>
                <w:p w14:paraId="27356EF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49" w:type="pct"/>
                  <w:vMerge w:val="continue"/>
                  <w:tcBorders>
                    <w:tl2br w:val="nil"/>
                    <w:tr2bl w:val="nil"/>
                  </w:tcBorders>
                  <w:noWrap w:val="0"/>
                  <w:vAlign w:val="center"/>
                </w:tcPr>
                <w:p w14:paraId="61E35093">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96" w:type="pct"/>
                  <w:tcBorders>
                    <w:tl2br w:val="nil"/>
                    <w:tr2bl w:val="nil"/>
                  </w:tcBorders>
                  <w:noWrap w:val="0"/>
                  <w:vAlign w:val="center"/>
                </w:tcPr>
                <w:p w14:paraId="10BDB44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224621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192</w:t>
                  </w:r>
                </w:p>
              </w:tc>
              <w:tc>
                <w:tcPr>
                  <w:tcW w:w="392" w:type="pct"/>
                  <w:tcBorders>
                    <w:tl2br w:val="nil"/>
                    <w:tr2bl w:val="nil"/>
                  </w:tcBorders>
                  <w:noWrap w:val="0"/>
                  <w:vAlign w:val="center"/>
                </w:tcPr>
                <w:p w14:paraId="5207D47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44</w:t>
                  </w:r>
                </w:p>
              </w:tc>
              <w:tc>
                <w:tcPr>
                  <w:tcW w:w="238" w:type="pct"/>
                  <w:vMerge w:val="continue"/>
                  <w:tcBorders>
                    <w:tl2br w:val="nil"/>
                    <w:tr2bl w:val="nil"/>
                  </w:tcBorders>
                  <w:noWrap w:val="0"/>
                  <w:vAlign w:val="center"/>
                </w:tcPr>
                <w:p w14:paraId="158D521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519CC0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4605FF3">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w:t>
                  </w:r>
                </w:p>
              </w:tc>
              <w:tc>
                <w:tcPr>
                  <w:tcW w:w="303" w:type="pct"/>
                  <w:tcBorders>
                    <w:tl2br w:val="nil"/>
                    <w:tr2bl w:val="nil"/>
                  </w:tcBorders>
                  <w:shd w:val="clear" w:color="auto" w:fill="auto"/>
                  <w:noWrap w:val="0"/>
                  <w:vAlign w:val="center"/>
                </w:tcPr>
                <w:p w14:paraId="0E75162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5F93BD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w:t>
                  </w:r>
                </w:p>
              </w:tc>
              <w:tc>
                <w:tcPr>
                  <w:tcW w:w="408" w:type="pct"/>
                  <w:tcBorders>
                    <w:tl2br w:val="nil"/>
                    <w:tr2bl w:val="nil"/>
                  </w:tcBorders>
                  <w:shd w:val="clear" w:color="auto" w:fill="auto"/>
                  <w:noWrap w:val="0"/>
                  <w:vAlign w:val="center"/>
                </w:tcPr>
                <w:p w14:paraId="39AFC1B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62C20FE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081A3F0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BDCDBB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511FD9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528F0C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24A83D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9B5B68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89E0E7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9E4D31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637C8D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65D59E7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w:t>
                  </w:r>
                </w:p>
              </w:tc>
              <w:tc>
                <w:tcPr>
                  <w:tcW w:w="392" w:type="pct"/>
                  <w:tcBorders>
                    <w:tl2br w:val="nil"/>
                    <w:tr2bl w:val="nil"/>
                  </w:tcBorders>
                  <w:noWrap w:val="0"/>
                  <w:vAlign w:val="center"/>
                </w:tcPr>
                <w:p w14:paraId="7FDC2F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78</w:t>
                  </w:r>
                </w:p>
              </w:tc>
              <w:tc>
                <w:tcPr>
                  <w:tcW w:w="238" w:type="pct"/>
                  <w:vMerge w:val="continue"/>
                  <w:tcBorders>
                    <w:tl2br w:val="nil"/>
                    <w:tr2bl w:val="nil"/>
                  </w:tcBorders>
                  <w:noWrap w:val="0"/>
                  <w:vAlign w:val="center"/>
                </w:tcPr>
                <w:p w14:paraId="4564923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9B0172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3E9D27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52</w:t>
                  </w:r>
                </w:p>
              </w:tc>
              <w:tc>
                <w:tcPr>
                  <w:tcW w:w="303" w:type="pct"/>
                  <w:tcBorders>
                    <w:tl2br w:val="nil"/>
                    <w:tr2bl w:val="nil"/>
                  </w:tcBorders>
                  <w:shd w:val="clear" w:color="auto" w:fill="auto"/>
                  <w:noWrap w:val="0"/>
                  <w:vAlign w:val="center"/>
                </w:tcPr>
                <w:p w14:paraId="0702A2C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970F82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c>
                <w:tcPr>
                  <w:tcW w:w="408" w:type="pct"/>
                  <w:tcBorders>
                    <w:tl2br w:val="nil"/>
                    <w:tr2bl w:val="nil"/>
                  </w:tcBorders>
                  <w:shd w:val="clear" w:color="auto" w:fill="auto"/>
                  <w:noWrap w:val="0"/>
                  <w:vAlign w:val="center"/>
                </w:tcPr>
                <w:p w14:paraId="1DF8A0D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5155925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854F10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10A7A0F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F9CC9E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CCFEAE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5AE1632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50A2AF5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1B5FE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18CBE82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0C49D0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17C3187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392" w:type="pct"/>
                  <w:tcBorders>
                    <w:tl2br w:val="nil"/>
                    <w:tr2bl w:val="nil"/>
                  </w:tcBorders>
                  <w:noWrap w:val="0"/>
                  <w:vAlign w:val="center"/>
                </w:tcPr>
                <w:p w14:paraId="6D8DC58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72</w:t>
                  </w:r>
                </w:p>
              </w:tc>
              <w:tc>
                <w:tcPr>
                  <w:tcW w:w="238" w:type="pct"/>
                  <w:vMerge w:val="continue"/>
                  <w:tcBorders>
                    <w:tl2br w:val="nil"/>
                    <w:tr2bl w:val="nil"/>
                  </w:tcBorders>
                  <w:noWrap w:val="0"/>
                  <w:vAlign w:val="center"/>
                </w:tcPr>
                <w:p w14:paraId="4DA579E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3069FD0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0CA12A6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c>
                <w:tcPr>
                  <w:tcW w:w="303" w:type="pct"/>
                  <w:tcBorders>
                    <w:tl2br w:val="nil"/>
                    <w:tr2bl w:val="nil"/>
                  </w:tcBorders>
                  <w:shd w:val="clear" w:color="auto" w:fill="auto"/>
                  <w:noWrap w:val="0"/>
                  <w:vAlign w:val="center"/>
                </w:tcPr>
                <w:p w14:paraId="02082AB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4EA61D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13.7</w:t>
                  </w:r>
                </w:p>
              </w:tc>
              <w:tc>
                <w:tcPr>
                  <w:tcW w:w="408" w:type="pct"/>
                  <w:tcBorders>
                    <w:tl2br w:val="nil"/>
                    <w:tr2bl w:val="nil"/>
                  </w:tcBorders>
                  <w:shd w:val="clear" w:color="auto" w:fill="auto"/>
                  <w:noWrap w:val="0"/>
                  <w:vAlign w:val="center"/>
                </w:tcPr>
                <w:p w14:paraId="5CA0DB4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46C1C20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41077264">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4</w:t>
                  </w:r>
                </w:p>
              </w:tc>
              <w:tc>
                <w:tcPr>
                  <w:tcW w:w="242" w:type="pct"/>
                  <w:vMerge w:val="continue"/>
                  <w:tcBorders>
                    <w:tl2br w:val="nil"/>
                    <w:tr2bl w:val="nil"/>
                  </w:tcBorders>
                  <w:noWrap w:val="0"/>
                  <w:vAlign w:val="center"/>
                </w:tcPr>
                <w:p w14:paraId="0C739D5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3E2C8837">
                  <w:pPr>
                    <w:pStyle w:val="13"/>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bidi="ar-SA"/>
                    </w:rPr>
                    <w:t>2#玻璃切割刀</w:t>
                  </w:r>
                </w:p>
              </w:tc>
              <w:tc>
                <w:tcPr>
                  <w:tcW w:w="370" w:type="pct"/>
                  <w:vMerge w:val="restart"/>
                  <w:tcBorders>
                    <w:tl2br w:val="nil"/>
                    <w:tr2bl w:val="nil"/>
                  </w:tcBorders>
                  <w:noWrap w:val="0"/>
                  <w:vAlign w:val="center"/>
                </w:tcPr>
                <w:p w14:paraId="3CC2E492">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5FAB511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044432C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223" w:type="pct"/>
                  <w:vMerge w:val="restart"/>
                  <w:tcBorders>
                    <w:tl2br w:val="nil"/>
                    <w:tr2bl w:val="nil"/>
                  </w:tcBorders>
                  <w:noWrap w:val="0"/>
                  <w:vAlign w:val="center"/>
                </w:tcPr>
                <w:p w14:paraId="66A2CF7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232</w:t>
                  </w:r>
                </w:p>
              </w:tc>
              <w:tc>
                <w:tcPr>
                  <w:tcW w:w="149" w:type="pct"/>
                  <w:vMerge w:val="restart"/>
                  <w:tcBorders>
                    <w:tl2br w:val="nil"/>
                    <w:tr2bl w:val="nil"/>
                  </w:tcBorders>
                  <w:noWrap w:val="0"/>
                  <w:vAlign w:val="center"/>
                </w:tcPr>
                <w:p w14:paraId="023E4CE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1F78D31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381EBDF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48</w:t>
                  </w:r>
                </w:p>
              </w:tc>
              <w:tc>
                <w:tcPr>
                  <w:tcW w:w="392" w:type="pct"/>
                  <w:tcBorders>
                    <w:tl2br w:val="nil"/>
                    <w:tr2bl w:val="nil"/>
                  </w:tcBorders>
                  <w:noWrap w:val="0"/>
                  <w:vAlign w:val="center"/>
                </w:tcPr>
                <w:p w14:paraId="72DCEEF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238" w:type="pct"/>
                  <w:vMerge w:val="continue"/>
                  <w:tcBorders>
                    <w:tl2br w:val="nil"/>
                    <w:tr2bl w:val="nil"/>
                  </w:tcBorders>
                  <w:noWrap w:val="0"/>
                  <w:vAlign w:val="center"/>
                </w:tcPr>
                <w:p w14:paraId="4F13713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AB21E6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DAFCD4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03" w:type="pct"/>
                  <w:tcBorders>
                    <w:tl2br w:val="nil"/>
                    <w:tr2bl w:val="nil"/>
                  </w:tcBorders>
                  <w:shd w:val="clear" w:color="auto" w:fill="auto"/>
                  <w:noWrap w:val="0"/>
                  <w:vAlign w:val="center"/>
                </w:tcPr>
                <w:p w14:paraId="5311520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415E6E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-16</w:t>
                  </w:r>
                </w:p>
              </w:tc>
              <w:tc>
                <w:tcPr>
                  <w:tcW w:w="408" w:type="pct"/>
                  <w:tcBorders>
                    <w:tl2br w:val="nil"/>
                    <w:tr2bl w:val="nil"/>
                  </w:tcBorders>
                  <w:shd w:val="clear" w:color="auto" w:fill="auto"/>
                  <w:noWrap w:val="0"/>
                  <w:vAlign w:val="center"/>
                </w:tcPr>
                <w:p w14:paraId="52D8790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60E6AD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3382B7C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42" w:type="pct"/>
                  <w:vMerge w:val="continue"/>
                  <w:tcBorders>
                    <w:tl2br w:val="nil"/>
                    <w:tr2bl w:val="nil"/>
                  </w:tcBorders>
                  <w:noWrap w:val="0"/>
                  <w:vAlign w:val="center"/>
                </w:tcPr>
                <w:p w14:paraId="1FEA7943">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52" w:type="pct"/>
                  <w:vMerge w:val="continue"/>
                  <w:tcBorders>
                    <w:tl2br w:val="nil"/>
                    <w:tr2bl w:val="nil"/>
                  </w:tcBorders>
                  <w:noWrap w:val="0"/>
                  <w:vAlign w:val="center"/>
                </w:tcPr>
                <w:p w14:paraId="4207F2B7">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70" w:type="pct"/>
                  <w:vMerge w:val="continue"/>
                  <w:tcBorders>
                    <w:tl2br w:val="nil"/>
                    <w:tr2bl w:val="nil"/>
                  </w:tcBorders>
                  <w:noWrap w:val="0"/>
                  <w:vAlign w:val="center"/>
                </w:tcPr>
                <w:p w14:paraId="3272F2DC">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83" w:type="pct"/>
                  <w:vMerge w:val="continue"/>
                  <w:tcBorders>
                    <w:tl2br w:val="nil"/>
                    <w:tr2bl w:val="nil"/>
                  </w:tcBorders>
                  <w:noWrap w:val="0"/>
                  <w:vAlign w:val="center"/>
                </w:tcPr>
                <w:p w14:paraId="1364E580">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89" w:type="pct"/>
                  <w:vMerge w:val="continue"/>
                  <w:tcBorders>
                    <w:tl2br w:val="nil"/>
                    <w:tr2bl w:val="nil"/>
                  </w:tcBorders>
                  <w:noWrap w:val="0"/>
                  <w:vAlign w:val="center"/>
                </w:tcPr>
                <w:p w14:paraId="21D4E65E">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23" w:type="pct"/>
                  <w:vMerge w:val="continue"/>
                  <w:tcBorders>
                    <w:tl2br w:val="nil"/>
                    <w:tr2bl w:val="nil"/>
                  </w:tcBorders>
                  <w:noWrap w:val="0"/>
                  <w:vAlign w:val="center"/>
                </w:tcPr>
                <w:p w14:paraId="232A9CDD">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49" w:type="pct"/>
                  <w:vMerge w:val="continue"/>
                  <w:tcBorders>
                    <w:tl2br w:val="nil"/>
                    <w:tr2bl w:val="nil"/>
                  </w:tcBorders>
                  <w:noWrap w:val="0"/>
                  <w:vAlign w:val="center"/>
                </w:tcPr>
                <w:p w14:paraId="16C50230">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96" w:type="pct"/>
                  <w:tcBorders>
                    <w:tl2br w:val="nil"/>
                    <w:tr2bl w:val="nil"/>
                  </w:tcBorders>
                  <w:noWrap w:val="0"/>
                  <w:vAlign w:val="center"/>
                </w:tcPr>
                <w:p w14:paraId="14CAC13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13840D7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187</w:t>
                  </w:r>
                </w:p>
              </w:tc>
              <w:tc>
                <w:tcPr>
                  <w:tcW w:w="392" w:type="pct"/>
                  <w:tcBorders>
                    <w:tl2br w:val="nil"/>
                    <w:tr2bl w:val="nil"/>
                  </w:tcBorders>
                  <w:noWrap w:val="0"/>
                  <w:vAlign w:val="center"/>
                </w:tcPr>
                <w:p w14:paraId="445584E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44.5</w:t>
                  </w:r>
                </w:p>
              </w:tc>
              <w:tc>
                <w:tcPr>
                  <w:tcW w:w="238" w:type="pct"/>
                  <w:vMerge w:val="continue"/>
                  <w:tcBorders>
                    <w:tl2br w:val="nil"/>
                    <w:tr2bl w:val="nil"/>
                  </w:tcBorders>
                  <w:noWrap w:val="0"/>
                  <w:vAlign w:val="center"/>
                </w:tcPr>
                <w:p w14:paraId="6775504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437B05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6FB2A7B">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18.5</w:t>
                  </w:r>
                </w:p>
              </w:tc>
              <w:tc>
                <w:tcPr>
                  <w:tcW w:w="303" w:type="pct"/>
                  <w:tcBorders>
                    <w:tl2br w:val="nil"/>
                    <w:tr2bl w:val="nil"/>
                  </w:tcBorders>
                  <w:shd w:val="clear" w:color="auto" w:fill="auto"/>
                  <w:noWrap w:val="0"/>
                  <w:vAlign w:val="center"/>
                </w:tcPr>
                <w:p w14:paraId="03716D8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3480423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-14.7</w:t>
                  </w:r>
                </w:p>
              </w:tc>
              <w:tc>
                <w:tcPr>
                  <w:tcW w:w="408" w:type="pct"/>
                  <w:tcBorders>
                    <w:tl2br w:val="nil"/>
                    <w:tr2bl w:val="nil"/>
                  </w:tcBorders>
                  <w:shd w:val="clear" w:color="auto" w:fill="auto"/>
                  <w:noWrap w:val="0"/>
                  <w:vAlign w:val="center"/>
                </w:tcPr>
                <w:p w14:paraId="1815435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1546A1D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439C91C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77717F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F2AA59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192B791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60904A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5F45E5F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6A50BF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FA2062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2E854EA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47A002A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392" w:type="pct"/>
                  <w:tcBorders>
                    <w:tl2br w:val="nil"/>
                    <w:tr2bl w:val="nil"/>
                  </w:tcBorders>
                  <w:noWrap w:val="0"/>
                  <w:vAlign w:val="center"/>
                </w:tcPr>
                <w:p w14:paraId="7C99D28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68</w:t>
                  </w:r>
                </w:p>
              </w:tc>
              <w:tc>
                <w:tcPr>
                  <w:tcW w:w="238" w:type="pct"/>
                  <w:vMerge w:val="continue"/>
                  <w:tcBorders>
                    <w:tl2br w:val="nil"/>
                    <w:tr2bl w:val="nil"/>
                  </w:tcBorders>
                  <w:noWrap w:val="0"/>
                  <w:vAlign w:val="center"/>
                </w:tcPr>
                <w:p w14:paraId="1F3B8E5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98B71C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EF10B11">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42</w:t>
                  </w:r>
                </w:p>
              </w:tc>
              <w:tc>
                <w:tcPr>
                  <w:tcW w:w="303" w:type="pct"/>
                  <w:tcBorders>
                    <w:tl2br w:val="nil"/>
                    <w:tr2bl w:val="nil"/>
                  </w:tcBorders>
                  <w:shd w:val="clear" w:color="auto" w:fill="auto"/>
                  <w:noWrap w:val="0"/>
                  <w:vAlign w:val="center"/>
                </w:tcPr>
                <w:p w14:paraId="457E6D2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2421FC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36</w:t>
                  </w:r>
                </w:p>
              </w:tc>
              <w:tc>
                <w:tcPr>
                  <w:tcW w:w="408" w:type="pct"/>
                  <w:tcBorders>
                    <w:tl2br w:val="nil"/>
                    <w:tr2bl w:val="nil"/>
                  </w:tcBorders>
                  <w:shd w:val="clear" w:color="auto" w:fill="auto"/>
                  <w:noWrap w:val="0"/>
                  <w:vAlign w:val="center"/>
                </w:tcPr>
                <w:p w14:paraId="288F849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76B0B0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F63875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72917A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6D7F2E8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533A31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81C597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4DF8B77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2A09C4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562737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0D1460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6B84E1C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392" w:type="pct"/>
                  <w:tcBorders>
                    <w:tl2br w:val="nil"/>
                    <w:tr2bl w:val="nil"/>
                  </w:tcBorders>
                  <w:noWrap w:val="0"/>
                  <w:vAlign w:val="center"/>
                </w:tcPr>
                <w:p w14:paraId="3B19DBF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67.7</w:t>
                  </w:r>
                </w:p>
              </w:tc>
              <w:tc>
                <w:tcPr>
                  <w:tcW w:w="238" w:type="pct"/>
                  <w:vMerge w:val="continue"/>
                  <w:tcBorders>
                    <w:tl2br w:val="nil"/>
                    <w:tr2bl w:val="nil"/>
                  </w:tcBorders>
                  <w:noWrap w:val="0"/>
                  <w:vAlign w:val="center"/>
                </w:tcPr>
                <w:p w14:paraId="64204C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535EC9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0C5376A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41.7</w:t>
                  </w:r>
                </w:p>
              </w:tc>
              <w:tc>
                <w:tcPr>
                  <w:tcW w:w="303" w:type="pct"/>
                  <w:tcBorders>
                    <w:tl2br w:val="nil"/>
                    <w:tr2bl w:val="nil"/>
                  </w:tcBorders>
                  <w:shd w:val="clear" w:color="auto" w:fill="auto"/>
                  <w:noWrap w:val="0"/>
                  <w:vAlign w:val="center"/>
                </w:tcPr>
                <w:p w14:paraId="1CAD962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69D395F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w:t>
                  </w:r>
                </w:p>
              </w:tc>
              <w:tc>
                <w:tcPr>
                  <w:tcW w:w="408" w:type="pct"/>
                  <w:tcBorders>
                    <w:tl2br w:val="nil"/>
                    <w:tr2bl w:val="nil"/>
                  </w:tcBorders>
                  <w:shd w:val="clear" w:color="auto" w:fill="auto"/>
                  <w:noWrap w:val="0"/>
                  <w:vAlign w:val="center"/>
                </w:tcPr>
                <w:p w14:paraId="7723A5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017F5E1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51FE97A8">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5</w:t>
                  </w:r>
                </w:p>
              </w:tc>
              <w:tc>
                <w:tcPr>
                  <w:tcW w:w="242" w:type="pct"/>
                  <w:vMerge w:val="continue"/>
                  <w:tcBorders>
                    <w:tl2br w:val="nil"/>
                    <w:tr2bl w:val="nil"/>
                  </w:tcBorders>
                  <w:noWrap w:val="0"/>
                  <w:vAlign w:val="center"/>
                </w:tcPr>
                <w:p w14:paraId="60DE75A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546E950E">
                  <w:pPr>
                    <w:pStyle w:val="73"/>
                    <w:keepNext w:val="0"/>
                    <w:keepLines w:val="0"/>
                    <w:suppressLineNumbers w:val="0"/>
                    <w:spacing w:before="53" w:beforeAutospacing="0" w:after="0" w:afterAutospacing="0" w:line="229" w:lineRule="auto"/>
                    <w:ind w:left="0" w:leftChars="0" w:right="0" w:firstLine="0" w:firstLineChars="0"/>
                    <w:rPr>
                      <w:rFonts w:hint="default" w:ascii="Times New Roman" w:hAnsi="Times New Roman" w:eastAsia="宋体" w:cs="Times New Roman"/>
                      <w:color w:val="auto"/>
                      <w:kern w:val="2"/>
                      <w:sz w:val="18"/>
                      <w:szCs w:val="18"/>
                      <w:highlight w:val="none"/>
                      <w:lang w:val="en-US" w:eastAsia="zh-CN" w:bidi="ar-SA"/>
                    </w:rPr>
                  </w:pPr>
                  <w:r>
                    <w:rPr>
                      <w:rFonts w:hint="default"/>
                      <w:color w:val="auto"/>
                      <w:spacing w:val="5"/>
                      <w:sz w:val="18"/>
                      <w:szCs w:val="18"/>
                      <w:highlight w:val="none"/>
                    </w:rPr>
                    <w:t>安全气</w:t>
                  </w:r>
                  <w:r>
                    <w:rPr>
                      <w:rFonts w:hint="default"/>
                      <w:color w:val="auto"/>
                      <w:spacing w:val="6"/>
                      <w:sz w:val="18"/>
                      <w:szCs w:val="18"/>
                      <w:highlight w:val="none"/>
                    </w:rPr>
                    <w:t>囊引爆</w:t>
                  </w:r>
                  <w:r>
                    <w:rPr>
                      <w:rFonts w:hint="default"/>
                      <w:color w:val="auto"/>
                      <w:spacing w:val="1"/>
                      <w:sz w:val="18"/>
                      <w:szCs w:val="18"/>
                      <w:highlight w:val="none"/>
                    </w:rPr>
                    <w:t>机</w:t>
                  </w:r>
                </w:p>
              </w:tc>
              <w:tc>
                <w:tcPr>
                  <w:tcW w:w="370" w:type="pct"/>
                  <w:vMerge w:val="restart"/>
                  <w:tcBorders>
                    <w:tl2br w:val="nil"/>
                    <w:tr2bl w:val="nil"/>
                  </w:tcBorders>
                  <w:noWrap w:val="0"/>
                  <w:vAlign w:val="center"/>
                </w:tcPr>
                <w:p w14:paraId="3D6E42EB">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695A6D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71AB20A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223" w:type="pct"/>
                  <w:vMerge w:val="restart"/>
                  <w:tcBorders>
                    <w:tl2br w:val="nil"/>
                    <w:tr2bl w:val="nil"/>
                  </w:tcBorders>
                  <w:noWrap w:val="0"/>
                  <w:vAlign w:val="center"/>
                </w:tcPr>
                <w:p w14:paraId="3D7911D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230</w:t>
                  </w:r>
                </w:p>
              </w:tc>
              <w:tc>
                <w:tcPr>
                  <w:tcW w:w="149" w:type="pct"/>
                  <w:vMerge w:val="restart"/>
                  <w:tcBorders>
                    <w:tl2br w:val="nil"/>
                    <w:tr2bl w:val="nil"/>
                  </w:tcBorders>
                  <w:noWrap w:val="0"/>
                  <w:vAlign w:val="center"/>
                </w:tcPr>
                <w:p w14:paraId="6E49EAD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2412002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5045BC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48</w:t>
                  </w:r>
                </w:p>
              </w:tc>
              <w:tc>
                <w:tcPr>
                  <w:tcW w:w="392" w:type="pct"/>
                  <w:tcBorders>
                    <w:tl2br w:val="nil"/>
                    <w:tr2bl w:val="nil"/>
                  </w:tcBorders>
                  <w:noWrap w:val="0"/>
                  <w:vAlign w:val="center"/>
                </w:tcPr>
                <w:p w14:paraId="39BB9C6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238" w:type="pct"/>
                  <w:vMerge w:val="continue"/>
                  <w:tcBorders>
                    <w:tl2br w:val="nil"/>
                    <w:tr2bl w:val="nil"/>
                  </w:tcBorders>
                  <w:noWrap w:val="0"/>
                  <w:vAlign w:val="center"/>
                </w:tcPr>
                <w:p w14:paraId="185A954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38D5CD0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6FAEDF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03" w:type="pct"/>
                  <w:tcBorders>
                    <w:tl2br w:val="nil"/>
                    <w:tr2bl w:val="nil"/>
                  </w:tcBorders>
                  <w:shd w:val="clear" w:color="auto" w:fill="auto"/>
                  <w:noWrap w:val="0"/>
                  <w:vAlign w:val="center"/>
                </w:tcPr>
                <w:p w14:paraId="53FFC3B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280DA96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-16</w:t>
                  </w:r>
                </w:p>
              </w:tc>
              <w:tc>
                <w:tcPr>
                  <w:tcW w:w="408" w:type="pct"/>
                  <w:tcBorders>
                    <w:tl2br w:val="nil"/>
                    <w:tr2bl w:val="nil"/>
                  </w:tcBorders>
                  <w:shd w:val="clear" w:color="auto" w:fill="auto"/>
                  <w:noWrap w:val="0"/>
                  <w:vAlign w:val="center"/>
                </w:tcPr>
                <w:p w14:paraId="21FA602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19B606A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E5FA266">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42" w:type="pct"/>
                  <w:vMerge w:val="continue"/>
                  <w:tcBorders>
                    <w:tl2br w:val="nil"/>
                    <w:tr2bl w:val="nil"/>
                  </w:tcBorders>
                  <w:noWrap w:val="0"/>
                  <w:vAlign w:val="center"/>
                </w:tcPr>
                <w:p w14:paraId="61FF2A3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52" w:type="pct"/>
                  <w:vMerge w:val="continue"/>
                  <w:tcBorders>
                    <w:tl2br w:val="nil"/>
                    <w:tr2bl w:val="nil"/>
                  </w:tcBorders>
                  <w:noWrap w:val="0"/>
                  <w:vAlign w:val="center"/>
                </w:tcPr>
                <w:p w14:paraId="3070639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70" w:type="pct"/>
                  <w:vMerge w:val="continue"/>
                  <w:tcBorders>
                    <w:tl2br w:val="nil"/>
                    <w:tr2bl w:val="nil"/>
                  </w:tcBorders>
                  <w:noWrap w:val="0"/>
                  <w:vAlign w:val="center"/>
                </w:tcPr>
                <w:p w14:paraId="6F87DEB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83" w:type="pct"/>
                  <w:vMerge w:val="continue"/>
                  <w:tcBorders>
                    <w:tl2br w:val="nil"/>
                    <w:tr2bl w:val="nil"/>
                  </w:tcBorders>
                  <w:noWrap w:val="0"/>
                  <w:vAlign w:val="center"/>
                </w:tcPr>
                <w:p w14:paraId="4EBF9222">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89" w:type="pct"/>
                  <w:vMerge w:val="continue"/>
                  <w:tcBorders>
                    <w:tl2br w:val="nil"/>
                    <w:tr2bl w:val="nil"/>
                  </w:tcBorders>
                  <w:noWrap w:val="0"/>
                  <w:vAlign w:val="center"/>
                </w:tcPr>
                <w:p w14:paraId="22506206">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23" w:type="pct"/>
                  <w:vMerge w:val="continue"/>
                  <w:tcBorders>
                    <w:tl2br w:val="nil"/>
                    <w:tr2bl w:val="nil"/>
                  </w:tcBorders>
                  <w:noWrap w:val="0"/>
                  <w:vAlign w:val="center"/>
                </w:tcPr>
                <w:p w14:paraId="58FC694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49" w:type="pct"/>
                  <w:vMerge w:val="continue"/>
                  <w:tcBorders>
                    <w:tl2br w:val="nil"/>
                    <w:tr2bl w:val="nil"/>
                  </w:tcBorders>
                  <w:noWrap w:val="0"/>
                  <w:vAlign w:val="center"/>
                </w:tcPr>
                <w:p w14:paraId="092DED52">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96" w:type="pct"/>
                  <w:tcBorders>
                    <w:tl2br w:val="nil"/>
                    <w:tr2bl w:val="nil"/>
                  </w:tcBorders>
                  <w:noWrap w:val="0"/>
                  <w:vAlign w:val="center"/>
                </w:tcPr>
                <w:p w14:paraId="25E9FFC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2686995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185</w:t>
                  </w:r>
                </w:p>
              </w:tc>
              <w:tc>
                <w:tcPr>
                  <w:tcW w:w="392" w:type="pct"/>
                  <w:tcBorders>
                    <w:tl2br w:val="nil"/>
                    <w:tr2bl w:val="nil"/>
                  </w:tcBorders>
                  <w:noWrap w:val="0"/>
                  <w:vAlign w:val="center"/>
                </w:tcPr>
                <w:p w14:paraId="124774D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45</w:t>
                  </w:r>
                </w:p>
              </w:tc>
              <w:tc>
                <w:tcPr>
                  <w:tcW w:w="238" w:type="pct"/>
                  <w:vMerge w:val="continue"/>
                  <w:tcBorders>
                    <w:tl2br w:val="nil"/>
                    <w:tr2bl w:val="nil"/>
                  </w:tcBorders>
                  <w:noWrap w:val="0"/>
                  <w:vAlign w:val="center"/>
                </w:tcPr>
                <w:p w14:paraId="681AE5D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C4F55F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6032E13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w:t>
                  </w:r>
                </w:p>
              </w:tc>
              <w:tc>
                <w:tcPr>
                  <w:tcW w:w="303" w:type="pct"/>
                  <w:tcBorders>
                    <w:tl2br w:val="nil"/>
                    <w:tr2bl w:val="nil"/>
                  </w:tcBorders>
                  <w:shd w:val="clear" w:color="auto" w:fill="auto"/>
                  <w:noWrap w:val="0"/>
                  <w:vAlign w:val="center"/>
                </w:tcPr>
                <w:p w14:paraId="768C564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9142E3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408" w:type="pct"/>
                  <w:tcBorders>
                    <w:tl2br w:val="nil"/>
                    <w:tr2bl w:val="nil"/>
                  </w:tcBorders>
                  <w:shd w:val="clear" w:color="auto" w:fill="auto"/>
                  <w:noWrap w:val="0"/>
                  <w:vAlign w:val="center"/>
                </w:tcPr>
                <w:p w14:paraId="73CF9F1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071E9A3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44C6237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DE520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E29E7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5E337C0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7033F9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70B24C7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EEA7D5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42351C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4B349FA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06D39D3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392" w:type="pct"/>
                  <w:tcBorders>
                    <w:tl2br w:val="nil"/>
                    <w:tr2bl w:val="nil"/>
                  </w:tcBorders>
                  <w:noWrap w:val="0"/>
                  <w:vAlign w:val="center"/>
                </w:tcPr>
                <w:p w14:paraId="3A6AA42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68</w:t>
                  </w:r>
                </w:p>
              </w:tc>
              <w:tc>
                <w:tcPr>
                  <w:tcW w:w="238" w:type="pct"/>
                  <w:vMerge w:val="continue"/>
                  <w:tcBorders>
                    <w:tl2br w:val="nil"/>
                    <w:tr2bl w:val="nil"/>
                  </w:tcBorders>
                  <w:noWrap w:val="0"/>
                  <w:vAlign w:val="center"/>
                </w:tcPr>
                <w:p w14:paraId="1E7E36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886606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6DFFC2D">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42</w:t>
                  </w:r>
                </w:p>
              </w:tc>
              <w:tc>
                <w:tcPr>
                  <w:tcW w:w="303" w:type="pct"/>
                  <w:tcBorders>
                    <w:tl2br w:val="nil"/>
                    <w:tr2bl w:val="nil"/>
                  </w:tcBorders>
                  <w:shd w:val="clear" w:color="auto" w:fill="auto"/>
                  <w:noWrap w:val="0"/>
                  <w:vAlign w:val="center"/>
                </w:tcPr>
                <w:p w14:paraId="238B229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37B8C4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36</w:t>
                  </w:r>
                </w:p>
              </w:tc>
              <w:tc>
                <w:tcPr>
                  <w:tcW w:w="408" w:type="pct"/>
                  <w:tcBorders>
                    <w:tl2br w:val="nil"/>
                    <w:tr2bl w:val="nil"/>
                  </w:tcBorders>
                  <w:shd w:val="clear" w:color="auto" w:fill="auto"/>
                  <w:noWrap w:val="0"/>
                  <w:vAlign w:val="center"/>
                </w:tcPr>
                <w:p w14:paraId="1B49DF8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3C741B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1A967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2F8AE21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5CE54DE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0B6F3E7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67BFAC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37EB6D1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819456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308D402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B06B82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73A81ED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w:t>
                  </w:r>
                </w:p>
              </w:tc>
              <w:tc>
                <w:tcPr>
                  <w:tcW w:w="392" w:type="pct"/>
                  <w:tcBorders>
                    <w:tl2br w:val="nil"/>
                    <w:tr2bl w:val="nil"/>
                  </w:tcBorders>
                  <w:noWrap w:val="0"/>
                  <w:vAlign w:val="center"/>
                </w:tcPr>
                <w:p w14:paraId="6D52985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66.5</w:t>
                  </w:r>
                </w:p>
              </w:tc>
              <w:tc>
                <w:tcPr>
                  <w:tcW w:w="238" w:type="pct"/>
                  <w:vMerge w:val="continue"/>
                  <w:tcBorders>
                    <w:tl2br w:val="nil"/>
                    <w:tr2bl w:val="nil"/>
                  </w:tcBorders>
                  <w:noWrap w:val="0"/>
                  <w:vAlign w:val="center"/>
                </w:tcPr>
                <w:p w14:paraId="51A3A35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D79B2B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CF3944D">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40.5</w:t>
                  </w:r>
                </w:p>
              </w:tc>
              <w:tc>
                <w:tcPr>
                  <w:tcW w:w="303" w:type="pct"/>
                  <w:tcBorders>
                    <w:tl2br w:val="nil"/>
                    <w:tr2bl w:val="nil"/>
                  </w:tcBorders>
                  <w:shd w:val="clear" w:color="auto" w:fill="auto"/>
                  <w:noWrap w:val="0"/>
                  <w:vAlign w:val="center"/>
                </w:tcPr>
                <w:p w14:paraId="5784296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A1E589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408" w:type="pct"/>
                  <w:tcBorders>
                    <w:tl2br w:val="nil"/>
                    <w:tr2bl w:val="nil"/>
                  </w:tcBorders>
                  <w:shd w:val="clear" w:color="auto" w:fill="auto"/>
                  <w:noWrap w:val="0"/>
                  <w:vAlign w:val="center"/>
                </w:tcPr>
                <w:p w14:paraId="192B8BE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2A1475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29DE99DD">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w:t>
                  </w:r>
                </w:p>
              </w:tc>
              <w:tc>
                <w:tcPr>
                  <w:tcW w:w="242" w:type="pct"/>
                  <w:vMerge w:val="continue"/>
                  <w:tcBorders>
                    <w:tl2br w:val="nil"/>
                    <w:tr2bl w:val="nil"/>
                  </w:tcBorders>
                  <w:noWrap w:val="0"/>
                  <w:vAlign w:val="center"/>
                </w:tcPr>
                <w:p w14:paraId="0FE058A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7FF864CE">
                  <w:pPr>
                    <w:pStyle w:val="13"/>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bidi="ar-SA"/>
                    </w:rPr>
                    <w:t>快拆机</w:t>
                  </w:r>
                </w:p>
              </w:tc>
              <w:tc>
                <w:tcPr>
                  <w:tcW w:w="370" w:type="pct"/>
                  <w:vMerge w:val="restart"/>
                  <w:tcBorders>
                    <w:tl2br w:val="nil"/>
                    <w:tr2bl w:val="nil"/>
                  </w:tcBorders>
                  <w:noWrap w:val="0"/>
                  <w:vAlign w:val="center"/>
                </w:tcPr>
                <w:p w14:paraId="7E7519D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85</w:t>
                  </w:r>
                </w:p>
              </w:tc>
              <w:tc>
                <w:tcPr>
                  <w:tcW w:w="283" w:type="pct"/>
                  <w:vMerge w:val="continue"/>
                  <w:tcBorders>
                    <w:tl2br w:val="nil"/>
                    <w:tr2bl w:val="nil"/>
                  </w:tcBorders>
                  <w:noWrap w:val="0"/>
                  <w:vAlign w:val="center"/>
                </w:tcPr>
                <w:p w14:paraId="4566977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719F423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223" w:type="pct"/>
                  <w:vMerge w:val="restart"/>
                  <w:tcBorders>
                    <w:tl2br w:val="nil"/>
                    <w:tr2bl w:val="nil"/>
                  </w:tcBorders>
                  <w:noWrap w:val="0"/>
                  <w:vAlign w:val="center"/>
                </w:tcPr>
                <w:p w14:paraId="1867BBB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228</w:t>
                  </w:r>
                </w:p>
              </w:tc>
              <w:tc>
                <w:tcPr>
                  <w:tcW w:w="149" w:type="pct"/>
                  <w:vMerge w:val="restart"/>
                  <w:tcBorders>
                    <w:tl2br w:val="nil"/>
                    <w:tr2bl w:val="nil"/>
                  </w:tcBorders>
                  <w:noWrap w:val="0"/>
                  <w:vAlign w:val="center"/>
                </w:tcPr>
                <w:p w14:paraId="72E6BFC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254DFB6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3054A40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57</w:t>
                  </w:r>
                </w:p>
              </w:tc>
              <w:tc>
                <w:tcPr>
                  <w:tcW w:w="392" w:type="pct"/>
                  <w:tcBorders>
                    <w:tl2br w:val="nil"/>
                    <w:tr2bl w:val="nil"/>
                  </w:tcBorders>
                  <w:noWrap w:val="0"/>
                  <w:vAlign w:val="center"/>
                </w:tcPr>
                <w:p w14:paraId="38C746B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238" w:type="pct"/>
                  <w:vMerge w:val="continue"/>
                  <w:tcBorders>
                    <w:tl2br w:val="nil"/>
                    <w:tr2bl w:val="nil"/>
                  </w:tcBorders>
                  <w:noWrap w:val="0"/>
                  <w:vAlign w:val="center"/>
                </w:tcPr>
                <w:p w14:paraId="469393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36B857F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194017B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24</w:t>
                  </w:r>
                </w:p>
              </w:tc>
              <w:tc>
                <w:tcPr>
                  <w:tcW w:w="303" w:type="pct"/>
                  <w:tcBorders>
                    <w:tl2br w:val="nil"/>
                    <w:tr2bl w:val="nil"/>
                  </w:tcBorders>
                  <w:shd w:val="clear" w:color="auto" w:fill="auto"/>
                  <w:noWrap w:val="0"/>
                  <w:vAlign w:val="center"/>
                </w:tcPr>
                <w:p w14:paraId="1986D01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53DCC5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w:t>
                  </w:r>
                </w:p>
              </w:tc>
              <w:tc>
                <w:tcPr>
                  <w:tcW w:w="408" w:type="pct"/>
                  <w:tcBorders>
                    <w:tl2br w:val="nil"/>
                    <w:tr2bl w:val="nil"/>
                  </w:tcBorders>
                  <w:shd w:val="clear" w:color="auto" w:fill="auto"/>
                  <w:noWrap w:val="0"/>
                  <w:vAlign w:val="center"/>
                </w:tcPr>
                <w:p w14:paraId="0B54354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3B5354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0B2AE1D">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42" w:type="pct"/>
                  <w:vMerge w:val="continue"/>
                  <w:tcBorders>
                    <w:tl2br w:val="nil"/>
                    <w:tr2bl w:val="nil"/>
                  </w:tcBorders>
                  <w:noWrap w:val="0"/>
                  <w:vAlign w:val="center"/>
                </w:tcPr>
                <w:p w14:paraId="15B578CF">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52" w:type="pct"/>
                  <w:vMerge w:val="continue"/>
                  <w:tcBorders>
                    <w:tl2br w:val="nil"/>
                    <w:tr2bl w:val="nil"/>
                  </w:tcBorders>
                  <w:noWrap w:val="0"/>
                  <w:vAlign w:val="center"/>
                </w:tcPr>
                <w:p w14:paraId="49A5B5A5">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70" w:type="pct"/>
                  <w:vMerge w:val="continue"/>
                  <w:tcBorders>
                    <w:tl2br w:val="nil"/>
                    <w:tr2bl w:val="nil"/>
                  </w:tcBorders>
                  <w:noWrap w:val="0"/>
                  <w:vAlign w:val="center"/>
                </w:tcPr>
                <w:p w14:paraId="165E31F7">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83" w:type="pct"/>
                  <w:vMerge w:val="continue"/>
                  <w:tcBorders>
                    <w:tl2br w:val="nil"/>
                    <w:tr2bl w:val="nil"/>
                  </w:tcBorders>
                  <w:noWrap w:val="0"/>
                  <w:vAlign w:val="center"/>
                </w:tcPr>
                <w:p w14:paraId="02037E01">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89" w:type="pct"/>
                  <w:vMerge w:val="continue"/>
                  <w:tcBorders>
                    <w:tl2br w:val="nil"/>
                    <w:tr2bl w:val="nil"/>
                  </w:tcBorders>
                  <w:noWrap w:val="0"/>
                  <w:vAlign w:val="center"/>
                </w:tcPr>
                <w:p w14:paraId="1823F993">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23" w:type="pct"/>
                  <w:vMerge w:val="continue"/>
                  <w:tcBorders>
                    <w:tl2br w:val="nil"/>
                    <w:tr2bl w:val="nil"/>
                  </w:tcBorders>
                  <w:noWrap w:val="0"/>
                  <w:vAlign w:val="center"/>
                </w:tcPr>
                <w:p w14:paraId="22946FA1">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49" w:type="pct"/>
                  <w:vMerge w:val="continue"/>
                  <w:tcBorders>
                    <w:tl2br w:val="nil"/>
                    <w:tr2bl w:val="nil"/>
                  </w:tcBorders>
                  <w:noWrap w:val="0"/>
                  <w:vAlign w:val="center"/>
                </w:tcPr>
                <w:p w14:paraId="48B84BCE">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96" w:type="pct"/>
                  <w:tcBorders>
                    <w:tl2br w:val="nil"/>
                    <w:tr2bl w:val="nil"/>
                  </w:tcBorders>
                  <w:noWrap w:val="0"/>
                  <w:vAlign w:val="center"/>
                </w:tcPr>
                <w:p w14:paraId="3898034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67768DE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183</w:t>
                  </w:r>
                </w:p>
              </w:tc>
              <w:tc>
                <w:tcPr>
                  <w:tcW w:w="392" w:type="pct"/>
                  <w:tcBorders>
                    <w:tl2br w:val="nil"/>
                    <w:tr2bl w:val="nil"/>
                  </w:tcBorders>
                  <w:noWrap w:val="0"/>
                  <w:vAlign w:val="center"/>
                </w:tcPr>
                <w:p w14:paraId="6B855C0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40</w:t>
                  </w:r>
                </w:p>
              </w:tc>
              <w:tc>
                <w:tcPr>
                  <w:tcW w:w="238" w:type="pct"/>
                  <w:vMerge w:val="continue"/>
                  <w:tcBorders>
                    <w:tl2br w:val="nil"/>
                    <w:tr2bl w:val="nil"/>
                  </w:tcBorders>
                  <w:noWrap w:val="0"/>
                  <w:vAlign w:val="center"/>
                </w:tcPr>
                <w:p w14:paraId="5BB1EC9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0743903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E14AD2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303" w:type="pct"/>
                  <w:tcBorders>
                    <w:tl2br w:val="nil"/>
                    <w:tr2bl w:val="nil"/>
                  </w:tcBorders>
                  <w:shd w:val="clear" w:color="auto" w:fill="auto"/>
                  <w:noWrap w:val="0"/>
                  <w:vAlign w:val="center"/>
                </w:tcPr>
                <w:p w14:paraId="041E7D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50EA74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w:t>
                  </w:r>
                </w:p>
              </w:tc>
              <w:tc>
                <w:tcPr>
                  <w:tcW w:w="408" w:type="pct"/>
                  <w:tcBorders>
                    <w:tl2br w:val="nil"/>
                    <w:tr2bl w:val="nil"/>
                  </w:tcBorders>
                  <w:shd w:val="clear" w:color="auto" w:fill="auto"/>
                  <w:noWrap w:val="0"/>
                  <w:vAlign w:val="center"/>
                </w:tcPr>
                <w:p w14:paraId="45FFD78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296529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449333C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55DD65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55917F3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1B124D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6183F6D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4B9D8B9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06B33D2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A229FC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669BE90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15DAF00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392" w:type="pct"/>
                  <w:tcBorders>
                    <w:tl2br w:val="nil"/>
                    <w:tr2bl w:val="nil"/>
                  </w:tcBorders>
                  <w:noWrap w:val="0"/>
                  <w:vAlign w:val="center"/>
                </w:tcPr>
                <w:p w14:paraId="7B160C5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62</w:t>
                  </w:r>
                </w:p>
              </w:tc>
              <w:tc>
                <w:tcPr>
                  <w:tcW w:w="238" w:type="pct"/>
                  <w:vMerge w:val="continue"/>
                  <w:tcBorders>
                    <w:tl2br w:val="nil"/>
                    <w:tr2bl w:val="nil"/>
                  </w:tcBorders>
                  <w:noWrap w:val="0"/>
                  <w:vAlign w:val="center"/>
                </w:tcPr>
                <w:p w14:paraId="279B101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619CC6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5271010">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36</w:t>
                  </w:r>
                </w:p>
              </w:tc>
              <w:tc>
                <w:tcPr>
                  <w:tcW w:w="303" w:type="pct"/>
                  <w:tcBorders>
                    <w:tl2br w:val="nil"/>
                    <w:tr2bl w:val="nil"/>
                  </w:tcBorders>
                  <w:shd w:val="clear" w:color="auto" w:fill="auto"/>
                  <w:noWrap w:val="0"/>
                  <w:vAlign w:val="center"/>
                </w:tcPr>
                <w:p w14:paraId="75F8611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30722A4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408" w:type="pct"/>
                  <w:tcBorders>
                    <w:tl2br w:val="nil"/>
                    <w:tr2bl w:val="nil"/>
                  </w:tcBorders>
                  <w:shd w:val="clear" w:color="auto" w:fill="auto"/>
                  <w:noWrap w:val="0"/>
                  <w:vAlign w:val="center"/>
                </w:tcPr>
                <w:p w14:paraId="1C2C1ED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52843F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597E28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ABA6F9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44172C3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05BA4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367D69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12BB936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34FA0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29C90BD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0856F31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3E6DBAF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392" w:type="pct"/>
                  <w:tcBorders>
                    <w:tl2br w:val="nil"/>
                    <w:tr2bl w:val="nil"/>
                  </w:tcBorders>
                  <w:noWrap w:val="0"/>
                  <w:vAlign w:val="center"/>
                </w:tcPr>
                <w:p w14:paraId="7B21CAA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60</w:t>
                  </w:r>
                </w:p>
              </w:tc>
              <w:tc>
                <w:tcPr>
                  <w:tcW w:w="238" w:type="pct"/>
                  <w:vMerge w:val="continue"/>
                  <w:tcBorders>
                    <w:tl2br w:val="nil"/>
                    <w:tr2bl w:val="nil"/>
                  </w:tcBorders>
                  <w:noWrap w:val="0"/>
                  <w:vAlign w:val="center"/>
                </w:tcPr>
                <w:p w14:paraId="3B726A0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188FC5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1455106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34</w:t>
                  </w:r>
                </w:p>
              </w:tc>
              <w:tc>
                <w:tcPr>
                  <w:tcW w:w="303" w:type="pct"/>
                  <w:tcBorders>
                    <w:tl2br w:val="nil"/>
                    <w:tr2bl w:val="nil"/>
                  </w:tcBorders>
                  <w:shd w:val="clear" w:color="auto" w:fill="auto"/>
                  <w:noWrap w:val="0"/>
                  <w:vAlign w:val="center"/>
                </w:tcPr>
                <w:p w14:paraId="04C5FFC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FEBE98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408" w:type="pct"/>
                  <w:tcBorders>
                    <w:tl2br w:val="nil"/>
                    <w:tr2bl w:val="nil"/>
                  </w:tcBorders>
                  <w:shd w:val="clear" w:color="auto" w:fill="auto"/>
                  <w:noWrap w:val="0"/>
                  <w:vAlign w:val="center"/>
                </w:tcPr>
                <w:p w14:paraId="57C3F1A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0DF964E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2AD893D0">
                  <w:pPr>
                    <w:keepNext w:val="0"/>
                    <w:keepLines w:val="0"/>
                    <w:widowControl/>
                    <w:suppressLineNumbers w:val="0"/>
                    <w:spacing w:before="0" w:beforeAutospacing="0" w:after="0" w:afterAutospacing="0"/>
                    <w:ind w:left="0" w:right="0"/>
                    <w:jc w:val="center"/>
                    <w:textAlignment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w:t>
                  </w:r>
                </w:p>
              </w:tc>
              <w:tc>
                <w:tcPr>
                  <w:tcW w:w="242" w:type="pct"/>
                  <w:vMerge w:val="continue"/>
                  <w:tcBorders>
                    <w:tl2br w:val="nil"/>
                    <w:tr2bl w:val="nil"/>
                  </w:tcBorders>
                  <w:noWrap w:val="0"/>
                  <w:vAlign w:val="center"/>
                </w:tcPr>
                <w:p w14:paraId="29DCA5E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477DB558">
                  <w:pPr>
                    <w:pStyle w:val="13"/>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cs="Times New Roman"/>
                      <w:color w:val="auto"/>
                      <w:kern w:val="2"/>
                      <w:sz w:val="18"/>
                      <w:szCs w:val="18"/>
                      <w:highlight w:val="none"/>
                      <w:lang w:val="en-US" w:eastAsia="zh-CN" w:bidi="ar-SA"/>
                    </w:rPr>
                    <w:t>1#扒胎机</w:t>
                  </w:r>
                </w:p>
              </w:tc>
              <w:tc>
                <w:tcPr>
                  <w:tcW w:w="370" w:type="pct"/>
                  <w:vMerge w:val="restart"/>
                  <w:tcBorders>
                    <w:tl2br w:val="nil"/>
                    <w:tr2bl w:val="nil"/>
                  </w:tcBorders>
                  <w:noWrap w:val="0"/>
                  <w:vAlign w:val="center"/>
                </w:tcPr>
                <w:p w14:paraId="7C10ADC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bidi="ar-SA"/>
                    </w:rPr>
                    <w:t>80</w:t>
                  </w:r>
                </w:p>
              </w:tc>
              <w:tc>
                <w:tcPr>
                  <w:tcW w:w="283" w:type="pct"/>
                  <w:vMerge w:val="continue"/>
                  <w:tcBorders>
                    <w:tl2br w:val="nil"/>
                    <w:tr2bl w:val="nil"/>
                  </w:tcBorders>
                  <w:noWrap w:val="0"/>
                  <w:vAlign w:val="center"/>
                </w:tcPr>
                <w:p w14:paraId="5AE983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0B7CD18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w:t>
                  </w:r>
                </w:p>
              </w:tc>
              <w:tc>
                <w:tcPr>
                  <w:tcW w:w="223" w:type="pct"/>
                  <w:vMerge w:val="restart"/>
                  <w:tcBorders>
                    <w:tl2br w:val="nil"/>
                    <w:tr2bl w:val="nil"/>
                  </w:tcBorders>
                  <w:noWrap w:val="0"/>
                  <w:vAlign w:val="center"/>
                </w:tcPr>
                <w:p w14:paraId="3B7D87BA">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230</w:t>
                  </w:r>
                </w:p>
              </w:tc>
              <w:tc>
                <w:tcPr>
                  <w:tcW w:w="149" w:type="pct"/>
                  <w:vMerge w:val="restart"/>
                  <w:tcBorders>
                    <w:tl2br w:val="nil"/>
                    <w:tr2bl w:val="nil"/>
                  </w:tcBorders>
                  <w:noWrap w:val="0"/>
                  <w:vAlign w:val="center"/>
                </w:tcPr>
                <w:p w14:paraId="2E1132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241BBD8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400AE66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392" w:type="pct"/>
                  <w:tcBorders>
                    <w:tl2br w:val="nil"/>
                    <w:tr2bl w:val="nil"/>
                  </w:tcBorders>
                  <w:noWrap w:val="0"/>
                  <w:vAlign w:val="center"/>
                </w:tcPr>
                <w:p w14:paraId="31027DC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45</w:t>
                  </w:r>
                </w:p>
              </w:tc>
              <w:tc>
                <w:tcPr>
                  <w:tcW w:w="238" w:type="pct"/>
                  <w:vMerge w:val="continue"/>
                  <w:tcBorders>
                    <w:tl2br w:val="nil"/>
                    <w:tr2bl w:val="nil"/>
                  </w:tcBorders>
                  <w:noWrap w:val="0"/>
                  <w:vAlign w:val="center"/>
                </w:tcPr>
                <w:p w14:paraId="55F8A34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3983C10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54C6ECB">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w:t>
                  </w:r>
                </w:p>
              </w:tc>
              <w:tc>
                <w:tcPr>
                  <w:tcW w:w="303" w:type="pct"/>
                  <w:tcBorders>
                    <w:tl2br w:val="nil"/>
                    <w:tr2bl w:val="nil"/>
                  </w:tcBorders>
                  <w:shd w:val="clear" w:color="auto" w:fill="auto"/>
                  <w:noWrap w:val="0"/>
                  <w:vAlign w:val="center"/>
                </w:tcPr>
                <w:p w14:paraId="5491310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AA7BBB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-27</w:t>
                  </w:r>
                </w:p>
              </w:tc>
              <w:tc>
                <w:tcPr>
                  <w:tcW w:w="408" w:type="pct"/>
                  <w:tcBorders>
                    <w:tl2br w:val="nil"/>
                    <w:tr2bl w:val="nil"/>
                  </w:tcBorders>
                  <w:shd w:val="clear" w:color="auto" w:fill="auto"/>
                  <w:noWrap w:val="0"/>
                  <w:vAlign w:val="center"/>
                </w:tcPr>
                <w:p w14:paraId="5122CCB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65C803A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trPr>
              <w:tc>
                <w:tcPr>
                  <w:tcW w:w="110" w:type="pct"/>
                  <w:vMerge w:val="continue"/>
                  <w:tcBorders>
                    <w:tl2br w:val="nil"/>
                    <w:tr2bl w:val="nil"/>
                  </w:tcBorders>
                  <w:noWrap w:val="0"/>
                  <w:vAlign w:val="center"/>
                </w:tcPr>
                <w:p w14:paraId="31375A3A">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42" w:type="pct"/>
                  <w:vMerge w:val="continue"/>
                  <w:tcBorders>
                    <w:tl2br w:val="nil"/>
                    <w:tr2bl w:val="nil"/>
                  </w:tcBorders>
                  <w:noWrap w:val="0"/>
                  <w:vAlign w:val="center"/>
                </w:tcPr>
                <w:p w14:paraId="261373B2">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52" w:type="pct"/>
                  <w:vMerge w:val="continue"/>
                  <w:tcBorders>
                    <w:tl2br w:val="nil"/>
                    <w:tr2bl w:val="nil"/>
                  </w:tcBorders>
                  <w:noWrap w:val="0"/>
                  <w:vAlign w:val="center"/>
                </w:tcPr>
                <w:p w14:paraId="4401B9D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370" w:type="pct"/>
                  <w:vMerge w:val="continue"/>
                  <w:tcBorders>
                    <w:tl2br w:val="nil"/>
                    <w:tr2bl w:val="nil"/>
                  </w:tcBorders>
                  <w:noWrap w:val="0"/>
                  <w:vAlign w:val="center"/>
                </w:tcPr>
                <w:p w14:paraId="3D4A9384">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83" w:type="pct"/>
                  <w:vMerge w:val="continue"/>
                  <w:tcBorders>
                    <w:tl2br w:val="nil"/>
                    <w:tr2bl w:val="nil"/>
                  </w:tcBorders>
                  <w:noWrap w:val="0"/>
                  <w:vAlign w:val="center"/>
                </w:tcPr>
                <w:p w14:paraId="0DFED93A">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89" w:type="pct"/>
                  <w:vMerge w:val="continue"/>
                  <w:tcBorders>
                    <w:tl2br w:val="nil"/>
                    <w:tr2bl w:val="nil"/>
                  </w:tcBorders>
                  <w:noWrap w:val="0"/>
                  <w:vAlign w:val="center"/>
                </w:tcPr>
                <w:p w14:paraId="226BE622">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23" w:type="pct"/>
                  <w:vMerge w:val="continue"/>
                  <w:tcBorders>
                    <w:tl2br w:val="nil"/>
                    <w:tr2bl w:val="nil"/>
                  </w:tcBorders>
                  <w:noWrap w:val="0"/>
                  <w:vAlign w:val="center"/>
                </w:tcPr>
                <w:p w14:paraId="563BB4A9">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149" w:type="pct"/>
                  <w:vMerge w:val="continue"/>
                  <w:tcBorders>
                    <w:tl2br w:val="nil"/>
                    <w:tr2bl w:val="nil"/>
                  </w:tcBorders>
                  <w:noWrap w:val="0"/>
                  <w:vAlign w:val="center"/>
                </w:tcPr>
                <w:p w14:paraId="4473C4A5">
                  <w:pPr>
                    <w:keepNext w:val="0"/>
                    <w:keepLines w:val="0"/>
                    <w:suppressLineNumbers w:val="0"/>
                    <w:spacing w:before="0" w:beforeAutospacing="0" w:after="0" w:afterAutospacing="0"/>
                    <w:ind w:left="0" w:right="0"/>
                    <w:jc w:val="center"/>
                    <w:rPr>
                      <w:rFonts w:hint="default" w:ascii="Times New Roman" w:hAnsi="Times New Roman" w:cs="Times New Roman"/>
                      <w:color w:val="auto"/>
                      <w:sz w:val="18"/>
                      <w:szCs w:val="18"/>
                      <w:highlight w:val="none"/>
                    </w:rPr>
                  </w:pPr>
                </w:p>
              </w:tc>
              <w:tc>
                <w:tcPr>
                  <w:tcW w:w="296" w:type="pct"/>
                  <w:tcBorders>
                    <w:tl2br w:val="nil"/>
                    <w:tr2bl w:val="nil"/>
                  </w:tcBorders>
                  <w:noWrap w:val="0"/>
                  <w:vAlign w:val="center"/>
                </w:tcPr>
                <w:p w14:paraId="178DF89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489B993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185</w:t>
                  </w:r>
                </w:p>
              </w:tc>
              <w:tc>
                <w:tcPr>
                  <w:tcW w:w="392" w:type="pct"/>
                  <w:tcBorders>
                    <w:tl2br w:val="nil"/>
                    <w:tr2bl w:val="nil"/>
                  </w:tcBorders>
                  <w:noWrap w:val="0"/>
                  <w:vAlign w:val="center"/>
                </w:tcPr>
                <w:p w14:paraId="67B7A27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34</w:t>
                  </w:r>
                </w:p>
              </w:tc>
              <w:tc>
                <w:tcPr>
                  <w:tcW w:w="238" w:type="pct"/>
                  <w:vMerge w:val="continue"/>
                  <w:tcBorders>
                    <w:tl2br w:val="nil"/>
                    <w:tr2bl w:val="nil"/>
                  </w:tcBorders>
                  <w:noWrap w:val="0"/>
                  <w:vAlign w:val="center"/>
                </w:tcPr>
                <w:p w14:paraId="56CA0BE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6B93C0A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E32D3B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303" w:type="pct"/>
                  <w:tcBorders>
                    <w:tl2br w:val="nil"/>
                    <w:tr2bl w:val="nil"/>
                  </w:tcBorders>
                  <w:shd w:val="clear" w:color="auto" w:fill="auto"/>
                  <w:noWrap w:val="0"/>
                  <w:vAlign w:val="center"/>
                </w:tcPr>
                <w:p w14:paraId="02403AC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6A36F91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-25</w:t>
                  </w:r>
                </w:p>
              </w:tc>
              <w:tc>
                <w:tcPr>
                  <w:tcW w:w="408" w:type="pct"/>
                  <w:tcBorders>
                    <w:tl2br w:val="nil"/>
                    <w:tr2bl w:val="nil"/>
                  </w:tcBorders>
                  <w:shd w:val="clear" w:color="auto" w:fill="auto"/>
                  <w:noWrap w:val="0"/>
                  <w:vAlign w:val="center"/>
                </w:tcPr>
                <w:p w14:paraId="56E68EA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27E46BA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6B10209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750453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159DDAB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1F9F801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76967F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44A1D4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5F9B5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D35BDB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289669F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1C59B7E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w:t>
                  </w:r>
                </w:p>
              </w:tc>
              <w:tc>
                <w:tcPr>
                  <w:tcW w:w="392" w:type="pct"/>
                  <w:tcBorders>
                    <w:tl2br w:val="nil"/>
                    <w:tr2bl w:val="nil"/>
                  </w:tcBorders>
                  <w:noWrap w:val="0"/>
                  <w:vAlign w:val="center"/>
                </w:tcPr>
                <w:p w14:paraId="4586E78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68</w:t>
                  </w:r>
                </w:p>
              </w:tc>
              <w:tc>
                <w:tcPr>
                  <w:tcW w:w="238" w:type="pct"/>
                  <w:vMerge w:val="continue"/>
                  <w:tcBorders>
                    <w:tl2br w:val="nil"/>
                    <w:tr2bl w:val="nil"/>
                  </w:tcBorders>
                  <w:noWrap w:val="0"/>
                  <w:vAlign w:val="center"/>
                </w:tcPr>
                <w:p w14:paraId="72FB709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036949A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FE58A2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42</w:t>
                  </w:r>
                </w:p>
              </w:tc>
              <w:tc>
                <w:tcPr>
                  <w:tcW w:w="303" w:type="pct"/>
                  <w:tcBorders>
                    <w:tl2br w:val="nil"/>
                    <w:tr2bl w:val="nil"/>
                  </w:tcBorders>
                  <w:shd w:val="clear" w:color="auto" w:fill="auto"/>
                  <w:noWrap w:val="0"/>
                  <w:vAlign w:val="center"/>
                </w:tcPr>
                <w:p w14:paraId="04EA9DC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97C907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36</w:t>
                  </w:r>
                </w:p>
              </w:tc>
              <w:tc>
                <w:tcPr>
                  <w:tcW w:w="408" w:type="pct"/>
                  <w:tcBorders>
                    <w:tl2br w:val="nil"/>
                    <w:tr2bl w:val="nil"/>
                  </w:tcBorders>
                  <w:shd w:val="clear" w:color="auto" w:fill="auto"/>
                  <w:noWrap w:val="0"/>
                  <w:vAlign w:val="center"/>
                </w:tcPr>
                <w:p w14:paraId="3476A2B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21D74F2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445CFE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4228D19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06CB60F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F36036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9AA6AA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9521A3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78E967B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3999F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1F79F96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41A995F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w:t>
                  </w:r>
                </w:p>
              </w:tc>
              <w:tc>
                <w:tcPr>
                  <w:tcW w:w="392" w:type="pct"/>
                  <w:tcBorders>
                    <w:tl2br w:val="nil"/>
                    <w:tr2bl w:val="nil"/>
                  </w:tcBorders>
                  <w:noWrap w:val="0"/>
                  <w:vAlign w:val="center"/>
                </w:tcPr>
                <w:p w14:paraId="455FF61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238" w:type="pct"/>
                  <w:vMerge w:val="continue"/>
                  <w:tcBorders>
                    <w:tl2br w:val="nil"/>
                    <w:tr2bl w:val="nil"/>
                  </w:tcBorders>
                  <w:noWrap w:val="0"/>
                  <w:vAlign w:val="center"/>
                </w:tcPr>
                <w:p w14:paraId="2F49403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D9D44D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0172144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03" w:type="pct"/>
                  <w:tcBorders>
                    <w:tl2br w:val="nil"/>
                    <w:tr2bl w:val="nil"/>
                  </w:tcBorders>
                  <w:shd w:val="clear" w:color="auto" w:fill="auto"/>
                  <w:noWrap w:val="0"/>
                  <w:vAlign w:val="center"/>
                </w:tcPr>
                <w:p w14:paraId="2A634F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30328A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w:t>
                  </w:r>
                </w:p>
              </w:tc>
              <w:tc>
                <w:tcPr>
                  <w:tcW w:w="408" w:type="pct"/>
                  <w:tcBorders>
                    <w:tl2br w:val="nil"/>
                    <w:tr2bl w:val="nil"/>
                  </w:tcBorders>
                  <w:shd w:val="clear" w:color="auto" w:fill="auto"/>
                  <w:noWrap w:val="0"/>
                  <w:vAlign w:val="center"/>
                </w:tcPr>
                <w:p w14:paraId="79F7BDC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3CCDEE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4B9BE29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242" w:type="pct"/>
                  <w:vMerge w:val="continue"/>
                  <w:tcBorders>
                    <w:tl2br w:val="nil"/>
                    <w:tr2bl w:val="nil"/>
                  </w:tcBorders>
                  <w:noWrap w:val="0"/>
                  <w:vAlign w:val="center"/>
                </w:tcPr>
                <w:p w14:paraId="3B42514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3D9E8EF5">
                  <w:pPr>
                    <w:keepNext w:val="0"/>
                    <w:keepLines w:val="0"/>
                    <w:suppressLineNumbers w:val="0"/>
                    <w:spacing w:before="0" w:beforeAutospacing="0" w:after="0" w:afterAutospacing="0"/>
                    <w:ind w:left="0" w:right="0"/>
                    <w:jc w:val="both"/>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2#扒胎机</w:t>
                  </w:r>
                </w:p>
              </w:tc>
              <w:tc>
                <w:tcPr>
                  <w:tcW w:w="370" w:type="pct"/>
                  <w:vMerge w:val="restart"/>
                  <w:tcBorders>
                    <w:tl2br w:val="nil"/>
                    <w:tr2bl w:val="nil"/>
                  </w:tcBorders>
                  <w:noWrap w:val="0"/>
                  <w:vAlign w:val="center"/>
                </w:tcPr>
                <w:p w14:paraId="03A982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bidi="ar-SA"/>
                    </w:rPr>
                    <w:t>80</w:t>
                  </w:r>
                </w:p>
              </w:tc>
              <w:tc>
                <w:tcPr>
                  <w:tcW w:w="283" w:type="pct"/>
                  <w:vMerge w:val="continue"/>
                  <w:tcBorders>
                    <w:tl2br w:val="nil"/>
                    <w:tr2bl w:val="nil"/>
                  </w:tcBorders>
                  <w:noWrap w:val="0"/>
                  <w:vAlign w:val="center"/>
                </w:tcPr>
                <w:p w14:paraId="115A26F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2521079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223" w:type="pct"/>
                  <w:vMerge w:val="restart"/>
                  <w:tcBorders>
                    <w:tl2br w:val="nil"/>
                    <w:tr2bl w:val="nil"/>
                  </w:tcBorders>
                  <w:noWrap w:val="0"/>
                  <w:vAlign w:val="center"/>
                </w:tcPr>
                <w:p w14:paraId="59A636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226</w:t>
                  </w:r>
                </w:p>
              </w:tc>
              <w:tc>
                <w:tcPr>
                  <w:tcW w:w="149" w:type="pct"/>
                  <w:vMerge w:val="restart"/>
                  <w:tcBorders>
                    <w:tl2br w:val="nil"/>
                    <w:tr2bl w:val="nil"/>
                  </w:tcBorders>
                  <w:noWrap w:val="0"/>
                  <w:vAlign w:val="center"/>
                </w:tcPr>
                <w:p w14:paraId="7D03DDA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04CBB66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7B714E3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58</w:t>
                  </w:r>
                </w:p>
              </w:tc>
              <w:tc>
                <w:tcPr>
                  <w:tcW w:w="392" w:type="pct"/>
                  <w:tcBorders>
                    <w:tl2br w:val="nil"/>
                    <w:tr2bl w:val="nil"/>
                  </w:tcBorders>
                  <w:noWrap w:val="0"/>
                  <w:vAlign w:val="center"/>
                </w:tcPr>
                <w:p w14:paraId="196328D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44</w:t>
                  </w:r>
                </w:p>
              </w:tc>
              <w:tc>
                <w:tcPr>
                  <w:tcW w:w="238" w:type="pct"/>
                  <w:vMerge w:val="continue"/>
                  <w:tcBorders>
                    <w:tl2br w:val="nil"/>
                    <w:tr2bl w:val="nil"/>
                  </w:tcBorders>
                  <w:noWrap w:val="0"/>
                  <w:vAlign w:val="center"/>
                </w:tcPr>
                <w:p w14:paraId="591A544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D6E526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014E6F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w:t>
                  </w:r>
                </w:p>
              </w:tc>
              <w:tc>
                <w:tcPr>
                  <w:tcW w:w="303" w:type="pct"/>
                  <w:tcBorders>
                    <w:tl2br w:val="nil"/>
                    <w:tr2bl w:val="nil"/>
                  </w:tcBorders>
                  <w:shd w:val="clear" w:color="auto" w:fill="auto"/>
                  <w:noWrap w:val="0"/>
                  <w:vAlign w:val="center"/>
                </w:tcPr>
                <w:p w14:paraId="4767D92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4E6C48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-28</w:t>
                  </w:r>
                </w:p>
              </w:tc>
              <w:tc>
                <w:tcPr>
                  <w:tcW w:w="408" w:type="pct"/>
                  <w:tcBorders>
                    <w:tl2br w:val="nil"/>
                    <w:tr2bl w:val="nil"/>
                  </w:tcBorders>
                  <w:shd w:val="clear" w:color="auto" w:fill="auto"/>
                  <w:noWrap w:val="0"/>
                  <w:vAlign w:val="center"/>
                </w:tcPr>
                <w:p w14:paraId="180554E2">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767C958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3BC2851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21684BC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4B256AD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00AE5C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D6D308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408C17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266630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B20680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4A99F6B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0B5183C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181</w:t>
                  </w:r>
                </w:p>
              </w:tc>
              <w:tc>
                <w:tcPr>
                  <w:tcW w:w="392" w:type="pct"/>
                  <w:tcBorders>
                    <w:tl2br w:val="nil"/>
                    <w:tr2bl w:val="nil"/>
                  </w:tcBorders>
                  <w:noWrap w:val="0"/>
                  <w:vAlign w:val="center"/>
                </w:tcPr>
                <w:p w14:paraId="602EF15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34</w:t>
                  </w:r>
                </w:p>
              </w:tc>
              <w:tc>
                <w:tcPr>
                  <w:tcW w:w="238" w:type="pct"/>
                  <w:vMerge w:val="continue"/>
                  <w:tcBorders>
                    <w:tl2br w:val="nil"/>
                    <w:tr2bl w:val="nil"/>
                  </w:tcBorders>
                  <w:noWrap w:val="0"/>
                  <w:vAlign w:val="center"/>
                </w:tcPr>
                <w:p w14:paraId="43A1847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47FF06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0461B4C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303" w:type="pct"/>
                  <w:tcBorders>
                    <w:tl2br w:val="nil"/>
                    <w:tr2bl w:val="nil"/>
                  </w:tcBorders>
                  <w:shd w:val="clear" w:color="auto" w:fill="auto"/>
                  <w:noWrap w:val="0"/>
                  <w:vAlign w:val="center"/>
                </w:tcPr>
                <w:p w14:paraId="2CF0FF5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46BBCB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-25</w:t>
                  </w:r>
                </w:p>
              </w:tc>
              <w:tc>
                <w:tcPr>
                  <w:tcW w:w="408" w:type="pct"/>
                  <w:tcBorders>
                    <w:tl2br w:val="nil"/>
                    <w:tr2bl w:val="nil"/>
                  </w:tcBorders>
                  <w:shd w:val="clear" w:color="auto" w:fill="auto"/>
                  <w:noWrap w:val="0"/>
                  <w:vAlign w:val="center"/>
                </w:tcPr>
                <w:p w14:paraId="456B597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0508A4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3973242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6880B25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1C962A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6EA793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28835E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5D83D20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515CDD4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355830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6B3D9A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49F7CDC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392" w:type="pct"/>
                  <w:tcBorders>
                    <w:tl2br w:val="nil"/>
                    <w:tr2bl w:val="nil"/>
                  </w:tcBorders>
                  <w:noWrap w:val="0"/>
                  <w:vAlign w:val="center"/>
                </w:tcPr>
                <w:p w14:paraId="5AE26C9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58</w:t>
                  </w:r>
                </w:p>
              </w:tc>
              <w:tc>
                <w:tcPr>
                  <w:tcW w:w="238" w:type="pct"/>
                  <w:vMerge w:val="continue"/>
                  <w:tcBorders>
                    <w:tl2br w:val="nil"/>
                    <w:tr2bl w:val="nil"/>
                  </w:tcBorders>
                  <w:noWrap w:val="0"/>
                  <w:vAlign w:val="center"/>
                </w:tcPr>
                <w:p w14:paraId="7DB3F7A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F3613A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CBF60A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32</w:t>
                  </w:r>
                </w:p>
              </w:tc>
              <w:tc>
                <w:tcPr>
                  <w:tcW w:w="303" w:type="pct"/>
                  <w:tcBorders>
                    <w:tl2br w:val="nil"/>
                    <w:tr2bl w:val="nil"/>
                  </w:tcBorders>
                  <w:shd w:val="clear" w:color="auto" w:fill="auto"/>
                  <w:noWrap w:val="0"/>
                  <w:vAlign w:val="center"/>
                </w:tcPr>
                <w:p w14:paraId="625927E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CC9E84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26</w:t>
                  </w:r>
                </w:p>
              </w:tc>
              <w:tc>
                <w:tcPr>
                  <w:tcW w:w="408" w:type="pct"/>
                  <w:tcBorders>
                    <w:tl2br w:val="nil"/>
                    <w:tr2bl w:val="nil"/>
                  </w:tcBorders>
                  <w:shd w:val="clear" w:color="auto" w:fill="auto"/>
                  <w:noWrap w:val="0"/>
                  <w:vAlign w:val="center"/>
                </w:tcPr>
                <w:p w14:paraId="61FE4C3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3AF941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trPr>
              <w:tc>
                <w:tcPr>
                  <w:tcW w:w="110" w:type="pct"/>
                  <w:vMerge w:val="continue"/>
                  <w:tcBorders>
                    <w:tl2br w:val="nil"/>
                    <w:tr2bl w:val="nil"/>
                  </w:tcBorders>
                  <w:noWrap w:val="0"/>
                  <w:vAlign w:val="center"/>
                </w:tcPr>
                <w:p w14:paraId="51DEE6A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5A36188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A7CF28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5111D7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52637D0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0956DA9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98946B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F13029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A66D9A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2378FC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w:t>
                  </w:r>
                </w:p>
              </w:tc>
              <w:tc>
                <w:tcPr>
                  <w:tcW w:w="392" w:type="pct"/>
                  <w:tcBorders>
                    <w:tl2br w:val="nil"/>
                    <w:tr2bl w:val="nil"/>
                  </w:tcBorders>
                  <w:noWrap w:val="0"/>
                  <w:vAlign w:val="center"/>
                </w:tcPr>
                <w:p w14:paraId="5CD6974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54</w:t>
                  </w:r>
                </w:p>
              </w:tc>
              <w:tc>
                <w:tcPr>
                  <w:tcW w:w="238" w:type="pct"/>
                  <w:vMerge w:val="continue"/>
                  <w:tcBorders>
                    <w:tl2br w:val="nil"/>
                    <w:tr2bl w:val="nil"/>
                  </w:tcBorders>
                  <w:noWrap w:val="0"/>
                  <w:vAlign w:val="center"/>
                </w:tcPr>
                <w:p w14:paraId="7BF6BB9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049083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2E4946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28</w:t>
                  </w:r>
                </w:p>
              </w:tc>
              <w:tc>
                <w:tcPr>
                  <w:tcW w:w="303" w:type="pct"/>
                  <w:tcBorders>
                    <w:tl2br w:val="nil"/>
                    <w:tr2bl w:val="nil"/>
                  </w:tcBorders>
                  <w:shd w:val="clear" w:color="auto" w:fill="auto"/>
                  <w:noWrap w:val="0"/>
                  <w:vAlign w:val="center"/>
                </w:tcPr>
                <w:p w14:paraId="6500A31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D4620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-4.2</w:t>
                  </w:r>
                </w:p>
              </w:tc>
              <w:tc>
                <w:tcPr>
                  <w:tcW w:w="408" w:type="pct"/>
                  <w:tcBorders>
                    <w:tl2br w:val="nil"/>
                    <w:tr2bl w:val="nil"/>
                  </w:tcBorders>
                  <w:shd w:val="clear" w:color="auto" w:fill="auto"/>
                  <w:noWrap w:val="0"/>
                  <w:vAlign w:val="center"/>
                </w:tcPr>
                <w:p w14:paraId="17F6509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22205E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63348D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w:t>
                  </w:r>
                </w:p>
              </w:tc>
              <w:tc>
                <w:tcPr>
                  <w:tcW w:w="242" w:type="pct"/>
                  <w:vMerge w:val="continue"/>
                  <w:tcBorders>
                    <w:tl2br w:val="nil"/>
                    <w:tr2bl w:val="nil"/>
                  </w:tcBorders>
                  <w:noWrap w:val="0"/>
                  <w:vAlign w:val="center"/>
                </w:tcPr>
                <w:p w14:paraId="1D6A322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337FCFE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等离子气动焊机</w:t>
                  </w:r>
                </w:p>
              </w:tc>
              <w:tc>
                <w:tcPr>
                  <w:tcW w:w="370" w:type="pct"/>
                  <w:vMerge w:val="restart"/>
                  <w:tcBorders>
                    <w:tl2br w:val="nil"/>
                    <w:tr2bl w:val="nil"/>
                  </w:tcBorders>
                  <w:noWrap w:val="0"/>
                  <w:vAlign w:val="center"/>
                </w:tcPr>
                <w:p w14:paraId="7514B09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04AF4D4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7834855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223" w:type="pct"/>
                  <w:vMerge w:val="restart"/>
                  <w:tcBorders>
                    <w:tl2br w:val="nil"/>
                    <w:tr2bl w:val="nil"/>
                  </w:tcBorders>
                  <w:noWrap w:val="0"/>
                  <w:vAlign w:val="center"/>
                </w:tcPr>
                <w:p w14:paraId="16C1EA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222</w:t>
                  </w:r>
                </w:p>
              </w:tc>
              <w:tc>
                <w:tcPr>
                  <w:tcW w:w="149" w:type="pct"/>
                  <w:vMerge w:val="restart"/>
                  <w:tcBorders>
                    <w:tl2br w:val="nil"/>
                    <w:tr2bl w:val="nil"/>
                  </w:tcBorders>
                  <w:noWrap w:val="0"/>
                  <w:vAlign w:val="center"/>
                </w:tcPr>
                <w:p w14:paraId="777233C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422E954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4A7773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57</w:t>
                  </w:r>
                </w:p>
              </w:tc>
              <w:tc>
                <w:tcPr>
                  <w:tcW w:w="392" w:type="pct"/>
                  <w:tcBorders>
                    <w:tl2br w:val="nil"/>
                    <w:tr2bl w:val="nil"/>
                  </w:tcBorders>
                  <w:noWrap w:val="0"/>
                  <w:vAlign w:val="center"/>
                </w:tcPr>
                <w:p w14:paraId="5FC2495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55</w:t>
                  </w:r>
                </w:p>
              </w:tc>
              <w:tc>
                <w:tcPr>
                  <w:tcW w:w="238" w:type="pct"/>
                  <w:vMerge w:val="continue"/>
                  <w:tcBorders>
                    <w:tl2br w:val="nil"/>
                    <w:tr2bl w:val="nil"/>
                  </w:tcBorders>
                  <w:noWrap w:val="0"/>
                  <w:vAlign w:val="center"/>
                </w:tcPr>
                <w:p w14:paraId="2FD229E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C437B9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C90BCF1">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29</w:t>
                  </w:r>
                </w:p>
              </w:tc>
              <w:tc>
                <w:tcPr>
                  <w:tcW w:w="303" w:type="pct"/>
                  <w:tcBorders>
                    <w:tl2br w:val="nil"/>
                    <w:tr2bl w:val="nil"/>
                  </w:tcBorders>
                  <w:shd w:val="clear" w:color="auto" w:fill="auto"/>
                  <w:noWrap w:val="0"/>
                  <w:vAlign w:val="center"/>
                </w:tcPr>
                <w:p w14:paraId="61F1136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FC0D28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408" w:type="pct"/>
                  <w:tcBorders>
                    <w:tl2br w:val="nil"/>
                    <w:tr2bl w:val="nil"/>
                  </w:tcBorders>
                  <w:shd w:val="clear" w:color="auto" w:fill="auto"/>
                  <w:noWrap w:val="0"/>
                  <w:vAlign w:val="center"/>
                </w:tcPr>
                <w:p w14:paraId="16FC018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19C7CB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69D2E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0A2C1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0FD3EE3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F7CAA2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7C23F9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798127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63D878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2E86D7D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81BD5E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441C287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177</w:t>
                  </w:r>
                </w:p>
              </w:tc>
              <w:tc>
                <w:tcPr>
                  <w:tcW w:w="392" w:type="pct"/>
                  <w:tcBorders>
                    <w:tl2br w:val="nil"/>
                    <w:tr2bl w:val="nil"/>
                  </w:tcBorders>
                  <w:noWrap w:val="0"/>
                  <w:vAlign w:val="center"/>
                </w:tcPr>
                <w:p w14:paraId="5A35D2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45</w:t>
                  </w:r>
                </w:p>
              </w:tc>
              <w:tc>
                <w:tcPr>
                  <w:tcW w:w="238" w:type="pct"/>
                  <w:vMerge w:val="continue"/>
                  <w:tcBorders>
                    <w:tl2br w:val="nil"/>
                    <w:tr2bl w:val="nil"/>
                  </w:tcBorders>
                  <w:noWrap w:val="0"/>
                  <w:vAlign w:val="center"/>
                </w:tcPr>
                <w:p w14:paraId="7FB7EC5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565EFE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D6E385F">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w:t>
                  </w:r>
                </w:p>
              </w:tc>
              <w:tc>
                <w:tcPr>
                  <w:tcW w:w="303" w:type="pct"/>
                  <w:tcBorders>
                    <w:tl2br w:val="nil"/>
                    <w:tr2bl w:val="nil"/>
                  </w:tcBorders>
                  <w:shd w:val="clear" w:color="auto" w:fill="auto"/>
                  <w:noWrap w:val="0"/>
                  <w:vAlign w:val="center"/>
                </w:tcPr>
                <w:p w14:paraId="5EBCA58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C761C6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408" w:type="pct"/>
                  <w:tcBorders>
                    <w:tl2br w:val="nil"/>
                    <w:tr2bl w:val="nil"/>
                  </w:tcBorders>
                  <w:shd w:val="clear" w:color="auto" w:fill="auto"/>
                  <w:noWrap w:val="0"/>
                  <w:vAlign w:val="center"/>
                </w:tcPr>
                <w:p w14:paraId="17556D4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5534A14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5ED2E32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62796AD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0F7BA9F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15CDCAC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030B6D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40BB192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CAA309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AF28D1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CC806A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28AAA7E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392" w:type="pct"/>
                  <w:tcBorders>
                    <w:tl2br w:val="nil"/>
                    <w:tr2bl w:val="nil"/>
                  </w:tcBorders>
                  <w:noWrap w:val="0"/>
                  <w:vAlign w:val="center"/>
                </w:tcPr>
                <w:p w14:paraId="7896FD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67</w:t>
                  </w:r>
                </w:p>
              </w:tc>
              <w:tc>
                <w:tcPr>
                  <w:tcW w:w="238" w:type="pct"/>
                  <w:vMerge w:val="continue"/>
                  <w:tcBorders>
                    <w:tl2br w:val="nil"/>
                    <w:tr2bl w:val="nil"/>
                  </w:tcBorders>
                  <w:noWrap w:val="0"/>
                  <w:vAlign w:val="center"/>
                </w:tcPr>
                <w:p w14:paraId="163EC81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EAC824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65C3AA0">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c>
                <w:tcPr>
                  <w:tcW w:w="303" w:type="pct"/>
                  <w:tcBorders>
                    <w:tl2br w:val="nil"/>
                    <w:tr2bl w:val="nil"/>
                  </w:tcBorders>
                  <w:shd w:val="clear" w:color="auto" w:fill="auto"/>
                  <w:noWrap w:val="0"/>
                  <w:vAlign w:val="center"/>
                </w:tcPr>
                <w:p w14:paraId="2DDD408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27DE3C2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35</w:t>
                  </w:r>
                </w:p>
              </w:tc>
              <w:tc>
                <w:tcPr>
                  <w:tcW w:w="408" w:type="pct"/>
                  <w:tcBorders>
                    <w:tl2br w:val="nil"/>
                    <w:tr2bl w:val="nil"/>
                  </w:tcBorders>
                  <w:shd w:val="clear" w:color="auto" w:fill="auto"/>
                  <w:noWrap w:val="0"/>
                  <w:vAlign w:val="center"/>
                </w:tcPr>
                <w:p w14:paraId="44886BE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1B3DEC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241D11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3E20E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401B1B0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AB90B3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7E1F7D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743AA63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E35B5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2C1F0A5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7FC797B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5B55A38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23</w:t>
                  </w:r>
                </w:p>
              </w:tc>
              <w:tc>
                <w:tcPr>
                  <w:tcW w:w="392" w:type="pct"/>
                  <w:tcBorders>
                    <w:tl2br w:val="nil"/>
                    <w:tr2bl w:val="nil"/>
                  </w:tcBorders>
                  <w:noWrap w:val="0"/>
                  <w:vAlign w:val="center"/>
                </w:tcPr>
                <w:p w14:paraId="2AA83BE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62</w:t>
                  </w:r>
                </w:p>
              </w:tc>
              <w:tc>
                <w:tcPr>
                  <w:tcW w:w="238" w:type="pct"/>
                  <w:vMerge w:val="continue"/>
                  <w:tcBorders>
                    <w:tl2br w:val="nil"/>
                    <w:tr2bl w:val="nil"/>
                  </w:tcBorders>
                  <w:noWrap w:val="0"/>
                  <w:vAlign w:val="center"/>
                </w:tcPr>
                <w:p w14:paraId="1E6FF82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1742A1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1836571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36</w:t>
                  </w:r>
                </w:p>
              </w:tc>
              <w:tc>
                <w:tcPr>
                  <w:tcW w:w="303" w:type="pct"/>
                  <w:tcBorders>
                    <w:tl2br w:val="nil"/>
                    <w:tr2bl w:val="nil"/>
                  </w:tcBorders>
                  <w:shd w:val="clear" w:color="auto" w:fill="auto"/>
                  <w:noWrap w:val="0"/>
                  <w:vAlign w:val="center"/>
                </w:tcPr>
                <w:p w14:paraId="04F1DAB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3BBF55A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3.7</w:t>
                  </w:r>
                </w:p>
              </w:tc>
              <w:tc>
                <w:tcPr>
                  <w:tcW w:w="408" w:type="pct"/>
                  <w:tcBorders>
                    <w:tl2br w:val="nil"/>
                    <w:tr2bl w:val="nil"/>
                  </w:tcBorders>
                  <w:shd w:val="clear" w:color="auto" w:fill="auto"/>
                  <w:noWrap w:val="0"/>
                  <w:vAlign w:val="center"/>
                </w:tcPr>
                <w:p w14:paraId="41F0590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19599A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33772A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bidi="ar-SA"/>
                    </w:rPr>
                    <w:t>1</w:t>
                  </w:r>
                  <w:r>
                    <w:rPr>
                      <w:rFonts w:hint="eastAsia" w:cs="Times New Roman"/>
                      <w:color w:val="auto"/>
                      <w:kern w:val="2"/>
                      <w:sz w:val="18"/>
                      <w:szCs w:val="18"/>
                      <w:highlight w:val="none"/>
                      <w:lang w:val="en-US" w:eastAsia="zh-CN" w:bidi="ar-SA"/>
                    </w:rPr>
                    <w:t>0</w:t>
                  </w:r>
                </w:p>
              </w:tc>
              <w:tc>
                <w:tcPr>
                  <w:tcW w:w="242" w:type="pct"/>
                  <w:vMerge w:val="continue"/>
                  <w:tcBorders>
                    <w:tl2br w:val="nil"/>
                    <w:tr2bl w:val="nil"/>
                  </w:tcBorders>
                  <w:noWrap w:val="0"/>
                  <w:vAlign w:val="center"/>
                </w:tcPr>
                <w:p w14:paraId="0604BC4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199E128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高压空压机</w:t>
                  </w:r>
                </w:p>
              </w:tc>
              <w:tc>
                <w:tcPr>
                  <w:tcW w:w="370" w:type="pct"/>
                  <w:vMerge w:val="restart"/>
                  <w:tcBorders>
                    <w:tl2br w:val="nil"/>
                    <w:tr2bl w:val="nil"/>
                  </w:tcBorders>
                  <w:noWrap w:val="0"/>
                  <w:vAlign w:val="center"/>
                </w:tcPr>
                <w:p w14:paraId="1F03E7E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46AF74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0653E6E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223" w:type="pct"/>
                  <w:vMerge w:val="restart"/>
                  <w:tcBorders>
                    <w:tl2br w:val="nil"/>
                    <w:tr2bl w:val="nil"/>
                  </w:tcBorders>
                  <w:noWrap w:val="0"/>
                  <w:vAlign w:val="center"/>
                </w:tcPr>
                <w:p w14:paraId="33D2FB6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218</w:t>
                  </w:r>
                </w:p>
              </w:tc>
              <w:tc>
                <w:tcPr>
                  <w:tcW w:w="149" w:type="pct"/>
                  <w:vMerge w:val="restart"/>
                  <w:tcBorders>
                    <w:tl2br w:val="nil"/>
                    <w:tr2bl w:val="nil"/>
                  </w:tcBorders>
                  <w:noWrap w:val="0"/>
                  <w:vAlign w:val="center"/>
                </w:tcPr>
                <w:p w14:paraId="22C11C6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6ED07D6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0AA8335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43</w:t>
                  </w:r>
                </w:p>
              </w:tc>
              <w:tc>
                <w:tcPr>
                  <w:tcW w:w="392" w:type="pct"/>
                  <w:tcBorders>
                    <w:tl2br w:val="nil"/>
                    <w:tr2bl w:val="nil"/>
                  </w:tcBorders>
                  <w:noWrap w:val="0"/>
                  <w:vAlign w:val="center"/>
                </w:tcPr>
                <w:p w14:paraId="40EC8AD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238" w:type="pct"/>
                  <w:vMerge w:val="continue"/>
                  <w:tcBorders>
                    <w:tl2br w:val="nil"/>
                    <w:tr2bl w:val="nil"/>
                  </w:tcBorders>
                  <w:noWrap w:val="0"/>
                  <w:vAlign w:val="center"/>
                </w:tcPr>
                <w:p w14:paraId="46892FE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2D5578C">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A415A0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03" w:type="pct"/>
                  <w:tcBorders>
                    <w:tl2br w:val="nil"/>
                    <w:tr2bl w:val="nil"/>
                  </w:tcBorders>
                  <w:shd w:val="clear" w:color="auto" w:fill="auto"/>
                  <w:noWrap w:val="0"/>
                  <w:vAlign w:val="center"/>
                </w:tcPr>
                <w:p w14:paraId="098A48F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10E821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-16</w:t>
                  </w:r>
                </w:p>
              </w:tc>
              <w:tc>
                <w:tcPr>
                  <w:tcW w:w="408" w:type="pct"/>
                  <w:tcBorders>
                    <w:tl2br w:val="nil"/>
                    <w:tr2bl w:val="nil"/>
                  </w:tcBorders>
                  <w:shd w:val="clear" w:color="auto" w:fill="auto"/>
                  <w:noWrap w:val="0"/>
                  <w:vAlign w:val="center"/>
                </w:tcPr>
                <w:p w14:paraId="5F73D38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09997FB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2BD953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16DEBB9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483DE39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55070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021A43F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070D156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191A83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1E2A9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683AB3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474965E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173</w:t>
                  </w:r>
                </w:p>
              </w:tc>
              <w:tc>
                <w:tcPr>
                  <w:tcW w:w="392" w:type="pct"/>
                  <w:tcBorders>
                    <w:tl2br w:val="nil"/>
                    <w:tr2bl w:val="nil"/>
                  </w:tcBorders>
                  <w:noWrap w:val="0"/>
                  <w:vAlign w:val="center"/>
                </w:tcPr>
                <w:p w14:paraId="226DF2F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45</w:t>
                  </w:r>
                </w:p>
              </w:tc>
              <w:tc>
                <w:tcPr>
                  <w:tcW w:w="238" w:type="pct"/>
                  <w:vMerge w:val="continue"/>
                  <w:tcBorders>
                    <w:tl2br w:val="nil"/>
                    <w:tr2bl w:val="nil"/>
                  </w:tcBorders>
                  <w:noWrap w:val="0"/>
                  <w:vAlign w:val="center"/>
                </w:tcPr>
                <w:p w14:paraId="13825C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BA205D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AF4C892">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19</w:t>
                  </w:r>
                </w:p>
              </w:tc>
              <w:tc>
                <w:tcPr>
                  <w:tcW w:w="303" w:type="pct"/>
                  <w:tcBorders>
                    <w:tl2br w:val="nil"/>
                    <w:tr2bl w:val="nil"/>
                  </w:tcBorders>
                  <w:shd w:val="clear" w:color="auto" w:fill="auto"/>
                  <w:noWrap w:val="0"/>
                  <w:vAlign w:val="center"/>
                </w:tcPr>
                <w:p w14:paraId="06FDF55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5C62A0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408" w:type="pct"/>
                  <w:tcBorders>
                    <w:tl2br w:val="nil"/>
                    <w:tr2bl w:val="nil"/>
                  </w:tcBorders>
                  <w:shd w:val="clear" w:color="auto" w:fill="auto"/>
                  <w:noWrap w:val="0"/>
                  <w:vAlign w:val="center"/>
                </w:tcPr>
                <w:p w14:paraId="171D072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0D663B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FE92B2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0CEAD6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42802C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3F5D7DE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105A8EA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55F4163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2360D6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55CDAD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BB789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105067F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392" w:type="pct"/>
                  <w:tcBorders>
                    <w:tl2br w:val="nil"/>
                    <w:tr2bl w:val="nil"/>
                  </w:tcBorders>
                  <w:noWrap w:val="0"/>
                  <w:vAlign w:val="center"/>
                </w:tcPr>
                <w:p w14:paraId="4974D02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67</w:t>
                  </w:r>
                </w:p>
              </w:tc>
              <w:tc>
                <w:tcPr>
                  <w:tcW w:w="238" w:type="pct"/>
                  <w:vMerge w:val="continue"/>
                  <w:tcBorders>
                    <w:tl2br w:val="nil"/>
                    <w:tr2bl w:val="nil"/>
                  </w:tcBorders>
                  <w:noWrap w:val="0"/>
                  <w:vAlign w:val="center"/>
                </w:tcPr>
                <w:p w14:paraId="2BF64F9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F4968B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AC7A9C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c>
                <w:tcPr>
                  <w:tcW w:w="303" w:type="pct"/>
                  <w:tcBorders>
                    <w:tl2br w:val="nil"/>
                    <w:tr2bl w:val="nil"/>
                  </w:tcBorders>
                  <w:shd w:val="clear" w:color="auto" w:fill="auto"/>
                  <w:noWrap w:val="0"/>
                  <w:vAlign w:val="center"/>
                </w:tcPr>
                <w:p w14:paraId="1CA2E66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5B0FEB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35</w:t>
                  </w:r>
                </w:p>
              </w:tc>
              <w:tc>
                <w:tcPr>
                  <w:tcW w:w="408" w:type="pct"/>
                  <w:tcBorders>
                    <w:tl2br w:val="nil"/>
                    <w:tr2bl w:val="nil"/>
                  </w:tcBorders>
                  <w:shd w:val="clear" w:color="auto" w:fill="auto"/>
                  <w:noWrap w:val="0"/>
                  <w:vAlign w:val="center"/>
                </w:tcPr>
                <w:p w14:paraId="05E351D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2F68425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DFD919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5441045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F6F1F9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B0847B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1E8F40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3A38FF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08A26C4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1A2E63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C13ED5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7690FDD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27</w:t>
                  </w:r>
                </w:p>
              </w:tc>
              <w:tc>
                <w:tcPr>
                  <w:tcW w:w="392" w:type="pct"/>
                  <w:tcBorders>
                    <w:tl2br w:val="nil"/>
                    <w:tr2bl w:val="nil"/>
                  </w:tcBorders>
                  <w:noWrap w:val="0"/>
                  <w:vAlign w:val="center"/>
                </w:tcPr>
                <w:p w14:paraId="588C8D0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61</w:t>
                  </w:r>
                </w:p>
              </w:tc>
              <w:tc>
                <w:tcPr>
                  <w:tcW w:w="238" w:type="pct"/>
                  <w:vMerge w:val="continue"/>
                  <w:tcBorders>
                    <w:tl2br w:val="nil"/>
                    <w:tr2bl w:val="nil"/>
                  </w:tcBorders>
                  <w:noWrap w:val="0"/>
                  <w:vAlign w:val="center"/>
                </w:tcPr>
                <w:p w14:paraId="215C974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E37069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0F3179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35</w:t>
                  </w:r>
                </w:p>
              </w:tc>
              <w:tc>
                <w:tcPr>
                  <w:tcW w:w="303" w:type="pct"/>
                  <w:tcBorders>
                    <w:tl2br w:val="nil"/>
                    <w:tr2bl w:val="nil"/>
                  </w:tcBorders>
                  <w:shd w:val="clear" w:color="auto" w:fill="auto"/>
                  <w:noWrap w:val="0"/>
                  <w:vAlign w:val="center"/>
                </w:tcPr>
                <w:p w14:paraId="0345E21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59A6A8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2.7</w:t>
                  </w:r>
                </w:p>
              </w:tc>
              <w:tc>
                <w:tcPr>
                  <w:tcW w:w="408" w:type="pct"/>
                  <w:tcBorders>
                    <w:tl2br w:val="nil"/>
                    <w:tr2bl w:val="nil"/>
                  </w:tcBorders>
                  <w:shd w:val="clear" w:color="auto" w:fill="auto"/>
                  <w:noWrap w:val="0"/>
                  <w:vAlign w:val="center"/>
                </w:tcPr>
                <w:p w14:paraId="6C0AD92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7D35851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397" w:hRule="atLeast"/>
              </w:trPr>
              <w:tc>
                <w:tcPr>
                  <w:tcW w:w="110" w:type="pct"/>
                  <w:vMerge w:val="restart"/>
                  <w:tcBorders>
                    <w:tl2br w:val="nil"/>
                    <w:tr2bl w:val="nil"/>
                  </w:tcBorders>
                  <w:noWrap w:val="0"/>
                  <w:vAlign w:val="center"/>
                </w:tcPr>
                <w:p w14:paraId="7A68B8D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kern w:val="2"/>
                      <w:sz w:val="18"/>
                      <w:szCs w:val="18"/>
                      <w:highlight w:val="none"/>
                      <w:lang w:val="en-US" w:eastAsia="zh-CN" w:bidi="ar-SA"/>
                    </w:rPr>
                    <w:t>1</w:t>
                  </w:r>
                  <w:r>
                    <w:rPr>
                      <w:rFonts w:hint="eastAsia" w:cs="Times New Roman"/>
                      <w:color w:val="auto"/>
                      <w:kern w:val="2"/>
                      <w:sz w:val="18"/>
                      <w:szCs w:val="18"/>
                      <w:highlight w:val="none"/>
                      <w:lang w:val="en-US" w:eastAsia="zh-CN" w:bidi="ar-SA"/>
                    </w:rPr>
                    <w:t>1</w:t>
                  </w:r>
                </w:p>
              </w:tc>
              <w:tc>
                <w:tcPr>
                  <w:tcW w:w="242" w:type="pct"/>
                  <w:vMerge w:val="continue"/>
                  <w:tcBorders>
                    <w:tl2br w:val="nil"/>
                    <w:tr2bl w:val="nil"/>
                  </w:tcBorders>
                  <w:noWrap w:val="0"/>
                  <w:vAlign w:val="center"/>
                </w:tcPr>
                <w:p w14:paraId="0DA8708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78464E8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总成精拆平台</w:t>
                  </w:r>
                </w:p>
              </w:tc>
              <w:tc>
                <w:tcPr>
                  <w:tcW w:w="370" w:type="pct"/>
                  <w:vMerge w:val="restart"/>
                  <w:tcBorders>
                    <w:tl2br w:val="nil"/>
                    <w:tr2bl w:val="nil"/>
                  </w:tcBorders>
                  <w:noWrap w:val="0"/>
                  <w:vAlign w:val="center"/>
                </w:tcPr>
                <w:p w14:paraId="03D8ED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442C2A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6D75F7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w:t>
                  </w:r>
                </w:p>
              </w:tc>
              <w:tc>
                <w:tcPr>
                  <w:tcW w:w="223" w:type="pct"/>
                  <w:vMerge w:val="restart"/>
                  <w:tcBorders>
                    <w:tl2br w:val="nil"/>
                    <w:tr2bl w:val="nil"/>
                  </w:tcBorders>
                  <w:noWrap w:val="0"/>
                  <w:vAlign w:val="center"/>
                </w:tcPr>
                <w:p w14:paraId="196502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185</w:t>
                  </w:r>
                </w:p>
              </w:tc>
              <w:tc>
                <w:tcPr>
                  <w:tcW w:w="149" w:type="pct"/>
                  <w:vMerge w:val="restart"/>
                  <w:tcBorders>
                    <w:tl2br w:val="nil"/>
                    <w:tr2bl w:val="nil"/>
                  </w:tcBorders>
                  <w:noWrap w:val="0"/>
                  <w:vAlign w:val="center"/>
                </w:tcPr>
                <w:p w14:paraId="375A497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noWrap w:val="0"/>
                  <w:vAlign w:val="center"/>
                </w:tcPr>
                <w:p w14:paraId="7F102F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6C19C0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392" w:type="pct"/>
                  <w:tcBorders>
                    <w:tl2br w:val="nil"/>
                    <w:tr2bl w:val="nil"/>
                  </w:tcBorders>
                  <w:noWrap w:val="0"/>
                  <w:vAlign w:val="center"/>
                </w:tcPr>
                <w:p w14:paraId="3749D8B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55</w:t>
                  </w:r>
                </w:p>
              </w:tc>
              <w:tc>
                <w:tcPr>
                  <w:tcW w:w="238" w:type="pct"/>
                  <w:vMerge w:val="continue"/>
                  <w:tcBorders>
                    <w:tl2br w:val="nil"/>
                    <w:tr2bl w:val="nil"/>
                  </w:tcBorders>
                  <w:noWrap w:val="0"/>
                  <w:vAlign w:val="center"/>
                </w:tcPr>
                <w:p w14:paraId="7947F15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49D0E78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86C2D8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29</w:t>
                  </w:r>
                </w:p>
              </w:tc>
              <w:tc>
                <w:tcPr>
                  <w:tcW w:w="303" w:type="pct"/>
                  <w:tcBorders>
                    <w:tl2br w:val="nil"/>
                    <w:tr2bl w:val="nil"/>
                  </w:tcBorders>
                  <w:shd w:val="clear" w:color="auto" w:fill="auto"/>
                  <w:noWrap w:val="0"/>
                  <w:vAlign w:val="center"/>
                </w:tcPr>
                <w:p w14:paraId="24234D2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7BD3C3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-17</w:t>
                  </w:r>
                </w:p>
              </w:tc>
              <w:tc>
                <w:tcPr>
                  <w:tcW w:w="408" w:type="pct"/>
                  <w:tcBorders>
                    <w:tl2br w:val="nil"/>
                    <w:tr2bl w:val="nil"/>
                  </w:tcBorders>
                  <w:shd w:val="clear" w:color="auto" w:fill="auto"/>
                  <w:noWrap w:val="0"/>
                  <w:vAlign w:val="center"/>
                </w:tcPr>
                <w:p w14:paraId="19A0026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107308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4155FD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FA901A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96C4F5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4E13A0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1A6EA8E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58D9E8C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228E831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0F9AAB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5A88A0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669744D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140</w:t>
                  </w:r>
                </w:p>
              </w:tc>
              <w:tc>
                <w:tcPr>
                  <w:tcW w:w="392" w:type="pct"/>
                  <w:tcBorders>
                    <w:tl2br w:val="nil"/>
                    <w:tr2bl w:val="nil"/>
                  </w:tcBorders>
                  <w:noWrap w:val="0"/>
                  <w:vAlign w:val="center"/>
                </w:tcPr>
                <w:p w14:paraId="71711F0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47</w:t>
                  </w:r>
                </w:p>
              </w:tc>
              <w:tc>
                <w:tcPr>
                  <w:tcW w:w="238" w:type="pct"/>
                  <w:vMerge w:val="continue"/>
                  <w:tcBorders>
                    <w:tl2br w:val="nil"/>
                    <w:tr2bl w:val="nil"/>
                  </w:tcBorders>
                  <w:noWrap w:val="0"/>
                  <w:vAlign w:val="center"/>
                </w:tcPr>
                <w:p w14:paraId="596B7B3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09D11FFD">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19BCD36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21</w:t>
                  </w:r>
                </w:p>
              </w:tc>
              <w:tc>
                <w:tcPr>
                  <w:tcW w:w="303" w:type="pct"/>
                  <w:tcBorders>
                    <w:tl2br w:val="nil"/>
                    <w:tr2bl w:val="nil"/>
                  </w:tcBorders>
                  <w:shd w:val="clear" w:color="auto" w:fill="auto"/>
                  <w:noWrap w:val="0"/>
                  <w:vAlign w:val="center"/>
                </w:tcPr>
                <w:p w14:paraId="565CA22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EC853A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408" w:type="pct"/>
                  <w:tcBorders>
                    <w:tl2br w:val="nil"/>
                    <w:tr2bl w:val="nil"/>
                  </w:tcBorders>
                  <w:shd w:val="clear" w:color="auto" w:fill="auto"/>
                  <w:noWrap w:val="0"/>
                  <w:vAlign w:val="center"/>
                </w:tcPr>
                <w:p w14:paraId="7997245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3C1D1E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CA028E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1C8C4B7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3DC7A5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30A379E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AD550A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44864C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13AAF6D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4B9165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1CA9079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768C85D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w:t>
                  </w:r>
                </w:p>
              </w:tc>
              <w:tc>
                <w:tcPr>
                  <w:tcW w:w="392" w:type="pct"/>
                  <w:tcBorders>
                    <w:tl2br w:val="nil"/>
                    <w:tr2bl w:val="nil"/>
                  </w:tcBorders>
                  <w:noWrap w:val="0"/>
                  <w:vAlign w:val="center"/>
                </w:tcPr>
                <w:p w14:paraId="2E9B45F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78</w:t>
                  </w:r>
                </w:p>
              </w:tc>
              <w:tc>
                <w:tcPr>
                  <w:tcW w:w="238" w:type="pct"/>
                  <w:vMerge w:val="continue"/>
                  <w:tcBorders>
                    <w:tl2br w:val="nil"/>
                    <w:tr2bl w:val="nil"/>
                  </w:tcBorders>
                  <w:noWrap w:val="0"/>
                  <w:vAlign w:val="center"/>
                </w:tcPr>
                <w:p w14:paraId="0403F6D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15B7D1E">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09F6932">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52</w:t>
                  </w:r>
                </w:p>
              </w:tc>
              <w:tc>
                <w:tcPr>
                  <w:tcW w:w="303" w:type="pct"/>
                  <w:tcBorders>
                    <w:tl2br w:val="nil"/>
                    <w:tr2bl w:val="nil"/>
                  </w:tcBorders>
                  <w:shd w:val="clear" w:color="auto" w:fill="auto"/>
                  <w:noWrap w:val="0"/>
                  <w:vAlign w:val="center"/>
                </w:tcPr>
                <w:p w14:paraId="4CBA22D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C203F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c>
                <w:tcPr>
                  <w:tcW w:w="408" w:type="pct"/>
                  <w:tcBorders>
                    <w:tl2br w:val="nil"/>
                    <w:tr2bl w:val="nil"/>
                  </w:tcBorders>
                  <w:shd w:val="clear" w:color="auto" w:fill="auto"/>
                  <w:noWrap w:val="0"/>
                  <w:vAlign w:val="center"/>
                </w:tcPr>
                <w:p w14:paraId="68DD6CC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2C0537A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2CE2AC4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BB7158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422BCA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E92E52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00CAAD7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EB915E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157239E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10CE8E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noWrap w:val="0"/>
                  <w:vAlign w:val="center"/>
                </w:tcPr>
                <w:p w14:paraId="71EC2CF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2F5F4D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60</w:t>
                  </w:r>
                </w:p>
              </w:tc>
              <w:tc>
                <w:tcPr>
                  <w:tcW w:w="392" w:type="pct"/>
                  <w:tcBorders>
                    <w:tl2br w:val="nil"/>
                    <w:tr2bl w:val="nil"/>
                  </w:tcBorders>
                  <w:noWrap w:val="0"/>
                  <w:vAlign w:val="center"/>
                </w:tcPr>
                <w:p w14:paraId="38B5A59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54</w:t>
                  </w:r>
                </w:p>
              </w:tc>
              <w:tc>
                <w:tcPr>
                  <w:tcW w:w="238" w:type="pct"/>
                  <w:vMerge w:val="continue"/>
                  <w:tcBorders>
                    <w:tl2br w:val="nil"/>
                    <w:tr2bl w:val="nil"/>
                  </w:tcBorders>
                  <w:noWrap w:val="0"/>
                  <w:vAlign w:val="center"/>
                </w:tcPr>
                <w:p w14:paraId="372E8D6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3D3CB81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224CE42">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28</w:t>
                  </w:r>
                </w:p>
              </w:tc>
              <w:tc>
                <w:tcPr>
                  <w:tcW w:w="303" w:type="pct"/>
                  <w:tcBorders>
                    <w:tl2br w:val="nil"/>
                    <w:tr2bl w:val="nil"/>
                  </w:tcBorders>
                  <w:shd w:val="clear" w:color="auto" w:fill="auto"/>
                  <w:noWrap w:val="0"/>
                  <w:vAlign w:val="center"/>
                </w:tcPr>
                <w:p w14:paraId="7D083E7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D16781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-4.2</w:t>
                  </w:r>
                </w:p>
              </w:tc>
              <w:tc>
                <w:tcPr>
                  <w:tcW w:w="408" w:type="pct"/>
                  <w:tcBorders>
                    <w:tl2br w:val="nil"/>
                    <w:tr2bl w:val="nil"/>
                  </w:tcBorders>
                  <w:shd w:val="clear" w:color="auto" w:fill="auto"/>
                  <w:noWrap w:val="0"/>
                  <w:vAlign w:val="center"/>
                </w:tcPr>
                <w:p w14:paraId="50778EF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4CDC83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3C662C4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242" w:type="pct"/>
                  <w:vMerge w:val="continue"/>
                  <w:tcBorders>
                    <w:tl2br w:val="nil"/>
                    <w:tr2bl w:val="nil"/>
                  </w:tcBorders>
                  <w:noWrap w:val="0"/>
                  <w:vAlign w:val="center"/>
                </w:tcPr>
                <w:p w14:paraId="7F6C360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460DCDB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龙门剪切机</w:t>
                  </w:r>
                </w:p>
              </w:tc>
              <w:tc>
                <w:tcPr>
                  <w:tcW w:w="370" w:type="pct"/>
                  <w:vMerge w:val="restart"/>
                  <w:tcBorders>
                    <w:tl2br w:val="nil"/>
                    <w:tr2bl w:val="nil"/>
                  </w:tcBorders>
                  <w:noWrap w:val="0"/>
                  <w:vAlign w:val="center"/>
                </w:tcPr>
                <w:p w14:paraId="4A12F29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15C1E0A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75FD15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21</w:t>
                  </w:r>
                </w:p>
              </w:tc>
              <w:tc>
                <w:tcPr>
                  <w:tcW w:w="223" w:type="pct"/>
                  <w:vMerge w:val="restart"/>
                  <w:tcBorders>
                    <w:tl2br w:val="nil"/>
                    <w:tr2bl w:val="nil"/>
                  </w:tcBorders>
                  <w:noWrap w:val="0"/>
                  <w:vAlign w:val="center"/>
                </w:tcPr>
                <w:p w14:paraId="5331D90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110</w:t>
                  </w:r>
                </w:p>
              </w:tc>
              <w:tc>
                <w:tcPr>
                  <w:tcW w:w="149" w:type="pct"/>
                  <w:vMerge w:val="restart"/>
                  <w:tcBorders>
                    <w:tl2br w:val="nil"/>
                    <w:tr2bl w:val="nil"/>
                  </w:tcBorders>
                  <w:noWrap w:val="0"/>
                  <w:vAlign w:val="center"/>
                </w:tcPr>
                <w:p w14:paraId="5541B1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shd w:val="clear" w:color="auto" w:fill="auto"/>
                  <w:noWrap w:val="0"/>
                  <w:vAlign w:val="center"/>
                </w:tcPr>
                <w:p w14:paraId="11F85C3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385AD28A">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40</w:t>
                  </w:r>
                </w:p>
              </w:tc>
              <w:tc>
                <w:tcPr>
                  <w:tcW w:w="392" w:type="pct"/>
                  <w:tcBorders>
                    <w:tl2br w:val="nil"/>
                    <w:tr2bl w:val="nil"/>
                  </w:tcBorders>
                  <w:noWrap w:val="0"/>
                  <w:vAlign w:val="center"/>
                </w:tcPr>
                <w:p w14:paraId="1A4855A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58</w:t>
                  </w:r>
                </w:p>
              </w:tc>
              <w:tc>
                <w:tcPr>
                  <w:tcW w:w="238" w:type="pct"/>
                  <w:vMerge w:val="continue"/>
                  <w:tcBorders>
                    <w:tl2br w:val="nil"/>
                    <w:tr2bl w:val="nil"/>
                  </w:tcBorders>
                  <w:noWrap w:val="0"/>
                  <w:vAlign w:val="center"/>
                </w:tcPr>
                <w:p w14:paraId="6222D27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5BC347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49A15C0">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32</w:t>
                  </w:r>
                </w:p>
              </w:tc>
              <w:tc>
                <w:tcPr>
                  <w:tcW w:w="303" w:type="pct"/>
                  <w:tcBorders>
                    <w:tl2br w:val="nil"/>
                    <w:tr2bl w:val="nil"/>
                  </w:tcBorders>
                  <w:shd w:val="clear" w:color="auto" w:fill="auto"/>
                  <w:noWrap w:val="0"/>
                  <w:vAlign w:val="center"/>
                </w:tcPr>
                <w:p w14:paraId="64AA6878">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BEE120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408" w:type="pct"/>
                  <w:tcBorders>
                    <w:tl2br w:val="nil"/>
                    <w:tr2bl w:val="nil"/>
                  </w:tcBorders>
                  <w:shd w:val="clear" w:color="auto" w:fill="auto"/>
                  <w:noWrap w:val="0"/>
                  <w:vAlign w:val="center"/>
                </w:tcPr>
                <w:p w14:paraId="594204FD">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5EC8D22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EF43C7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7407AE4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029672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119832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3B839A4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3EE6918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178FD65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1066A58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244D78C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0CB96A9B">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60</w:t>
                  </w:r>
                </w:p>
              </w:tc>
              <w:tc>
                <w:tcPr>
                  <w:tcW w:w="392" w:type="pct"/>
                  <w:tcBorders>
                    <w:tl2br w:val="nil"/>
                    <w:tr2bl w:val="nil"/>
                  </w:tcBorders>
                  <w:noWrap w:val="0"/>
                  <w:vAlign w:val="center"/>
                </w:tcPr>
                <w:p w14:paraId="2D73946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54</w:t>
                  </w:r>
                </w:p>
              </w:tc>
              <w:tc>
                <w:tcPr>
                  <w:tcW w:w="238" w:type="pct"/>
                  <w:vMerge w:val="continue"/>
                  <w:tcBorders>
                    <w:tl2br w:val="nil"/>
                    <w:tr2bl w:val="nil"/>
                  </w:tcBorders>
                  <w:noWrap w:val="0"/>
                  <w:vAlign w:val="center"/>
                </w:tcPr>
                <w:p w14:paraId="064FB8F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5D9B7F7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1A82CD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28</w:t>
                  </w:r>
                </w:p>
              </w:tc>
              <w:tc>
                <w:tcPr>
                  <w:tcW w:w="303" w:type="pct"/>
                  <w:tcBorders>
                    <w:tl2br w:val="nil"/>
                    <w:tr2bl w:val="nil"/>
                  </w:tcBorders>
                  <w:shd w:val="clear" w:color="auto" w:fill="auto"/>
                  <w:noWrap w:val="0"/>
                  <w:vAlign w:val="center"/>
                </w:tcPr>
                <w:p w14:paraId="7D903F8D">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614A49D">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w:t>
                  </w:r>
                </w:p>
              </w:tc>
              <w:tc>
                <w:tcPr>
                  <w:tcW w:w="408" w:type="pct"/>
                  <w:tcBorders>
                    <w:tl2br w:val="nil"/>
                    <w:tr2bl w:val="nil"/>
                  </w:tcBorders>
                  <w:shd w:val="clear" w:color="auto" w:fill="auto"/>
                  <w:noWrap w:val="0"/>
                  <w:vAlign w:val="center"/>
                </w:tcPr>
                <w:p w14:paraId="2D5764D2">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0925BA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1A8031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4E5D26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947975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0607CD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3341061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39F234C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7382CF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1FB334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609B3E1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798B9E2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w:t>
                  </w:r>
                </w:p>
              </w:tc>
              <w:tc>
                <w:tcPr>
                  <w:tcW w:w="392" w:type="pct"/>
                  <w:tcBorders>
                    <w:tl2br w:val="nil"/>
                    <w:tr2bl w:val="nil"/>
                  </w:tcBorders>
                  <w:noWrap w:val="0"/>
                  <w:vAlign w:val="center"/>
                </w:tcPr>
                <w:p w14:paraId="4BB6239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64</w:t>
                  </w:r>
                </w:p>
              </w:tc>
              <w:tc>
                <w:tcPr>
                  <w:tcW w:w="238" w:type="pct"/>
                  <w:vMerge w:val="continue"/>
                  <w:tcBorders>
                    <w:tl2br w:val="nil"/>
                    <w:tr2bl w:val="nil"/>
                  </w:tcBorders>
                  <w:noWrap w:val="0"/>
                  <w:vAlign w:val="center"/>
                </w:tcPr>
                <w:p w14:paraId="248E47F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0AE6223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C4CA5E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38</w:t>
                  </w:r>
                </w:p>
              </w:tc>
              <w:tc>
                <w:tcPr>
                  <w:tcW w:w="303" w:type="pct"/>
                  <w:tcBorders>
                    <w:tl2br w:val="nil"/>
                    <w:tr2bl w:val="nil"/>
                  </w:tcBorders>
                  <w:shd w:val="clear" w:color="auto" w:fill="auto"/>
                  <w:noWrap w:val="0"/>
                  <w:vAlign w:val="center"/>
                </w:tcPr>
                <w:p w14:paraId="0DA68CD4">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66E9789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32</w:t>
                  </w:r>
                </w:p>
              </w:tc>
              <w:tc>
                <w:tcPr>
                  <w:tcW w:w="408" w:type="pct"/>
                  <w:tcBorders>
                    <w:tl2br w:val="nil"/>
                    <w:tr2bl w:val="nil"/>
                  </w:tcBorders>
                  <w:shd w:val="clear" w:color="auto" w:fill="auto"/>
                  <w:noWrap w:val="0"/>
                  <w:vAlign w:val="center"/>
                </w:tcPr>
                <w:p w14:paraId="2404C563">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1937233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02DE9F1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5B1707D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5BD8B8F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47ECEA9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DCCA5A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F6D81E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7B4ABB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0AA2A27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4E2F0F2B">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3D4AAAE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120</w:t>
                  </w:r>
                </w:p>
              </w:tc>
              <w:tc>
                <w:tcPr>
                  <w:tcW w:w="392" w:type="pct"/>
                  <w:tcBorders>
                    <w:tl2br w:val="nil"/>
                    <w:tr2bl w:val="nil"/>
                  </w:tcBorders>
                  <w:noWrap w:val="0"/>
                  <w:vAlign w:val="center"/>
                </w:tcPr>
                <w:p w14:paraId="3B9A38AB">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48</w:t>
                  </w:r>
                </w:p>
              </w:tc>
              <w:tc>
                <w:tcPr>
                  <w:tcW w:w="238" w:type="pct"/>
                  <w:vMerge w:val="continue"/>
                  <w:tcBorders>
                    <w:tl2br w:val="nil"/>
                    <w:tr2bl w:val="nil"/>
                  </w:tcBorders>
                  <w:noWrap w:val="0"/>
                  <w:vAlign w:val="center"/>
                </w:tcPr>
                <w:p w14:paraId="368D3DB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AD7505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3D72DCB">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w:t>
                  </w:r>
                </w:p>
              </w:tc>
              <w:tc>
                <w:tcPr>
                  <w:tcW w:w="303" w:type="pct"/>
                  <w:tcBorders>
                    <w:tl2br w:val="nil"/>
                    <w:tr2bl w:val="nil"/>
                  </w:tcBorders>
                  <w:shd w:val="clear" w:color="auto" w:fill="auto"/>
                  <w:noWrap w:val="0"/>
                  <w:vAlign w:val="center"/>
                </w:tcPr>
                <w:p w14:paraId="5E2EA49E">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318B75C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-10</w:t>
                  </w:r>
                </w:p>
              </w:tc>
              <w:tc>
                <w:tcPr>
                  <w:tcW w:w="408" w:type="pct"/>
                  <w:tcBorders>
                    <w:tl2br w:val="nil"/>
                    <w:tr2bl w:val="nil"/>
                  </w:tcBorders>
                  <w:shd w:val="clear" w:color="auto" w:fill="auto"/>
                  <w:noWrap w:val="0"/>
                  <w:vAlign w:val="center"/>
                </w:tcPr>
                <w:p w14:paraId="2FBF88BE">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119D997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1010E1D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13</w:t>
                  </w:r>
                </w:p>
              </w:tc>
              <w:tc>
                <w:tcPr>
                  <w:tcW w:w="242" w:type="pct"/>
                  <w:vMerge w:val="continue"/>
                  <w:tcBorders>
                    <w:tl2br w:val="nil"/>
                    <w:tr2bl w:val="nil"/>
                  </w:tcBorders>
                  <w:noWrap w:val="0"/>
                  <w:vAlign w:val="center"/>
                </w:tcPr>
                <w:p w14:paraId="309F8EE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0F1A8DD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破碎机</w:t>
                  </w:r>
                </w:p>
              </w:tc>
              <w:tc>
                <w:tcPr>
                  <w:tcW w:w="370" w:type="pct"/>
                  <w:vMerge w:val="restart"/>
                  <w:tcBorders>
                    <w:tl2br w:val="nil"/>
                    <w:tr2bl w:val="nil"/>
                  </w:tcBorders>
                  <w:noWrap w:val="0"/>
                  <w:vAlign w:val="center"/>
                </w:tcPr>
                <w:p w14:paraId="610A1FF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57ED9E0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216216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c>
                <w:tcPr>
                  <w:tcW w:w="223" w:type="pct"/>
                  <w:vMerge w:val="restart"/>
                  <w:tcBorders>
                    <w:tl2br w:val="nil"/>
                    <w:tr2bl w:val="nil"/>
                  </w:tcBorders>
                  <w:noWrap w:val="0"/>
                  <w:vAlign w:val="center"/>
                </w:tcPr>
                <w:p w14:paraId="2311A9E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150</w:t>
                  </w:r>
                </w:p>
              </w:tc>
              <w:tc>
                <w:tcPr>
                  <w:tcW w:w="149" w:type="pct"/>
                  <w:vMerge w:val="restart"/>
                  <w:tcBorders>
                    <w:tl2br w:val="nil"/>
                    <w:tr2bl w:val="nil"/>
                  </w:tcBorders>
                  <w:noWrap w:val="0"/>
                  <w:vAlign w:val="center"/>
                </w:tcPr>
                <w:p w14:paraId="6B818B4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shd w:val="clear" w:color="auto" w:fill="auto"/>
                  <w:noWrap w:val="0"/>
                  <w:vAlign w:val="center"/>
                </w:tcPr>
                <w:p w14:paraId="09812A45">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4F4AFB4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w:t>
                  </w:r>
                </w:p>
              </w:tc>
              <w:tc>
                <w:tcPr>
                  <w:tcW w:w="392" w:type="pct"/>
                  <w:tcBorders>
                    <w:tl2br w:val="nil"/>
                    <w:tr2bl w:val="nil"/>
                  </w:tcBorders>
                  <w:noWrap w:val="0"/>
                  <w:vAlign w:val="center"/>
                </w:tcPr>
                <w:p w14:paraId="5791DC3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64</w:t>
                  </w:r>
                </w:p>
              </w:tc>
              <w:tc>
                <w:tcPr>
                  <w:tcW w:w="238" w:type="pct"/>
                  <w:vMerge w:val="continue"/>
                  <w:tcBorders>
                    <w:tl2br w:val="nil"/>
                    <w:tr2bl w:val="nil"/>
                  </w:tcBorders>
                  <w:noWrap w:val="0"/>
                  <w:vAlign w:val="center"/>
                </w:tcPr>
                <w:p w14:paraId="0E911DB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B89E4A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1A09B5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38</w:t>
                  </w:r>
                </w:p>
              </w:tc>
              <w:tc>
                <w:tcPr>
                  <w:tcW w:w="303" w:type="pct"/>
                  <w:tcBorders>
                    <w:tl2br w:val="nil"/>
                    <w:tr2bl w:val="nil"/>
                  </w:tcBorders>
                  <w:shd w:val="clear" w:color="auto" w:fill="auto"/>
                  <w:noWrap w:val="0"/>
                  <w:vAlign w:val="center"/>
                </w:tcPr>
                <w:p w14:paraId="3AF2ADC2">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19185CC">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408" w:type="pct"/>
                  <w:tcBorders>
                    <w:tl2br w:val="nil"/>
                    <w:tr2bl w:val="nil"/>
                  </w:tcBorders>
                  <w:shd w:val="clear" w:color="auto" w:fill="auto"/>
                  <w:noWrap w:val="0"/>
                  <w:vAlign w:val="center"/>
                </w:tcPr>
                <w:p w14:paraId="6CB74413">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7E870FD9">
              <w:tblPrEx>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402471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4645A5D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6D4D88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54B3A5E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62F06D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45D2D5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4906CD4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F11F21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63F8575F">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6D84DAB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100</w:t>
                  </w:r>
                </w:p>
              </w:tc>
              <w:tc>
                <w:tcPr>
                  <w:tcW w:w="392" w:type="pct"/>
                  <w:tcBorders>
                    <w:tl2br w:val="nil"/>
                    <w:tr2bl w:val="nil"/>
                  </w:tcBorders>
                  <w:noWrap w:val="0"/>
                  <w:vAlign w:val="center"/>
                </w:tcPr>
                <w:p w14:paraId="3514325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238" w:type="pct"/>
                  <w:vMerge w:val="continue"/>
                  <w:tcBorders>
                    <w:tl2br w:val="nil"/>
                    <w:tr2bl w:val="nil"/>
                  </w:tcBorders>
                  <w:noWrap w:val="0"/>
                  <w:vAlign w:val="center"/>
                </w:tcPr>
                <w:p w14:paraId="5D4986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65ABAD5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D49372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24</w:t>
                  </w:r>
                </w:p>
              </w:tc>
              <w:tc>
                <w:tcPr>
                  <w:tcW w:w="303" w:type="pct"/>
                  <w:tcBorders>
                    <w:tl2br w:val="nil"/>
                    <w:tr2bl w:val="nil"/>
                  </w:tcBorders>
                  <w:shd w:val="clear" w:color="auto" w:fill="auto"/>
                  <w:noWrap w:val="0"/>
                  <w:vAlign w:val="center"/>
                </w:tcPr>
                <w:p w14:paraId="22405953">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29CE5C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w:t>
                  </w:r>
                </w:p>
              </w:tc>
              <w:tc>
                <w:tcPr>
                  <w:tcW w:w="408" w:type="pct"/>
                  <w:tcBorders>
                    <w:tl2br w:val="nil"/>
                    <w:tr2bl w:val="nil"/>
                  </w:tcBorders>
                  <w:shd w:val="clear" w:color="auto" w:fill="auto"/>
                  <w:noWrap w:val="0"/>
                  <w:vAlign w:val="center"/>
                </w:tcPr>
                <w:p w14:paraId="1FD953CC">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67E2240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69FDFDD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AC6F80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4166CD6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6D007F3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D0F433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17155AB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81FD68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6C2391E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3C74EA6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0EB263E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40</w:t>
                  </w:r>
                </w:p>
              </w:tc>
              <w:tc>
                <w:tcPr>
                  <w:tcW w:w="392" w:type="pct"/>
                  <w:tcBorders>
                    <w:tl2br w:val="nil"/>
                    <w:tr2bl w:val="nil"/>
                  </w:tcBorders>
                  <w:noWrap w:val="0"/>
                  <w:vAlign w:val="center"/>
                </w:tcPr>
                <w:p w14:paraId="04A9B6A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58</w:t>
                  </w:r>
                </w:p>
              </w:tc>
              <w:tc>
                <w:tcPr>
                  <w:tcW w:w="238" w:type="pct"/>
                  <w:vMerge w:val="continue"/>
                  <w:tcBorders>
                    <w:tl2br w:val="nil"/>
                    <w:tr2bl w:val="nil"/>
                  </w:tcBorders>
                  <w:noWrap w:val="0"/>
                  <w:vAlign w:val="center"/>
                </w:tcPr>
                <w:p w14:paraId="70B15A9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37141B3B">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E6611C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22</w:t>
                  </w:r>
                </w:p>
              </w:tc>
              <w:tc>
                <w:tcPr>
                  <w:tcW w:w="303" w:type="pct"/>
                  <w:tcBorders>
                    <w:tl2br w:val="nil"/>
                    <w:tr2bl w:val="nil"/>
                  </w:tcBorders>
                  <w:shd w:val="clear" w:color="auto" w:fill="auto"/>
                  <w:noWrap w:val="0"/>
                  <w:vAlign w:val="center"/>
                </w:tcPr>
                <w:p w14:paraId="50370595">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A15C50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16</w:t>
                  </w:r>
                </w:p>
              </w:tc>
              <w:tc>
                <w:tcPr>
                  <w:tcW w:w="408" w:type="pct"/>
                  <w:tcBorders>
                    <w:tl2br w:val="nil"/>
                    <w:tr2bl w:val="nil"/>
                  </w:tcBorders>
                  <w:shd w:val="clear" w:color="auto" w:fill="auto"/>
                  <w:noWrap w:val="0"/>
                  <w:vAlign w:val="center"/>
                </w:tcPr>
                <w:p w14:paraId="43FA137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22C624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CF496B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287523E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5330A5B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3E56000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936789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6339E08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715F46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5091C16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4DB97756">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332DCEE3">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100</w:t>
                  </w:r>
                </w:p>
              </w:tc>
              <w:tc>
                <w:tcPr>
                  <w:tcW w:w="392" w:type="pct"/>
                  <w:tcBorders>
                    <w:tl2br w:val="nil"/>
                    <w:tr2bl w:val="nil"/>
                  </w:tcBorders>
                  <w:noWrap w:val="0"/>
                  <w:vAlign w:val="center"/>
                </w:tcPr>
                <w:p w14:paraId="1BD59022">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238" w:type="pct"/>
                  <w:vMerge w:val="continue"/>
                  <w:tcBorders>
                    <w:tl2br w:val="nil"/>
                    <w:tr2bl w:val="nil"/>
                  </w:tcBorders>
                  <w:noWrap w:val="0"/>
                  <w:vAlign w:val="center"/>
                </w:tcPr>
                <w:p w14:paraId="1DA8F4A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5B8FD97">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737805DA">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24</w:t>
                  </w:r>
                </w:p>
              </w:tc>
              <w:tc>
                <w:tcPr>
                  <w:tcW w:w="303" w:type="pct"/>
                  <w:tcBorders>
                    <w:tl2br w:val="nil"/>
                    <w:tr2bl w:val="nil"/>
                  </w:tcBorders>
                  <w:shd w:val="clear" w:color="auto" w:fill="auto"/>
                  <w:noWrap w:val="0"/>
                  <w:vAlign w:val="center"/>
                </w:tcPr>
                <w:p w14:paraId="46C3C101">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2CCCF3D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408" w:type="pct"/>
                  <w:tcBorders>
                    <w:tl2br w:val="nil"/>
                    <w:tr2bl w:val="nil"/>
                  </w:tcBorders>
                  <w:shd w:val="clear" w:color="auto" w:fill="auto"/>
                  <w:noWrap w:val="0"/>
                  <w:vAlign w:val="center"/>
                </w:tcPr>
                <w:p w14:paraId="52AF59A9">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497744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7037AD7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14</w:t>
                  </w:r>
                </w:p>
              </w:tc>
              <w:tc>
                <w:tcPr>
                  <w:tcW w:w="242" w:type="pct"/>
                  <w:vMerge w:val="continue"/>
                  <w:tcBorders>
                    <w:tl2br w:val="nil"/>
                    <w:tr2bl w:val="nil"/>
                  </w:tcBorders>
                  <w:noWrap w:val="0"/>
                  <w:vAlign w:val="center"/>
                </w:tcPr>
                <w:p w14:paraId="279E6E0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036082A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重型振动给料机</w:t>
                  </w:r>
                </w:p>
              </w:tc>
              <w:tc>
                <w:tcPr>
                  <w:tcW w:w="370" w:type="pct"/>
                  <w:vMerge w:val="restart"/>
                  <w:tcBorders>
                    <w:tl2br w:val="nil"/>
                    <w:tr2bl w:val="nil"/>
                  </w:tcBorders>
                  <w:noWrap w:val="0"/>
                  <w:vAlign w:val="center"/>
                </w:tcPr>
                <w:p w14:paraId="1ED8248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7472AC5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5F958F4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43</w:t>
                  </w:r>
                </w:p>
              </w:tc>
              <w:tc>
                <w:tcPr>
                  <w:tcW w:w="223" w:type="pct"/>
                  <w:vMerge w:val="restart"/>
                  <w:tcBorders>
                    <w:tl2br w:val="nil"/>
                    <w:tr2bl w:val="nil"/>
                  </w:tcBorders>
                  <w:noWrap w:val="0"/>
                  <w:vAlign w:val="center"/>
                </w:tcPr>
                <w:p w14:paraId="37F9124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150</w:t>
                  </w:r>
                </w:p>
              </w:tc>
              <w:tc>
                <w:tcPr>
                  <w:tcW w:w="149" w:type="pct"/>
                  <w:vMerge w:val="restart"/>
                  <w:tcBorders>
                    <w:tl2br w:val="nil"/>
                    <w:tr2bl w:val="nil"/>
                  </w:tcBorders>
                  <w:noWrap w:val="0"/>
                  <w:vAlign w:val="center"/>
                </w:tcPr>
                <w:p w14:paraId="6B8AE07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shd w:val="clear" w:color="auto" w:fill="auto"/>
                  <w:noWrap w:val="0"/>
                  <w:vAlign w:val="center"/>
                </w:tcPr>
                <w:p w14:paraId="470256BC">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3F55B01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18</w:t>
                  </w:r>
                </w:p>
              </w:tc>
              <w:tc>
                <w:tcPr>
                  <w:tcW w:w="392" w:type="pct"/>
                  <w:tcBorders>
                    <w:tl2br w:val="nil"/>
                    <w:tr2bl w:val="nil"/>
                  </w:tcBorders>
                  <w:noWrap w:val="0"/>
                  <w:vAlign w:val="center"/>
                </w:tcPr>
                <w:p w14:paraId="78B1158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65</w:t>
                  </w:r>
                </w:p>
              </w:tc>
              <w:tc>
                <w:tcPr>
                  <w:tcW w:w="238" w:type="pct"/>
                  <w:vMerge w:val="continue"/>
                  <w:tcBorders>
                    <w:tl2br w:val="nil"/>
                    <w:tr2bl w:val="nil"/>
                  </w:tcBorders>
                  <w:noWrap w:val="0"/>
                  <w:vAlign w:val="center"/>
                </w:tcPr>
                <w:p w14:paraId="5C6AA73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BF3E470">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1D32368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39</w:t>
                  </w:r>
                </w:p>
              </w:tc>
              <w:tc>
                <w:tcPr>
                  <w:tcW w:w="303" w:type="pct"/>
                  <w:tcBorders>
                    <w:tl2br w:val="nil"/>
                    <w:tr2bl w:val="nil"/>
                  </w:tcBorders>
                  <w:shd w:val="clear" w:color="auto" w:fill="auto"/>
                  <w:noWrap w:val="0"/>
                  <w:vAlign w:val="center"/>
                </w:tcPr>
                <w:p w14:paraId="11EE119B">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1265BBF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-7</w:t>
                  </w:r>
                </w:p>
              </w:tc>
              <w:tc>
                <w:tcPr>
                  <w:tcW w:w="408" w:type="pct"/>
                  <w:tcBorders>
                    <w:tl2br w:val="nil"/>
                    <w:tr2bl w:val="nil"/>
                  </w:tcBorders>
                  <w:shd w:val="clear" w:color="auto" w:fill="auto"/>
                  <w:noWrap w:val="0"/>
                  <w:vAlign w:val="center"/>
                </w:tcPr>
                <w:p w14:paraId="396D2F29">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04B4A6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6C9673E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2A427F7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64CB18A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14CA2FC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8F8C0D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47202B0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2783D60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0237087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152BB224">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49FECD5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100</w:t>
                  </w:r>
                </w:p>
              </w:tc>
              <w:tc>
                <w:tcPr>
                  <w:tcW w:w="392" w:type="pct"/>
                  <w:tcBorders>
                    <w:tl2br w:val="nil"/>
                    <w:tr2bl w:val="nil"/>
                  </w:tcBorders>
                  <w:noWrap w:val="0"/>
                  <w:vAlign w:val="center"/>
                </w:tcPr>
                <w:p w14:paraId="7DA152C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238" w:type="pct"/>
                  <w:vMerge w:val="continue"/>
                  <w:tcBorders>
                    <w:tl2br w:val="nil"/>
                    <w:tr2bl w:val="nil"/>
                  </w:tcBorders>
                  <w:noWrap w:val="0"/>
                  <w:vAlign w:val="center"/>
                </w:tcPr>
                <w:p w14:paraId="21BCB20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B163A58">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529363DC">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24</w:t>
                  </w:r>
                </w:p>
              </w:tc>
              <w:tc>
                <w:tcPr>
                  <w:tcW w:w="303" w:type="pct"/>
                  <w:tcBorders>
                    <w:tl2br w:val="nil"/>
                    <w:tr2bl w:val="nil"/>
                  </w:tcBorders>
                  <w:shd w:val="clear" w:color="auto" w:fill="auto"/>
                  <w:noWrap w:val="0"/>
                  <w:vAlign w:val="center"/>
                </w:tcPr>
                <w:p w14:paraId="63D959CF">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9C73350">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w:t>
                  </w:r>
                </w:p>
              </w:tc>
              <w:tc>
                <w:tcPr>
                  <w:tcW w:w="408" w:type="pct"/>
                  <w:tcBorders>
                    <w:tl2br w:val="nil"/>
                    <w:tr2bl w:val="nil"/>
                  </w:tcBorders>
                  <w:shd w:val="clear" w:color="auto" w:fill="auto"/>
                  <w:noWrap w:val="0"/>
                  <w:vAlign w:val="center"/>
                </w:tcPr>
                <w:p w14:paraId="1645BE52">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3E7058C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4CA65FC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170FE6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7ABFB61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7FB9961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073EAFB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4FCBF43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D405C1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0C2D1F4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10C15D2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4B818E62">
                  <w:pPr>
                    <w:keepNext w:val="0"/>
                    <w:keepLines w:val="0"/>
                    <w:suppressLineNumbers w:val="0"/>
                    <w:spacing w:before="0" w:beforeAutospacing="0" w:after="0" w:afterAutospacing="0"/>
                    <w:ind w:left="0" w:right="0"/>
                    <w:jc w:val="center"/>
                    <w:rPr>
                      <w:rFonts w:hint="eastAsia"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42</w:t>
                  </w:r>
                </w:p>
              </w:tc>
              <w:tc>
                <w:tcPr>
                  <w:tcW w:w="392" w:type="pct"/>
                  <w:tcBorders>
                    <w:tl2br w:val="nil"/>
                    <w:tr2bl w:val="nil"/>
                  </w:tcBorders>
                  <w:noWrap w:val="0"/>
                  <w:vAlign w:val="center"/>
                </w:tcPr>
                <w:p w14:paraId="685CBB3A">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57</w:t>
                  </w:r>
                </w:p>
              </w:tc>
              <w:tc>
                <w:tcPr>
                  <w:tcW w:w="238" w:type="pct"/>
                  <w:vMerge w:val="continue"/>
                  <w:tcBorders>
                    <w:tl2br w:val="nil"/>
                    <w:tr2bl w:val="nil"/>
                  </w:tcBorders>
                  <w:noWrap w:val="0"/>
                  <w:vAlign w:val="center"/>
                </w:tcPr>
                <w:p w14:paraId="52E0CE5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90D726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6ED72A2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31</w:t>
                  </w:r>
                </w:p>
              </w:tc>
              <w:tc>
                <w:tcPr>
                  <w:tcW w:w="303" w:type="pct"/>
                  <w:tcBorders>
                    <w:tl2br w:val="nil"/>
                    <w:tr2bl w:val="nil"/>
                  </w:tcBorders>
                  <w:shd w:val="clear" w:color="auto" w:fill="auto"/>
                  <w:noWrap w:val="0"/>
                  <w:vAlign w:val="center"/>
                </w:tcPr>
                <w:p w14:paraId="34EC766E">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54BFCBF3">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25</w:t>
                  </w:r>
                </w:p>
              </w:tc>
              <w:tc>
                <w:tcPr>
                  <w:tcW w:w="408" w:type="pct"/>
                  <w:tcBorders>
                    <w:tl2br w:val="nil"/>
                    <w:tr2bl w:val="nil"/>
                  </w:tcBorders>
                  <w:shd w:val="clear" w:color="auto" w:fill="auto"/>
                  <w:noWrap w:val="0"/>
                  <w:vAlign w:val="center"/>
                </w:tcPr>
                <w:p w14:paraId="5FB1044A">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6FBCFCB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154C2A6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4353B9A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1AFF51A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2CFD2E43">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705299C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1353C60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0B4A719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8FC8B1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13979F2D">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6550024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100</w:t>
                  </w:r>
                </w:p>
              </w:tc>
              <w:tc>
                <w:tcPr>
                  <w:tcW w:w="392" w:type="pct"/>
                  <w:tcBorders>
                    <w:tl2br w:val="nil"/>
                    <w:tr2bl w:val="nil"/>
                  </w:tcBorders>
                  <w:noWrap w:val="0"/>
                  <w:vAlign w:val="center"/>
                </w:tcPr>
                <w:p w14:paraId="50EE4175">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238" w:type="pct"/>
                  <w:vMerge w:val="continue"/>
                  <w:tcBorders>
                    <w:tl2br w:val="nil"/>
                    <w:tr2bl w:val="nil"/>
                  </w:tcBorders>
                  <w:noWrap w:val="0"/>
                  <w:vAlign w:val="center"/>
                </w:tcPr>
                <w:p w14:paraId="5F155C3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18DB5C49">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A787C03">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24</w:t>
                  </w:r>
                </w:p>
              </w:tc>
              <w:tc>
                <w:tcPr>
                  <w:tcW w:w="303" w:type="pct"/>
                  <w:tcBorders>
                    <w:tl2br w:val="nil"/>
                    <w:tr2bl w:val="nil"/>
                  </w:tcBorders>
                  <w:shd w:val="clear" w:color="auto" w:fill="auto"/>
                  <w:noWrap w:val="0"/>
                  <w:vAlign w:val="center"/>
                </w:tcPr>
                <w:p w14:paraId="633EF655">
                  <w:pPr>
                    <w:keepNext w:val="0"/>
                    <w:keepLines w:val="0"/>
                    <w:widowControl/>
                    <w:suppressLineNumbers w:val="0"/>
                    <w:adjustRightInd w:val="0"/>
                    <w:snapToGrid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414C91C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-8</w:t>
                  </w:r>
                </w:p>
              </w:tc>
              <w:tc>
                <w:tcPr>
                  <w:tcW w:w="408" w:type="pct"/>
                  <w:tcBorders>
                    <w:tl2br w:val="nil"/>
                    <w:tr2bl w:val="nil"/>
                  </w:tcBorders>
                  <w:shd w:val="clear" w:color="auto" w:fill="auto"/>
                  <w:noWrap w:val="0"/>
                  <w:vAlign w:val="center"/>
                </w:tcPr>
                <w:p w14:paraId="348BAAF9">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677DAA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restart"/>
                  <w:tcBorders>
                    <w:tl2br w:val="nil"/>
                    <w:tr2bl w:val="nil"/>
                  </w:tcBorders>
                  <w:noWrap w:val="0"/>
                  <w:vAlign w:val="center"/>
                </w:tcPr>
                <w:p w14:paraId="4FEAC63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w:t>
                  </w:r>
                </w:p>
              </w:tc>
              <w:tc>
                <w:tcPr>
                  <w:tcW w:w="242" w:type="pct"/>
                  <w:vMerge w:val="continue"/>
                  <w:tcBorders>
                    <w:tl2br w:val="nil"/>
                    <w:tr2bl w:val="nil"/>
                  </w:tcBorders>
                  <w:noWrap w:val="0"/>
                  <w:vAlign w:val="center"/>
                </w:tcPr>
                <w:p w14:paraId="5387628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restart"/>
                  <w:tcBorders>
                    <w:tl2br w:val="nil"/>
                    <w:tr2bl w:val="nil"/>
                  </w:tcBorders>
                  <w:noWrap w:val="0"/>
                  <w:vAlign w:val="center"/>
                </w:tcPr>
                <w:p w14:paraId="0C4C4ECE">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ascii="Times New Roman" w:hAnsi="Times New Roman" w:eastAsia="宋体" w:cs="Times New Roman"/>
                      <w:color w:val="auto"/>
                      <w:kern w:val="2"/>
                      <w:sz w:val="18"/>
                      <w:szCs w:val="18"/>
                      <w:highlight w:val="none"/>
                      <w:lang w:val="en-US" w:eastAsia="zh-CN" w:bidi="ar-SA"/>
                    </w:rPr>
                    <w:t>3#风机</w:t>
                  </w:r>
                </w:p>
              </w:tc>
              <w:tc>
                <w:tcPr>
                  <w:tcW w:w="370" w:type="pct"/>
                  <w:vMerge w:val="restart"/>
                  <w:tcBorders>
                    <w:tl2br w:val="nil"/>
                    <w:tr2bl w:val="nil"/>
                  </w:tcBorders>
                  <w:noWrap w:val="0"/>
                  <w:vAlign w:val="center"/>
                </w:tcPr>
                <w:p w14:paraId="0EB383CB">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90</w:t>
                  </w:r>
                </w:p>
              </w:tc>
              <w:tc>
                <w:tcPr>
                  <w:tcW w:w="283" w:type="pct"/>
                  <w:vMerge w:val="continue"/>
                  <w:tcBorders>
                    <w:tl2br w:val="nil"/>
                    <w:tr2bl w:val="nil"/>
                  </w:tcBorders>
                  <w:noWrap w:val="0"/>
                  <w:vAlign w:val="center"/>
                </w:tcPr>
                <w:p w14:paraId="0B8C22F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restart"/>
                  <w:tcBorders>
                    <w:tl2br w:val="nil"/>
                    <w:tr2bl w:val="nil"/>
                  </w:tcBorders>
                  <w:noWrap w:val="0"/>
                  <w:vAlign w:val="center"/>
                </w:tcPr>
                <w:p w14:paraId="6993C95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31</w:t>
                  </w:r>
                </w:p>
              </w:tc>
              <w:tc>
                <w:tcPr>
                  <w:tcW w:w="223" w:type="pct"/>
                  <w:vMerge w:val="restart"/>
                  <w:tcBorders>
                    <w:tl2br w:val="nil"/>
                    <w:tr2bl w:val="nil"/>
                  </w:tcBorders>
                  <w:noWrap w:val="0"/>
                  <w:vAlign w:val="center"/>
                </w:tcPr>
                <w:p w14:paraId="3D4B8AD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91</w:t>
                  </w:r>
                </w:p>
              </w:tc>
              <w:tc>
                <w:tcPr>
                  <w:tcW w:w="149" w:type="pct"/>
                  <w:vMerge w:val="restart"/>
                  <w:tcBorders>
                    <w:tl2br w:val="nil"/>
                    <w:tr2bl w:val="nil"/>
                  </w:tcBorders>
                  <w:noWrap w:val="0"/>
                  <w:vAlign w:val="center"/>
                </w:tcPr>
                <w:p w14:paraId="6AA6C59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296" w:type="pct"/>
                  <w:tcBorders>
                    <w:tl2br w:val="nil"/>
                    <w:tr2bl w:val="nil"/>
                  </w:tcBorders>
                  <w:shd w:val="clear" w:color="auto" w:fill="auto"/>
                  <w:noWrap w:val="0"/>
                  <w:vAlign w:val="center"/>
                </w:tcPr>
                <w:p w14:paraId="0476DE68">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东侧</w:t>
                  </w:r>
                </w:p>
              </w:tc>
              <w:tc>
                <w:tcPr>
                  <w:tcW w:w="275" w:type="pct"/>
                  <w:tcBorders>
                    <w:tl2br w:val="nil"/>
                    <w:tr2bl w:val="nil"/>
                  </w:tcBorders>
                  <w:noWrap w:val="0"/>
                  <w:vAlign w:val="center"/>
                </w:tcPr>
                <w:p w14:paraId="7AA5C15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92" w:type="pct"/>
                  <w:tcBorders>
                    <w:tl2br w:val="nil"/>
                    <w:tr2bl w:val="nil"/>
                  </w:tcBorders>
                  <w:noWrap w:val="0"/>
                  <w:vAlign w:val="center"/>
                </w:tcPr>
                <w:p w14:paraId="693E7262">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60</w:t>
                  </w:r>
                </w:p>
              </w:tc>
              <w:tc>
                <w:tcPr>
                  <w:tcW w:w="238" w:type="pct"/>
                  <w:vMerge w:val="continue"/>
                  <w:tcBorders>
                    <w:tl2br w:val="nil"/>
                    <w:tr2bl w:val="nil"/>
                  </w:tcBorders>
                  <w:noWrap w:val="0"/>
                  <w:vAlign w:val="center"/>
                </w:tcPr>
                <w:p w14:paraId="1136D86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7AC2A0F3">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94A20E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34</w:t>
                  </w:r>
                </w:p>
              </w:tc>
              <w:tc>
                <w:tcPr>
                  <w:tcW w:w="303" w:type="pct"/>
                  <w:tcBorders>
                    <w:tl2br w:val="nil"/>
                    <w:tr2bl w:val="nil"/>
                  </w:tcBorders>
                  <w:shd w:val="clear" w:color="auto" w:fill="auto"/>
                  <w:noWrap w:val="0"/>
                  <w:vAlign w:val="center"/>
                </w:tcPr>
                <w:p w14:paraId="0B1DC198">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0469800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408" w:type="pct"/>
                  <w:tcBorders>
                    <w:tl2br w:val="nil"/>
                    <w:tr2bl w:val="nil"/>
                  </w:tcBorders>
                  <w:shd w:val="clear" w:color="auto" w:fill="auto"/>
                  <w:noWrap w:val="0"/>
                  <w:vAlign w:val="center"/>
                </w:tcPr>
                <w:p w14:paraId="7E36CE52">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200</w:t>
                  </w:r>
                </w:p>
              </w:tc>
            </w:tr>
            <w:tr w14:paraId="512799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042AD977">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58CCD65">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2181F6E8">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5874805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33B1B99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79557A9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5DD5E44F">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1127816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5E18D751">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南侧</w:t>
                  </w:r>
                </w:p>
              </w:tc>
              <w:tc>
                <w:tcPr>
                  <w:tcW w:w="275" w:type="pct"/>
                  <w:tcBorders>
                    <w:tl2br w:val="nil"/>
                    <w:tr2bl w:val="nil"/>
                  </w:tcBorders>
                  <w:noWrap w:val="0"/>
                  <w:vAlign w:val="center"/>
                </w:tcPr>
                <w:p w14:paraId="2CE608A4">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50</w:t>
                  </w:r>
                </w:p>
              </w:tc>
              <w:tc>
                <w:tcPr>
                  <w:tcW w:w="392" w:type="pct"/>
                  <w:tcBorders>
                    <w:tl2br w:val="nil"/>
                    <w:tr2bl w:val="nil"/>
                  </w:tcBorders>
                  <w:noWrap w:val="0"/>
                  <w:vAlign w:val="center"/>
                </w:tcPr>
                <w:p w14:paraId="762C4FD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56</w:t>
                  </w:r>
                </w:p>
              </w:tc>
              <w:tc>
                <w:tcPr>
                  <w:tcW w:w="238" w:type="pct"/>
                  <w:vMerge w:val="continue"/>
                  <w:tcBorders>
                    <w:tl2br w:val="nil"/>
                    <w:tr2bl w:val="nil"/>
                  </w:tcBorders>
                  <w:noWrap w:val="0"/>
                  <w:vAlign w:val="center"/>
                </w:tcPr>
                <w:p w14:paraId="721FE04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0FD9EBE6">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25D3C0B6">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03" w:type="pct"/>
                  <w:tcBorders>
                    <w:tl2br w:val="nil"/>
                    <w:tr2bl w:val="nil"/>
                  </w:tcBorders>
                  <w:shd w:val="clear" w:color="auto" w:fill="auto"/>
                  <w:noWrap w:val="0"/>
                  <w:vAlign w:val="center"/>
                </w:tcPr>
                <w:p w14:paraId="7C8E33FC">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29604E8E">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w:t>
                  </w:r>
                </w:p>
              </w:tc>
              <w:tc>
                <w:tcPr>
                  <w:tcW w:w="408" w:type="pct"/>
                  <w:tcBorders>
                    <w:tl2br w:val="nil"/>
                    <w:tr2bl w:val="nil"/>
                  </w:tcBorders>
                  <w:shd w:val="clear" w:color="auto" w:fill="auto"/>
                  <w:noWrap w:val="0"/>
                  <w:vAlign w:val="center"/>
                </w:tcPr>
                <w:p w14:paraId="54814E8F">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r>
            <w:tr w14:paraId="416BB1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64B39C6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0A6B04D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1DEF1A9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168F39B2">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487C951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40CA8F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603E398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43DF8D30">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644471E2">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西侧</w:t>
                  </w:r>
                </w:p>
              </w:tc>
              <w:tc>
                <w:tcPr>
                  <w:tcW w:w="275" w:type="pct"/>
                  <w:tcBorders>
                    <w:tl2br w:val="nil"/>
                    <w:tr2bl w:val="nil"/>
                  </w:tcBorders>
                  <w:noWrap w:val="0"/>
                  <w:vAlign w:val="center"/>
                </w:tcPr>
                <w:p w14:paraId="4B07142F">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30</w:t>
                  </w:r>
                </w:p>
              </w:tc>
              <w:tc>
                <w:tcPr>
                  <w:tcW w:w="392" w:type="pct"/>
                  <w:tcBorders>
                    <w:tl2br w:val="nil"/>
                    <w:tr2bl w:val="nil"/>
                  </w:tcBorders>
                  <w:noWrap w:val="0"/>
                  <w:vAlign w:val="center"/>
                </w:tcPr>
                <w:p w14:paraId="2D42FEEB">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60</w:t>
                  </w:r>
                </w:p>
              </w:tc>
              <w:tc>
                <w:tcPr>
                  <w:tcW w:w="238" w:type="pct"/>
                  <w:vMerge w:val="continue"/>
                  <w:tcBorders>
                    <w:tl2br w:val="nil"/>
                    <w:tr2bl w:val="nil"/>
                  </w:tcBorders>
                  <w:noWrap w:val="0"/>
                  <w:vAlign w:val="center"/>
                </w:tcPr>
                <w:p w14:paraId="429BB1D9">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6F2F03F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3906E40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34</w:t>
                  </w:r>
                </w:p>
              </w:tc>
              <w:tc>
                <w:tcPr>
                  <w:tcW w:w="303" w:type="pct"/>
                  <w:tcBorders>
                    <w:tl2br w:val="nil"/>
                    <w:tr2bl w:val="nil"/>
                  </w:tcBorders>
                  <w:shd w:val="clear" w:color="auto" w:fill="auto"/>
                  <w:noWrap w:val="0"/>
                  <w:vAlign w:val="center"/>
                </w:tcPr>
                <w:p w14:paraId="1B6741EA">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3CA064D7">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28</w:t>
                  </w:r>
                </w:p>
              </w:tc>
              <w:tc>
                <w:tcPr>
                  <w:tcW w:w="408" w:type="pct"/>
                  <w:tcBorders>
                    <w:tl2br w:val="nil"/>
                    <w:tr2bl w:val="nil"/>
                  </w:tcBorders>
                  <w:shd w:val="clear" w:color="auto" w:fill="auto"/>
                  <w:noWrap w:val="0"/>
                  <w:vAlign w:val="center"/>
                </w:tcPr>
                <w:p w14:paraId="04583D55">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w:t>
                  </w:r>
                </w:p>
              </w:tc>
            </w:tr>
            <w:tr w14:paraId="7CD0CD2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110" w:type="pct"/>
                  <w:vMerge w:val="continue"/>
                  <w:tcBorders>
                    <w:tl2br w:val="nil"/>
                    <w:tr2bl w:val="nil"/>
                  </w:tcBorders>
                  <w:noWrap w:val="0"/>
                  <w:vAlign w:val="center"/>
                </w:tcPr>
                <w:p w14:paraId="7F4443B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42" w:type="pct"/>
                  <w:vMerge w:val="continue"/>
                  <w:tcBorders>
                    <w:tl2br w:val="nil"/>
                    <w:tr2bl w:val="nil"/>
                  </w:tcBorders>
                  <w:noWrap w:val="0"/>
                  <w:vAlign w:val="center"/>
                </w:tcPr>
                <w:p w14:paraId="33A5E93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52" w:type="pct"/>
                  <w:vMerge w:val="continue"/>
                  <w:tcBorders>
                    <w:tl2br w:val="nil"/>
                    <w:tr2bl w:val="nil"/>
                  </w:tcBorders>
                  <w:noWrap w:val="0"/>
                  <w:vAlign w:val="center"/>
                </w:tcPr>
                <w:p w14:paraId="3B7B76FD">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70" w:type="pct"/>
                  <w:vMerge w:val="continue"/>
                  <w:tcBorders>
                    <w:tl2br w:val="nil"/>
                    <w:tr2bl w:val="nil"/>
                  </w:tcBorders>
                  <w:noWrap w:val="0"/>
                  <w:vAlign w:val="center"/>
                </w:tcPr>
                <w:p w14:paraId="65683EC4">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83" w:type="pct"/>
                  <w:vMerge w:val="continue"/>
                  <w:tcBorders>
                    <w:tl2br w:val="nil"/>
                    <w:tr2bl w:val="nil"/>
                  </w:tcBorders>
                  <w:noWrap w:val="0"/>
                  <w:vAlign w:val="center"/>
                </w:tcPr>
                <w:p w14:paraId="2D3D98CA">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89" w:type="pct"/>
                  <w:vMerge w:val="continue"/>
                  <w:tcBorders>
                    <w:tl2br w:val="nil"/>
                    <w:tr2bl w:val="nil"/>
                  </w:tcBorders>
                  <w:noWrap w:val="0"/>
                  <w:vAlign w:val="center"/>
                </w:tcPr>
                <w:p w14:paraId="297A5816">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23" w:type="pct"/>
                  <w:vMerge w:val="continue"/>
                  <w:tcBorders>
                    <w:tl2br w:val="nil"/>
                    <w:tr2bl w:val="nil"/>
                  </w:tcBorders>
                  <w:noWrap w:val="0"/>
                  <w:vAlign w:val="center"/>
                </w:tcPr>
                <w:p w14:paraId="297CFF2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149" w:type="pct"/>
                  <w:vMerge w:val="continue"/>
                  <w:tcBorders>
                    <w:tl2br w:val="nil"/>
                    <w:tr2bl w:val="nil"/>
                  </w:tcBorders>
                  <w:noWrap w:val="0"/>
                  <w:vAlign w:val="center"/>
                </w:tcPr>
                <w:p w14:paraId="74637FF1">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296" w:type="pct"/>
                  <w:tcBorders>
                    <w:tl2br w:val="nil"/>
                    <w:tr2bl w:val="nil"/>
                  </w:tcBorders>
                  <w:shd w:val="clear" w:color="auto" w:fill="auto"/>
                  <w:noWrap w:val="0"/>
                  <w:vAlign w:val="center"/>
                </w:tcPr>
                <w:p w14:paraId="65E7A6B9">
                  <w:pPr>
                    <w:keepNext w:val="0"/>
                    <w:keepLines w:val="0"/>
                    <w:suppressLineNumbers w:val="0"/>
                    <w:spacing w:before="0" w:beforeAutospacing="0" w:after="0" w:afterAutospacing="0"/>
                    <w:ind w:left="0" w:leftChars="0" w:right="0" w:rightChars="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北侧</w:t>
                  </w:r>
                </w:p>
              </w:tc>
              <w:tc>
                <w:tcPr>
                  <w:tcW w:w="275" w:type="pct"/>
                  <w:tcBorders>
                    <w:tl2br w:val="nil"/>
                    <w:tr2bl w:val="nil"/>
                  </w:tcBorders>
                  <w:noWrap w:val="0"/>
                  <w:vAlign w:val="center"/>
                </w:tcPr>
                <w:p w14:paraId="17444E79">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150</w:t>
                  </w:r>
                </w:p>
              </w:tc>
              <w:tc>
                <w:tcPr>
                  <w:tcW w:w="392" w:type="pct"/>
                  <w:tcBorders>
                    <w:tl2br w:val="nil"/>
                    <w:tr2bl w:val="nil"/>
                  </w:tcBorders>
                  <w:noWrap w:val="0"/>
                  <w:vAlign w:val="center"/>
                </w:tcPr>
                <w:p w14:paraId="3F0D4FDC">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46</w:t>
                  </w:r>
                </w:p>
              </w:tc>
              <w:tc>
                <w:tcPr>
                  <w:tcW w:w="238" w:type="pct"/>
                  <w:vMerge w:val="continue"/>
                  <w:tcBorders>
                    <w:tl2br w:val="nil"/>
                    <w:tr2bl w:val="nil"/>
                  </w:tcBorders>
                  <w:noWrap w:val="0"/>
                  <w:vAlign w:val="center"/>
                </w:tcPr>
                <w:p w14:paraId="61B9614C">
                  <w:pPr>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363" w:type="pct"/>
                  <w:vMerge w:val="continue"/>
                  <w:tcBorders>
                    <w:tl2br w:val="nil"/>
                    <w:tr2bl w:val="nil"/>
                  </w:tcBorders>
                  <w:noWrap w:val="0"/>
                  <w:vAlign w:val="center"/>
                </w:tcPr>
                <w:p w14:paraId="25B36424">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p>
              </w:tc>
              <w:tc>
                <w:tcPr>
                  <w:tcW w:w="421" w:type="pct"/>
                  <w:tcBorders>
                    <w:tl2br w:val="nil"/>
                    <w:tr2bl w:val="nil"/>
                  </w:tcBorders>
                  <w:shd w:val="clear" w:color="auto" w:fill="auto"/>
                  <w:noWrap w:val="0"/>
                  <w:vAlign w:val="top"/>
                </w:tcPr>
                <w:p w14:paraId="488DCD58">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20</w:t>
                  </w:r>
                </w:p>
              </w:tc>
              <w:tc>
                <w:tcPr>
                  <w:tcW w:w="303" w:type="pct"/>
                  <w:tcBorders>
                    <w:tl2br w:val="nil"/>
                    <w:tr2bl w:val="nil"/>
                  </w:tcBorders>
                  <w:shd w:val="clear" w:color="auto" w:fill="auto"/>
                  <w:noWrap w:val="0"/>
                  <w:vAlign w:val="center"/>
                </w:tcPr>
                <w:p w14:paraId="6FF20BF5">
                  <w:pPr>
                    <w:keepNext w:val="0"/>
                    <w:keepLines w:val="0"/>
                    <w:widowControl/>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w:t>
                  </w:r>
                </w:p>
              </w:tc>
              <w:tc>
                <w:tcPr>
                  <w:tcW w:w="381" w:type="pct"/>
                  <w:tcBorders>
                    <w:tl2br w:val="nil"/>
                    <w:tr2bl w:val="nil"/>
                  </w:tcBorders>
                  <w:noWrap w:val="0"/>
                  <w:vAlign w:val="center"/>
                </w:tcPr>
                <w:p w14:paraId="7A1C8282">
                  <w:pPr>
                    <w:keepNext w:val="0"/>
                    <w:keepLines w:val="0"/>
                    <w:suppressLineNumbers w:val="0"/>
                    <w:spacing w:before="0" w:beforeAutospacing="0" w:after="0" w:afterAutospacing="0"/>
                    <w:ind w:left="0" w:right="0"/>
                    <w:jc w:val="center"/>
                    <w:rPr>
                      <w:rFonts w:hint="default"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-12</w:t>
                  </w:r>
                </w:p>
              </w:tc>
              <w:tc>
                <w:tcPr>
                  <w:tcW w:w="408" w:type="pct"/>
                  <w:tcBorders>
                    <w:tl2br w:val="nil"/>
                    <w:tr2bl w:val="nil"/>
                  </w:tcBorders>
                  <w:shd w:val="clear" w:color="auto" w:fill="auto"/>
                  <w:noWrap w:val="0"/>
                  <w:vAlign w:val="center"/>
                </w:tcPr>
                <w:p w14:paraId="12D448A0">
                  <w:pPr>
                    <w:keepNext w:val="0"/>
                    <w:keepLines w:val="0"/>
                    <w:suppressLineNumbers w:val="0"/>
                    <w:spacing w:before="0" w:beforeAutospacing="0" w:after="0" w:afterAutospacing="0"/>
                    <w:ind w:left="0" w:leftChars="0" w:right="0" w:rightChars="0"/>
                    <w:jc w:val="center"/>
                    <w:rPr>
                      <w:rFonts w:hint="eastAsia" w:ascii="Times New Roman" w:hAnsi="Times New Roman" w:eastAsia="宋体" w:cs="Times New Roman"/>
                      <w:color w:val="auto"/>
                      <w:kern w:val="2"/>
                      <w:sz w:val="18"/>
                      <w:szCs w:val="18"/>
                      <w:highlight w:val="none"/>
                      <w:lang w:val="en-US" w:eastAsia="zh-CN" w:bidi="ar-SA"/>
                    </w:rPr>
                  </w:pPr>
                  <w:r>
                    <w:rPr>
                      <w:rFonts w:hint="eastAsia" w:cs="Times New Roman"/>
                      <w:color w:val="auto"/>
                      <w:kern w:val="2"/>
                      <w:sz w:val="18"/>
                      <w:szCs w:val="18"/>
                      <w:highlight w:val="none"/>
                      <w:lang w:val="en-US" w:eastAsia="zh-CN" w:bidi="ar-SA"/>
                    </w:rPr>
                    <w:t>41</w:t>
                  </w:r>
                </w:p>
              </w:tc>
            </w:tr>
            <w:tr w14:paraId="73B9747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397" w:hRule="atLeast"/>
              </w:trPr>
              <w:tc>
                <w:tcPr>
                  <w:tcW w:w="5000" w:type="pct"/>
                  <w:gridSpan w:val="17"/>
                  <w:tcBorders>
                    <w:tl2br w:val="nil"/>
                    <w:tr2bl w:val="nil"/>
                  </w:tcBorders>
                  <w:noWrap w:val="0"/>
                  <w:vAlign w:val="center"/>
                </w:tcPr>
                <w:p w14:paraId="778296B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注：以项目所在厂址西南角（</w:t>
                  </w:r>
                  <w:r>
                    <w:rPr>
                      <w:rFonts w:hint="default" w:ascii="Times New Roman" w:hAnsi="Times New Roman" w:cs="Times New Roman"/>
                      <w:color w:val="auto"/>
                      <w:kern w:val="2"/>
                      <w:sz w:val="18"/>
                      <w:szCs w:val="18"/>
                      <w:highlight w:val="none"/>
                      <w:lang w:val="en-US" w:eastAsia="zh-CN" w:bidi="ar-SA"/>
                    </w:rPr>
                    <w:t>121°35′6.010″,42°0′58.520″</w:t>
                  </w:r>
                  <w:r>
                    <w:rPr>
                      <w:rFonts w:hint="default" w:ascii="Times New Roman" w:hAnsi="Times New Roman" w:eastAsia="宋体" w:cs="Times New Roman"/>
                      <w:color w:val="auto"/>
                      <w:kern w:val="2"/>
                      <w:sz w:val="18"/>
                      <w:szCs w:val="18"/>
                      <w:highlight w:val="none"/>
                      <w:lang w:val="en-US" w:eastAsia="zh-CN" w:bidi="ar-SA"/>
                    </w:rPr>
                    <w:t>）作为坐标原点，正东方向为X轴，正北方向为Y轴</w:t>
                  </w:r>
                </w:p>
                <w:p w14:paraId="0D9DF6D5">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18"/>
                      <w:szCs w:val="18"/>
                      <w:highlight w:val="none"/>
                      <w:lang w:val="en-US" w:eastAsia="zh-CN" w:bidi="ar-SA"/>
                    </w:rPr>
                  </w:pPr>
                  <w:r>
                    <w:rPr>
                      <w:rFonts w:hint="default"/>
                      <w:color w:val="auto"/>
                      <w:spacing w:val="7"/>
                      <w:position w:val="2"/>
                      <w:sz w:val="18"/>
                      <w:szCs w:val="18"/>
                      <w:highlight w:val="none"/>
                    </w:rPr>
                    <w:t>建筑物隔声量</w:t>
                  </w:r>
                  <w:r>
                    <w:rPr>
                      <w:rFonts w:hint="default"/>
                      <w:color w:val="auto"/>
                      <w:spacing w:val="-23"/>
                      <w:position w:val="2"/>
                      <w:sz w:val="18"/>
                      <w:szCs w:val="18"/>
                      <w:highlight w:val="none"/>
                    </w:rPr>
                    <w:t xml:space="preserve"> </w:t>
                  </w:r>
                  <w:r>
                    <w:rPr>
                      <w:rFonts w:hint="eastAsia" w:ascii="Times New Roman" w:hAnsi="Times New Roman" w:eastAsia="宋体" w:cs="Times New Roman"/>
                      <w:color w:val="auto"/>
                      <w:spacing w:val="7"/>
                      <w:position w:val="2"/>
                      <w:sz w:val="18"/>
                      <w:szCs w:val="18"/>
                      <w:highlight w:val="none"/>
                      <w:lang w:val="en-US" w:eastAsia="zh-CN"/>
                    </w:rPr>
                    <w:t>20</w:t>
                  </w:r>
                  <w:r>
                    <w:rPr>
                      <w:rFonts w:hint="default" w:ascii="Times New Roman" w:hAnsi="Times New Roman" w:eastAsia="Times New Roman" w:cs="Times New Roman"/>
                      <w:color w:val="auto"/>
                      <w:position w:val="2"/>
                      <w:sz w:val="18"/>
                      <w:szCs w:val="18"/>
                      <w:highlight w:val="none"/>
                    </w:rPr>
                    <w:t>dB</w:t>
                  </w:r>
                  <w:r>
                    <w:rPr>
                      <w:rFonts w:hint="default" w:ascii="Times New Roman" w:hAnsi="Times New Roman" w:eastAsia="Times New Roman" w:cs="Times New Roman"/>
                      <w:color w:val="auto"/>
                      <w:spacing w:val="6"/>
                      <w:position w:val="2"/>
                      <w:sz w:val="18"/>
                      <w:szCs w:val="18"/>
                      <w:highlight w:val="none"/>
                    </w:rPr>
                    <w:t>(A)</w:t>
                  </w:r>
                  <w:r>
                    <w:rPr>
                      <w:rFonts w:hint="default" w:ascii="Times New Roman" w:hAnsi="Times New Roman" w:eastAsia="Times New Roman" w:cs="Times New Roman"/>
                      <w:color w:val="auto"/>
                      <w:spacing w:val="-25"/>
                      <w:position w:val="2"/>
                      <w:sz w:val="18"/>
                      <w:szCs w:val="18"/>
                      <w:highlight w:val="none"/>
                    </w:rPr>
                    <w:t xml:space="preserve"> </w:t>
                  </w:r>
                  <w:r>
                    <w:rPr>
                      <w:rFonts w:hint="default"/>
                      <w:color w:val="auto"/>
                      <w:spacing w:val="6"/>
                      <w:position w:val="2"/>
                      <w:sz w:val="18"/>
                      <w:szCs w:val="18"/>
                      <w:highlight w:val="none"/>
                    </w:rPr>
                    <w:t>，建筑物插入损失</w:t>
                  </w:r>
                  <w:r>
                    <w:rPr>
                      <w:rFonts w:hint="default" w:ascii="Times New Roman" w:hAnsi="Times New Roman" w:eastAsia="Times New Roman" w:cs="Times New Roman"/>
                      <w:color w:val="auto"/>
                      <w:spacing w:val="6"/>
                      <w:position w:val="2"/>
                      <w:sz w:val="18"/>
                      <w:szCs w:val="18"/>
                      <w:highlight w:val="none"/>
                    </w:rPr>
                    <w:t>=</w:t>
                  </w:r>
                  <w:r>
                    <w:rPr>
                      <w:rFonts w:hint="default" w:ascii="Times New Roman" w:hAnsi="Times New Roman" w:eastAsia="Times New Roman" w:cs="Times New Roman"/>
                      <w:color w:val="auto"/>
                      <w:position w:val="2"/>
                      <w:sz w:val="18"/>
                      <w:szCs w:val="18"/>
                      <w:highlight w:val="none"/>
                    </w:rPr>
                    <w:t>TL</w:t>
                  </w:r>
                  <w:r>
                    <w:rPr>
                      <w:rFonts w:hint="default" w:ascii="Times New Roman" w:hAnsi="Times New Roman" w:eastAsia="Times New Roman" w:cs="Times New Roman"/>
                      <w:color w:val="auto"/>
                      <w:spacing w:val="6"/>
                      <w:position w:val="2"/>
                      <w:sz w:val="18"/>
                      <w:szCs w:val="18"/>
                      <w:highlight w:val="none"/>
                    </w:rPr>
                    <w:t>(</w:t>
                  </w:r>
                  <w:r>
                    <w:rPr>
                      <w:rFonts w:hint="default"/>
                      <w:color w:val="auto"/>
                      <w:spacing w:val="6"/>
                      <w:position w:val="2"/>
                      <w:sz w:val="18"/>
                      <w:szCs w:val="18"/>
                      <w:highlight w:val="none"/>
                    </w:rPr>
                    <w:t>隔声量</w:t>
                  </w:r>
                  <w:r>
                    <w:rPr>
                      <w:rFonts w:hint="default" w:ascii="Times New Roman" w:hAnsi="Times New Roman" w:eastAsia="Times New Roman" w:cs="Times New Roman"/>
                      <w:color w:val="auto"/>
                      <w:spacing w:val="6"/>
                      <w:position w:val="2"/>
                      <w:sz w:val="18"/>
                      <w:szCs w:val="18"/>
                      <w:highlight w:val="none"/>
                    </w:rPr>
                    <w:t>)+6=</w:t>
                  </w:r>
                  <w:r>
                    <w:rPr>
                      <w:rFonts w:hint="eastAsia" w:ascii="Times New Roman" w:hAnsi="Times New Roman" w:eastAsia="宋体" w:cs="Times New Roman"/>
                      <w:color w:val="auto"/>
                      <w:spacing w:val="6"/>
                      <w:position w:val="2"/>
                      <w:sz w:val="18"/>
                      <w:szCs w:val="18"/>
                      <w:highlight w:val="none"/>
                      <w:lang w:val="en-US" w:eastAsia="zh-CN"/>
                    </w:rPr>
                    <w:t>26</w:t>
                  </w:r>
                  <w:r>
                    <w:rPr>
                      <w:rFonts w:hint="default" w:ascii="Times New Roman" w:hAnsi="Times New Roman" w:eastAsia="Times New Roman" w:cs="Times New Roman"/>
                      <w:color w:val="auto"/>
                      <w:position w:val="2"/>
                      <w:sz w:val="18"/>
                      <w:szCs w:val="18"/>
                      <w:highlight w:val="none"/>
                    </w:rPr>
                    <w:t>dB</w:t>
                  </w:r>
                  <w:r>
                    <w:rPr>
                      <w:rFonts w:hint="eastAsia" w:eastAsia="宋体" w:cs="Times New Roman"/>
                      <w:color w:val="auto"/>
                      <w:position w:val="2"/>
                      <w:sz w:val="18"/>
                      <w:szCs w:val="18"/>
                      <w:highlight w:val="none"/>
                      <w:lang w:eastAsia="zh-CN"/>
                    </w:rPr>
                    <w:t>（</w:t>
                  </w:r>
                  <w:r>
                    <w:rPr>
                      <w:rFonts w:hint="default" w:ascii="Times New Roman" w:hAnsi="Times New Roman" w:eastAsia="Times New Roman" w:cs="Times New Roman"/>
                      <w:color w:val="auto"/>
                      <w:spacing w:val="6"/>
                      <w:position w:val="2"/>
                      <w:sz w:val="18"/>
                      <w:szCs w:val="18"/>
                      <w:highlight w:val="none"/>
                    </w:rPr>
                    <w:t>A</w:t>
                  </w:r>
                  <w:r>
                    <w:rPr>
                      <w:rFonts w:hint="eastAsia" w:eastAsia="宋体" w:cs="Times New Roman"/>
                      <w:color w:val="auto"/>
                      <w:spacing w:val="6"/>
                      <w:position w:val="2"/>
                      <w:sz w:val="18"/>
                      <w:szCs w:val="18"/>
                      <w:highlight w:val="none"/>
                      <w:lang w:eastAsia="zh-CN"/>
                    </w:rPr>
                    <w:t>）</w:t>
                  </w:r>
                  <w:r>
                    <w:rPr>
                      <w:rFonts w:hint="default"/>
                      <w:color w:val="auto"/>
                      <w:spacing w:val="6"/>
                      <w:position w:val="2"/>
                      <w:sz w:val="18"/>
                      <w:szCs w:val="18"/>
                      <w:highlight w:val="none"/>
                    </w:rPr>
                    <w:t>。</w:t>
                  </w:r>
                </w:p>
              </w:tc>
            </w:tr>
          </w:tbl>
          <w:p w14:paraId="634148F7">
            <w:pPr>
              <w:keepNext w:val="0"/>
              <w:keepLines w:val="0"/>
              <w:suppressLineNumbers w:val="0"/>
              <w:adjustRightInd w:val="0"/>
              <w:snapToGrid w:val="0"/>
              <w:spacing w:before="0" w:beforeAutospacing="0" w:after="0" w:afterAutospacing="0" w:line="360" w:lineRule="auto"/>
              <w:ind w:left="0" w:right="0"/>
              <w:jc w:val="center"/>
              <w:rPr>
                <w:rFonts w:hint="eastAsia"/>
                <w:color w:val="auto"/>
                <w:highlight w:val="none"/>
                <w:lang w:val="en-US" w:eastAsia="zh-CN"/>
              </w:rPr>
            </w:pPr>
            <w:r>
              <w:rPr>
                <w:rFonts w:hint="eastAsia" w:ascii="Times New Roman" w:hAnsi="Times New Roman" w:eastAsia="宋体" w:cs="Times New Roman"/>
                <w:b/>
                <w:bCs/>
                <w:color w:val="auto"/>
                <w:kern w:val="2"/>
                <w:sz w:val="21"/>
                <w:szCs w:val="21"/>
                <w:highlight w:val="none"/>
                <w:lang w:val="en-US" w:eastAsia="zh-CN" w:bidi="ar-SA"/>
              </w:rPr>
              <w:t>表4-</w:t>
            </w:r>
            <w:r>
              <w:rPr>
                <w:rFonts w:hint="eastAsia" w:cs="Times New Roman"/>
                <w:b/>
                <w:bCs/>
                <w:color w:val="auto"/>
                <w:kern w:val="2"/>
                <w:sz w:val="21"/>
                <w:szCs w:val="21"/>
                <w:highlight w:val="none"/>
                <w:lang w:val="en-US" w:eastAsia="zh-CN" w:bidi="ar-SA"/>
              </w:rPr>
              <w:t>21</w:t>
            </w:r>
            <w:r>
              <w:rPr>
                <w:rFonts w:hint="eastAsia" w:ascii="Times New Roman" w:hAnsi="Times New Roman" w:eastAsia="宋体" w:cs="Times New Roman"/>
                <w:b/>
                <w:bCs/>
                <w:color w:val="auto"/>
                <w:kern w:val="2"/>
                <w:sz w:val="21"/>
                <w:szCs w:val="21"/>
                <w:highlight w:val="none"/>
                <w:lang w:val="en-US" w:eastAsia="zh-CN" w:bidi="ar-SA"/>
              </w:rPr>
              <w:t xml:space="preserve">  工业企业噪声源强调查清单（室外声源）</w:t>
            </w:r>
          </w:p>
          <w:tbl>
            <w:tblPr>
              <w:tblStyle w:val="26"/>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28"/>
              <w:gridCol w:w="912"/>
              <w:gridCol w:w="589"/>
              <w:gridCol w:w="622"/>
              <w:gridCol w:w="594"/>
              <w:gridCol w:w="1170"/>
              <w:gridCol w:w="1048"/>
              <w:gridCol w:w="853"/>
              <w:gridCol w:w="713"/>
              <w:gridCol w:w="691"/>
              <w:gridCol w:w="937"/>
              <w:gridCol w:w="559"/>
            </w:tblGrid>
            <w:tr w14:paraId="79CD05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35" w:type="pct"/>
                  <w:vMerge w:val="restart"/>
                  <w:tcBorders>
                    <w:tl2br w:val="nil"/>
                    <w:tr2bl w:val="nil"/>
                  </w:tcBorders>
                  <w:noWrap w:val="0"/>
                  <w:vAlign w:val="center"/>
                </w:tcPr>
                <w:p w14:paraId="447A3B5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序号</w:t>
                  </w:r>
                </w:p>
              </w:tc>
              <w:tc>
                <w:tcPr>
                  <w:tcW w:w="500" w:type="pct"/>
                  <w:vMerge w:val="restart"/>
                  <w:tcBorders>
                    <w:tl2br w:val="nil"/>
                    <w:tr2bl w:val="nil"/>
                  </w:tcBorders>
                  <w:noWrap w:val="0"/>
                  <w:vAlign w:val="center"/>
                </w:tcPr>
                <w:p w14:paraId="24C736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声源名称</w:t>
                  </w:r>
                </w:p>
              </w:tc>
              <w:tc>
                <w:tcPr>
                  <w:tcW w:w="990" w:type="pct"/>
                  <w:gridSpan w:val="3"/>
                  <w:tcBorders>
                    <w:tl2br w:val="nil"/>
                    <w:tr2bl w:val="nil"/>
                  </w:tcBorders>
                  <w:noWrap w:val="0"/>
                  <w:vAlign w:val="center"/>
                </w:tcPr>
                <w:p w14:paraId="684367E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空间相对位置/m</w:t>
                  </w:r>
                </w:p>
              </w:tc>
              <w:tc>
                <w:tcPr>
                  <w:tcW w:w="642" w:type="pct"/>
                  <w:tcBorders>
                    <w:tl2br w:val="nil"/>
                    <w:tr2bl w:val="nil"/>
                  </w:tcBorders>
                  <w:noWrap w:val="0"/>
                  <w:vAlign w:val="center"/>
                </w:tcPr>
                <w:p w14:paraId="4C5E4B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声源源强</w:t>
                  </w:r>
                </w:p>
              </w:tc>
              <w:tc>
                <w:tcPr>
                  <w:tcW w:w="575" w:type="pct"/>
                  <w:vMerge w:val="restart"/>
                  <w:tcBorders>
                    <w:tl2br w:val="nil"/>
                    <w:tr2bl w:val="nil"/>
                  </w:tcBorders>
                  <w:noWrap w:val="0"/>
                  <w:vAlign w:val="center"/>
                </w:tcPr>
                <w:p w14:paraId="6B24ED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声源控制措施</w:t>
                  </w:r>
                </w:p>
              </w:tc>
              <w:tc>
                <w:tcPr>
                  <w:tcW w:w="468" w:type="pct"/>
                  <w:vMerge w:val="restart"/>
                  <w:tcBorders>
                    <w:tl2br w:val="nil"/>
                    <w:tr2bl w:val="nil"/>
                  </w:tcBorders>
                  <w:noWrap w:val="0"/>
                  <w:vAlign w:val="center"/>
                </w:tcPr>
                <w:p w14:paraId="4B65E1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采取措施后</w:t>
                  </w:r>
                  <w:r>
                    <w:rPr>
                      <w:rFonts w:hint="default" w:ascii="Times New Roman" w:hAnsi="Times New Roman" w:cs="Times New Roman"/>
                      <w:b/>
                      <w:bCs/>
                      <w:color w:val="auto"/>
                      <w:sz w:val="18"/>
                      <w:szCs w:val="18"/>
                      <w:highlight w:val="none"/>
                    </w:rPr>
                    <w:t>噪声级dB(A)</w:t>
                  </w:r>
                </w:p>
              </w:tc>
              <w:tc>
                <w:tcPr>
                  <w:tcW w:w="1284" w:type="pct"/>
                  <w:gridSpan w:val="3"/>
                  <w:vMerge w:val="restart"/>
                  <w:tcBorders>
                    <w:tl2br w:val="nil"/>
                    <w:tr2bl w:val="nil"/>
                  </w:tcBorders>
                  <w:noWrap w:val="0"/>
                  <w:vAlign w:val="center"/>
                </w:tcPr>
                <w:p w14:paraId="0FD223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厂界外</w:t>
                  </w:r>
                  <w:r>
                    <w:rPr>
                      <w:rFonts w:hint="eastAsia" w:ascii="Times New Roman" w:hAnsi="Times New Roman" w:cs="Times New Roman"/>
                      <w:b/>
                      <w:bCs/>
                      <w:color w:val="auto"/>
                      <w:sz w:val="18"/>
                      <w:szCs w:val="18"/>
                      <w:highlight w:val="none"/>
                      <w:lang w:val="en-US" w:eastAsia="zh-CN"/>
                    </w:rPr>
                    <w:t>1m</w:t>
                  </w:r>
                  <w:r>
                    <w:rPr>
                      <w:rFonts w:hint="default" w:ascii="Times New Roman" w:hAnsi="Times New Roman" w:cs="Times New Roman"/>
                      <w:b/>
                      <w:bCs/>
                      <w:color w:val="auto"/>
                      <w:sz w:val="18"/>
                      <w:szCs w:val="18"/>
                      <w:highlight w:val="none"/>
                      <w:lang w:val="en-US" w:eastAsia="zh-CN"/>
                    </w:rPr>
                    <w:t>噪声值（距离衰减后噪声值）</w:t>
                  </w:r>
                  <w:r>
                    <w:rPr>
                      <w:rFonts w:hint="default" w:ascii="Times New Roman" w:hAnsi="Times New Roman" w:cs="Times New Roman"/>
                      <w:b/>
                      <w:bCs/>
                      <w:color w:val="auto"/>
                      <w:sz w:val="18"/>
                      <w:szCs w:val="18"/>
                      <w:highlight w:val="none"/>
                    </w:rPr>
                    <w:t>dB(A)</w:t>
                  </w:r>
                </w:p>
              </w:tc>
              <w:tc>
                <w:tcPr>
                  <w:tcW w:w="303" w:type="pct"/>
                  <w:vMerge w:val="restart"/>
                  <w:tcBorders>
                    <w:tl2br w:val="nil"/>
                    <w:tr2bl w:val="nil"/>
                  </w:tcBorders>
                  <w:noWrap w:val="0"/>
                  <w:vAlign w:val="center"/>
                </w:tcPr>
                <w:p w14:paraId="65C80BF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运行时段</w:t>
                  </w:r>
                </w:p>
              </w:tc>
            </w:tr>
            <w:tr w14:paraId="65A14AA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235" w:type="pct"/>
                  <w:vMerge w:val="continue"/>
                  <w:tcBorders>
                    <w:tl2br w:val="nil"/>
                    <w:tr2bl w:val="nil"/>
                  </w:tcBorders>
                  <w:shd w:val="clear" w:color="auto" w:fill="FFFFFF"/>
                  <w:noWrap w:val="0"/>
                  <w:vAlign w:val="center"/>
                </w:tcPr>
                <w:p w14:paraId="33D253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3B3908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323" w:type="pct"/>
                  <w:vMerge w:val="restart"/>
                  <w:tcBorders>
                    <w:tl2br w:val="nil"/>
                    <w:tr2bl w:val="nil"/>
                  </w:tcBorders>
                  <w:shd w:val="clear" w:color="auto" w:fill="FFFFFF"/>
                  <w:noWrap w:val="0"/>
                  <w:vAlign w:val="center"/>
                </w:tcPr>
                <w:p w14:paraId="08E547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X</w:t>
                  </w:r>
                </w:p>
              </w:tc>
              <w:tc>
                <w:tcPr>
                  <w:tcW w:w="341" w:type="pct"/>
                  <w:vMerge w:val="restart"/>
                  <w:tcBorders>
                    <w:tl2br w:val="nil"/>
                    <w:tr2bl w:val="nil"/>
                  </w:tcBorders>
                  <w:shd w:val="clear" w:color="auto" w:fill="FFFFFF"/>
                  <w:noWrap w:val="0"/>
                  <w:vAlign w:val="center"/>
                </w:tcPr>
                <w:p w14:paraId="28D2E3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Y</w:t>
                  </w:r>
                </w:p>
              </w:tc>
              <w:tc>
                <w:tcPr>
                  <w:tcW w:w="325" w:type="pct"/>
                  <w:vMerge w:val="restart"/>
                  <w:tcBorders>
                    <w:tl2br w:val="nil"/>
                    <w:tr2bl w:val="nil"/>
                  </w:tcBorders>
                  <w:shd w:val="clear" w:color="auto" w:fill="FFFFFF"/>
                  <w:noWrap w:val="0"/>
                  <w:vAlign w:val="center"/>
                </w:tcPr>
                <w:p w14:paraId="08DA6A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Z</w:t>
                  </w:r>
                </w:p>
              </w:tc>
              <w:tc>
                <w:tcPr>
                  <w:tcW w:w="642" w:type="pct"/>
                  <w:vMerge w:val="restart"/>
                  <w:tcBorders>
                    <w:tl2br w:val="nil"/>
                    <w:tr2bl w:val="nil"/>
                  </w:tcBorders>
                  <w:shd w:val="clear" w:color="auto" w:fill="FFFFFF"/>
                  <w:noWrap w:val="0"/>
                  <w:vAlign w:val="center"/>
                </w:tcPr>
                <w:p w14:paraId="43D12E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r>
                    <w:rPr>
                      <w:rFonts w:hint="default" w:ascii="Times New Roman" w:hAnsi="Times New Roman" w:cs="Times New Roman"/>
                      <w:b/>
                      <w:bCs/>
                      <w:color w:val="auto"/>
                      <w:sz w:val="18"/>
                      <w:szCs w:val="18"/>
                      <w:highlight w:val="none"/>
                      <w:lang w:val="en-US" w:eastAsia="zh-CN"/>
                    </w:rPr>
                    <w:t>声功率级/dB(A)</w:t>
                  </w:r>
                </w:p>
              </w:tc>
              <w:tc>
                <w:tcPr>
                  <w:tcW w:w="575" w:type="pct"/>
                  <w:vMerge w:val="continue"/>
                  <w:tcBorders>
                    <w:tl2br w:val="nil"/>
                    <w:tr2bl w:val="nil"/>
                  </w:tcBorders>
                  <w:shd w:val="clear" w:color="auto" w:fill="FFFFFF"/>
                  <w:noWrap w:val="0"/>
                  <w:vAlign w:val="center"/>
                </w:tcPr>
                <w:p w14:paraId="286F92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773D1F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1284" w:type="pct"/>
                  <w:gridSpan w:val="3"/>
                  <w:vMerge w:val="continue"/>
                  <w:tcBorders>
                    <w:tl2br w:val="nil"/>
                    <w:tr2bl w:val="nil"/>
                  </w:tcBorders>
                  <w:shd w:val="clear" w:color="auto" w:fill="FFFFFF"/>
                  <w:noWrap w:val="0"/>
                  <w:vAlign w:val="center"/>
                </w:tcPr>
                <w:p w14:paraId="3153BFB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303" w:type="pct"/>
                  <w:vMerge w:val="continue"/>
                  <w:tcBorders>
                    <w:tl2br w:val="nil"/>
                    <w:tr2bl w:val="nil"/>
                  </w:tcBorders>
                  <w:shd w:val="clear" w:color="auto" w:fill="FFFFFF"/>
                  <w:noWrap w:val="0"/>
                  <w:vAlign w:val="center"/>
                </w:tcPr>
                <w:p w14:paraId="55223F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670C7F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235" w:type="pct"/>
                  <w:vMerge w:val="continue"/>
                  <w:tcBorders>
                    <w:tl2br w:val="nil"/>
                    <w:tr2bl w:val="nil"/>
                  </w:tcBorders>
                  <w:shd w:val="clear" w:color="auto" w:fill="FFFFFF"/>
                  <w:noWrap w:val="0"/>
                  <w:vAlign w:val="center"/>
                </w:tcPr>
                <w:p w14:paraId="1F772C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368EFC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16C68E1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0C4ACA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48B44B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44E4F74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6EF16F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42F44B0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b/>
                      <w:bCs/>
                      <w:color w:val="auto"/>
                      <w:sz w:val="18"/>
                      <w:szCs w:val="18"/>
                      <w:highlight w:val="none"/>
                      <w:lang w:val="en-US" w:eastAsia="zh-CN"/>
                    </w:rPr>
                  </w:pPr>
                </w:p>
              </w:tc>
              <w:tc>
                <w:tcPr>
                  <w:tcW w:w="770" w:type="pct"/>
                  <w:gridSpan w:val="2"/>
                  <w:tcBorders>
                    <w:tl2br w:val="nil"/>
                    <w:tr2bl w:val="nil"/>
                  </w:tcBorders>
                  <w:shd w:val="clear" w:color="auto" w:fill="FFFFFF"/>
                  <w:noWrap w:val="0"/>
                  <w:vAlign w:val="center"/>
                </w:tcPr>
                <w:p w14:paraId="4664A2D1">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eastAsia" w:ascii="Times New Roman" w:hAnsi="Times New Roman" w:eastAsia="宋体" w:cs="Times New Roman"/>
                      <w:b/>
                      <w:bCs/>
                      <w:color w:val="auto"/>
                      <w:kern w:val="2"/>
                      <w:sz w:val="18"/>
                      <w:szCs w:val="18"/>
                      <w:highlight w:val="none"/>
                      <w:lang w:val="en-US" w:eastAsia="zh-CN" w:bidi="ar-SA"/>
                    </w:rPr>
                    <w:t>声压级</w:t>
                  </w:r>
                  <w:r>
                    <w:rPr>
                      <w:rFonts w:hint="default" w:ascii="Times New Roman" w:hAnsi="Times New Roman" w:eastAsia="宋体" w:cs="Times New Roman"/>
                      <w:b/>
                      <w:bCs/>
                      <w:color w:val="auto"/>
                      <w:kern w:val="2"/>
                      <w:sz w:val="18"/>
                      <w:szCs w:val="18"/>
                      <w:highlight w:val="none"/>
                      <w:lang w:val="en-US" w:eastAsia="zh-CN" w:bidi="ar-SA"/>
                    </w:rPr>
                    <w:t>/dB(A)</w:t>
                  </w:r>
                </w:p>
              </w:tc>
              <w:tc>
                <w:tcPr>
                  <w:tcW w:w="513" w:type="pct"/>
                  <w:tcBorders>
                    <w:tl2br w:val="nil"/>
                    <w:tr2bl w:val="nil"/>
                  </w:tcBorders>
                  <w:shd w:val="clear" w:color="auto" w:fill="auto"/>
                  <w:noWrap w:val="0"/>
                  <w:vAlign w:val="center"/>
                </w:tcPr>
                <w:p w14:paraId="2CECEFBF">
                  <w:pPr>
                    <w:keepNext w:val="0"/>
                    <w:keepLines w:val="0"/>
                    <w:widowControl/>
                    <w:suppressLineNumbers w:val="0"/>
                    <w:adjustRightInd w:val="0"/>
                    <w:snapToGrid w:val="0"/>
                    <w:spacing w:before="0" w:beforeAutospacing="0" w:after="0" w:afterAutospacing="0"/>
                    <w:ind w:left="0" w:right="0"/>
                    <w:jc w:val="center"/>
                    <w:rPr>
                      <w:rFonts w:hint="default" w:ascii="Times New Roman" w:hAnsi="Times New Roman" w:eastAsia="宋体" w:cs="Times New Roman"/>
                      <w:b/>
                      <w:bCs/>
                      <w:color w:val="auto"/>
                      <w:kern w:val="2"/>
                      <w:sz w:val="18"/>
                      <w:szCs w:val="18"/>
                      <w:highlight w:val="none"/>
                      <w:lang w:val="en-US" w:eastAsia="zh-CN" w:bidi="ar-SA"/>
                    </w:rPr>
                  </w:pPr>
                  <w:r>
                    <w:rPr>
                      <w:rFonts w:hint="eastAsia" w:ascii="Times New Roman" w:hAnsi="Times New Roman" w:eastAsia="宋体" w:cs="Times New Roman"/>
                      <w:b/>
                      <w:bCs/>
                      <w:color w:val="auto"/>
                      <w:kern w:val="2"/>
                      <w:sz w:val="18"/>
                      <w:szCs w:val="18"/>
                      <w:highlight w:val="none"/>
                      <w:lang w:val="en-US" w:eastAsia="zh-CN" w:bidi="ar-SA"/>
                    </w:rPr>
                    <w:t>距离/m</w:t>
                  </w:r>
                </w:p>
              </w:tc>
              <w:tc>
                <w:tcPr>
                  <w:tcW w:w="303" w:type="pct"/>
                  <w:vMerge w:val="continue"/>
                  <w:tcBorders>
                    <w:tl2br w:val="nil"/>
                    <w:tr2bl w:val="nil"/>
                  </w:tcBorders>
                  <w:shd w:val="clear" w:color="auto" w:fill="FFFFFF"/>
                  <w:noWrap w:val="0"/>
                  <w:vAlign w:val="center"/>
                </w:tcPr>
                <w:p w14:paraId="3DC027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1BE2E2E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restart"/>
                  <w:tcBorders>
                    <w:tl2br w:val="nil"/>
                    <w:tr2bl w:val="nil"/>
                  </w:tcBorders>
                  <w:shd w:val="clear" w:color="auto" w:fill="FFFFFF"/>
                  <w:noWrap w:val="0"/>
                  <w:vAlign w:val="center"/>
                </w:tcPr>
                <w:p w14:paraId="03A1DE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default" w:ascii="Times New Roman" w:hAnsi="Times New Roman" w:cs="Times New Roman"/>
                      <w:color w:val="auto"/>
                      <w:sz w:val="18"/>
                      <w:szCs w:val="18"/>
                      <w:highlight w:val="none"/>
                      <w:lang w:val="en-US" w:eastAsia="zh-CN"/>
                    </w:rPr>
                    <w:t>1</w:t>
                  </w:r>
                </w:p>
              </w:tc>
              <w:tc>
                <w:tcPr>
                  <w:tcW w:w="500" w:type="pct"/>
                  <w:vMerge w:val="restart"/>
                  <w:tcBorders>
                    <w:tl2br w:val="nil"/>
                    <w:tr2bl w:val="nil"/>
                  </w:tcBorders>
                  <w:shd w:val="clear" w:color="auto" w:fill="FFFFFF"/>
                  <w:noWrap w:val="0"/>
                  <w:vAlign w:val="center"/>
                </w:tcPr>
                <w:p w14:paraId="0D008B6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w:t>
                  </w:r>
                  <w:r>
                    <w:rPr>
                      <w:rFonts w:hint="eastAsia" w:ascii="Times New Roman" w:hAnsi="Times New Roman" w:cs="Times New Roman"/>
                      <w:color w:val="auto"/>
                      <w:sz w:val="18"/>
                      <w:szCs w:val="18"/>
                      <w:highlight w:val="none"/>
                      <w:lang w:val="en-US" w:eastAsia="zh-CN"/>
                    </w:rPr>
                    <w:t>风机</w:t>
                  </w:r>
                </w:p>
              </w:tc>
              <w:tc>
                <w:tcPr>
                  <w:tcW w:w="323" w:type="pct"/>
                  <w:vMerge w:val="restart"/>
                  <w:tcBorders>
                    <w:tl2br w:val="nil"/>
                    <w:tr2bl w:val="nil"/>
                  </w:tcBorders>
                  <w:shd w:val="clear" w:color="auto" w:fill="FFFFFF"/>
                  <w:noWrap w:val="0"/>
                  <w:vAlign w:val="center"/>
                </w:tcPr>
                <w:p w14:paraId="6F1583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18</w:t>
                  </w:r>
                </w:p>
              </w:tc>
              <w:tc>
                <w:tcPr>
                  <w:tcW w:w="341" w:type="pct"/>
                  <w:vMerge w:val="restart"/>
                  <w:tcBorders>
                    <w:tl2br w:val="nil"/>
                    <w:tr2bl w:val="nil"/>
                  </w:tcBorders>
                  <w:shd w:val="clear" w:color="auto" w:fill="FFFFFF"/>
                  <w:noWrap w:val="0"/>
                  <w:vAlign w:val="center"/>
                </w:tcPr>
                <w:p w14:paraId="1EF11F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250</w:t>
                  </w:r>
                </w:p>
              </w:tc>
              <w:tc>
                <w:tcPr>
                  <w:tcW w:w="325" w:type="pct"/>
                  <w:vMerge w:val="restart"/>
                  <w:tcBorders>
                    <w:tl2br w:val="nil"/>
                    <w:tr2bl w:val="nil"/>
                  </w:tcBorders>
                  <w:shd w:val="clear" w:color="auto" w:fill="FFFFFF"/>
                  <w:noWrap w:val="0"/>
                  <w:vAlign w:val="center"/>
                </w:tcPr>
                <w:p w14:paraId="4C113F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642" w:type="pct"/>
                  <w:vMerge w:val="restart"/>
                  <w:tcBorders>
                    <w:tl2br w:val="nil"/>
                    <w:tr2bl w:val="nil"/>
                  </w:tcBorders>
                  <w:shd w:val="clear" w:color="auto" w:fill="FFFFFF"/>
                  <w:noWrap w:val="0"/>
                  <w:vAlign w:val="center"/>
                </w:tcPr>
                <w:p w14:paraId="12451CA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80</w:t>
                  </w:r>
                </w:p>
              </w:tc>
              <w:tc>
                <w:tcPr>
                  <w:tcW w:w="575" w:type="pct"/>
                  <w:vMerge w:val="restart"/>
                  <w:tcBorders>
                    <w:tl2br w:val="nil"/>
                    <w:tr2bl w:val="nil"/>
                  </w:tcBorders>
                  <w:shd w:val="clear" w:color="auto" w:fill="FFFFFF"/>
                  <w:noWrap w:val="0"/>
                  <w:vAlign w:val="center"/>
                </w:tcPr>
                <w:p w14:paraId="15C15E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default" w:ascii="Times New Roman" w:hAnsi="Times New Roman" w:cs="Times New Roman"/>
                      <w:color w:val="auto"/>
                      <w:sz w:val="18"/>
                      <w:szCs w:val="18"/>
                      <w:highlight w:val="none"/>
                      <w:lang w:val="en-US" w:eastAsia="zh-CN"/>
                    </w:rPr>
                    <w:t>采取</w:t>
                  </w:r>
                  <w:r>
                    <w:rPr>
                      <w:rFonts w:hint="eastAsia" w:ascii="Times New Roman" w:hAnsi="Times New Roman" w:cs="Times New Roman"/>
                      <w:color w:val="auto"/>
                      <w:sz w:val="18"/>
                      <w:szCs w:val="18"/>
                      <w:highlight w:val="none"/>
                      <w:lang w:val="en-US" w:eastAsia="zh-CN"/>
                    </w:rPr>
                    <w:t>选用低噪声设备，基础减振、距离衰减、风机设隔声罩等措施</w:t>
                  </w:r>
                  <w:r>
                    <w:rPr>
                      <w:rFonts w:hint="default" w:ascii="Times New Roman" w:hAnsi="Times New Roman" w:cs="Times New Roman"/>
                      <w:color w:val="auto"/>
                      <w:sz w:val="18"/>
                      <w:szCs w:val="18"/>
                      <w:highlight w:val="none"/>
                      <w:lang w:val="en-US" w:eastAsia="zh-CN"/>
                    </w:rPr>
                    <w:t>，</w:t>
                  </w:r>
                  <w:r>
                    <w:rPr>
                      <w:rFonts w:hint="default" w:ascii="Times New Roman" w:hAnsi="Times New Roman" w:cs="Times New Roman"/>
                      <w:color w:val="auto"/>
                      <w:sz w:val="18"/>
                      <w:szCs w:val="18"/>
                      <w:highlight w:val="none"/>
                    </w:rPr>
                    <w:t>降噪值取</w:t>
                  </w:r>
                  <w:r>
                    <w:rPr>
                      <w:rFonts w:hint="eastAsia" w:ascii="Times New Roman" w:hAnsi="Times New Roman" w:cs="Times New Roman"/>
                      <w:color w:val="auto"/>
                      <w:sz w:val="18"/>
                      <w:szCs w:val="18"/>
                      <w:highlight w:val="none"/>
                      <w:lang w:val="en-US" w:eastAsia="zh-CN"/>
                    </w:rPr>
                    <w:t>20</w:t>
                  </w:r>
                  <w:r>
                    <w:rPr>
                      <w:rFonts w:hint="default" w:ascii="Times New Roman" w:hAnsi="Times New Roman" w:cs="Times New Roman"/>
                      <w:color w:val="auto"/>
                      <w:sz w:val="18"/>
                      <w:szCs w:val="18"/>
                      <w:highlight w:val="none"/>
                    </w:rPr>
                    <w:t>B(A)</w:t>
                  </w:r>
                </w:p>
              </w:tc>
              <w:tc>
                <w:tcPr>
                  <w:tcW w:w="468" w:type="pct"/>
                  <w:vMerge w:val="restart"/>
                  <w:tcBorders>
                    <w:tl2br w:val="nil"/>
                    <w:tr2bl w:val="nil"/>
                  </w:tcBorders>
                  <w:shd w:val="clear" w:color="auto" w:fill="FFFFFF"/>
                  <w:noWrap w:val="0"/>
                  <w:vAlign w:val="center"/>
                </w:tcPr>
                <w:p w14:paraId="62276E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ascii="Times New Roman" w:hAnsi="Times New Roman" w:cs="Times New Roman"/>
                      <w:color w:val="auto"/>
                      <w:sz w:val="18"/>
                      <w:szCs w:val="18"/>
                      <w:highlight w:val="none"/>
                      <w:lang w:val="en-US" w:eastAsia="zh-CN"/>
                    </w:rPr>
                    <w:t>60</w:t>
                  </w:r>
                </w:p>
              </w:tc>
              <w:tc>
                <w:tcPr>
                  <w:tcW w:w="391" w:type="pct"/>
                  <w:tcBorders>
                    <w:tl2br w:val="nil"/>
                    <w:tr2bl w:val="nil"/>
                  </w:tcBorders>
                  <w:shd w:val="clear" w:color="auto" w:fill="FFFFFF"/>
                  <w:noWrap w:val="0"/>
                  <w:vAlign w:val="center"/>
                </w:tcPr>
                <w:p w14:paraId="544DD1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东</w:t>
                  </w:r>
                  <w:r>
                    <w:rPr>
                      <w:rFonts w:hint="default" w:ascii="Times New Roman" w:hAnsi="Times New Roman" w:eastAsia="宋体" w:cs="Times New Roman"/>
                      <w:color w:val="auto"/>
                      <w:sz w:val="18"/>
                      <w:szCs w:val="18"/>
                      <w:highlight w:val="none"/>
                      <w:lang w:val="en-US" w:eastAsia="zh-CN"/>
                    </w:rPr>
                    <w:t>侧</w:t>
                  </w:r>
                </w:p>
              </w:tc>
              <w:tc>
                <w:tcPr>
                  <w:tcW w:w="379" w:type="pct"/>
                  <w:tcBorders>
                    <w:tl2br w:val="nil"/>
                    <w:tr2bl w:val="nil"/>
                  </w:tcBorders>
                  <w:shd w:val="clear" w:color="auto" w:fill="FFFFFF"/>
                  <w:noWrap w:val="0"/>
                  <w:vAlign w:val="center"/>
                </w:tcPr>
                <w:p w14:paraId="1A633EA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12</w:t>
                  </w:r>
                </w:p>
              </w:tc>
              <w:tc>
                <w:tcPr>
                  <w:tcW w:w="513" w:type="pct"/>
                  <w:tcBorders>
                    <w:tl2br w:val="nil"/>
                    <w:tr2bl w:val="nil"/>
                  </w:tcBorders>
                  <w:shd w:val="clear" w:color="auto" w:fill="FFFFFF"/>
                  <w:noWrap w:val="0"/>
                  <w:vAlign w:val="center"/>
                </w:tcPr>
                <w:p w14:paraId="75D3DB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253</w:t>
                  </w:r>
                </w:p>
              </w:tc>
              <w:tc>
                <w:tcPr>
                  <w:tcW w:w="303" w:type="pct"/>
                  <w:vMerge w:val="restart"/>
                  <w:tcBorders>
                    <w:tl2br w:val="nil"/>
                    <w:tr2bl w:val="nil"/>
                  </w:tcBorders>
                  <w:shd w:val="clear" w:color="auto" w:fill="FFFFFF"/>
                  <w:noWrap w:val="0"/>
                  <w:vAlign w:val="center"/>
                </w:tcPr>
                <w:p w14:paraId="15EC8C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default" w:ascii="Times New Roman" w:hAnsi="Times New Roman" w:cs="Times New Roman"/>
                      <w:color w:val="auto"/>
                      <w:sz w:val="18"/>
                      <w:szCs w:val="18"/>
                      <w:highlight w:val="none"/>
                      <w:lang w:val="en-US" w:eastAsia="zh-CN"/>
                    </w:rPr>
                    <w:t>昼间</w:t>
                  </w:r>
                </w:p>
              </w:tc>
            </w:tr>
            <w:tr w14:paraId="5FCD36F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tcBorders>
                    <w:tl2br w:val="nil"/>
                    <w:tr2bl w:val="nil"/>
                  </w:tcBorders>
                  <w:shd w:val="clear" w:color="auto" w:fill="FFFFFF"/>
                  <w:noWrap w:val="0"/>
                  <w:vAlign w:val="center"/>
                </w:tcPr>
                <w:p w14:paraId="2D714F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51367AE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2173FF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16CF9F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6E77F79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5F1B7A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562210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69243C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91" w:type="pct"/>
                  <w:tcBorders>
                    <w:tl2br w:val="nil"/>
                    <w:tr2bl w:val="nil"/>
                  </w:tcBorders>
                  <w:shd w:val="clear" w:color="auto" w:fill="FFFFFF"/>
                  <w:noWrap w:val="0"/>
                  <w:vAlign w:val="center"/>
                </w:tcPr>
                <w:p w14:paraId="4E73B89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南</w:t>
                  </w:r>
                  <w:r>
                    <w:rPr>
                      <w:rFonts w:hint="default" w:ascii="Times New Roman" w:hAnsi="Times New Roman" w:eastAsia="宋体" w:cs="Times New Roman"/>
                      <w:color w:val="auto"/>
                      <w:sz w:val="18"/>
                      <w:szCs w:val="18"/>
                      <w:highlight w:val="none"/>
                      <w:lang w:val="en-US" w:eastAsia="zh-CN"/>
                    </w:rPr>
                    <w:t>侧</w:t>
                  </w:r>
                </w:p>
              </w:tc>
              <w:tc>
                <w:tcPr>
                  <w:tcW w:w="379" w:type="pct"/>
                  <w:tcBorders>
                    <w:tl2br w:val="nil"/>
                    <w:tr2bl w:val="nil"/>
                  </w:tcBorders>
                  <w:shd w:val="clear" w:color="auto" w:fill="FFFFFF"/>
                  <w:noWrap w:val="0"/>
                  <w:vAlign w:val="center"/>
                </w:tcPr>
                <w:p w14:paraId="18F803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12</w:t>
                  </w:r>
                </w:p>
              </w:tc>
              <w:tc>
                <w:tcPr>
                  <w:tcW w:w="513" w:type="pct"/>
                  <w:tcBorders>
                    <w:tl2br w:val="nil"/>
                    <w:tr2bl w:val="nil"/>
                  </w:tcBorders>
                  <w:shd w:val="clear" w:color="auto" w:fill="FFFFFF"/>
                  <w:noWrap w:val="0"/>
                  <w:vAlign w:val="center"/>
                </w:tcPr>
                <w:p w14:paraId="5F06ED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251</w:t>
                  </w:r>
                </w:p>
              </w:tc>
              <w:tc>
                <w:tcPr>
                  <w:tcW w:w="303" w:type="pct"/>
                  <w:vMerge w:val="continue"/>
                  <w:tcBorders>
                    <w:tl2br w:val="nil"/>
                    <w:tr2bl w:val="nil"/>
                  </w:tcBorders>
                  <w:shd w:val="clear" w:color="auto" w:fill="FFFFFF"/>
                  <w:noWrap w:val="0"/>
                  <w:vAlign w:val="center"/>
                </w:tcPr>
                <w:p w14:paraId="558B82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1FFE468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tcBorders>
                    <w:tl2br w:val="nil"/>
                    <w:tr2bl w:val="nil"/>
                  </w:tcBorders>
                  <w:shd w:val="clear" w:color="auto" w:fill="FFFFFF"/>
                  <w:noWrap w:val="0"/>
                  <w:vAlign w:val="center"/>
                </w:tcPr>
                <w:p w14:paraId="27597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3B5CF59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7F44E2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7FBF8F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41FA2F5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04C112C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76541B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7BD6D8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91" w:type="pct"/>
                  <w:tcBorders>
                    <w:tl2br w:val="nil"/>
                    <w:tr2bl w:val="nil"/>
                  </w:tcBorders>
                  <w:shd w:val="clear" w:color="auto" w:fill="FFFFFF"/>
                  <w:noWrap w:val="0"/>
                  <w:vAlign w:val="center"/>
                </w:tcPr>
                <w:p w14:paraId="0CB7223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西</w:t>
                  </w:r>
                  <w:r>
                    <w:rPr>
                      <w:rFonts w:hint="default" w:ascii="Times New Roman" w:hAnsi="Times New Roman" w:eastAsia="宋体" w:cs="Times New Roman"/>
                      <w:color w:val="auto"/>
                      <w:sz w:val="18"/>
                      <w:szCs w:val="18"/>
                      <w:highlight w:val="none"/>
                      <w:lang w:val="en-US" w:eastAsia="zh-CN"/>
                    </w:rPr>
                    <w:t>侧</w:t>
                  </w:r>
                </w:p>
              </w:tc>
              <w:tc>
                <w:tcPr>
                  <w:tcW w:w="379" w:type="pct"/>
                  <w:tcBorders>
                    <w:tl2br w:val="nil"/>
                    <w:tr2bl w:val="nil"/>
                  </w:tcBorders>
                  <w:shd w:val="clear" w:color="auto" w:fill="FFFFFF"/>
                  <w:noWrap w:val="0"/>
                  <w:vAlign w:val="center"/>
                </w:tcPr>
                <w:p w14:paraId="0877F82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34.4</w:t>
                  </w:r>
                </w:p>
              </w:tc>
              <w:tc>
                <w:tcPr>
                  <w:tcW w:w="513" w:type="pct"/>
                  <w:tcBorders>
                    <w:tl2br w:val="nil"/>
                    <w:tr2bl w:val="nil"/>
                  </w:tcBorders>
                  <w:shd w:val="clear" w:color="auto" w:fill="FFFFFF"/>
                  <w:noWrap w:val="0"/>
                  <w:vAlign w:val="center"/>
                </w:tcPr>
                <w:p w14:paraId="79D49C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19</w:t>
                  </w:r>
                </w:p>
              </w:tc>
              <w:tc>
                <w:tcPr>
                  <w:tcW w:w="303" w:type="pct"/>
                  <w:vMerge w:val="continue"/>
                  <w:tcBorders>
                    <w:tl2br w:val="nil"/>
                    <w:tr2bl w:val="nil"/>
                  </w:tcBorders>
                  <w:shd w:val="clear" w:color="auto" w:fill="FFFFFF"/>
                  <w:noWrap w:val="0"/>
                  <w:vAlign w:val="center"/>
                </w:tcPr>
                <w:p w14:paraId="33D5CA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553D50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tcBorders>
                    <w:tl2br w:val="nil"/>
                    <w:tr2bl w:val="nil"/>
                  </w:tcBorders>
                  <w:shd w:val="clear" w:color="auto" w:fill="FFFFFF"/>
                  <w:noWrap w:val="0"/>
                  <w:vAlign w:val="center"/>
                </w:tcPr>
                <w:p w14:paraId="030383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023655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5792715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088694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57C15A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129F90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07C6AD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66CD96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91" w:type="pct"/>
                  <w:tcBorders>
                    <w:tl2br w:val="nil"/>
                    <w:tr2bl w:val="nil"/>
                  </w:tcBorders>
                  <w:shd w:val="clear" w:color="auto" w:fill="FFFFFF"/>
                  <w:noWrap w:val="0"/>
                  <w:vAlign w:val="center"/>
                </w:tcPr>
                <w:p w14:paraId="0D6883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18"/>
                      <w:szCs w:val="18"/>
                      <w:highlight w:val="none"/>
                      <w:lang w:val="en-US" w:eastAsia="zh-CN"/>
                    </w:rPr>
                  </w:pPr>
                  <w:r>
                    <w:rPr>
                      <w:rFonts w:hint="default" w:ascii="Times New Roman" w:hAnsi="Times New Roman" w:cs="Times New Roman"/>
                      <w:color w:val="auto"/>
                      <w:sz w:val="18"/>
                      <w:szCs w:val="18"/>
                      <w:highlight w:val="none"/>
                      <w:lang w:val="en-US" w:eastAsia="zh-CN"/>
                    </w:rPr>
                    <w:t>北侧</w:t>
                  </w:r>
                </w:p>
              </w:tc>
              <w:tc>
                <w:tcPr>
                  <w:tcW w:w="379" w:type="pct"/>
                  <w:tcBorders>
                    <w:tl2br w:val="nil"/>
                    <w:tr2bl w:val="nil"/>
                  </w:tcBorders>
                  <w:shd w:val="clear" w:color="auto" w:fill="FFFFFF"/>
                  <w:noWrap w:val="0"/>
                  <w:vAlign w:val="center"/>
                </w:tcPr>
                <w:p w14:paraId="51B047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28</w:t>
                  </w:r>
                </w:p>
              </w:tc>
              <w:tc>
                <w:tcPr>
                  <w:tcW w:w="513" w:type="pct"/>
                  <w:tcBorders>
                    <w:tl2br w:val="nil"/>
                    <w:tr2bl w:val="nil"/>
                  </w:tcBorders>
                  <w:shd w:val="clear" w:color="auto" w:fill="FFFFFF"/>
                  <w:noWrap w:val="0"/>
                  <w:vAlign w:val="center"/>
                </w:tcPr>
                <w:p w14:paraId="512ACB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303" w:type="pct"/>
                  <w:vMerge w:val="continue"/>
                  <w:tcBorders>
                    <w:tl2br w:val="nil"/>
                    <w:tr2bl w:val="nil"/>
                  </w:tcBorders>
                  <w:shd w:val="clear" w:color="auto" w:fill="FFFFFF"/>
                  <w:noWrap w:val="0"/>
                  <w:vAlign w:val="center"/>
                </w:tcPr>
                <w:p w14:paraId="4B4CC7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586C84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restart"/>
                  <w:tcBorders>
                    <w:tl2br w:val="nil"/>
                    <w:tr2bl w:val="nil"/>
                  </w:tcBorders>
                  <w:shd w:val="clear" w:color="auto" w:fill="FFFFFF"/>
                  <w:noWrap w:val="0"/>
                  <w:vAlign w:val="center"/>
                </w:tcPr>
                <w:p w14:paraId="232B96E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w:t>
                  </w:r>
                </w:p>
              </w:tc>
              <w:tc>
                <w:tcPr>
                  <w:tcW w:w="500" w:type="pct"/>
                  <w:vMerge w:val="restart"/>
                  <w:tcBorders>
                    <w:tl2br w:val="nil"/>
                    <w:tr2bl w:val="nil"/>
                  </w:tcBorders>
                  <w:shd w:val="clear" w:color="auto" w:fill="FFFFFF"/>
                  <w:noWrap w:val="0"/>
                  <w:vAlign w:val="center"/>
                </w:tcPr>
                <w:p w14:paraId="4235A9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2#风机</w:t>
                  </w:r>
                </w:p>
              </w:tc>
              <w:tc>
                <w:tcPr>
                  <w:tcW w:w="323" w:type="pct"/>
                  <w:vMerge w:val="restart"/>
                  <w:tcBorders>
                    <w:tl2br w:val="nil"/>
                    <w:tr2bl w:val="nil"/>
                  </w:tcBorders>
                  <w:shd w:val="clear" w:color="auto" w:fill="FFFFFF"/>
                  <w:noWrap w:val="0"/>
                  <w:vAlign w:val="center"/>
                </w:tcPr>
                <w:p w14:paraId="4FA7DC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23</w:t>
                  </w:r>
                </w:p>
              </w:tc>
              <w:tc>
                <w:tcPr>
                  <w:tcW w:w="341" w:type="pct"/>
                  <w:vMerge w:val="restart"/>
                  <w:tcBorders>
                    <w:tl2br w:val="nil"/>
                    <w:tr2bl w:val="nil"/>
                  </w:tcBorders>
                  <w:shd w:val="clear" w:color="auto" w:fill="FFFFFF"/>
                  <w:noWrap w:val="0"/>
                  <w:vAlign w:val="center"/>
                </w:tcPr>
                <w:p w14:paraId="5970E4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250</w:t>
                  </w:r>
                </w:p>
              </w:tc>
              <w:tc>
                <w:tcPr>
                  <w:tcW w:w="325" w:type="pct"/>
                  <w:vMerge w:val="restart"/>
                  <w:tcBorders>
                    <w:tl2br w:val="nil"/>
                    <w:tr2bl w:val="nil"/>
                  </w:tcBorders>
                  <w:shd w:val="clear" w:color="auto" w:fill="FFFFFF"/>
                  <w:noWrap w:val="0"/>
                  <w:vAlign w:val="center"/>
                </w:tcPr>
                <w:p w14:paraId="5AE880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642" w:type="pct"/>
                  <w:vMerge w:val="restart"/>
                  <w:tcBorders>
                    <w:tl2br w:val="nil"/>
                    <w:tr2bl w:val="nil"/>
                  </w:tcBorders>
                  <w:shd w:val="clear" w:color="auto" w:fill="FFFFFF"/>
                  <w:noWrap w:val="0"/>
                  <w:vAlign w:val="center"/>
                </w:tcPr>
                <w:p w14:paraId="4DEF82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80</w:t>
                  </w:r>
                </w:p>
              </w:tc>
              <w:tc>
                <w:tcPr>
                  <w:tcW w:w="575" w:type="pct"/>
                  <w:vMerge w:val="continue"/>
                  <w:tcBorders>
                    <w:tl2br w:val="nil"/>
                    <w:tr2bl w:val="nil"/>
                  </w:tcBorders>
                  <w:shd w:val="clear" w:color="auto" w:fill="FFFFFF"/>
                  <w:noWrap w:val="0"/>
                  <w:vAlign w:val="center"/>
                </w:tcPr>
                <w:p w14:paraId="4E20211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restart"/>
                  <w:tcBorders>
                    <w:tl2br w:val="nil"/>
                    <w:tr2bl w:val="nil"/>
                  </w:tcBorders>
                  <w:shd w:val="clear" w:color="auto" w:fill="FFFFFF"/>
                  <w:noWrap w:val="0"/>
                  <w:vAlign w:val="center"/>
                </w:tcPr>
                <w:p w14:paraId="1114555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60</w:t>
                  </w:r>
                </w:p>
              </w:tc>
              <w:tc>
                <w:tcPr>
                  <w:tcW w:w="391" w:type="pct"/>
                  <w:tcBorders>
                    <w:tl2br w:val="nil"/>
                    <w:tr2bl w:val="nil"/>
                  </w:tcBorders>
                  <w:shd w:val="clear" w:color="auto" w:fill="FFFFFF"/>
                  <w:noWrap w:val="0"/>
                  <w:vAlign w:val="center"/>
                </w:tcPr>
                <w:p w14:paraId="3E3E9B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东</w:t>
                  </w:r>
                  <w:r>
                    <w:rPr>
                      <w:rFonts w:hint="default" w:ascii="Times New Roman" w:hAnsi="Times New Roman" w:eastAsia="宋体" w:cs="Times New Roman"/>
                      <w:color w:val="auto"/>
                      <w:sz w:val="18"/>
                      <w:szCs w:val="18"/>
                      <w:highlight w:val="none"/>
                      <w:lang w:val="en-US" w:eastAsia="zh-CN"/>
                    </w:rPr>
                    <w:t>侧</w:t>
                  </w:r>
                </w:p>
              </w:tc>
              <w:tc>
                <w:tcPr>
                  <w:tcW w:w="379" w:type="pct"/>
                  <w:tcBorders>
                    <w:tl2br w:val="nil"/>
                    <w:tr2bl w:val="nil"/>
                  </w:tcBorders>
                  <w:shd w:val="clear" w:color="auto" w:fill="FFFFFF"/>
                  <w:noWrap w:val="0"/>
                  <w:vAlign w:val="center"/>
                </w:tcPr>
                <w:p w14:paraId="3AC3C8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12</w:t>
                  </w:r>
                </w:p>
              </w:tc>
              <w:tc>
                <w:tcPr>
                  <w:tcW w:w="513" w:type="pct"/>
                  <w:tcBorders>
                    <w:tl2br w:val="nil"/>
                    <w:tr2bl w:val="nil"/>
                  </w:tcBorders>
                  <w:shd w:val="clear" w:color="auto" w:fill="FFFFFF"/>
                  <w:noWrap w:val="0"/>
                  <w:vAlign w:val="center"/>
                </w:tcPr>
                <w:p w14:paraId="6559D8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248</w:t>
                  </w:r>
                </w:p>
              </w:tc>
              <w:tc>
                <w:tcPr>
                  <w:tcW w:w="303" w:type="pct"/>
                  <w:vMerge w:val="continue"/>
                  <w:tcBorders>
                    <w:tl2br w:val="nil"/>
                    <w:tr2bl w:val="nil"/>
                  </w:tcBorders>
                  <w:shd w:val="clear" w:color="auto" w:fill="FFFFFF"/>
                  <w:noWrap w:val="0"/>
                  <w:vAlign w:val="center"/>
                </w:tcPr>
                <w:p w14:paraId="22A8B8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05D290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tcBorders>
                    <w:tl2br w:val="nil"/>
                    <w:tr2bl w:val="nil"/>
                  </w:tcBorders>
                  <w:shd w:val="clear" w:color="auto" w:fill="FFFFFF"/>
                  <w:noWrap w:val="0"/>
                  <w:vAlign w:val="center"/>
                </w:tcPr>
                <w:p w14:paraId="7D2537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7E3715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32356B6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7C0EAB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331C1A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7999C9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7891B0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1C68F0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91" w:type="pct"/>
                  <w:tcBorders>
                    <w:tl2br w:val="nil"/>
                    <w:tr2bl w:val="nil"/>
                  </w:tcBorders>
                  <w:shd w:val="clear" w:color="auto" w:fill="FFFFFF"/>
                  <w:noWrap w:val="0"/>
                  <w:vAlign w:val="center"/>
                </w:tcPr>
                <w:p w14:paraId="6CF42B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南</w:t>
                  </w:r>
                  <w:r>
                    <w:rPr>
                      <w:rFonts w:hint="default" w:ascii="Times New Roman" w:hAnsi="Times New Roman" w:eastAsia="宋体" w:cs="Times New Roman"/>
                      <w:color w:val="auto"/>
                      <w:sz w:val="18"/>
                      <w:szCs w:val="18"/>
                      <w:highlight w:val="none"/>
                      <w:lang w:val="en-US" w:eastAsia="zh-CN"/>
                    </w:rPr>
                    <w:t>侧</w:t>
                  </w:r>
                </w:p>
              </w:tc>
              <w:tc>
                <w:tcPr>
                  <w:tcW w:w="379" w:type="pct"/>
                  <w:tcBorders>
                    <w:tl2br w:val="nil"/>
                    <w:tr2bl w:val="nil"/>
                  </w:tcBorders>
                  <w:shd w:val="clear" w:color="auto" w:fill="FFFFFF"/>
                  <w:noWrap w:val="0"/>
                  <w:vAlign w:val="center"/>
                </w:tcPr>
                <w:p w14:paraId="0BFC7B1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12</w:t>
                  </w:r>
                </w:p>
              </w:tc>
              <w:tc>
                <w:tcPr>
                  <w:tcW w:w="513" w:type="pct"/>
                  <w:tcBorders>
                    <w:tl2br w:val="nil"/>
                    <w:tr2bl w:val="nil"/>
                  </w:tcBorders>
                  <w:shd w:val="clear" w:color="auto" w:fill="FFFFFF"/>
                  <w:noWrap w:val="0"/>
                  <w:vAlign w:val="center"/>
                </w:tcPr>
                <w:p w14:paraId="1968B8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251</w:t>
                  </w:r>
                </w:p>
              </w:tc>
              <w:tc>
                <w:tcPr>
                  <w:tcW w:w="303" w:type="pct"/>
                  <w:vMerge w:val="continue"/>
                  <w:tcBorders>
                    <w:tl2br w:val="nil"/>
                    <w:tr2bl w:val="nil"/>
                  </w:tcBorders>
                  <w:shd w:val="clear" w:color="auto" w:fill="FFFFFF"/>
                  <w:noWrap w:val="0"/>
                  <w:vAlign w:val="center"/>
                </w:tcPr>
                <w:p w14:paraId="7A60F5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578177C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tcBorders>
                    <w:tl2br w:val="nil"/>
                    <w:tr2bl w:val="nil"/>
                  </w:tcBorders>
                  <w:shd w:val="clear" w:color="auto" w:fill="FFFFFF"/>
                  <w:noWrap w:val="0"/>
                  <w:vAlign w:val="center"/>
                </w:tcPr>
                <w:p w14:paraId="5ACF9F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254D46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18294C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03B114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470530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7FCBD7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33A6DD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4C42C3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91" w:type="pct"/>
                  <w:tcBorders>
                    <w:tl2br w:val="nil"/>
                    <w:tr2bl w:val="nil"/>
                  </w:tcBorders>
                  <w:shd w:val="clear" w:color="auto" w:fill="FFFFFF"/>
                  <w:noWrap w:val="0"/>
                  <w:vAlign w:val="center"/>
                </w:tcPr>
                <w:p w14:paraId="1CB41A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西</w:t>
                  </w:r>
                  <w:r>
                    <w:rPr>
                      <w:rFonts w:hint="default" w:ascii="Times New Roman" w:hAnsi="Times New Roman" w:eastAsia="宋体" w:cs="Times New Roman"/>
                      <w:color w:val="auto"/>
                      <w:sz w:val="18"/>
                      <w:szCs w:val="18"/>
                      <w:highlight w:val="none"/>
                      <w:lang w:val="en-US" w:eastAsia="zh-CN"/>
                    </w:rPr>
                    <w:t>侧</w:t>
                  </w:r>
                </w:p>
              </w:tc>
              <w:tc>
                <w:tcPr>
                  <w:tcW w:w="379" w:type="pct"/>
                  <w:tcBorders>
                    <w:tl2br w:val="nil"/>
                    <w:tr2bl w:val="nil"/>
                  </w:tcBorders>
                  <w:shd w:val="clear" w:color="auto" w:fill="FFFFFF"/>
                  <w:noWrap w:val="0"/>
                  <w:vAlign w:val="center"/>
                </w:tcPr>
                <w:p w14:paraId="0A4867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32.4</w:t>
                  </w:r>
                </w:p>
              </w:tc>
              <w:tc>
                <w:tcPr>
                  <w:tcW w:w="513" w:type="pct"/>
                  <w:tcBorders>
                    <w:tl2br w:val="nil"/>
                    <w:tr2bl w:val="nil"/>
                  </w:tcBorders>
                  <w:shd w:val="clear" w:color="auto" w:fill="FFFFFF"/>
                  <w:noWrap w:val="0"/>
                  <w:vAlign w:val="center"/>
                </w:tcPr>
                <w:p w14:paraId="7473B8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24</w:t>
                  </w:r>
                </w:p>
              </w:tc>
              <w:tc>
                <w:tcPr>
                  <w:tcW w:w="303" w:type="pct"/>
                  <w:vMerge w:val="continue"/>
                  <w:tcBorders>
                    <w:tl2br w:val="nil"/>
                    <w:tr2bl w:val="nil"/>
                  </w:tcBorders>
                  <w:shd w:val="clear" w:color="auto" w:fill="FFFFFF"/>
                  <w:noWrap w:val="0"/>
                  <w:vAlign w:val="center"/>
                </w:tcPr>
                <w:p w14:paraId="72E067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4A910EA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5" w:type="pct"/>
                  <w:vMerge w:val="continue"/>
                  <w:tcBorders>
                    <w:tl2br w:val="nil"/>
                    <w:tr2bl w:val="nil"/>
                  </w:tcBorders>
                  <w:shd w:val="clear" w:color="auto" w:fill="FFFFFF"/>
                  <w:noWrap w:val="0"/>
                  <w:vAlign w:val="center"/>
                </w:tcPr>
                <w:p w14:paraId="016484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00" w:type="pct"/>
                  <w:vMerge w:val="continue"/>
                  <w:tcBorders>
                    <w:tl2br w:val="nil"/>
                    <w:tr2bl w:val="nil"/>
                  </w:tcBorders>
                  <w:shd w:val="clear" w:color="auto" w:fill="FFFFFF"/>
                  <w:noWrap w:val="0"/>
                  <w:vAlign w:val="center"/>
                </w:tcPr>
                <w:p w14:paraId="1A4A87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3" w:type="pct"/>
                  <w:vMerge w:val="continue"/>
                  <w:tcBorders>
                    <w:tl2br w:val="nil"/>
                    <w:tr2bl w:val="nil"/>
                  </w:tcBorders>
                  <w:shd w:val="clear" w:color="auto" w:fill="FFFFFF"/>
                  <w:noWrap w:val="0"/>
                  <w:vAlign w:val="center"/>
                </w:tcPr>
                <w:p w14:paraId="4DC4EA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41" w:type="pct"/>
                  <w:vMerge w:val="continue"/>
                  <w:tcBorders>
                    <w:tl2br w:val="nil"/>
                    <w:tr2bl w:val="nil"/>
                  </w:tcBorders>
                  <w:shd w:val="clear" w:color="auto" w:fill="FFFFFF"/>
                  <w:noWrap w:val="0"/>
                  <w:vAlign w:val="center"/>
                </w:tcPr>
                <w:p w14:paraId="42D2E07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25" w:type="pct"/>
                  <w:vMerge w:val="continue"/>
                  <w:tcBorders>
                    <w:tl2br w:val="nil"/>
                    <w:tr2bl w:val="nil"/>
                  </w:tcBorders>
                  <w:shd w:val="clear" w:color="auto" w:fill="FFFFFF"/>
                  <w:noWrap w:val="0"/>
                  <w:vAlign w:val="center"/>
                </w:tcPr>
                <w:p w14:paraId="6C2DFAD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642" w:type="pct"/>
                  <w:vMerge w:val="continue"/>
                  <w:tcBorders>
                    <w:tl2br w:val="nil"/>
                    <w:tr2bl w:val="nil"/>
                  </w:tcBorders>
                  <w:shd w:val="clear" w:color="auto" w:fill="FFFFFF"/>
                  <w:noWrap w:val="0"/>
                  <w:vAlign w:val="center"/>
                </w:tcPr>
                <w:p w14:paraId="08B4A8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575" w:type="pct"/>
                  <w:vMerge w:val="continue"/>
                  <w:tcBorders>
                    <w:tl2br w:val="nil"/>
                    <w:tr2bl w:val="nil"/>
                  </w:tcBorders>
                  <w:shd w:val="clear" w:color="auto" w:fill="FFFFFF"/>
                  <w:noWrap w:val="0"/>
                  <w:vAlign w:val="center"/>
                </w:tcPr>
                <w:p w14:paraId="2D90822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468" w:type="pct"/>
                  <w:vMerge w:val="continue"/>
                  <w:tcBorders>
                    <w:tl2br w:val="nil"/>
                    <w:tr2bl w:val="nil"/>
                  </w:tcBorders>
                  <w:shd w:val="clear" w:color="auto" w:fill="FFFFFF"/>
                  <w:noWrap w:val="0"/>
                  <w:vAlign w:val="center"/>
                </w:tcPr>
                <w:p w14:paraId="124C6B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c>
                <w:tcPr>
                  <w:tcW w:w="391" w:type="pct"/>
                  <w:tcBorders>
                    <w:tl2br w:val="nil"/>
                    <w:tr2bl w:val="nil"/>
                  </w:tcBorders>
                  <w:shd w:val="clear" w:color="auto" w:fill="FFFFFF"/>
                  <w:noWrap w:val="0"/>
                  <w:vAlign w:val="center"/>
                </w:tcPr>
                <w:p w14:paraId="204D1D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18"/>
                      <w:szCs w:val="18"/>
                      <w:highlight w:val="none"/>
                      <w:lang w:val="en-US" w:eastAsia="zh-CN" w:bidi="ar-SA"/>
                    </w:rPr>
                  </w:pPr>
                  <w:r>
                    <w:rPr>
                      <w:rFonts w:hint="default" w:ascii="Times New Roman" w:hAnsi="Times New Roman" w:cs="Times New Roman"/>
                      <w:color w:val="auto"/>
                      <w:sz w:val="18"/>
                      <w:szCs w:val="18"/>
                      <w:highlight w:val="none"/>
                      <w:lang w:val="en-US" w:eastAsia="zh-CN"/>
                    </w:rPr>
                    <w:t>北侧</w:t>
                  </w:r>
                </w:p>
              </w:tc>
              <w:tc>
                <w:tcPr>
                  <w:tcW w:w="379" w:type="pct"/>
                  <w:tcBorders>
                    <w:tl2br w:val="nil"/>
                    <w:tr2bl w:val="nil"/>
                  </w:tcBorders>
                  <w:shd w:val="clear" w:color="auto" w:fill="FFFFFF"/>
                  <w:noWrap w:val="0"/>
                  <w:vAlign w:val="center"/>
                </w:tcPr>
                <w:p w14:paraId="4EDB84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28</w:t>
                  </w:r>
                </w:p>
              </w:tc>
              <w:tc>
                <w:tcPr>
                  <w:tcW w:w="513" w:type="pct"/>
                  <w:tcBorders>
                    <w:tl2br w:val="nil"/>
                    <w:tr2bl w:val="nil"/>
                  </w:tcBorders>
                  <w:shd w:val="clear" w:color="auto" w:fill="FFFFFF"/>
                  <w:noWrap w:val="0"/>
                  <w:vAlign w:val="center"/>
                </w:tcPr>
                <w:p w14:paraId="31322A2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303" w:type="pct"/>
                  <w:vMerge w:val="continue"/>
                  <w:tcBorders>
                    <w:tl2br w:val="nil"/>
                    <w:tr2bl w:val="nil"/>
                  </w:tcBorders>
                  <w:shd w:val="clear" w:color="auto" w:fill="FFFFFF"/>
                  <w:noWrap w:val="0"/>
                  <w:vAlign w:val="center"/>
                </w:tcPr>
                <w:p w14:paraId="7856C84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cs="Times New Roman"/>
                      <w:color w:val="auto"/>
                      <w:sz w:val="18"/>
                      <w:szCs w:val="18"/>
                      <w:highlight w:val="none"/>
                      <w:lang w:val="en-US" w:eastAsia="zh-CN"/>
                    </w:rPr>
                  </w:pPr>
                </w:p>
              </w:tc>
            </w:tr>
            <w:tr w14:paraId="0E6AC69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000" w:type="pct"/>
                  <w:gridSpan w:val="12"/>
                  <w:tcBorders>
                    <w:tl2br w:val="nil"/>
                    <w:tr2bl w:val="nil"/>
                  </w:tcBorders>
                  <w:noWrap w:val="0"/>
                  <w:vAlign w:val="center"/>
                </w:tcPr>
                <w:p w14:paraId="7E08C051">
                  <w:pPr>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cs="Times New Roman"/>
                      <w:color w:val="auto"/>
                      <w:sz w:val="18"/>
                      <w:szCs w:val="18"/>
                      <w:highlight w:val="none"/>
                      <w:lang w:val="en-US" w:eastAsia="zh-CN"/>
                    </w:rPr>
                  </w:pPr>
                  <w:r>
                    <w:rPr>
                      <w:rFonts w:hint="eastAsia" w:ascii="Times New Roman" w:hAnsi="Times New Roman" w:eastAsia="宋体" w:cs="Times New Roman"/>
                      <w:color w:val="auto"/>
                      <w:kern w:val="2"/>
                      <w:sz w:val="18"/>
                      <w:szCs w:val="18"/>
                      <w:highlight w:val="none"/>
                      <w:lang w:val="en-US" w:eastAsia="zh-CN" w:bidi="ar-SA"/>
                    </w:rPr>
                    <w:t>注：以项目所在厂址西南角</w:t>
                  </w:r>
                  <w:r>
                    <w:rPr>
                      <w:rFonts w:hint="default" w:ascii="Times New Roman" w:hAnsi="Times New Roman" w:eastAsia="宋体" w:cs="Times New Roman"/>
                      <w:color w:val="auto"/>
                      <w:kern w:val="2"/>
                      <w:sz w:val="18"/>
                      <w:szCs w:val="18"/>
                      <w:highlight w:val="none"/>
                      <w:lang w:val="en-US" w:eastAsia="zh-CN" w:bidi="ar-SA"/>
                    </w:rPr>
                    <w:t>（</w:t>
                  </w:r>
                  <w:r>
                    <w:rPr>
                      <w:rFonts w:hint="default" w:ascii="Times New Roman" w:hAnsi="Times New Roman" w:cs="Times New Roman"/>
                      <w:color w:val="auto"/>
                      <w:kern w:val="2"/>
                      <w:sz w:val="18"/>
                      <w:szCs w:val="18"/>
                      <w:highlight w:val="none"/>
                      <w:lang w:val="en-US" w:eastAsia="zh-CN" w:bidi="ar-SA"/>
                    </w:rPr>
                    <w:t>121°35′6.010″,42°0′58.520″</w:t>
                  </w:r>
                  <w:r>
                    <w:rPr>
                      <w:rFonts w:hint="default" w:ascii="Times New Roman" w:hAnsi="Times New Roman" w:eastAsia="宋体" w:cs="Times New Roman"/>
                      <w:color w:val="auto"/>
                      <w:kern w:val="2"/>
                      <w:sz w:val="18"/>
                      <w:szCs w:val="18"/>
                      <w:highlight w:val="none"/>
                      <w:lang w:val="en-US" w:eastAsia="zh-CN" w:bidi="ar-SA"/>
                    </w:rPr>
                    <w:t>）</w:t>
                  </w:r>
                  <w:r>
                    <w:rPr>
                      <w:rFonts w:hint="eastAsia" w:ascii="Times New Roman" w:hAnsi="Times New Roman" w:eastAsia="宋体" w:cs="Times New Roman"/>
                      <w:color w:val="auto"/>
                      <w:kern w:val="2"/>
                      <w:sz w:val="18"/>
                      <w:szCs w:val="18"/>
                      <w:highlight w:val="none"/>
                      <w:lang w:val="en-US" w:eastAsia="zh-CN" w:bidi="ar-SA"/>
                    </w:rPr>
                    <w:t>作为坐标原点，正东方向为X轴，正北方向为Y轴</w:t>
                  </w:r>
                </w:p>
              </w:tc>
            </w:tr>
          </w:tbl>
          <w:p w14:paraId="4A6132FF">
            <w:pPr>
              <w:keepNext w:val="0"/>
              <w:keepLines w:val="0"/>
              <w:suppressLineNumbers w:val="0"/>
              <w:spacing w:before="0" w:beforeAutospacing="0" w:after="0" w:afterAutospacing="0"/>
              <w:ind w:left="0" w:right="0"/>
              <w:rPr>
                <w:rFonts w:hint="eastAsia"/>
                <w:color w:val="auto"/>
                <w:highlight w:val="none"/>
                <w:lang w:val="en-US" w:eastAsia="zh-CN"/>
              </w:rPr>
            </w:pPr>
          </w:p>
          <w:p w14:paraId="235AE85C">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420" w:leftChars="200" w:right="0"/>
              <w:jc w:val="left"/>
              <w:textAlignment w:val="auto"/>
              <w:rPr>
                <w:rFonts w:hint="default" w:ascii="Times New Roman" w:hAnsi="Times New Roman" w:cs="Times New Roman"/>
                <w:b/>
                <w:color w:val="auto"/>
                <w:sz w:val="24"/>
                <w:szCs w:val="36"/>
                <w:highlight w:val="none"/>
                <w:lang w:val="en-US" w:eastAsia="zh-CN"/>
              </w:rPr>
            </w:pPr>
            <w:r>
              <w:rPr>
                <w:rFonts w:hint="eastAsia" w:cs="Times New Roman"/>
                <w:b/>
                <w:color w:val="auto"/>
                <w:sz w:val="24"/>
                <w:szCs w:val="36"/>
                <w:highlight w:val="none"/>
                <w:lang w:val="en-US" w:eastAsia="zh-CN"/>
              </w:rPr>
              <w:t xml:space="preserve">3.2 </w:t>
            </w:r>
            <w:r>
              <w:rPr>
                <w:rFonts w:hint="default" w:ascii="Times New Roman" w:hAnsi="Times New Roman" w:cs="Times New Roman"/>
                <w:b/>
                <w:color w:val="auto"/>
                <w:sz w:val="24"/>
                <w:szCs w:val="36"/>
                <w:highlight w:val="none"/>
                <w:lang w:val="en-US" w:eastAsia="zh-CN"/>
              </w:rPr>
              <w:t>噪声预测</w:t>
            </w:r>
          </w:p>
          <w:p w14:paraId="162D6DF3">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噪声预测模式采用《环境影响评价技术导则声环境》（HJ2.4-2021）附录A户外声传播的衰减及附录B中室内声源等效室外声源功率级计算方法进行预测。工业声源</w:t>
            </w:r>
            <w:r>
              <w:rPr>
                <w:rFonts w:hint="eastAsia" w:ascii="Times New Roman" w:hAnsi="Times New Roman" w:eastAsia="宋体" w:cs="Times New Roman"/>
                <w:color w:val="auto"/>
                <w:kern w:val="2"/>
                <w:sz w:val="24"/>
                <w:szCs w:val="24"/>
                <w:highlight w:val="none"/>
                <w:lang w:val="en-US" w:eastAsia="zh-CN" w:bidi="ar-SA"/>
              </w:rPr>
              <w:t>分为</w:t>
            </w:r>
            <w:r>
              <w:rPr>
                <w:rFonts w:hint="default" w:ascii="Times New Roman" w:hAnsi="Times New Roman" w:eastAsia="宋体" w:cs="Times New Roman"/>
                <w:color w:val="auto"/>
                <w:kern w:val="2"/>
                <w:sz w:val="24"/>
                <w:szCs w:val="24"/>
                <w:highlight w:val="none"/>
                <w:lang w:val="en-US" w:eastAsia="zh-CN" w:bidi="ar-SA"/>
              </w:rPr>
              <w:t>室外和室内两种声源，应分别计算。</w:t>
            </w:r>
            <w:r>
              <w:rPr>
                <w:rFonts w:hint="eastAsia" w:ascii="Times New Roman" w:hAnsi="Times New Roman" w:eastAsia="宋体" w:cs="Times New Roman"/>
                <w:color w:val="auto"/>
                <w:kern w:val="2"/>
                <w:sz w:val="24"/>
                <w:szCs w:val="24"/>
                <w:highlight w:val="none"/>
                <w:lang w:val="en-US" w:eastAsia="zh-CN" w:bidi="ar-SA"/>
              </w:rPr>
              <w:t>本项目属于室内噪声源，仅对室内声源在预测点的声压级计算：</w:t>
            </w:r>
          </w:p>
          <w:p w14:paraId="141E69D3">
            <w:pPr>
              <w:pStyle w:val="73"/>
              <w:keepNext w:val="0"/>
              <w:keepLines w:val="0"/>
              <w:suppressLineNumbers w:val="0"/>
              <w:spacing w:before="0" w:beforeAutospacing="0" w:after="0" w:afterAutospacing="0" w:line="360" w:lineRule="auto"/>
              <w:ind w:left="0" w:right="0" w:firstLine="480" w:firstLineChars="200"/>
              <w:outlineLvl w:val="9"/>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室内声源等效室外声源声功率级计算方法</w:t>
            </w:r>
          </w:p>
          <w:p w14:paraId="7A2DE70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a.首先计算出某个室内声源靠近围护结构处的倍频带声压级：</w:t>
            </w:r>
          </w:p>
          <w:p w14:paraId="15A7E9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pict>
                <v:shape id="_x0000_i1036" o:spt="75" type="#_x0000_t75" style="height:27.7pt;width:101.1pt;" filled="f" o:preferrelative="t" stroked="f" coordsize="21600,21600">
                  <v:path/>
                  <v:fill on="f" focussize="0,0"/>
                  <v:stroke on="f"/>
                  <v:imagedata r:id="rId19" o:title=""/>
                  <o:lock v:ext="edit" aspectratio="t"/>
                  <w10:wrap type="none"/>
                  <w10:anchorlock/>
                </v:shape>
              </w:pict>
            </w:r>
          </w:p>
          <w:p w14:paraId="7CEE20BD">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式中：</w:t>
            </w:r>
            <w:r>
              <w:rPr>
                <w:rFonts w:hint="eastAsia" w:ascii="Times New Roman" w:hAnsi="Times New Roman" w:eastAsia="宋体" w:cs="Times New Roman"/>
                <w:color w:val="auto"/>
                <w:kern w:val="2"/>
                <w:sz w:val="24"/>
                <w:szCs w:val="24"/>
                <w:highlight w:val="none"/>
                <w:lang w:val="en-US" w:eastAsia="zh-CN" w:bidi="ar-SA"/>
              </w:rPr>
              <w:t>LP1</w:t>
            </w:r>
            <w:r>
              <w:rPr>
                <w:rFonts w:hint="default" w:ascii="Times New Roman" w:hAnsi="Times New Roman" w:eastAsia="宋体" w:cs="Times New Roman"/>
                <w:color w:val="auto"/>
                <w:kern w:val="2"/>
                <w:sz w:val="24"/>
                <w:szCs w:val="24"/>
                <w:highlight w:val="none"/>
                <w:lang w:val="en-US" w:eastAsia="zh-CN" w:bidi="ar-SA"/>
              </w:rPr>
              <w:t>—室内声源在靠近围护结构处产生的倍频带声压级，dB；</w:t>
            </w:r>
          </w:p>
          <w:p w14:paraId="7336C501">
            <w:pPr>
              <w:keepNext w:val="0"/>
              <w:keepLines w:val="0"/>
              <w:suppressLineNumbers w:val="0"/>
              <w:tabs>
                <w:tab w:val="left" w:pos="420"/>
              </w:tabs>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zh-CN" w:eastAsia="zh-CN" w:bidi="ar-SA"/>
              </w:rPr>
            </w:pPr>
            <w:r>
              <w:rPr>
                <w:rFonts w:hint="default" w:ascii="Times New Roman" w:hAnsi="Times New Roman" w:eastAsia="宋体" w:cs="Times New Roman"/>
                <w:color w:val="auto"/>
                <w:kern w:val="2"/>
                <w:sz w:val="24"/>
                <w:szCs w:val="24"/>
                <w:highlight w:val="none"/>
                <w:lang w:val="zh-CN" w:eastAsia="zh-CN" w:bidi="ar-SA"/>
              </w:rPr>
              <w:t>Lw—声源的倍频带声功率级，dB；</w:t>
            </w:r>
          </w:p>
          <w:p w14:paraId="701CAF3D">
            <w:pPr>
              <w:keepNext w:val="0"/>
              <w:keepLines w:val="0"/>
              <w:suppressLineNumbers w:val="0"/>
              <w:tabs>
                <w:tab w:val="left" w:pos="420"/>
              </w:tabs>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zh-CN" w:eastAsia="zh-CN" w:bidi="ar-SA"/>
              </w:rPr>
            </w:pPr>
            <w:r>
              <w:rPr>
                <w:rFonts w:hint="default" w:ascii="Times New Roman" w:hAnsi="Times New Roman" w:eastAsia="宋体" w:cs="Times New Roman"/>
                <w:color w:val="auto"/>
                <w:kern w:val="2"/>
                <w:sz w:val="24"/>
                <w:szCs w:val="24"/>
                <w:highlight w:val="none"/>
                <w:lang w:val="zh-CN" w:eastAsia="zh-CN" w:bidi="ar-SA"/>
              </w:rPr>
              <w:t>r—声源到靠近围护结构某点处的距离，m；</w:t>
            </w:r>
          </w:p>
          <w:p w14:paraId="1E0E3CD6">
            <w:pPr>
              <w:keepNext w:val="0"/>
              <w:keepLines w:val="0"/>
              <w:suppressLineNumbers w:val="0"/>
              <w:tabs>
                <w:tab w:val="left" w:pos="420"/>
              </w:tabs>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Q</w:t>
            </w:r>
            <w:r>
              <w:rPr>
                <w:rFonts w:hint="default"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en-US" w:eastAsia="zh-CN" w:bidi="ar-SA"/>
              </w:rPr>
              <w:t>指向性因子；</w:t>
            </w:r>
          </w:p>
          <w:p w14:paraId="468B8D1B">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R—房间常数，R=Sα/（1-α），为房间内表面面积，m2，α为平均吸声系数。</w:t>
            </w:r>
          </w:p>
          <w:p w14:paraId="79D3408C">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zh-CN" w:eastAsia="zh-CN" w:bidi="ar-SA"/>
              </w:rPr>
            </w:pPr>
            <w:r>
              <w:rPr>
                <w:rFonts w:hint="default" w:ascii="Times New Roman" w:hAnsi="Times New Roman" w:eastAsia="宋体" w:cs="Times New Roman"/>
                <w:color w:val="auto"/>
                <w:kern w:val="2"/>
                <w:sz w:val="24"/>
                <w:szCs w:val="24"/>
                <w:highlight w:val="none"/>
                <w:lang w:val="en-US" w:eastAsia="zh-CN" w:bidi="ar-SA"/>
              </w:rPr>
              <w:t>b.</w:t>
            </w:r>
            <w:r>
              <w:rPr>
                <w:rFonts w:hint="default" w:ascii="Times New Roman" w:hAnsi="Times New Roman" w:eastAsia="宋体" w:cs="Times New Roman"/>
                <w:color w:val="auto"/>
                <w:kern w:val="2"/>
                <w:sz w:val="24"/>
                <w:szCs w:val="24"/>
                <w:highlight w:val="none"/>
                <w:lang w:val="zh-CN" w:eastAsia="zh-CN" w:bidi="ar-SA"/>
              </w:rPr>
              <w:t>计算出所有室内声源在靠近围护结构处产生的</w:t>
            </w:r>
            <w:r>
              <w:rPr>
                <w:rFonts w:hint="default" w:ascii="Times New Roman" w:hAnsi="Times New Roman" w:eastAsia="宋体" w:cs="Times New Roman"/>
                <w:color w:val="auto"/>
                <w:kern w:val="2"/>
                <w:sz w:val="24"/>
                <w:szCs w:val="24"/>
                <w:highlight w:val="none"/>
                <w:lang w:val="en-US" w:eastAsia="zh-CN" w:bidi="ar-SA"/>
              </w:rPr>
              <w:t>i</w:t>
            </w:r>
            <w:r>
              <w:rPr>
                <w:rFonts w:hint="default" w:ascii="Times New Roman" w:hAnsi="Times New Roman" w:eastAsia="宋体" w:cs="Times New Roman"/>
                <w:color w:val="auto"/>
                <w:kern w:val="2"/>
                <w:sz w:val="24"/>
                <w:szCs w:val="24"/>
                <w:highlight w:val="none"/>
                <w:lang w:val="zh-CN" w:eastAsia="zh-CN" w:bidi="ar-SA"/>
              </w:rPr>
              <w:t>倍频带叠加声压级：</w:t>
            </w:r>
          </w:p>
          <w:p w14:paraId="3091BB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0" w:firstLineChars="0"/>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pict>
                <v:shape id="_x0000_i1037" o:spt="75" type="#_x0000_t75" style="height:29.95pt;width:113.05pt;" filled="f" o:preferrelative="t" stroked="f" coordsize="21600,21600">
                  <v:path/>
                  <v:fill on="f" focussize="0,0"/>
                  <v:stroke on="f"/>
                  <v:imagedata r:id="rId20" croptop="1916f" cropbottom="4829f" o:title=""/>
                  <o:lock v:ext="edit" aspectratio="t"/>
                  <w10:wrap type="none"/>
                  <w10:anchorlock/>
                </v:shape>
              </w:pict>
            </w:r>
          </w:p>
          <w:p w14:paraId="03184CA0">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式中：Lp1i(T)—靠近围护结构处室内N个声源i倍频带的叠加声压级，dB；</w:t>
            </w:r>
          </w:p>
          <w:p w14:paraId="7183AAC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Lp1ij—室内j声源i倍频带的声压级，dB；</w:t>
            </w:r>
          </w:p>
          <w:p w14:paraId="77D01EE2">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zh-CN" w:eastAsia="zh-CN" w:bidi="ar-SA"/>
              </w:rPr>
            </w:pPr>
            <w:r>
              <w:rPr>
                <w:rFonts w:hint="default" w:ascii="Times New Roman" w:hAnsi="Times New Roman" w:eastAsia="宋体" w:cs="Times New Roman"/>
                <w:color w:val="auto"/>
                <w:kern w:val="2"/>
                <w:sz w:val="24"/>
                <w:szCs w:val="24"/>
                <w:highlight w:val="none"/>
                <w:lang w:val="zh-CN" w:eastAsia="zh-CN" w:bidi="ar-SA"/>
              </w:rPr>
              <w:t>N—室内声源总数。</w:t>
            </w:r>
          </w:p>
          <w:p w14:paraId="3BB9293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c.计算出室外靠近围护结构处的声压级：</w:t>
            </w:r>
          </w:p>
          <w:p w14:paraId="66735DEA">
            <w:pPr>
              <w:keepNext w:val="0"/>
              <w:keepLines w:val="0"/>
              <w:suppressLineNumbers w:val="0"/>
              <w:spacing w:before="0" w:beforeAutospacing="0" w:after="0" w:afterAutospacing="0" w:line="360" w:lineRule="auto"/>
              <w:ind w:left="0" w:right="0" w:firstLine="480" w:firstLineChars="20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L</w:t>
            </w:r>
            <w:r>
              <w:rPr>
                <w:rFonts w:hint="eastAsia" w:ascii="Times New Roman" w:hAnsi="Times New Roman" w:eastAsia="宋体" w:cs="Times New Roman"/>
                <w:color w:val="auto"/>
                <w:kern w:val="2"/>
                <w:sz w:val="24"/>
                <w:szCs w:val="24"/>
                <w:highlight w:val="none"/>
                <w:lang w:val="en-US" w:eastAsia="zh-CN" w:bidi="ar-SA"/>
              </w:rPr>
              <w:t>P</w:t>
            </w:r>
            <w:r>
              <w:rPr>
                <w:rFonts w:hint="default" w:ascii="Times New Roman" w:hAnsi="Times New Roman" w:eastAsia="宋体" w:cs="Times New Roman"/>
                <w:color w:val="auto"/>
                <w:kern w:val="2"/>
                <w:sz w:val="24"/>
                <w:szCs w:val="24"/>
                <w:highlight w:val="none"/>
                <w:lang w:val="en-US" w:eastAsia="zh-CN" w:bidi="ar-SA"/>
              </w:rPr>
              <w:t>2</w:t>
            </w:r>
            <w:r>
              <w:rPr>
                <w:rFonts w:hint="eastAsia" w:ascii="Times New Roman" w:hAnsi="Times New Roman" w:eastAsia="宋体" w:cs="Times New Roman"/>
                <w:color w:val="auto"/>
                <w:kern w:val="2"/>
                <w:sz w:val="24"/>
                <w:szCs w:val="24"/>
                <w:highlight w:val="none"/>
                <w:lang w:val="en-US" w:eastAsia="zh-CN" w:bidi="ar-SA"/>
              </w:rPr>
              <w:t>i</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L</w:t>
            </w:r>
            <w:r>
              <w:rPr>
                <w:rFonts w:hint="eastAsia" w:ascii="Times New Roman" w:hAnsi="Times New Roman" w:eastAsia="宋体" w:cs="Times New Roman"/>
                <w:color w:val="auto"/>
                <w:kern w:val="2"/>
                <w:sz w:val="24"/>
                <w:szCs w:val="24"/>
                <w:highlight w:val="none"/>
                <w:lang w:val="en-US" w:eastAsia="zh-CN" w:bidi="ar-SA"/>
              </w:rPr>
              <w:t>P</w:t>
            </w:r>
            <w:r>
              <w:rPr>
                <w:rFonts w:hint="default" w:ascii="Times New Roman" w:hAnsi="Times New Roman" w:eastAsia="宋体" w:cs="Times New Roman"/>
                <w:color w:val="auto"/>
                <w:kern w:val="2"/>
                <w:sz w:val="24"/>
                <w:szCs w:val="24"/>
                <w:highlight w:val="none"/>
                <w:lang w:val="en-US" w:eastAsia="zh-CN" w:bidi="ar-SA"/>
              </w:rPr>
              <w:t>1</w:t>
            </w:r>
            <w:r>
              <w:rPr>
                <w:rFonts w:hint="eastAsia" w:ascii="Times New Roman" w:hAnsi="Times New Roman" w:eastAsia="宋体" w:cs="Times New Roman"/>
                <w:color w:val="auto"/>
                <w:kern w:val="2"/>
                <w:sz w:val="24"/>
                <w:szCs w:val="24"/>
                <w:highlight w:val="none"/>
                <w:lang w:val="en-US" w:eastAsia="zh-CN" w:bidi="ar-SA"/>
              </w:rPr>
              <w:t>i</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TL</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6</w:t>
            </w:r>
            <w:r>
              <w:rPr>
                <w:rFonts w:hint="eastAsia" w:ascii="Times New Roman" w:hAnsi="Times New Roman" w:eastAsia="宋体" w:cs="Times New Roman"/>
                <w:color w:val="auto"/>
                <w:kern w:val="2"/>
                <w:sz w:val="24"/>
                <w:szCs w:val="24"/>
                <w:highlight w:val="none"/>
                <w:lang w:val="en-US" w:eastAsia="zh-CN" w:bidi="ar-SA"/>
              </w:rPr>
              <w:t>)</w:t>
            </w:r>
          </w:p>
          <w:p w14:paraId="4F3A11C5">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式中：Lp2i(T)—靠近围护结构处室外N个声源i倍频带的叠加声压级，dB；</w:t>
            </w:r>
          </w:p>
          <w:p w14:paraId="2814E4A3">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TLi—围护结构i倍频带的隔声量，dB；</w:t>
            </w:r>
          </w:p>
          <w:p w14:paraId="4B3704ED">
            <w:pPr>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d.</w:t>
            </w:r>
            <w:r>
              <w:rPr>
                <w:rFonts w:hint="default" w:ascii="Times New Roman" w:hAnsi="Times New Roman" w:eastAsia="宋体" w:cs="Times New Roman"/>
                <w:color w:val="auto"/>
                <w:kern w:val="2"/>
                <w:sz w:val="24"/>
                <w:szCs w:val="24"/>
                <w:highlight w:val="none"/>
                <w:lang w:val="zh-CN" w:eastAsia="zh-CN" w:bidi="ar-SA"/>
              </w:rPr>
              <w:t>将室外声源的声压级和透过面积换算成等效的室外声源，计算出中心位置位于透声面积</w:t>
            </w:r>
            <w:r>
              <w:rPr>
                <w:rFonts w:hint="eastAsia"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zh-CN" w:eastAsia="zh-CN" w:bidi="ar-SA"/>
              </w:rPr>
              <w:t>S</w:t>
            </w:r>
            <w:r>
              <w:rPr>
                <w:rFonts w:hint="eastAsia" w:ascii="Times New Roman" w:hAnsi="Times New Roman" w:eastAsia="宋体" w:cs="Times New Roman"/>
                <w:color w:val="auto"/>
                <w:kern w:val="2"/>
                <w:sz w:val="24"/>
                <w:szCs w:val="24"/>
                <w:highlight w:val="none"/>
                <w:lang w:val="zh-CN" w:eastAsia="zh-CN" w:bidi="ar-SA"/>
              </w:rPr>
              <w:t>）</w:t>
            </w:r>
            <w:r>
              <w:rPr>
                <w:rFonts w:hint="default" w:ascii="Times New Roman" w:hAnsi="Times New Roman" w:eastAsia="宋体" w:cs="Times New Roman"/>
                <w:color w:val="auto"/>
                <w:kern w:val="2"/>
                <w:sz w:val="24"/>
                <w:szCs w:val="24"/>
                <w:highlight w:val="none"/>
                <w:lang w:val="zh-CN" w:eastAsia="zh-CN" w:bidi="ar-SA"/>
              </w:rPr>
              <w:t>处的等效声源的倍频带声功率级</w:t>
            </w:r>
            <w:r>
              <w:rPr>
                <w:rFonts w:hint="eastAsia" w:ascii="Times New Roman" w:hAnsi="Times New Roman" w:eastAsia="宋体" w:cs="Times New Roman"/>
                <w:color w:val="auto"/>
                <w:kern w:val="2"/>
                <w:sz w:val="24"/>
                <w:szCs w:val="24"/>
                <w:highlight w:val="none"/>
                <w:lang w:val="zh-CN" w:eastAsia="zh-CN" w:bidi="ar-SA"/>
              </w:rPr>
              <w:t>：</w:t>
            </w:r>
          </w:p>
          <w:p w14:paraId="21EBE883">
            <w:pPr>
              <w:keepNext w:val="0"/>
              <w:keepLines w:val="0"/>
              <w:suppressLineNumbers w:val="0"/>
              <w:spacing w:before="0" w:beforeAutospacing="0" w:after="0" w:afterAutospacing="0" w:line="360" w:lineRule="auto"/>
              <w:ind w:left="0" w:right="0" w:firstLine="480" w:firstLineChars="20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Lw</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L</w:t>
            </w:r>
            <w:r>
              <w:rPr>
                <w:rFonts w:hint="eastAsia" w:ascii="Times New Roman" w:hAnsi="Times New Roman" w:eastAsia="宋体" w:cs="Times New Roman"/>
                <w:color w:val="auto"/>
                <w:kern w:val="2"/>
                <w:sz w:val="24"/>
                <w:szCs w:val="24"/>
                <w:highlight w:val="none"/>
                <w:lang w:val="en-US" w:eastAsia="zh-CN" w:bidi="ar-SA"/>
              </w:rPr>
              <w:t>p</w:t>
            </w:r>
            <w:r>
              <w:rPr>
                <w:rFonts w:hint="default" w:ascii="Times New Roman" w:hAnsi="Times New Roman" w:eastAsia="宋体" w:cs="Times New Roman"/>
                <w:color w:val="auto"/>
                <w:kern w:val="2"/>
                <w:sz w:val="24"/>
                <w:szCs w:val="24"/>
                <w:highlight w:val="none"/>
                <w:lang w:val="en-US" w:eastAsia="zh-CN" w:bidi="ar-SA"/>
              </w:rPr>
              <w:t>2(T)+10lgS</w:t>
            </w:r>
          </w:p>
          <w:p w14:paraId="47596EC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式中：S——透声面积，m</w:t>
            </w:r>
            <w:r>
              <w:rPr>
                <w:rFonts w:hint="default" w:ascii="Times New Roman" w:hAnsi="Times New Roman" w:eastAsia="宋体" w:cs="Times New Roman"/>
                <w:color w:val="auto"/>
                <w:kern w:val="2"/>
                <w:sz w:val="24"/>
                <w:szCs w:val="24"/>
                <w:highlight w:val="none"/>
                <w:vertAlign w:val="superscript"/>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w:t>
            </w:r>
          </w:p>
          <w:p w14:paraId="1C6F3F54">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e.等效室外声源的位置为围护结构的位置，其声功率级为Lw，由此计算等效声源在预测点产生的声级。</w:t>
            </w:r>
          </w:p>
          <w:p w14:paraId="27BDFB43">
            <w:pPr>
              <w:keepNext w:val="0"/>
              <w:keepLines w:val="0"/>
              <w:suppressLineNumbers w:val="0"/>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设第</w:t>
            </w:r>
            <w:r>
              <w:rPr>
                <w:rFonts w:hint="default" w:ascii="Times New Roman" w:hAnsi="Times New Roman" w:eastAsia="宋体" w:cs="Times New Roman"/>
                <w:color w:val="auto"/>
                <w:kern w:val="2"/>
                <w:sz w:val="24"/>
                <w:szCs w:val="24"/>
                <w:highlight w:val="none"/>
                <w:lang w:val="en-US" w:eastAsia="zh-CN" w:bidi="ar-SA"/>
              </w:rPr>
              <w:t>i</w:t>
            </w:r>
            <w:r>
              <w:rPr>
                <w:rFonts w:hint="eastAsia" w:ascii="Times New Roman" w:hAnsi="Times New Roman" w:eastAsia="宋体" w:cs="Times New Roman"/>
                <w:color w:val="auto"/>
                <w:kern w:val="2"/>
                <w:sz w:val="24"/>
                <w:szCs w:val="24"/>
                <w:highlight w:val="none"/>
                <w:lang w:val="en-US" w:eastAsia="zh-CN" w:bidi="ar-SA"/>
              </w:rPr>
              <w:t>个室外声源在预测点产生的</w:t>
            </w:r>
            <w:r>
              <w:rPr>
                <w:rFonts w:hint="default" w:ascii="Times New Roman" w:hAnsi="Times New Roman" w:eastAsia="宋体" w:cs="Times New Roman"/>
                <w:color w:val="auto"/>
                <w:kern w:val="2"/>
                <w:sz w:val="24"/>
                <w:szCs w:val="24"/>
                <w:highlight w:val="none"/>
                <w:lang w:val="en-US" w:eastAsia="zh-CN" w:bidi="ar-SA"/>
              </w:rPr>
              <w:t>A</w:t>
            </w:r>
            <w:r>
              <w:rPr>
                <w:rFonts w:hint="eastAsia" w:ascii="Times New Roman" w:hAnsi="Times New Roman" w:eastAsia="宋体" w:cs="Times New Roman"/>
                <w:color w:val="auto"/>
                <w:kern w:val="2"/>
                <w:sz w:val="24"/>
                <w:szCs w:val="24"/>
                <w:highlight w:val="none"/>
                <w:lang w:val="en-US" w:eastAsia="zh-CN" w:bidi="ar-SA"/>
              </w:rPr>
              <w:t>声级为</w:t>
            </w:r>
            <w:r>
              <w:rPr>
                <w:rFonts w:hint="default" w:ascii="Times New Roman" w:hAnsi="Times New Roman" w:eastAsia="宋体" w:cs="Times New Roman"/>
                <w:color w:val="auto"/>
                <w:kern w:val="2"/>
                <w:sz w:val="24"/>
                <w:szCs w:val="24"/>
                <w:highlight w:val="none"/>
                <w:lang w:val="en-US" w:eastAsia="zh-CN" w:bidi="ar-SA"/>
              </w:rPr>
              <w:t>LAi</w:t>
            </w:r>
            <w:r>
              <w:rPr>
                <w:rFonts w:hint="eastAsia" w:ascii="Times New Roman" w:hAnsi="Times New Roman" w:eastAsia="宋体" w:cs="Times New Roman"/>
                <w:color w:val="auto"/>
                <w:kern w:val="2"/>
                <w:sz w:val="24"/>
                <w:szCs w:val="24"/>
                <w:highlight w:val="none"/>
                <w:lang w:val="en-US" w:eastAsia="zh-CN" w:bidi="ar-SA"/>
              </w:rPr>
              <w:t>，在</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时间内该声源工作时间为</w:t>
            </w:r>
            <w:r>
              <w:rPr>
                <w:rFonts w:hint="default" w:ascii="Times New Roman" w:hAnsi="Times New Roman" w:eastAsia="宋体" w:cs="Times New Roman"/>
                <w:color w:val="auto"/>
                <w:kern w:val="2"/>
                <w:sz w:val="24"/>
                <w:szCs w:val="24"/>
                <w:highlight w:val="none"/>
                <w:lang w:val="en-US" w:eastAsia="zh-CN" w:bidi="ar-SA"/>
              </w:rPr>
              <w:t>ti</w:t>
            </w:r>
            <w:r>
              <w:rPr>
                <w:rFonts w:hint="eastAsia" w:ascii="Times New Roman" w:hAnsi="Times New Roman" w:eastAsia="宋体" w:cs="Times New Roman"/>
                <w:color w:val="auto"/>
                <w:kern w:val="2"/>
                <w:sz w:val="24"/>
                <w:szCs w:val="24"/>
                <w:highlight w:val="none"/>
                <w:lang w:val="en-US" w:eastAsia="zh-CN" w:bidi="ar-SA"/>
              </w:rPr>
              <w:t>；第</w:t>
            </w:r>
            <w:r>
              <w:rPr>
                <w:rFonts w:hint="default" w:ascii="Times New Roman" w:hAnsi="Times New Roman" w:eastAsia="宋体" w:cs="Times New Roman"/>
                <w:color w:val="auto"/>
                <w:kern w:val="2"/>
                <w:sz w:val="24"/>
                <w:szCs w:val="24"/>
                <w:highlight w:val="none"/>
                <w:lang w:val="en-US" w:eastAsia="zh-CN" w:bidi="ar-SA"/>
              </w:rPr>
              <w:t>j</w:t>
            </w:r>
            <w:r>
              <w:rPr>
                <w:rFonts w:hint="eastAsia" w:ascii="Times New Roman" w:hAnsi="Times New Roman" w:eastAsia="宋体" w:cs="Times New Roman"/>
                <w:color w:val="auto"/>
                <w:kern w:val="2"/>
                <w:sz w:val="24"/>
                <w:szCs w:val="24"/>
                <w:highlight w:val="none"/>
                <w:lang w:val="en-US" w:eastAsia="zh-CN" w:bidi="ar-SA"/>
              </w:rPr>
              <w:t>个等效室外声源在预测点产生的</w:t>
            </w:r>
            <w:r>
              <w:rPr>
                <w:rFonts w:hint="default" w:ascii="Times New Roman" w:hAnsi="Times New Roman" w:eastAsia="宋体" w:cs="Times New Roman"/>
                <w:color w:val="auto"/>
                <w:kern w:val="2"/>
                <w:sz w:val="24"/>
                <w:szCs w:val="24"/>
                <w:highlight w:val="none"/>
                <w:lang w:val="en-US" w:eastAsia="zh-CN" w:bidi="ar-SA"/>
              </w:rPr>
              <w:t>A</w:t>
            </w:r>
            <w:r>
              <w:rPr>
                <w:rFonts w:hint="eastAsia" w:ascii="Times New Roman" w:hAnsi="Times New Roman" w:eastAsia="宋体" w:cs="Times New Roman"/>
                <w:color w:val="auto"/>
                <w:kern w:val="2"/>
                <w:sz w:val="24"/>
                <w:szCs w:val="24"/>
                <w:highlight w:val="none"/>
                <w:lang w:val="en-US" w:eastAsia="zh-CN" w:bidi="ar-SA"/>
              </w:rPr>
              <w:t>声级为</w:t>
            </w:r>
            <w:r>
              <w:rPr>
                <w:rFonts w:hint="default" w:ascii="Times New Roman" w:hAnsi="Times New Roman" w:eastAsia="宋体" w:cs="Times New Roman"/>
                <w:color w:val="auto"/>
                <w:kern w:val="2"/>
                <w:sz w:val="24"/>
                <w:szCs w:val="24"/>
                <w:highlight w:val="none"/>
                <w:lang w:val="en-US" w:eastAsia="zh-CN" w:bidi="ar-SA"/>
              </w:rPr>
              <w:t>LAj</w:t>
            </w:r>
            <w:r>
              <w:rPr>
                <w:rFonts w:hint="eastAsia" w:ascii="Times New Roman" w:hAnsi="Times New Roman" w:eastAsia="宋体" w:cs="Times New Roman"/>
                <w:color w:val="auto"/>
                <w:kern w:val="2"/>
                <w:sz w:val="24"/>
                <w:szCs w:val="24"/>
                <w:highlight w:val="none"/>
                <w:lang w:val="en-US" w:eastAsia="zh-CN" w:bidi="ar-SA"/>
              </w:rPr>
              <w:t>，在</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时间内该声源工作时间为</w:t>
            </w:r>
            <w:r>
              <w:rPr>
                <w:rFonts w:hint="default" w:ascii="Times New Roman" w:hAnsi="Times New Roman" w:eastAsia="宋体" w:cs="Times New Roman"/>
                <w:color w:val="auto"/>
                <w:kern w:val="2"/>
                <w:sz w:val="24"/>
                <w:szCs w:val="24"/>
                <w:highlight w:val="none"/>
                <w:lang w:val="en-US" w:eastAsia="zh-CN" w:bidi="ar-SA"/>
              </w:rPr>
              <w:t>tj</w:t>
            </w:r>
            <w:r>
              <w:rPr>
                <w:rFonts w:hint="eastAsia" w:ascii="Times New Roman" w:hAnsi="Times New Roman" w:eastAsia="宋体" w:cs="Times New Roman"/>
                <w:color w:val="auto"/>
                <w:kern w:val="2"/>
                <w:sz w:val="24"/>
                <w:szCs w:val="24"/>
                <w:highlight w:val="none"/>
                <w:lang w:val="en-US" w:eastAsia="zh-CN" w:bidi="ar-SA"/>
              </w:rPr>
              <w:t>，则拟建工程声源对预测点产生的贡献值（</w:t>
            </w:r>
            <w:r>
              <w:rPr>
                <w:rFonts w:hint="default" w:ascii="Times New Roman" w:hAnsi="Times New Roman" w:eastAsia="宋体" w:cs="Times New Roman"/>
                <w:color w:val="auto"/>
                <w:kern w:val="2"/>
                <w:sz w:val="24"/>
                <w:szCs w:val="24"/>
                <w:highlight w:val="none"/>
                <w:lang w:val="en-US" w:eastAsia="zh-CN" w:bidi="ar-SA"/>
              </w:rPr>
              <w:t>Leqg</w:t>
            </w:r>
            <w:r>
              <w:rPr>
                <w:rFonts w:hint="eastAsia" w:ascii="Times New Roman" w:hAnsi="Times New Roman" w:eastAsia="宋体" w:cs="Times New Roman"/>
                <w:color w:val="auto"/>
                <w:kern w:val="2"/>
                <w:sz w:val="24"/>
                <w:szCs w:val="24"/>
                <w:highlight w:val="none"/>
                <w:lang w:val="en-US" w:eastAsia="zh-CN" w:bidi="ar-SA"/>
              </w:rPr>
              <w:t>）为：</w:t>
            </w:r>
          </w:p>
          <w:p w14:paraId="4FA968B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right="0" w:firstLine="0" w:firstLine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pict>
                <v:shape id="_x0000_i1038" o:spt="75" type="#_x0000_t75" style="height:33.75pt;width:180.45pt;" filled="f" o:preferrelative="t" stroked="f" coordsize="21600,21600">
                  <v:path/>
                  <v:fill on="f" focussize="0,0"/>
                  <v:stroke on="f"/>
                  <v:imagedata r:id="rId21" o:title=""/>
                  <o:lock v:ext="edit" aspectratio="t"/>
                  <w10:wrap type="none"/>
                  <w10:anchorlock/>
                </v:shape>
              </w:pict>
            </w:r>
          </w:p>
          <w:p w14:paraId="1016DF9D">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式中：</w:t>
            </w:r>
            <w:r>
              <w:rPr>
                <w:rFonts w:hint="default" w:ascii="Times New Roman" w:hAnsi="Times New Roman" w:eastAsia="宋体" w:cs="Times New Roman"/>
                <w:color w:val="auto"/>
                <w:kern w:val="2"/>
                <w:sz w:val="24"/>
                <w:szCs w:val="24"/>
                <w:highlight w:val="none"/>
                <w:lang w:val="en-US" w:eastAsia="zh-CN" w:bidi="ar-SA"/>
              </w:rPr>
              <w:t>ti—</w:t>
            </w:r>
            <w:r>
              <w:rPr>
                <w:rFonts w:hint="eastAsia" w:ascii="Times New Roman" w:hAnsi="Times New Roman" w:eastAsia="宋体" w:cs="Times New Roman"/>
                <w:color w:val="auto"/>
                <w:kern w:val="2"/>
                <w:sz w:val="24"/>
                <w:szCs w:val="24"/>
                <w:highlight w:val="none"/>
                <w:lang w:val="en-US" w:eastAsia="zh-CN" w:bidi="ar-SA"/>
              </w:rPr>
              <w:t>在</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时间内</w:t>
            </w:r>
            <w:r>
              <w:rPr>
                <w:rFonts w:hint="default" w:ascii="Times New Roman" w:hAnsi="Times New Roman" w:eastAsia="宋体" w:cs="Times New Roman"/>
                <w:color w:val="auto"/>
                <w:kern w:val="2"/>
                <w:sz w:val="24"/>
                <w:szCs w:val="24"/>
                <w:highlight w:val="none"/>
                <w:lang w:val="en-US" w:eastAsia="zh-CN" w:bidi="ar-SA"/>
              </w:rPr>
              <w:t>i</w:t>
            </w:r>
            <w:r>
              <w:rPr>
                <w:rFonts w:hint="eastAsia" w:ascii="Times New Roman" w:hAnsi="Times New Roman" w:eastAsia="宋体" w:cs="Times New Roman"/>
                <w:color w:val="auto"/>
                <w:kern w:val="2"/>
                <w:sz w:val="24"/>
                <w:szCs w:val="24"/>
                <w:highlight w:val="none"/>
                <w:lang w:val="en-US" w:eastAsia="zh-CN" w:bidi="ar-SA"/>
              </w:rPr>
              <w:t>声源工作时间，</w:t>
            </w:r>
            <w:r>
              <w:rPr>
                <w:rFonts w:hint="default" w:ascii="Times New Roman" w:hAnsi="Times New Roman" w:eastAsia="宋体" w:cs="Times New Roman"/>
                <w:color w:val="auto"/>
                <w:kern w:val="2"/>
                <w:sz w:val="24"/>
                <w:szCs w:val="24"/>
                <w:highlight w:val="none"/>
                <w:lang w:val="en-US" w:eastAsia="zh-CN" w:bidi="ar-SA"/>
              </w:rPr>
              <w:t>S</w:t>
            </w:r>
            <w:r>
              <w:rPr>
                <w:rFonts w:hint="eastAsia" w:ascii="Times New Roman" w:hAnsi="Times New Roman" w:eastAsia="宋体" w:cs="Times New Roman"/>
                <w:color w:val="auto"/>
                <w:kern w:val="2"/>
                <w:sz w:val="24"/>
                <w:szCs w:val="24"/>
                <w:highlight w:val="none"/>
                <w:lang w:val="en-US" w:eastAsia="zh-CN" w:bidi="ar-SA"/>
              </w:rPr>
              <w:t>；</w:t>
            </w:r>
          </w:p>
          <w:p w14:paraId="7E953726">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tj—</w:t>
            </w:r>
            <w:r>
              <w:rPr>
                <w:rFonts w:hint="eastAsia" w:ascii="Times New Roman" w:hAnsi="Times New Roman" w:eastAsia="宋体" w:cs="Times New Roman"/>
                <w:color w:val="auto"/>
                <w:kern w:val="2"/>
                <w:sz w:val="24"/>
                <w:szCs w:val="24"/>
                <w:highlight w:val="none"/>
                <w:lang w:val="en-US" w:eastAsia="zh-CN" w:bidi="ar-SA"/>
              </w:rPr>
              <w:t>在</w:t>
            </w: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时间内</w:t>
            </w:r>
            <w:r>
              <w:rPr>
                <w:rFonts w:hint="default" w:ascii="Times New Roman" w:hAnsi="Times New Roman" w:eastAsia="宋体" w:cs="Times New Roman"/>
                <w:color w:val="auto"/>
                <w:kern w:val="2"/>
                <w:sz w:val="24"/>
                <w:szCs w:val="24"/>
                <w:highlight w:val="none"/>
                <w:lang w:val="en-US" w:eastAsia="zh-CN" w:bidi="ar-SA"/>
              </w:rPr>
              <w:t>j</w:t>
            </w:r>
            <w:r>
              <w:rPr>
                <w:rFonts w:hint="eastAsia" w:ascii="Times New Roman" w:hAnsi="Times New Roman" w:eastAsia="宋体" w:cs="Times New Roman"/>
                <w:color w:val="auto"/>
                <w:kern w:val="2"/>
                <w:sz w:val="24"/>
                <w:szCs w:val="24"/>
                <w:highlight w:val="none"/>
                <w:lang w:val="en-US" w:eastAsia="zh-CN" w:bidi="ar-SA"/>
              </w:rPr>
              <w:t>声源工作时间，</w:t>
            </w:r>
            <w:r>
              <w:rPr>
                <w:rFonts w:hint="default" w:ascii="Times New Roman" w:hAnsi="Times New Roman" w:eastAsia="宋体" w:cs="Times New Roman"/>
                <w:color w:val="auto"/>
                <w:kern w:val="2"/>
                <w:sz w:val="24"/>
                <w:szCs w:val="24"/>
                <w:highlight w:val="none"/>
                <w:lang w:val="en-US" w:eastAsia="zh-CN" w:bidi="ar-SA"/>
              </w:rPr>
              <w:t>S</w:t>
            </w:r>
            <w:r>
              <w:rPr>
                <w:rFonts w:hint="eastAsia" w:ascii="Times New Roman" w:hAnsi="Times New Roman" w:eastAsia="宋体" w:cs="Times New Roman"/>
                <w:color w:val="auto"/>
                <w:kern w:val="2"/>
                <w:sz w:val="24"/>
                <w:szCs w:val="24"/>
                <w:highlight w:val="none"/>
                <w:lang w:val="en-US" w:eastAsia="zh-CN" w:bidi="ar-SA"/>
              </w:rPr>
              <w:t>；</w:t>
            </w:r>
          </w:p>
          <w:p w14:paraId="019AA67C">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T—</w:t>
            </w:r>
            <w:r>
              <w:rPr>
                <w:rFonts w:hint="eastAsia" w:ascii="Times New Roman" w:hAnsi="Times New Roman" w:eastAsia="宋体" w:cs="Times New Roman"/>
                <w:color w:val="auto"/>
                <w:kern w:val="2"/>
                <w:sz w:val="24"/>
                <w:szCs w:val="24"/>
                <w:highlight w:val="none"/>
                <w:lang w:val="en-US" w:eastAsia="zh-CN" w:bidi="ar-SA"/>
              </w:rPr>
              <w:t>用于计算等效声级的时间，</w:t>
            </w:r>
            <w:r>
              <w:rPr>
                <w:rFonts w:hint="default" w:ascii="Times New Roman" w:hAnsi="Times New Roman" w:eastAsia="宋体" w:cs="Times New Roman"/>
                <w:color w:val="auto"/>
                <w:kern w:val="2"/>
                <w:sz w:val="24"/>
                <w:szCs w:val="24"/>
                <w:highlight w:val="none"/>
                <w:lang w:val="en-US" w:eastAsia="zh-CN" w:bidi="ar-SA"/>
              </w:rPr>
              <w:t>S</w:t>
            </w:r>
            <w:r>
              <w:rPr>
                <w:rFonts w:hint="eastAsia" w:ascii="Times New Roman" w:hAnsi="Times New Roman" w:eastAsia="宋体" w:cs="Times New Roman"/>
                <w:color w:val="auto"/>
                <w:kern w:val="2"/>
                <w:sz w:val="24"/>
                <w:szCs w:val="24"/>
                <w:highlight w:val="none"/>
                <w:lang w:val="en-US" w:eastAsia="zh-CN" w:bidi="ar-SA"/>
              </w:rPr>
              <w:t>；</w:t>
            </w:r>
          </w:p>
          <w:p w14:paraId="6EDA3E18">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N—</w:t>
            </w:r>
            <w:r>
              <w:rPr>
                <w:rFonts w:hint="eastAsia" w:ascii="Times New Roman" w:hAnsi="Times New Roman" w:eastAsia="宋体" w:cs="Times New Roman"/>
                <w:color w:val="auto"/>
                <w:kern w:val="2"/>
                <w:sz w:val="24"/>
                <w:szCs w:val="24"/>
                <w:highlight w:val="none"/>
                <w:lang w:val="en-US" w:eastAsia="zh-CN" w:bidi="ar-SA"/>
              </w:rPr>
              <w:t>室外声源个数；</w:t>
            </w:r>
          </w:p>
          <w:p w14:paraId="3EBD7FC3">
            <w:pPr>
              <w:keepNext w:val="0"/>
              <w:keepLines w:val="0"/>
              <w:suppressLineNumbers w:val="0"/>
              <w:adjustRightInd w:val="0"/>
              <w:snapToGrid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M—</w:t>
            </w:r>
            <w:r>
              <w:rPr>
                <w:rFonts w:hint="eastAsia" w:ascii="Times New Roman" w:hAnsi="Times New Roman" w:eastAsia="宋体" w:cs="Times New Roman"/>
                <w:color w:val="auto"/>
                <w:kern w:val="2"/>
                <w:sz w:val="24"/>
                <w:szCs w:val="24"/>
                <w:highlight w:val="none"/>
                <w:lang w:val="en-US" w:eastAsia="zh-CN" w:bidi="ar-SA"/>
              </w:rPr>
              <w:t>等效室外声源个数。</w:t>
            </w:r>
          </w:p>
          <w:p w14:paraId="6C2460D4">
            <w:pPr>
              <w:keepNext w:val="0"/>
              <w:keepLines w:val="0"/>
              <w:suppressLineNumbers w:val="0"/>
              <w:spacing w:before="0" w:beforeAutospacing="0" w:after="0" w:afterAutospacing="0" w:line="360" w:lineRule="auto"/>
              <w:ind w:left="0" w:right="0" w:firstLine="482" w:firstLineChars="200"/>
              <w:outlineLvl w:val="9"/>
              <w:rPr>
                <w:rFonts w:hint="default" w:ascii="Times New Roman" w:hAnsi="Times New Roman" w:eastAsia="宋体"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3.3</w:t>
            </w:r>
            <w:r>
              <w:rPr>
                <w:rFonts w:hint="default" w:ascii="Times New Roman" w:hAnsi="Times New Roman" w:eastAsia="宋体" w:cs="Times New Roman"/>
                <w:b/>
                <w:bCs/>
                <w:color w:val="auto"/>
                <w:kern w:val="2"/>
                <w:sz w:val="24"/>
                <w:szCs w:val="24"/>
                <w:highlight w:val="none"/>
                <w:lang w:val="en-US" w:eastAsia="zh-CN" w:bidi="ar-SA"/>
              </w:rPr>
              <w:t>预测结果</w:t>
            </w:r>
          </w:p>
          <w:p w14:paraId="3924A1ED">
            <w:pPr>
              <w:pStyle w:val="6"/>
              <w:keepNext w:val="0"/>
              <w:keepLines w:val="0"/>
              <w:suppressLineNumbers w:val="0"/>
              <w:spacing w:before="0" w:beforeAutospacing="0" w:after="0" w:afterAutospacing="0" w:line="360" w:lineRule="auto"/>
              <w:ind w:left="0" w:right="0" w:firstLine="480"/>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本项目采用《环境影响评价技术导则声环境》（HJ2.4-20</w:t>
            </w:r>
            <w:r>
              <w:rPr>
                <w:rFonts w:hint="eastAsia" w:ascii="Times New Roman" w:hAnsi="Times New Roman" w:eastAsia="宋体" w:cs="Times New Roman"/>
                <w:color w:val="auto"/>
                <w:kern w:val="2"/>
                <w:sz w:val="24"/>
                <w:szCs w:val="24"/>
                <w:highlight w:val="none"/>
                <w:lang w:val="en-US" w:eastAsia="zh-CN" w:bidi="ar-SA"/>
              </w:rPr>
              <w:t>21</w:t>
            </w:r>
            <w:r>
              <w:rPr>
                <w:rFonts w:hint="default" w:ascii="Times New Roman" w:hAnsi="Times New Roman" w:eastAsia="宋体" w:cs="Times New Roman"/>
                <w:color w:val="auto"/>
                <w:kern w:val="2"/>
                <w:sz w:val="24"/>
                <w:szCs w:val="24"/>
                <w:highlight w:val="none"/>
                <w:lang w:val="en-US" w:eastAsia="zh-CN" w:bidi="ar-SA"/>
              </w:rPr>
              <w:t>）中推荐的模式进行预测，厂界</w:t>
            </w:r>
            <w:r>
              <w:rPr>
                <w:rFonts w:hint="eastAsia" w:ascii="Times New Roman" w:hAnsi="Times New Roman" w:eastAsia="宋体" w:cs="Times New Roman"/>
                <w:color w:val="auto"/>
                <w:kern w:val="2"/>
                <w:sz w:val="24"/>
                <w:szCs w:val="24"/>
                <w:highlight w:val="none"/>
                <w:lang w:val="en-US" w:eastAsia="zh-CN" w:bidi="ar-SA"/>
              </w:rPr>
              <w:t>噪声</w:t>
            </w:r>
            <w:r>
              <w:rPr>
                <w:rFonts w:hint="default" w:ascii="Times New Roman" w:hAnsi="Times New Roman" w:eastAsia="宋体" w:cs="Times New Roman"/>
                <w:color w:val="auto"/>
                <w:kern w:val="2"/>
                <w:sz w:val="24"/>
                <w:szCs w:val="24"/>
                <w:highlight w:val="none"/>
                <w:lang w:val="en-US" w:eastAsia="zh-CN" w:bidi="ar-SA"/>
              </w:rPr>
              <w:t>预测结果见下表。</w:t>
            </w:r>
          </w:p>
          <w:p w14:paraId="574C4696">
            <w:pPr>
              <w:pStyle w:val="7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Times New Roman" w:hAnsi="Times New Roman" w:eastAsia="宋体" w:cs="Times New Roman"/>
                <w:color w:val="auto"/>
                <w:kern w:val="2"/>
                <w:sz w:val="21"/>
                <w:szCs w:val="21"/>
                <w:highlight w:val="none"/>
                <w:lang w:val="en-US" w:eastAsia="zh-CN" w:bidi="ar-SA"/>
              </w:rPr>
            </w:pPr>
          </w:p>
          <w:p w14:paraId="6BBA729C">
            <w:pPr>
              <w:pStyle w:val="7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Times New Roman" w:hAnsi="Times New Roman" w:eastAsia="宋体" w:cs="Times New Roman"/>
                <w:color w:val="auto"/>
                <w:kern w:val="2"/>
                <w:sz w:val="21"/>
                <w:szCs w:val="21"/>
                <w:highlight w:val="none"/>
                <w:lang w:val="en-US" w:eastAsia="zh-CN" w:bidi="ar-SA"/>
              </w:rPr>
            </w:pPr>
          </w:p>
          <w:p w14:paraId="015FF62B">
            <w:pPr>
              <w:pStyle w:val="75"/>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表4-</w:t>
            </w:r>
            <w:r>
              <w:rPr>
                <w:rFonts w:hint="eastAsia" w:ascii="Times New Roman" w:cs="Times New Roman"/>
                <w:color w:val="auto"/>
                <w:kern w:val="2"/>
                <w:sz w:val="21"/>
                <w:szCs w:val="21"/>
                <w:highlight w:val="none"/>
                <w:lang w:val="en-US" w:eastAsia="zh-CN" w:bidi="ar-SA"/>
              </w:rPr>
              <w:t>22</w:t>
            </w:r>
            <w:r>
              <w:rPr>
                <w:rFonts w:hint="eastAsia" w:ascii="Times New Roman" w:hAnsi="Times New Roman" w:eastAsia="宋体" w:cs="Times New Roman"/>
                <w:color w:val="auto"/>
                <w:kern w:val="2"/>
                <w:sz w:val="21"/>
                <w:szCs w:val="21"/>
                <w:highlight w:val="none"/>
                <w:lang w:val="en-US" w:eastAsia="zh-CN" w:bidi="ar-SA"/>
              </w:rPr>
              <w:t xml:space="preserve">  厂界噪声影响预测结果 </w:t>
            </w:r>
          </w:p>
          <w:tbl>
            <w:tblPr>
              <w:tblStyle w:val="26"/>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1295"/>
              <w:gridCol w:w="2462"/>
              <w:gridCol w:w="2609"/>
              <w:gridCol w:w="2746"/>
            </w:tblGrid>
            <w:tr w14:paraId="4831754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pct"/>
                  <w:vMerge w:val="restart"/>
                  <w:tcBorders>
                    <w:tl2br w:val="nil"/>
                    <w:tr2bl w:val="nil"/>
                  </w:tcBorders>
                  <w:noWrap w:val="0"/>
                  <w:vAlign w:val="center"/>
                </w:tcPr>
                <w:p w14:paraId="173B620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厂界</w:t>
                  </w:r>
                </w:p>
              </w:tc>
              <w:tc>
                <w:tcPr>
                  <w:tcW w:w="1350" w:type="pct"/>
                  <w:vMerge w:val="restart"/>
                  <w:tcBorders>
                    <w:tl2br w:val="nil"/>
                    <w:tr2bl w:val="nil"/>
                  </w:tcBorders>
                  <w:noWrap w:val="0"/>
                  <w:vAlign w:val="center"/>
                </w:tcPr>
                <w:p w14:paraId="75C249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贡献值dB(A)</w:t>
                  </w:r>
                </w:p>
              </w:tc>
              <w:tc>
                <w:tcPr>
                  <w:tcW w:w="1431" w:type="pct"/>
                  <w:tcBorders>
                    <w:tl2br w:val="nil"/>
                    <w:tr2bl w:val="nil"/>
                  </w:tcBorders>
                  <w:noWrap w:val="0"/>
                  <w:vAlign w:val="center"/>
                </w:tcPr>
                <w:p w14:paraId="122B43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标准值</w:t>
                  </w:r>
                  <w:r>
                    <w:rPr>
                      <w:rFonts w:hint="eastAsia" w:ascii="Times New Roman" w:hAnsi="Times New Roman" w:eastAsia="宋体" w:cs="Times New Roman"/>
                      <w:color w:val="auto"/>
                      <w:kern w:val="2"/>
                      <w:sz w:val="21"/>
                      <w:szCs w:val="21"/>
                      <w:highlight w:val="none"/>
                      <w:lang w:val="en-US" w:eastAsia="zh-CN" w:bidi="ar-SA"/>
                    </w:rPr>
                    <w:t>dB(A)</w:t>
                  </w:r>
                </w:p>
              </w:tc>
              <w:tc>
                <w:tcPr>
                  <w:tcW w:w="1506" w:type="pct"/>
                  <w:vMerge w:val="restart"/>
                  <w:tcBorders>
                    <w:tl2br w:val="nil"/>
                    <w:tr2bl w:val="nil"/>
                  </w:tcBorders>
                  <w:noWrap w:val="0"/>
                  <w:vAlign w:val="center"/>
                </w:tcPr>
                <w:p w14:paraId="4791017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达标情况</w:t>
                  </w:r>
                </w:p>
              </w:tc>
            </w:tr>
            <w:tr w14:paraId="441BC7D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pct"/>
                  <w:vMerge w:val="continue"/>
                  <w:tcBorders>
                    <w:tl2br w:val="nil"/>
                    <w:tr2bl w:val="nil"/>
                  </w:tcBorders>
                  <w:noWrap w:val="0"/>
                  <w:vAlign w:val="center"/>
                </w:tcPr>
                <w:p w14:paraId="550144A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350" w:type="pct"/>
                  <w:vMerge w:val="continue"/>
                  <w:tcBorders>
                    <w:tl2br w:val="nil"/>
                    <w:tr2bl w:val="nil"/>
                  </w:tcBorders>
                  <w:noWrap w:val="0"/>
                  <w:vAlign w:val="center"/>
                </w:tcPr>
                <w:p w14:paraId="1D0F0B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p>
              </w:tc>
              <w:tc>
                <w:tcPr>
                  <w:tcW w:w="1431" w:type="pct"/>
                  <w:tcBorders>
                    <w:tl2br w:val="nil"/>
                    <w:tr2bl w:val="nil"/>
                  </w:tcBorders>
                  <w:noWrap w:val="0"/>
                  <w:vAlign w:val="center"/>
                </w:tcPr>
                <w:p w14:paraId="168065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昼间</w:t>
                  </w:r>
                </w:p>
              </w:tc>
              <w:tc>
                <w:tcPr>
                  <w:tcW w:w="1506" w:type="pct"/>
                  <w:vMerge w:val="continue"/>
                  <w:tcBorders>
                    <w:tl2br w:val="nil"/>
                    <w:tr2bl w:val="nil"/>
                  </w:tcBorders>
                  <w:noWrap w:val="0"/>
                  <w:vAlign w:val="center"/>
                </w:tcPr>
                <w:p w14:paraId="6B7D818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p>
              </w:tc>
            </w:tr>
            <w:tr w14:paraId="4626753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pct"/>
                  <w:tcBorders>
                    <w:tl2br w:val="nil"/>
                    <w:tr2bl w:val="nil"/>
                  </w:tcBorders>
                  <w:noWrap w:val="0"/>
                  <w:vAlign w:val="center"/>
                </w:tcPr>
                <w:p w14:paraId="39E9DF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东</w:t>
                  </w:r>
                  <w:r>
                    <w:rPr>
                      <w:rFonts w:hint="eastAsia" w:ascii="Times New Roman" w:hAnsi="Times New Roman" w:eastAsia="宋体" w:cs="Times New Roman"/>
                      <w:color w:val="auto"/>
                      <w:kern w:val="2"/>
                      <w:sz w:val="21"/>
                      <w:szCs w:val="21"/>
                      <w:highlight w:val="none"/>
                      <w:lang w:val="en-US" w:eastAsia="zh-CN" w:bidi="ar-SA"/>
                    </w:rPr>
                    <w:t>侧</w:t>
                  </w:r>
                  <w:r>
                    <w:rPr>
                      <w:rFonts w:hint="default" w:ascii="Times New Roman" w:hAnsi="Times New Roman" w:eastAsia="宋体" w:cs="Times New Roman"/>
                      <w:color w:val="auto"/>
                      <w:kern w:val="2"/>
                      <w:sz w:val="21"/>
                      <w:szCs w:val="21"/>
                      <w:highlight w:val="none"/>
                      <w:lang w:val="en-US" w:eastAsia="zh-CN" w:bidi="ar-SA"/>
                    </w:rPr>
                    <w:t>厂界</w:t>
                  </w:r>
                </w:p>
              </w:tc>
              <w:tc>
                <w:tcPr>
                  <w:tcW w:w="1350" w:type="pct"/>
                  <w:tcBorders>
                    <w:tl2br w:val="nil"/>
                    <w:tr2bl w:val="nil"/>
                  </w:tcBorders>
                  <w:noWrap w:val="0"/>
                  <w:vAlign w:val="center"/>
                </w:tcPr>
                <w:p w14:paraId="1286B1CA">
                  <w:pPr>
                    <w:pStyle w:val="13"/>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15.1</w:t>
                  </w:r>
                </w:p>
              </w:tc>
              <w:tc>
                <w:tcPr>
                  <w:tcW w:w="1431" w:type="pct"/>
                  <w:tcBorders>
                    <w:tl2br w:val="nil"/>
                    <w:tr2bl w:val="nil"/>
                  </w:tcBorders>
                  <w:noWrap w:val="0"/>
                  <w:vAlign w:val="center"/>
                </w:tcPr>
                <w:p w14:paraId="05935F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65</w:t>
                  </w:r>
                </w:p>
              </w:tc>
              <w:tc>
                <w:tcPr>
                  <w:tcW w:w="1506" w:type="pct"/>
                  <w:tcBorders>
                    <w:tl2br w:val="nil"/>
                    <w:tr2bl w:val="nil"/>
                  </w:tcBorders>
                  <w:noWrap w:val="0"/>
                  <w:vAlign w:val="center"/>
                </w:tcPr>
                <w:p w14:paraId="40C4A89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达标</w:t>
                  </w:r>
                </w:p>
              </w:tc>
            </w:tr>
            <w:tr w14:paraId="5405913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pct"/>
                  <w:tcBorders>
                    <w:tl2br w:val="nil"/>
                    <w:tr2bl w:val="nil"/>
                  </w:tcBorders>
                  <w:noWrap w:val="0"/>
                  <w:vAlign w:val="center"/>
                </w:tcPr>
                <w:p w14:paraId="3EB5B2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南</w:t>
                  </w:r>
                  <w:r>
                    <w:rPr>
                      <w:rFonts w:hint="eastAsia" w:ascii="Times New Roman" w:hAnsi="Times New Roman" w:eastAsia="宋体" w:cs="Times New Roman"/>
                      <w:color w:val="auto"/>
                      <w:kern w:val="2"/>
                      <w:sz w:val="21"/>
                      <w:szCs w:val="21"/>
                      <w:highlight w:val="none"/>
                      <w:lang w:val="en-US" w:eastAsia="zh-CN" w:bidi="ar-SA"/>
                    </w:rPr>
                    <w:t>侧</w:t>
                  </w:r>
                  <w:r>
                    <w:rPr>
                      <w:rFonts w:hint="default" w:ascii="Times New Roman" w:hAnsi="Times New Roman" w:eastAsia="宋体" w:cs="Times New Roman"/>
                      <w:color w:val="auto"/>
                      <w:kern w:val="2"/>
                      <w:sz w:val="21"/>
                      <w:szCs w:val="21"/>
                      <w:highlight w:val="none"/>
                      <w:lang w:val="en-US" w:eastAsia="zh-CN" w:bidi="ar-SA"/>
                    </w:rPr>
                    <w:t>厂界</w:t>
                  </w:r>
                </w:p>
              </w:tc>
              <w:tc>
                <w:tcPr>
                  <w:tcW w:w="1350" w:type="pct"/>
                  <w:tcBorders>
                    <w:tl2br w:val="nil"/>
                    <w:tr2bl w:val="nil"/>
                  </w:tcBorders>
                  <w:noWrap w:val="0"/>
                  <w:vAlign w:val="center"/>
                </w:tcPr>
                <w:p w14:paraId="5C59A494">
                  <w:pPr>
                    <w:pStyle w:val="13"/>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15.13</w:t>
                  </w:r>
                </w:p>
              </w:tc>
              <w:tc>
                <w:tcPr>
                  <w:tcW w:w="1431" w:type="pct"/>
                  <w:tcBorders>
                    <w:tl2br w:val="nil"/>
                    <w:tr2bl w:val="nil"/>
                  </w:tcBorders>
                  <w:noWrap w:val="0"/>
                  <w:vAlign w:val="center"/>
                </w:tcPr>
                <w:p w14:paraId="4733A83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65</w:t>
                  </w:r>
                </w:p>
              </w:tc>
              <w:tc>
                <w:tcPr>
                  <w:tcW w:w="1506" w:type="pct"/>
                  <w:tcBorders>
                    <w:tl2br w:val="nil"/>
                    <w:tr2bl w:val="nil"/>
                  </w:tcBorders>
                  <w:noWrap w:val="0"/>
                  <w:vAlign w:val="center"/>
                </w:tcPr>
                <w:p w14:paraId="4196881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达标</w:t>
                  </w:r>
                </w:p>
              </w:tc>
            </w:tr>
            <w:tr w14:paraId="6508EAF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pct"/>
                  <w:tcBorders>
                    <w:tl2br w:val="nil"/>
                    <w:tr2bl w:val="nil"/>
                  </w:tcBorders>
                  <w:noWrap w:val="0"/>
                  <w:vAlign w:val="center"/>
                </w:tcPr>
                <w:p w14:paraId="763241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西</w:t>
                  </w:r>
                  <w:r>
                    <w:rPr>
                      <w:rFonts w:hint="eastAsia" w:ascii="Times New Roman" w:hAnsi="Times New Roman" w:eastAsia="宋体" w:cs="Times New Roman"/>
                      <w:color w:val="auto"/>
                      <w:kern w:val="2"/>
                      <w:sz w:val="21"/>
                      <w:szCs w:val="21"/>
                      <w:highlight w:val="none"/>
                      <w:lang w:val="en-US" w:eastAsia="zh-CN" w:bidi="ar-SA"/>
                    </w:rPr>
                    <w:t>侧</w:t>
                  </w:r>
                  <w:r>
                    <w:rPr>
                      <w:rFonts w:hint="default" w:ascii="Times New Roman" w:hAnsi="Times New Roman" w:eastAsia="宋体" w:cs="Times New Roman"/>
                      <w:color w:val="auto"/>
                      <w:kern w:val="2"/>
                      <w:sz w:val="21"/>
                      <w:szCs w:val="21"/>
                      <w:highlight w:val="none"/>
                      <w:lang w:val="en-US" w:eastAsia="zh-CN" w:bidi="ar-SA"/>
                    </w:rPr>
                    <w:t>厂界</w:t>
                  </w:r>
                </w:p>
              </w:tc>
              <w:tc>
                <w:tcPr>
                  <w:tcW w:w="1350" w:type="pct"/>
                  <w:tcBorders>
                    <w:tl2br w:val="nil"/>
                    <w:tr2bl w:val="nil"/>
                  </w:tcBorders>
                  <w:noWrap w:val="0"/>
                  <w:vAlign w:val="center"/>
                </w:tcPr>
                <w:p w14:paraId="031EAF21">
                  <w:pPr>
                    <w:pStyle w:val="13"/>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50.83</w:t>
                  </w:r>
                </w:p>
              </w:tc>
              <w:tc>
                <w:tcPr>
                  <w:tcW w:w="1431" w:type="pct"/>
                  <w:tcBorders>
                    <w:tl2br w:val="nil"/>
                    <w:tr2bl w:val="nil"/>
                  </w:tcBorders>
                  <w:noWrap w:val="0"/>
                  <w:vAlign w:val="center"/>
                </w:tcPr>
                <w:p w14:paraId="4D6DF5C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65</w:t>
                  </w:r>
                </w:p>
              </w:tc>
              <w:tc>
                <w:tcPr>
                  <w:tcW w:w="1506" w:type="pct"/>
                  <w:tcBorders>
                    <w:tl2br w:val="nil"/>
                    <w:tr2bl w:val="nil"/>
                  </w:tcBorders>
                  <w:noWrap w:val="0"/>
                  <w:vAlign w:val="center"/>
                </w:tcPr>
                <w:p w14:paraId="7ABDEC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达标</w:t>
                  </w:r>
                </w:p>
              </w:tc>
            </w:tr>
            <w:tr w14:paraId="71D6AC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10" w:type="pct"/>
                  <w:tcBorders>
                    <w:tl2br w:val="nil"/>
                    <w:tr2bl w:val="nil"/>
                  </w:tcBorders>
                  <w:noWrap w:val="0"/>
                  <w:vAlign w:val="center"/>
                </w:tcPr>
                <w:p w14:paraId="1BE06C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北</w:t>
                  </w:r>
                  <w:r>
                    <w:rPr>
                      <w:rFonts w:hint="eastAsia" w:ascii="Times New Roman" w:hAnsi="Times New Roman" w:eastAsia="宋体" w:cs="Times New Roman"/>
                      <w:color w:val="auto"/>
                      <w:kern w:val="2"/>
                      <w:sz w:val="21"/>
                      <w:szCs w:val="21"/>
                      <w:highlight w:val="none"/>
                      <w:lang w:val="en-US" w:eastAsia="zh-CN" w:bidi="ar-SA"/>
                    </w:rPr>
                    <w:t>侧</w:t>
                  </w:r>
                  <w:r>
                    <w:rPr>
                      <w:rFonts w:hint="default" w:ascii="Times New Roman" w:hAnsi="Times New Roman" w:eastAsia="宋体" w:cs="Times New Roman"/>
                      <w:color w:val="auto"/>
                      <w:kern w:val="2"/>
                      <w:sz w:val="21"/>
                      <w:szCs w:val="21"/>
                      <w:highlight w:val="none"/>
                      <w:lang w:val="en-US" w:eastAsia="zh-CN" w:bidi="ar-SA"/>
                    </w:rPr>
                    <w:t>厂界</w:t>
                  </w:r>
                </w:p>
              </w:tc>
              <w:tc>
                <w:tcPr>
                  <w:tcW w:w="1350" w:type="pct"/>
                  <w:tcBorders>
                    <w:tl2br w:val="nil"/>
                    <w:tr2bl w:val="nil"/>
                  </w:tcBorders>
                  <w:noWrap w:val="0"/>
                  <w:vAlign w:val="center"/>
                </w:tcPr>
                <w:p w14:paraId="7FC2B359">
                  <w:pPr>
                    <w:pStyle w:val="13"/>
                    <w:keepNext w:val="0"/>
                    <w:keepLines w:val="0"/>
                    <w:pageBreakBefore w:val="0"/>
                    <w:suppressLineNumbers w:val="0"/>
                    <w:kinsoku/>
                    <w:wordWrap/>
                    <w:overflowPunct/>
                    <w:topLinePunct w:val="0"/>
                    <w:autoSpaceDE/>
                    <w:autoSpaceDN/>
                    <w:bidi w:val="0"/>
                    <w:adjustRightInd/>
                    <w:snapToGrid/>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31.3</w:t>
                  </w:r>
                </w:p>
              </w:tc>
              <w:tc>
                <w:tcPr>
                  <w:tcW w:w="1431" w:type="pct"/>
                  <w:tcBorders>
                    <w:tl2br w:val="nil"/>
                    <w:tr2bl w:val="nil"/>
                  </w:tcBorders>
                  <w:noWrap w:val="0"/>
                  <w:vAlign w:val="center"/>
                </w:tcPr>
                <w:p w14:paraId="10A9EAF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65</w:t>
                  </w:r>
                </w:p>
              </w:tc>
              <w:tc>
                <w:tcPr>
                  <w:tcW w:w="1506" w:type="pct"/>
                  <w:tcBorders>
                    <w:tl2br w:val="nil"/>
                    <w:tr2bl w:val="nil"/>
                  </w:tcBorders>
                  <w:noWrap w:val="0"/>
                  <w:vAlign w:val="center"/>
                </w:tcPr>
                <w:p w14:paraId="43F9317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ind w:left="0" w:right="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达标</w:t>
                  </w:r>
                </w:p>
              </w:tc>
            </w:tr>
          </w:tbl>
          <w:p w14:paraId="27631AFA">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本项目夜间不进行生产，根据</w:t>
            </w:r>
            <w:r>
              <w:rPr>
                <w:rFonts w:hint="eastAsia" w:ascii="Times New Roman" w:hAnsi="Times New Roman" w:eastAsia="宋体" w:cs="Times New Roman"/>
                <w:color w:val="auto"/>
                <w:kern w:val="2"/>
                <w:sz w:val="24"/>
                <w:szCs w:val="24"/>
                <w:highlight w:val="none"/>
                <w:lang w:val="en-US" w:eastAsia="zh-CN" w:bidi="ar-SA"/>
              </w:rPr>
              <w:t>噪声预测结果可知，</w:t>
            </w:r>
            <w:r>
              <w:rPr>
                <w:rFonts w:hint="default" w:ascii="Times New Roman" w:hAnsi="Times New Roman" w:eastAsia="宋体" w:cs="Times New Roman"/>
                <w:color w:val="auto"/>
                <w:kern w:val="2"/>
                <w:sz w:val="24"/>
                <w:szCs w:val="24"/>
                <w:highlight w:val="none"/>
                <w:lang w:val="en-US" w:eastAsia="zh-CN" w:bidi="ar-SA"/>
              </w:rPr>
              <w:t>厂界昼间噪声预测值均满足《工业企业厂界环境噪声排放标准》（GB12348-2008）中3类标准限值，各厂界噪声达标排放。</w:t>
            </w:r>
          </w:p>
          <w:p w14:paraId="30D3F9A8">
            <w:pPr>
              <w:pStyle w:val="73"/>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建设单位选用低噪声设备、基础减振，风机设置隔声罩、厂房隔声等降噪措施后，将使噪声源的噪声影响大大降低。运营期噪声源经过合理的降噪措施处理后，不改变厂界及区域声环境功能现状，对周围声环境影响较小。</w:t>
            </w:r>
          </w:p>
          <w:p w14:paraId="030DE80A">
            <w:pPr>
              <w:pStyle w:val="73"/>
              <w:keepNext w:val="0"/>
              <w:keepLines w:val="0"/>
              <w:suppressLineNumbers w:val="0"/>
              <w:spacing w:before="0" w:beforeAutospacing="0" w:after="0" w:afterAutospacing="0" w:line="360" w:lineRule="auto"/>
              <w:ind w:left="0" w:right="0" w:firstLine="482" w:firstLineChars="200"/>
              <w:jc w:val="left"/>
              <w:rPr>
                <w:rFonts w:hint="eastAsia" w:ascii="Times New Roman" w:hAnsi="Times New Roman" w:eastAsia="宋体" w:cs="Times New Roman"/>
                <w:b/>
                <w:bCs/>
                <w:color w:val="auto"/>
                <w:kern w:val="2"/>
                <w:sz w:val="24"/>
                <w:szCs w:val="24"/>
                <w:highlight w:val="none"/>
                <w:lang w:val="en-US" w:eastAsia="zh-CN" w:bidi="ar-SA"/>
              </w:rPr>
            </w:pPr>
            <w:r>
              <w:rPr>
                <w:rFonts w:hint="eastAsia" w:cs="Times New Roman"/>
                <w:b/>
                <w:bCs/>
                <w:color w:val="auto"/>
                <w:kern w:val="2"/>
                <w:sz w:val="24"/>
                <w:szCs w:val="24"/>
                <w:highlight w:val="none"/>
                <w:lang w:val="en-US" w:eastAsia="zh-CN" w:bidi="ar-SA"/>
              </w:rPr>
              <w:t xml:space="preserve">3.4 </w:t>
            </w:r>
            <w:r>
              <w:rPr>
                <w:rFonts w:hint="eastAsia" w:ascii="Times New Roman" w:hAnsi="Times New Roman" w:eastAsia="宋体" w:cs="Times New Roman"/>
                <w:b/>
                <w:bCs/>
                <w:color w:val="auto"/>
                <w:kern w:val="2"/>
                <w:sz w:val="24"/>
                <w:szCs w:val="24"/>
                <w:highlight w:val="none"/>
                <w:lang w:val="en-US" w:eastAsia="zh-CN" w:bidi="ar-SA"/>
              </w:rPr>
              <w:t>监测计划</w:t>
            </w:r>
          </w:p>
          <w:p w14:paraId="1DEF4B35">
            <w:pPr>
              <w:pStyle w:val="73"/>
              <w:keepNext w:val="0"/>
              <w:keepLines w:val="0"/>
              <w:suppressLineNumbers w:val="0"/>
              <w:spacing w:before="0" w:beforeAutospacing="0" w:after="0" w:afterAutospacing="0" w:line="360" w:lineRule="auto"/>
              <w:ind w:left="0" w:right="0" w:firstLine="480" w:firstLineChars="200"/>
              <w:outlineLvl w:val="9"/>
              <w:rPr>
                <w:rFonts w:hint="eastAsia"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根据《排污单位自行监测技术指南 总则》（HJ819-2017）、《排污许可证申请与核发技术规范 工业噪声》（HJ1301-2023），制定噪声监测计划，具体见下表。</w:t>
            </w:r>
          </w:p>
          <w:p w14:paraId="0518009A">
            <w:pPr>
              <w:keepNext w:val="0"/>
              <w:keepLines w:val="0"/>
              <w:suppressLineNumbers w:val="0"/>
              <w:tabs>
                <w:tab w:val="left" w:pos="2722"/>
                <w:tab w:val="center" w:pos="4208"/>
              </w:tabs>
              <w:adjustRightInd w:val="0"/>
              <w:snapToGrid w:val="0"/>
              <w:spacing w:before="0" w:beforeAutospacing="0" w:after="0" w:afterAutospacing="0" w:line="360" w:lineRule="auto"/>
              <w:ind w:left="0" w:right="0"/>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表4-</w:t>
            </w:r>
            <w:r>
              <w:rPr>
                <w:rFonts w:hint="eastAsia" w:cs="Times New Roman"/>
                <w:b/>
                <w:bCs/>
                <w:color w:val="auto"/>
                <w:kern w:val="2"/>
                <w:sz w:val="21"/>
                <w:szCs w:val="21"/>
                <w:highlight w:val="none"/>
                <w:lang w:val="en-US" w:eastAsia="zh-CN" w:bidi="ar-SA"/>
              </w:rPr>
              <w:t>23</w:t>
            </w:r>
            <w:r>
              <w:rPr>
                <w:rFonts w:hint="eastAsia" w:ascii="Times New Roman" w:hAnsi="Times New Roman" w:eastAsia="宋体" w:cs="Times New Roman"/>
                <w:b/>
                <w:bCs/>
                <w:color w:val="auto"/>
                <w:kern w:val="2"/>
                <w:sz w:val="21"/>
                <w:szCs w:val="21"/>
                <w:highlight w:val="none"/>
                <w:lang w:val="en-US" w:eastAsia="zh-CN" w:bidi="ar-SA"/>
              </w:rPr>
              <w:t xml:space="preserve">  噪声</w:t>
            </w:r>
            <w:r>
              <w:rPr>
                <w:rFonts w:hint="default" w:ascii="Times New Roman" w:hAnsi="Times New Roman" w:eastAsia="宋体" w:cs="Times New Roman"/>
                <w:b/>
                <w:bCs/>
                <w:color w:val="auto"/>
                <w:kern w:val="2"/>
                <w:sz w:val="21"/>
                <w:szCs w:val="21"/>
                <w:highlight w:val="none"/>
                <w:lang w:val="en-US" w:eastAsia="zh-CN" w:bidi="ar-SA"/>
              </w:rPr>
              <w:t>监测计划一览表</w:t>
            </w:r>
          </w:p>
          <w:tbl>
            <w:tblPr>
              <w:tblStyle w:val="26"/>
              <w:tblW w:w="4998"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28" w:type="dxa"/>
                <w:bottom w:w="0" w:type="dxa"/>
                <w:right w:w="28" w:type="dxa"/>
              </w:tblCellMar>
            </w:tblPr>
            <w:tblGrid>
              <w:gridCol w:w="867"/>
              <w:gridCol w:w="1755"/>
              <w:gridCol w:w="1641"/>
              <w:gridCol w:w="941"/>
              <w:gridCol w:w="3908"/>
            </w:tblGrid>
            <w:tr w14:paraId="1C66A7D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140" w:hRule="atLeast"/>
                <w:jc w:val="center"/>
              </w:trPr>
              <w:tc>
                <w:tcPr>
                  <w:tcW w:w="476" w:type="pct"/>
                  <w:tcBorders>
                    <w:tl2br w:val="nil"/>
                    <w:tr2bl w:val="nil"/>
                  </w:tcBorders>
                  <w:noWrap w:val="0"/>
                  <w:vAlign w:val="center"/>
                </w:tcPr>
                <w:p w14:paraId="366B9C5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类别</w:t>
                  </w:r>
                </w:p>
              </w:tc>
              <w:tc>
                <w:tcPr>
                  <w:tcW w:w="963" w:type="pct"/>
                  <w:tcBorders>
                    <w:tl2br w:val="nil"/>
                    <w:tr2bl w:val="nil"/>
                  </w:tcBorders>
                  <w:noWrap w:val="0"/>
                  <w:vAlign w:val="center"/>
                </w:tcPr>
                <w:p w14:paraId="192C512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监测点</w:t>
                  </w:r>
                </w:p>
              </w:tc>
              <w:tc>
                <w:tcPr>
                  <w:tcW w:w="900" w:type="pct"/>
                  <w:tcBorders>
                    <w:tl2br w:val="nil"/>
                    <w:tr2bl w:val="nil"/>
                  </w:tcBorders>
                  <w:noWrap w:val="0"/>
                  <w:vAlign w:val="center"/>
                </w:tcPr>
                <w:p w14:paraId="1664B36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监测项目</w:t>
                  </w:r>
                </w:p>
              </w:tc>
              <w:tc>
                <w:tcPr>
                  <w:tcW w:w="516" w:type="pct"/>
                  <w:tcBorders>
                    <w:tl2br w:val="nil"/>
                    <w:tr2bl w:val="nil"/>
                  </w:tcBorders>
                  <w:noWrap w:val="0"/>
                  <w:vAlign w:val="center"/>
                </w:tcPr>
                <w:p w14:paraId="2178B528">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频次</w:t>
                  </w:r>
                </w:p>
              </w:tc>
              <w:tc>
                <w:tcPr>
                  <w:tcW w:w="2144" w:type="pct"/>
                  <w:tcBorders>
                    <w:tl2br w:val="nil"/>
                    <w:tr2bl w:val="nil"/>
                  </w:tcBorders>
                  <w:noWrap w:val="0"/>
                  <w:vAlign w:val="center"/>
                </w:tcPr>
                <w:p w14:paraId="403D90C2">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评价标准</w:t>
                  </w:r>
                </w:p>
              </w:tc>
            </w:tr>
            <w:tr w14:paraId="3D723E0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28" w:type="dxa"/>
                  <w:bottom w:w="0" w:type="dxa"/>
                  <w:right w:w="28" w:type="dxa"/>
                </w:tblCellMar>
              </w:tblPrEx>
              <w:trPr>
                <w:trHeight w:val="397" w:hRule="atLeast"/>
                <w:jc w:val="center"/>
              </w:trPr>
              <w:tc>
                <w:tcPr>
                  <w:tcW w:w="476" w:type="pct"/>
                  <w:tcBorders>
                    <w:tl2br w:val="nil"/>
                    <w:tr2bl w:val="nil"/>
                  </w:tcBorders>
                  <w:noWrap w:val="0"/>
                  <w:vAlign w:val="center"/>
                </w:tcPr>
                <w:p w14:paraId="6E13E52E">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噪声</w:t>
                  </w:r>
                </w:p>
              </w:tc>
              <w:tc>
                <w:tcPr>
                  <w:tcW w:w="963" w:type="pct"/>
                  <w:tcBorders>
                    <w:tl2br w:val="nil"/>
                    <w:tr2bl w:val="nil"/>
                  </w:tcBorders>
                  <w:noWrap w:val="0"/>
                  <w:vAlign w:val="center"/>
                </w:tcPr>
                <w:p w14:paraId="08AACF10">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厂界四周</w:t>
                  </w:r>
                </w:p>
              </w:tc>
              <w:tc>
                <w:tcPr>
                  <w:tcW w:w="900" w:type="pct"/>
                  <w:tcBorders>
                    <w:tl2br w:val="nil"/>
                    <w:tr2bl w:val="nil"/>
                  </w:tcBorders>
                  <w:noWrap w:val="0"/>
                  <w:vAlign w:val="center"/>
                </w:tcPr>
                <w:p w14:paraId="1AC2A716">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等效连续A声级</w:t>
                  </w:r>
                </w:p>
              </w:tc>
              <w:tc>
                <w:tcPr>
                  <w:tcW w:w="516" w:type="pct"/>
                  <w:tcBorders>
                    <w:tl2br w:val="nil"/>
                    <w:tr2bl w:val="nil"/>
                  </w:tcBorders>
                  <w:noWrap w:val="0"/>
                  <w:vAlign w:val="center"/>
                </w:tcPr>
                <w:p w14:paraId="6E514DF4">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1次/季度</w:t>
                  </w:r>
                </w:p>
              </w:tc>
              <w:tc>
                <w:tcPr>
                  <w:tcW w:w="2144" w:type="pct"/>
                  <w:tcBorders>
                    <w:tl2br w:val="nil"/>
                    <w:tr2bl w:val="nil"/>
                  </w:tcBorders>
                  <w:noWrap w:val="0"/>
                  <w:vAlign w:val="center"/>
                </w:tcPr>
                <w:p w14:paraId="101010D3">
                  <w:pPr>
                    <w:keepNext w:val="0"/>
                    <w:keepLines w:val="0"/>
                    <w:suppressLineNumbers w:val="0"/>
                    <w:adjustRightInd w:val="0"/>
                    <w:snapToGri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《工业企业厂界环境噪声排放标准》（GB12348-2008）</w:t>
                  </w:r>
                  <w:r>
                    <w:rPr>
                      <w:rFonts w:hint="eastAsia" w:cs="Times New Roman"/>
                      <w:color w:val="auto"/>
                      <w:kern w:val="2"/>
                      <w:sz w:val="21"/>
                      <w:szCs w:val="21"/>
                      <w:highlight w:val="none"/>
                      <w:lang w:val="en-US" w:eastAsia="zh-CN" w:bidi="ar-SA"/>
                    </w:rPr>
                    <w:t>3</w:t>
                  </w:r>
                  <w:r>
                    <w:rPr>
                      <w:rFonts w:hint="default" w:ascii="Times New Roman" w:hAnsi="Times New Roman" w:eastAsia="宋体" w:cs="Times New Roman"/>
                      <w:color w:val="auto"/>
                      <w:kern w:val="2"/>
                      <w:sz w:val="21"/>
                      <w:szCs w:val="21"/>
                      <w:highlight w:val="none"/>
                      <w:lang w:val="en-US" w:eastAsia="zh-CN" w:bidi="ar-SA"/>
                    </w:rPr>
                    <w:t>类标准</w:t>
                  </w:r>
                </w:p>
              </w:tc>
            </w:tr>
          </w:tbl>
          <w:p w14:paraId="15683681">
            <w:pPr>
              <w:keepNext w:val="0"/>
              <w:keepLines w:val="0"/>
              <w:widowControl/>
              <w:suppressLineNumbers w:val="0"/>
              <w:spacing w:before="0" w:beforeAutospacing="0" w:after="0" w:afterAutospacing="0" w:line="360" w:lineRule="auto"/>
              <w:ind w:left="0" w:right="0" w:firstLine="482" w:firstLineChars="200"/>
              <w:rPr>
                <w:rFonts w:hint="eastAsia"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4</w:t>
            </w:r>
            <w:r>
              <w:rPr>
                <w:rFonts w:hint="eastAsia" w:cs="Times New Roman"/>
                <w:b/>
                <w:bCs/>
                <w:color w:val="auto"/>
                <w:kern w:val="2"/>
                <w:sz w:val="24"/>
                <w:szCs w:val="24"/>
                <w:highlight w:val="none"/>
                <w:lang w:val="en-US" w:eastAsia="zh-CN" w:bidi="ar-SA"/>
              </w:rPr>
              <w:t xml:space="preserve"> </w:t>
            </w:r>
            <w:r>
              <w:rPr>
                <w:rFonts w:hint="eastAsia" w:ascii="Times New Roman" w:hAnsi="Times New Roman" w:eastAsia="宋体" w:cs="Times New Roman"/>
                <w:b/>
                <w:bCs/>
                <w:color w:val="auto"/>
                <w:kern w:val="2"/>
                <w:sz w:val="24"/>
                <w:szCs w:val="24"/>
                <w:highlight w:val="none"/>
                <w:lang w:val="en-US" w:eastAsia="zh-CN" w:bidi="ar-SA"/>
              </w:rPr>
              <w:t>固体废物</w:t>
            </w:r>
          </w:p>
          <w:p w14:paraId="20518357">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4.1 固体废物产生量核算</w:t>
            </w:r>
          </w:p>
          <w:p w14:paraId="7CE554BC">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本项目固体废物主要</w:t>
            </w:r>
            <w:r>
              <w:rPr>
                <w:rFonts w:hint="eastAsia" w:cs="Times New Roman"/>
                <w:color w:val="auto"/>
                <w:sz w:val="24"/>
                <w:szCs w:val="24"/>
                <w:highlight w:val="none"/>
                <w:lang w:eastAsia="zh-CN"/>
              </w:rPr>
              <w:t>分为</w:t>
            </w:r>
            <w:r>
              <w:rPr>
                <w:rFonts w:hint="default" w:ascii="Times New Roman" w:hAnsi="Times New Roman" w:eastAsia="宋体" w:cs="Times New Roman"/>
                <w:color w:val="auto"/>
                <w:sz w:val="24"/>
                <w:szCs w:val="24"/>
                <w:highlight w:val="none"/>
              </w:rPr>
              <w:t>三类，分别为一般工业固体废物、危险废物和生活垃圾。</w:t>
            </w:r>
          </w:p>
          <w:p w14:paraId="37320887">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一般工业固体废物分为可回收固体废物和不可利用固体废物，可回收固体废物包括钢材、有色金属、塑料、橡胶、玻璃以及可利用零部件；不可回收固体废物包括除尘灰、</w:t>
            </w:r>
            <w:r>
              <w:rPr>
                <w:rFonts w:hint="eastAsia" w:cs="Times New Roman"/>
                <w:color w:val="auto"/>
                <w:sz w:val="24"/>
                <w:szCs w:val="24"/>
                <w:highlight w:val="none"/>
                <w:lang w:val="en-US" w:eastAsia="zh-CN"/>
              </w:rPr>
              <w:t>废布袋</w:t>
            </w:r>
            <w:r>
              <w:rPr>
                <w:rFonts w:hint="default" w:ascii="Times New Roman" w:hAnsi="Times New Roman" w:eastAsia="宋体" w:cs="Times New Roman"/>
                <w:color w:val="auto"/>
                <w:sz w:val="24"/>
                <w:szCs w:val="24"/>
                <w:highlight w:val="none"/>
                <w:lang w:val="en-US" w:eastAsia="zh-CN"/>
              </w:rPr>
              <w:t>、废弃车用电子零部件、废安全气囊、废尼龙布（含废海绵、废皮革）、废液化气罐、其它不可利用物。</w:t>
            </w:r>
          </w:p>
          <w:p w14:paraId="2837602A">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危险废物包括含有机溶剂废物（挡风玻璃洗涤液、废制冷剂、防冻液）、废矿物油与含矿物油废物（废燃料油、发动机油、变速器/齿轮箱油、动力转向油、制动液）、废铅蓄电池、废动力电池</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废电路板及元器件、废尾气催化剂、废机油滤清器、废油箱、废活性炭、含油手套抹布、污水处理设施污泥。</w:t>
            </w:r>
          </w:p>
          <w:p w14:paraId="1D31C04A">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rPr>
              <w:t>生活垃圾</w:t>
            </w:r>
            <w:r>
              <w:rPr>
                <w:rFonts w:hint="default" w:ascii="Times New Roman" w:hAnsi="Times New Roman" w:eastAsia="宋体" w:cs="Times New Roman"/>
                <w:color w:val="auto"/>
                <w:sz w:val="24"/>
                <w:szCs w:val="24"/>
                <w:highlight w:val="none"/>
                <w:lang w:eastAsia="zh-CN"/>
              </w:rPr>
              <w:t>为职工生活垃圾。</w:t>
            </w:r>
          </w:p>
          <w:p w14:paraId="5CE7E6FC">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 xml:space="preserve">（1）一般工业固废 </w:t>
            </w:r>
          </w:p>
          <w:p w14:paraId="3195615C">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①除尘灰</w:t>
            </w:r>
          </w:p>
          <w:p w14:paraId="28CDA3E3">
            <w:pPr>
              <w:keepNext w:val="0"/>
              <w:keepLines w:val="0"/>
              <w:pageBreakBefore w:val="0"/>
              <w:widowControl w:val="0"/>
              <w:suppressLineNumbers w:val="0"/>
              <w:kinsoku/>
              <w:overflowPunct/>
              <w:topLinePunct w:val="0"/>
              <w:bidi w:val="0"/>
              <w:adjustRightInd w:val="0"/>
              <w:snapToGrid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本项目拆解工序产生的粉尘采用布袋除尘器处理，处理产生的除尘灰</w:t>
            </w:r>
            <w:r>
              <w:rPr>
                <w:rFonts w:hint="eastAsia" w:cs="Times New Roman"/>
                <w:color w:val="auto"/>
                <w:sz w:val="24"/>
                <w:szCs w:val="24"/>
                <w:highlight w:val="none"/>
                <w:lang w:val="en-US" w:eastAsia="zh-CN"/>
              </w:rPr>
              <w:t>约</w:t>
            </w:r>
            <w:r>
              <w:rPr>
                <w:rFonts w:hint="default" w:ascii="Times New Roman" w:hAnsi="Times New Roman" w:eastAsia="宋体" w:cs="Times New Roman"/>
                <w:color w:val="auto"/>
                <w:sz w:val="24"/>
                <w:szCs w:val="24"/>
                <w:highlight w:val="none"/>
                <w:lang w:val="en-US" w:eastAsia="zh-CN"/>
              </w:rPr>
              <w:t>为</w:t>
            </w:r>
            <w:r>
              <w:rPr>
                <w:rFonts w:hint="eastAsia" w:cs="Times New Roman"/>
                <w:color w:val="auto"/>
                <w:sz w:val="24"/>
                <w:szCs w:val="24"/>
                <w:highlight w:val="none"/>
                <w:lang w:val="en-US" w:eastAsia="zh-CN"/>
              </w:rPr>
              <w:t>0.073</w:t>
            </w:r>
            <w:r>
              <w:rPr>
                <w:rFonts w:hint="default" w:ascii="Times New Roman" w:hAnsi="Times New Roman" w:eastAsia="宋体" w:cs="Times New Roman"/>
                <w:color w:val="auto"/>
                <w:sz w:val="24"/>
                <w:szCs w:val="24"/>
                <w:highlight w:val="none"/>
                <w:lang w:val="en-US" w:eastAsia="zh-CN"/>
              </w:rPr>
              <w:t>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公告2024年第4号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、《一般固体废物分类与代码》（GB/T39198-2020），废物代码为900-099-S59。交由具有相应处理能力或经营范围的单位利用和处置。</w:t>
            </w:r>
          </w:p>
          <w:p w14:paraId="65709A57">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②废弃车用电子零部件</w:t>
            </w:r>
          </w:p>
          <w:p w14:paraId="75DD4324">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本项目拆解过程中产生的废弃车用电子零部件产生量为</w:t>
            </w:r>
            <w:r>
              <w:rPr>
                <w:rFonts w:hint="eastAsia" w:cs="Times New Roman"/>
                <w:color w:val="auto"/>
                <w:sz w:val="24"/>
                <w:szCs w:val="24"/>
                <w:highlight w:val="none"/>
                <w:lang w:val="en-US" w:eastAsia="zh-CN"/>
              </w:rPr>
              <w:t>93.25</w:t>
            </w:r>
            <w:r>
              <w:rPr>
                <w:rFonts w:hint="default" w:ascii="Times New Roman" w:hAnsi="Times New Roman" w:eastAsia="宋体" w:cs="Times New Roman"/>
                <w:color w:val="auto"/>
                <w:sz w:val="24"/>
                <w:szCs w:val="24"/>
                <w:highlight w:val="none"/>
                <w:lang w:val="en-US" w:eastAsia="zh-CN"/>
              </w:rPr>
              <w:t>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公告2024年第4号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、《一般固体废物分类与代码》（GB/T39198-2020），废物代码为900-008-S17。交由有废弃电器电子产品处理资格企业处理。</w:t>
            </w:r>
          </w:p>
          <w:p w14:paraId="2A84CF11">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③废安全气囊</w:t>
            </w:r>
          </w:p>
          <w:p w14:paraId="2BC984CA">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本项目拆解过程中产生的废安全气囊产生量为</w:t>
            </w:r>
            <w:r>
              <w:rPr>
                <w:rFonts w:hint="eastAsia" w:cs="Times New Roman"/>
                <w:color w:val="auto"/>
                <w:sz w:val="24"/>
                <w:szCs w:val="24"/>
                <w:highlight w:val="none"/>
                <w:lang w:val="en-US" w:eastAsia="zh-CN"/>
              </w:rPr>
              <w:t>16</w:t>
            </w:r>
            <w:r>
              <w:rPr>
                <w:rFonts w:hint="default" w:ascii="Times New Roman" w:hAnsi="Times New Roman" w:eastAsia="宋体" w:cs="Times New Roman"/>
                <w:color w:val="auto"/>
                <w:sz w:val="24"/>
                <w:szCs w:val="24"/>
                <w:highlight w:val="none"/>
                <w:lang w:val="en-US" w:eastAsia="zh-CN"/>
              </w:rPr>
              <w:t>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公告2024年第4号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、《一般固体废物分类与代码》（GB/T39198-2020），废物代码为900-007-S17。交由具有相应处理能力或经营范围的单位利用和处置。</w:t>
            </w:r>
          </w:p>
          <w:p w14:paraId="2F458466">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④</w:t>
            </w:r>
            <w:r>
              <w:rPr>
                <w:rFonts w:hint="default" w:ascii="Times New Roman" w:hAnsi="Times New Roman" w:eastAsia="宋体" w:cs="Times New Roman"/>
                <w:color w:val="auto"/>
                <w:sz w:val="24"/>
                <w:szCs w:val="24"/>
                <w:highlight w:val="none"/>
                <w:lang w:val="en-US" w:eastAsia="zh-CN"/>
              </w:rPr>
              <w:t>废尼龙布（含废海绵、废皮革）</w:t>
            </w:r>
          </w:p>
          <w:p w14:paraId="38DA4315">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本项目拆解过程中产生的废尼龙布（含废海绵、废皮革）产生量为</w:t>
            </w:r>
            <w:r>
              <w:rPr>
                <w:rFonts w:hint="eastAsia" w:cs="Times New Roman"/>
                <w:color w:val="auto"/>
                <w:sz w:val="24"/>
                <w:szCs w:val="24"/>
                <w:highlight w:val="none"/>
                <w:lang w:val="en-US" w:eastAsia="zh-CN"/>
              </w:rPr>
              <w:t>525.5</w:t>
            </w:r>
            <w:r>
              <w:rPr>
                <w:rFonts w:hint="default" w:ascii="Times New Roman" w:hAnsi="Times New Roman" w:eastAsia="宋体" w:cs="Times New Roman"/>
                <w:color w:val="auto"/>
                <w:sz w:val="24"/>
                <w:szCs w:val="24"/>
                <w:highlight w:val="none"/>
                <w:lang w:val="en-US" w:eastAsia="zh-CN"/>
              </w:rPr>
              <w:t>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公告2024年第4号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、《一般固体废物分类与代码》（GB/T39198-2020），废物代码为900-011-S17。交由具有相应处理能力或经营范围的单位利用和处置。</w:t>
            </w:r>
          </w:p>
          <w:p w14:paraId="4E241CF2">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⑤</w:t>
            </w:r>
            <w:r>
              <w:rPr>
                <w:rFonts w:hint="default" w:ascii="Times New Roman" w:hAnsi="Times New Roman" w:eastAsia="宋体" w:cs="Times New Roman"/>
                <w:color w:val="auto"/>
                <w:sz w:val="24"/>
                <w:szCs w:val="24"/>
                <w:highlight w:val="none"/>
                <w:lang w:val="en-US" w:eastAsia="zh-CN"/>
              </w:rPr>
              <w:t>废液化气罐</w:t>
            </w:r>
          </w:p>
          <w:p w14:paraId="0547D7E5">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本项目拆解过程中产生的废液化气罐产生量为</w:t>
            </w:r>
            <w:r>
              <w:rPr>
                <w:rFonts w:hint="eastAsia" w:ascii="Times New Roman" w:hAnsi="Times New Roman" w:eastAsia="宋体" w:cs="Times New Roman"/>
                <w:color w:val="auto"/>
                <w:sz w:val="24"/>
                <w:szCs w:val="24"/>
                <w:highlight w:val="none"/>
                <w:lang w:val="en-US" w:eastAsia="zh-CN"/>
              </w:rPr>
              <w:t>49.5</w:t>
            </w:r>
            <w:r>
              <w:rPr>
                <w:rFonts w:hint="default" w:ascii="Times New Roman" w:hAnsi="Times New Roman" w:eastAsia="宋体" w:cs="Times New Roman"/>
                <w:color w:val="auto"/>
                <w:sz w:val="24"/>
                <w:szCs w:val="24"/>
                <w:highlight w:val="none"/>
                <w:lang w:val="en-US" w:eastAsia="zh-CN"/>
              </w:rPr>
              <w:t>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公告2024年第4号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、《一般固体废物分类与代码》（GB/T39198-2020），废物代码为900-013-S17。交由具有相应资质的单位利用和处置。</w:t>
            </w:r>
          </w:p>
          <w:p w14:paraId="5BB721CD">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⑥</w:t>
            </w:r>
            <w:r>
              <w:rPr>
                <w:rFonts w:hint="default" w:ascii="Times New Roman" w:hAnsi="Times New Roman" w:eastAsia="宋体" w:cs="Times New Roman"/>
                <w:color w:val="auto"/>
                <w:sz w:val="24"/>
                <w:szCs w:val="24"/>
                <w:highlight w:val="none"/>
                <w:lang w:val="en-US" w:eastAsia="zh-CN"/>
              </w:rPr>
              <w:t>其它不可利用物。</w:t>
            </w:r>
          </w:p>
          <w:p w14:paraId="066DEBF9">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本项目拆解过程中产生的其它不可利用物产生量为</w:t>
            </w:r>
            <w:r>
              <w:rPr>
                <w:rFonts w:hint="eastAsia"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lang w:val="en-US" w:eastAsia="zh-CN"/>
              </w:rPr>
              <w:t>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公告2024年第4号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、《一般固体废物分类与代码》（GB/T39198-2020），废物代码为900-099-S59。交由具有相应处理能力或经营范围的单位利用和处置。</w:t>
            </w:r>
          </w:p>
          <w:p w14:paraId="3408A386">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⑦</w:t>
            </w:r>
            <w:r>
              <w:rPr>
                <w:rFonts w:hint="default" w:ascii="Times New Roman" w:hAnsi="Times New Roman" w:eastAsia="宋体" w:cs="Times New Roman"/>
                <w:color w:val="auto"/>
                <w:sz w:val="24"/>
                <w:szCs w:val="24"/>
                <w:highlight w:val="none"/>
                <w:lang w:val="en-US" w:eastAsia="zh-CN"/>
              </w:rPr>
              <w:t>废布袋</w:t>
            </w:r>
          </w:p>
          <w:p w14:paraId="6461DC88">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本项目颗粒物治理采用布袋除尘器，布袋定期更换，产生的废布袋量为0.</w:t>
            </w:r>
            <w:r>
              <w:rPr>
                <w:rFonts w:hint="eastAsia" w:cs="Times New Roman"/>
                <w:color w:val="auto"/>
                <w:sz w:val="24"/>
                <w:szCs w:val="24"/>
                <w:highlight w:val="none"/>
                <w:lang w:val="en-US" w:eastAsia="zh-CN"/>
              </w:rPr>
              <w:t>0</w:t>
            </w:r>
            <w:r>
              <w:rPr>
                <w:rFonts w:hint="default" w:ascii="Times New Roman" w:hAnsi="Times New Roman" w:eastAsia="宋体" w:cs="Times New Roman"/>
                <w:color w:val="auto"/>
                <w:sz w:val="24"/>
                <w:szCs w:val="24"/>
                <w:highlight w:val="none"/>
                <w:lang w:val="en-US" w:eastAsia="zh-CN"/>
              </w:rPr>
              <w:t>1t/a。对照《固体废物分类与代码目录》</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公告 2024 年第 4 号</w:t>
            </w:r>
            <w:r>
              <w:rPr>
                <w:rFonts w:hint="eastAsia"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 xml:space="preserve"> 、《一般固体废物分类与代码》（GB/T39198-2020），代码为：900-009-S59 。定期更换，暂存于一般固废暂存处，由厂家回收处置。</w:t>
            </w:r>
          </w:p>
          <w:p w14:paraId="692C2B9E">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⑧</w:t>
            </w:r>
            <w:r>
              <w:rPr>
                <w:rFonts w:hint="eastAsia" w:ascii="Times New Roman" w:hAnsi="Times New Roman" w:eastAsia="宋体" w:cs="Times New Roman"/>
                <w:color w:val="auto"/>
                <w:sz w:val="24"/>
                <w:szCs w:val="24"/>
                <w:highlight w:val="none"/>
                <w:lang w:val="en-US" w:eastAsia="zh-CN"/>
              </w:rPr>
              <w:t>隔油渣</w:t>
            </w:r>
          </w:p>
          <w:p w14:paraId="3AC693CF">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本项目食堂废水经隔油池处理，隔油池定期清理，产生隔油渣量为0.001t/a。对照《固体废物分类与代码目录》</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公告 2024 年第 4 号</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 xml:space="preserve"> 、《一般固体废物分类与代码》（GB/T39198-2020），代码为：900-099-S64 。由环卫部门统一清运处理。</w:t>
            </w:r>
          </w:p>
          <w:p w14:paraId="001436FE">
            <w:pPr>
              <w:keepNext w:val="0"/>
              <w:keepLines w:val="0"/>
              <w:pageBreakBefore w:val="0"/>
              <w:widowControl w:val="0"/>
              <w:numPr>
                <w:ilvl w:val="0"/>
                <w:numId w:val="6"/>
              </w:numPr>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危险废物</w:t>
            </w:r>
          </w:p>
          <w:p w14:paraId="28C959A6">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①含有机溶剂废物（挡风玻璃洗涤液、防冻液、</w:t>
            </w:r>
            <w:r>
              <w:rPr>
                <w:rFonts w:hint="eastAsia" w:cs="Times New Roman"/>
                <w:color w:val="auto"/>
                <w:sz w:val="24"/>
                <w:szCs w:val="24"/>
                <w:highlight w:val="none"/>
                <w:lang w:val="en-US" w:eastAsia="zh-CN"/>
              </w:rPr>
              <w:t>废制冷剂</w:t>
            </w:r>
            <w:r>
              <w:rPr>
                <w:rFonts w:hint="default" w:ascii="Times New Roman" w:hAnsi="Times New Roman" w:eastAsia="宋体" w:cs="Times New Roman"/>
                <w:color w:val="auto"/>
                <w:sz w:val="24"/>
                <w:szCs w:val="24"/>
                <w:highlight w:val="none"/>
                <w:lang w:val="en-US" w:eastAsia="zh-CN"/>
              </w:rPr>
              <w:t>）</w:t>
            </w:r>
          </w:p>
          <w:p w14:paraId="3C9C4499">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本项目拆解过程中产生的含有机溶剂废物产生量为</w:t>
            </w:r>
            <w:r>
              <w:rPr>
                <w:rFonts w:hint="eastAsia" w:cs="Times New Roman"/>
                <w:color w:val="auto"/>
                <w:sz w:val="24"/>
                <w:szCs w:val="24"/>
                <w:highlight w:val="none"/>
                <w:lang w:val="en-US" w:eastAsia="zh-CN"/>
              </w:rPr>
              <w:t>30.3</w:t>
            </w:r>
            <w:r>
              <w:rPr>
                <w:rFonts w:hint="eastAsia" w:ascii="Times New Roman" w:hAnsi="Times New Roman" w:eastAsia="宋体" w:cs="Times New Roman"/>
                <w:color w:val="auto"/>
                <w:sz w:val="24"/>
                <w:szCs w:val="24"/>
                <w:highlight w:val="none"/>
                <w:lang w:val="en-US" w:eastAsia="zh-CN"/>
              </w:rPr>
              <w:t>t/a</w:t>
            </w:r>
            <w:r>
              <w:rPr>
                <w:rFonts w:hint="default" w:ascii="Times New Roman" w:hAnsi="Times New Roman" w:eastAsia="宋体" w:cs="Times New Roman"/>
                <w:color w:val="auto"/>
                <w:sz w:val="24"/>
                <w:szCs w:val="24"/>
                <w:highlight w:val="none"/>
                <w:lang w:val="en-US" w:eastAsia="zh-CN"/>
              </w:rPr>
              <w:t>。对照《国家危险废物名录》（2025年版），废物类别HW06、废物代码为900-404-06。定期交由有资质单位处理。</w:t>
            </w:r>
          </w:p>
          <w:p w14:paraId="1032E277">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②废矿物油与含矿物油废物（废燃料油、发动机油、变速器/齿轮箱油、动力转向油、制动液</w:t>
            </w:r>
            <w:r>
              <w:rPr>
                <w:rFonts w:hint="eastAsia" w:cs="Times New Roman"/>
                <w:color w:val="auto"/>
                <w:sz w:val="24"/>
                <w:szCs w:val="24"/>
                <w:highlight w:val="none"/>
                <w:lang w:val="en-US" w:eastAsia="zh-CN"/>
              </w:rPr>
              <w:t>，以及设备维修保养产生的废机油</w:t>
            </w:r>
            <w:r>
              <w:rPr>
                <w:rFonts w:hint="default" w:ascii="Times New Roman" w:hAnsi="Times New Roman" w:eastAsia="宋体" w:cs="Times New Roman"/>
                <w:color w:val="auto"/>
                <w:sz w:val="24"/>
                <w:szCs w:val="24"/>
                <w:highlight w:val="none"/>
                <w:lang w:val="en-US" w:eastAsia="zh-CN"/>
              </w:rPr>
              <w:t>）</w:t>
            </w:r>
          </w:p>
          <w:p w14:paraId="06C3ADB7">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w:t>
            </w:r>
            <w:r>
              <w:rPr>
                <w:rFonts w:hint="eastAsia" w:cs="Times New Roman"/>
                <w:color w:val="auto"/>
                <w:sz w:val="24"/>
                <w:szCs w:val="24"/>
                <w:highlight w:val="none"/>
                <w:lang w:val="en-US" w:eastAsia="zh-CN"/>
              </w:rPr>
              <w:t>汽车</w:t>
            </w:r>
            <w:r>
              <w:rPr>
                <w:rFonts w:hint="default" w:ascii="Times New Roman" w:hAnsi="Times New Roman" w:eastAsia="宋体" w:cs="Times New Roman"/>
                <w:color w:val="auto"/>
                <w:sz w:val="24"/>
                <w:szCs w:val="24"/>
                <w:highlight w:val="none"/>
                <w:lang w:val="en-US" w:eastAsia="zh-CN"/>
              </w:rPr>
              <w:t>拆解过程中产生的废矿物油与含矿物油废物产生量为</w:t>
            </w:r>
            <w:r>
              <w:rPr>
                <w:rFonts w:hint="eastAsia" w:cs="Times New Roman"/>
                <w:color w:val="auto"/>
                <w:sz w:val="24"/>
                <w:szCs w:val="24"/>
                <w:highlight w:val="none"/>
                <w:lang w:val="en-US" w:eastAsia="zh-CN"/>
              </w:rPr>
              <w:t>103.4</w:t>
            </w:r>
            <w:r>
              <w:rPr>
                <w:rFonts w:hint="eastAsia" w:ascii="Times New Roman" w:hAnsi="Times New Roman" w:eastAsia="宋体" w:cs="Times New Roman"/>
                <w:color w:val="auto"/>
                <w:sz w:val="24"/>
                <w:szCs w:val="24"/>
                <w:highlight w:val="none"/>
                <w:lang w:val="en-US" w:eastAsia="zh-CN"/>
              </w:rPr>
              <w:t>t/a</w:t>
            </w:r>
            <w:r>
              <w:rPr>
                <w:rFonts w:hint="eastAsia" w:cs="Times New Roman"/>
                <w:color w:val="auto"/>
                <w:sz w:val="24"/>
                <w:szCs w:val="24"/>
                <w:highlight w:val="none"/>
                <w:lang w:val="en-US" w:eastAsia="zh-CN"/>
              </w:rPr>
              <w:t>，设备维修保养产生的废机油产生量为0.05</w:t>
            </w:r>
            <w:r>
              <w:rPr>
                <w:rFonts w:hint="eastAsia" w:ascii="Times New Roman" w:hAnsi="Times New Roman" w:eastAsia="宋体" w:cs="Times New Roman"/>
                <w:color w:val="auto"/>
                <w:sz w:val="24"/>
                <w:szCs w:val="24"/>
                <w:highlight w:val="none"/>
                <w:lang w:val="en-US" w:eastAsia="zh-CN"/>
              </w:rPr>
              <w:t>t/a</w:t>
            </w:r>
            <w:r>
              <w:rPr>
                <w:rFonts w:hint="eastAsia" w:cs="Times New Roman"/>
                <w:color w:val="auto"/>
                <w:sz w:val="24"/>
                <w:szCs w:val="24"/>
                <w:highlight w:val="none"/>
                <w:lang w:val="en-US" w:eastAsia="zh-CN"/>
              </w:rPr>
              <w:t>，共计103.45</w:t>
            </w:r>
            <w:r>
              <w:rPr>
                <w:rFonts w:hint="eastAsia" w:ascii="Times New Roman" w:hAnsi="Times New Roman" w:eastAsia="宋体" w:cs="Times New Roman"/>
                <w:color w:val="auto"/>
                <w:sz w:val="24"/>
                <w:szCs w:val="24"/>
                <w:highlight w:val="none"/>
                <w:lang w:val="en-US" w:eastAsia="zh-CN"/>
              </w:rPr>
              <w:t>t/a</w:t>
            </w:r>
            <w:r>
              <w:rPr>
                <w:rFonts w:hint="default" w:ascii="Times New Roman" w:hAnsi="Times New Roman" w:eastAsia="宋体" w:cs="Times New Roman"/>
                <w:color w:val="auto"/>
                <w:sz w:val="24"/>
                <w:szCs w:val="24"/>
                <w:highlight w:val="none"/>
                <w:lang w:val="en-US" w:eastAsia="zh-CN"/>
              </w:rPr>
              <w:t>。对照《国家危险废物名录》（2025年版），废物类别HW08、废物代码为900-199-08。定期交由有资质单位处理。</w:t>
            </w:r>
          </w:p>
          <w:p w14:paraId="77F5DC6B">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③废铅蓄电池</w:t>
            </w:r>
          </w:p>
          <w:p w14:paraId="66A5C184">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本项目拆解过程中产生的废铅蓄电池产生量为</w:t>
            </w:r>
            <w:r>
              <w:rPr>
                <w:rFonts w:hint="eastAsia" w:ascii="Times New Roman" w:hAnsi="Times New Roman" w:eastAsia="宋体" w:cs="Times New Roman"/>
                <w:color w:val="auto"/>
                <w:sz w:val="24"/>
                <w:szCs w:val="24"/>
                <w:highlight w:val="none"/>
                <w:lang w:val="en-US" w:eastAsia="zh-CN"/>
              </w:rPr>
              <w:t>153.5</w:t>
            </w:r>
            <w:r>
              <w:rPr>
                <w:rFonts w:hint="default" w:ascii="Times New Roman" w:hAnsi="Times New Roman" w:eastAsia="宋体" w:cs="Times New Roman"/>
                <w:color w:val="auto"/>
                <w:sz w:val="24"/>
                <w:szCs w:val="24"/>
                <w:highlight w:val="none"/>
                <w:lang w:val="en-US" w:eastAsia="zh-CN"/>
              </w:rPr>
              <w:t>t/a。对照《国家危险废物名录》（2025年版），废物类别HW31、废物代码为900-052-31。定期交由有资质单位处理。</w:t>
            </w:r>
          </w:p>
          <w:p w14:paraId="73E76161">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④</w:t>
            </w:r>
            <w:r>
              <w:rPr>
                <w:rFonts w:hint="default" w:ascii="Times New Roman" w:hAnsi="Times New Roman" w:eastAsia="宋体" w:cs="Times New Roman"/>
                <w:color w:val="auto"/>
                <w:sz w:val="24"/>
                <w:szCs w:val="24"/>
                <w:highlight w:val="none"/>
                <w:lang w:val="en-US" w:eastAsia="zh-CN"/>
              </w:rPr>
              <w:t>废动力电池</w:t>
            </w:r>
          </w:p>
          <w:p w14:paraId="3C1C1F65">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本项目拆解过程中产生的废动力电池（镍氢电池、锂电池、氢燃料电池等）产生量为</w:t>
            </w:r>
            <w:r>
              <w:rPr>
                <w:rFonts w:hint="eastAsia" w:cs="Times New Roman"/>
                <w:color w:val="auto"/>
                <w:sz w:val="24"/>
                <w:szCs w:val="24"/>
                <w:highlight w:val="none"/>
                <w:lang w:val="en-US" w:eastAsia="zh-CN"/>
              </w:rPr>
              <w:t>512.5</w:t>
            </w:r>
            <w:r>
              <w:rPr>
                <w:rFonts w:hint="default" w:ascii="Times New Roman" w:hAnsi="Times New Roman" w:eastAsia="宋体" w:cs="Times New Roman"/>
                <w:color w:val="auto"/>
                <w:sz w:val="24"/>
                <w:szCs w:val="24"/>
                <w:highlight w:val="none"/>
                <w:lang w:val="en-US" w:eastAsia="zh-CN"/>
              </w:rPr>
              <w:t>t/a。对照《国家危险废物名录》（2025年版），废物类别HW31、废物代码为900-052-31。定期交由有资质单位处理。</w:t>
            </w:r>
          </w:p>
          <w:p w14:paraId="716328AF">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⑤废电路板及元器件</w:t>
            </w:r>
          </w:p>
          <w:p w14:paraId="23DA04F0">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本项目拆解过程中产生的废电路板及元器件产生量</w:t>
            </w:r>
            <w:r>
              <w:rPr>
                <w:rFonts w:hint="eastAsia" w:cs="Times New Roman"/>
                <w:color w:val="auto"/>
                <w:sz w:val="24"/>
                <w:szCs w:val="24"/>
                <w:highlight w:val="none"/>
                <w:lang w:val="en-US" w:eastAsia="zh-CN"/>
              </w:rPr>
              <w:t>30.3</w:t>
            </w:r>
            <w:r>
              <w:rPr>
                <w:rFonts w:hint="default" w:ascii="Times New Roman" w:hAnsi="Times New Roman" w:eastAsia="宋体" w:cs="Times New Roman"/>
                <w:color w:val="auto"/>
                <w:sz w:val="24"/>
                <w:szCs w:val="24"/>
                <w:highlight w:val="none"/>
                <w:lang w:val="en-US" w:eastAsia="zh-CN"/>
              </w:rPr>
              <w:t>t/a。对照《国家危险废物名录》（2025年版），废物类别HW49、废物代码为900-045-49。定期交由有资质单位处理。</w:t>
            </w:r>
          </w:p>
          <w:p w14:paraId="50983807">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⑥</w:t>
            </w:r>
            <w:r>
              <w:rPr>
                <w:rFonts w:hint="default" w:ascii="Times New Roman" w:hAnsi="Times New Roman" w:eastAsia="宋体" w:cs="Times New Roman"/>
                <w:color w:val="auto"/>
                <w:sz w:val="24"/>
                <w:szCs w:val="24"/>
                <w:highlight w:val="none"/>
                <w:lang w:val="en-US" w:eastAsia="zh-CN"/>
              </w:rPr>
              <w:t>废尾气催化剂</w:t>
            </w:r>
          </w:p>
          <w:p w14:paraId="63DC06CC">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本项目拆解过程中产生的废尾气催化剂产生量</w:t>
            </w:r>
            <w:r>
              <w:rPr>
                <w:rFonts w:hint="eastAsia" w:cs="Times New Roman"/>
                <w:color w:val="auto"/>
                <w:sz w:val="24"/>
                <w:szCs w:val="24"/>
                <w:highlight w:val="none"/>
                <w:lang w:val="en-US" w:eastAsia="zh-CN"/>
              </w:rPr>
              <w:t>11</w:t>
            </w:r>
            <w:r>
              <w:rPr>
                <w:rFonts w:hint="default" w:ascii="Times New Roman" w:hAnsi="Times New Roman" w:eastAsia="宋体" w:cs="Times New Roman"/>
                <w:color w:val="auto"/>
                <w:sz w:val="24"/>
                <w:szCs w:val="24"/>
                <w:highlight w:val="none"/>
                <w:lang w:val="en-US" w:eastAsia="zh-CN"/>
              </w:rPr>
              <w:t>t/a。对照《国家危险废物名录》（2025年版），废物类别HW50、废物代码为900-049-50。定期交由有资质单位处理。</w:t>
            </w:r>
          </w:p>
          <w:p w14:paraId="4A2F572E">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⑦</w:t>
            </w:r>
            <w:r>
              <w:rPr>
                <w:rFonts w:hint="default" w:ascii="Times New Roman" w:hAnsi="Times New Roman" w:eastAsia="宋体" w:cs="Times New Roman"/>
                <w:color w:val="auto"/>
                <w:sz w:val="24"/>
                <w:szCs w:val="24"/>
                <w:highlight w:val="none"/>
                <w:lang w:val="en-US" w:eastAsia="zh-CN"/>
              </w:rPr>
              <w:t>废机油滤清器</w:t>
            </w:r>
          </w:p>
          <w:p w14:paraId="6192946E">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本项目拆解过程中产生的废机油滤清器产生量</w:t>
            </w:r>
            <w:r>
              <w:rPr>
                <w:rFonts w:hint="eastAsia" w:cs="Times New Roman"/>
                <w:color w:val="auto"/>
                <w:sz w:val="24"/>
                <w:szCs w:val="24"/>
                <w:highlight w:val="none"/>
                <w:lang w:val="en-US" w:eastAsia="zh-CN"/>
              </w:rPr>
              <w:t>5.9</w:t>
            </w:r>
            <w:r>
              <w:rPr>
                <w:rFonts w:hint="default" w:ascii="Times New Roman" w:hAnsi="Times New Roman" w:eastAsia="宋体" w:cs="Times New Roman"/>
                <w:color w:val="auto"/>
                <w:sz w:val="24"/>
                <w:szCs w:val="24"/>
                <w:highlight w:val="none"/>
                <w:lang w:val="en-US" w:eastAsia="zh-CN"/>
              </w:rPr>
              <w:t>t/a。对照《国家危险废物名录》（2025年版），废物类别HW49、废物代码为900-041-49。定期交由有资质单位处理。</w:t>
            </w:r>
          </w:p>
          <w:p w14:paraId="486B96E1">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⑧</w:t>
            </w:r>
            <w:r>
              <w:rPr>
                <w:rFonts w:hint="default" w:ascii="Times New Roman" w:hAnsi="Times New Roman" w:eastAsia="宋体" w:cs="Times New Roman"/>
                <w:color w:val="auto"/>
                <w:sz w:val="24"/>
                <w:szCs w:val="24"/>
                <w:highlight w:val="none"/>
                <w:lang w:val="en-US" w:eastAsia="zh-CN"/>
              </w:rPr>
              <w:t>废油箱</w:t>
            </w:r>
          </w:p>
          <w:p w14:paraId="62BF9070">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本项目拆解过程中产生的废油箱产生量</w:t>
            </w:r>
            <w:r>
              <w:rPr>
                <w:rFonts w:hint="eastAsia" w:cs="Times New Roman"/>
                <w:color w:val="auto"/>
                <w:sz w:val="24"/>
                <w:szCs w:val="24"/>
                <w:highlight w:val="none"/>
                <w:lang w:val="en-US" w:eastAsia="zh-CN"/>
              </w:rPr>
              <w:t>18</w:t>
            </w:r>
            <w:r>
              <w:rPr>
                <w:rFonts w:hint="default" w:ascii="Times New Roman" w:hAnsi="Times New Roman" w:eastAsia="宋体" w:cs="Times New Roman"/>
                <w:color w:val="auto"/>
                <w:sz w:val="24"/>
                <w:szCs w:val="24"/>
                <w:highlight w:val="none"/>
                <w:lang w:val="en-US" w:eastAsia="zh-CN"/>
              </w:rPr>
              <w:t>t/a。对照《国家危险废物名录》（2025年版），废物类别HW08、废物代码为900-249-08。定期交由有资质单位处理。</w:t>
            </w:r>
          </w:p>
          <w:p w14:paraId="6F1807DA">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⑨</w:t>
            </w:r>
            <w:r>
              <w:rPr>
                <w:rFonts w:hint="default" w:ascii="Times New Roman" w:hAnsi="Times New Roman" w:eastAsia="宋体" w:cs="Times New Roman"/>
                <w:color w:val="auto"/>
                <w:sz w:val="24"/>
                <w:szCs w:val="24"/>
                <w:highlight w:val="none"/>
                <w:lang w:val="en-US" w:eastAsia="zh-CN"/>
              </w:rPr>
              <w:t>含油手套抹布</w:t>
            </w:r>
          </w:p>
          <w:p w14:paraId="39E8B621">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根据类比同行业，废含油抹布及劳保用品产生量约</w:t>
            </w:r>
            <w:r>
              <w:rPr>
                <w:rFonts w:hint="eastAsia" w:ascii="Times New Roman" w:hAnsi="Times New Roman" w:eastAsia="宋体" w:cs="Times New Roman"/>
                <w:color w:val="auto"/>
                <w:sz w:val="24"/>
                <w:szCs w:val="24"/>
                <w:highlight w:val="none"/>
                <w:lang w:val="en-US" w:eastAsia="zh-CN"/>
              </w:rPr>
              <w:t>0.5</w:t>
            </w:r>
            <w:r>
              <w:rPr>
                <w:rFonts w:hint="default" w:ascii="Times New Roman" w:hAnsi="Times New Roman" w:eastAsia="宋体" w:cs="Times New Roman"/>
                <w:color w:val="auto"/>
                <w:sz w:val="24"/>
                <w:szCs w:val="24"/>
                <w:highlight w:val="none"/>
                <w:lang w:val="en-US" w:eastAsia="zh-CN"/>
              </w:rPr>
              <w:t>t/a。对照《国家危险废物名录》（2025年版），废物类别HW49、废物代码为900-041-49。定期交由有资质单位处理。</w:t>
            </w:r>
          </w:p>
          <w:p w14:paraId="57D1AD29">
            <w:pPr>
              <w:keepNext w:val="0"/>
              <w:keepLines w:val="0"/>
              <w:pageBreakBefore w:val="0"/>
              <w:widowControl w:val="0"/>
              <w:numPr>
                <w:ilvl w:val="0"/>
                <w:numId w:val="0"/>
              </w:numPr>
              <w:suppressLineNumbers w:val="0"/>
              <w:kinsoku/>
              <w:wordWrap w:val="0"/>
              <w:overflowPunct/>
              <w:topLinePunct w:val="0"/>
              <w:bidi w:val="0"/>
              <w:spacing w:before="0" w:beforeAutospacing="0" w:after="0" w:afterAutospacing="0" w:line="360" w:lineRule="auto"/>
              <w:ind w:left="0" w:right="0" w:rightChars="0" w:firstLine="48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⑩</w:t>
            </w:r>
            <w:r>
              <w:rPr>
                <w:rFonts w:hint="default" w:ascii="Times New Roman" w:hAnsi="Times New Roman" w:eastAsia="宋体" w:cs="Times New Roman"/>
                <w:color w:val="auto"/>
                <w:sz w:val="24"/>
                <w:szCs w:val="24"/>
                <w:highlight w:val="none"/>
                <w:lang w:val="en-US" w:eastAsia="zh-CN"/>
              </w:rPr>
              <w:t>废活性炭</w:t>
            </w:r>
          </w:p>
          <w:p w14:paraId="1FD27F2F">
            <w:pPr>
              <w:keepNext w:val="0"/>
              <w:keepLines w:val="0"/>
              <w:pageBreakBefore w:val="0"/>
              <w:widowControl w:val="0"/>
              <w:numPr>
                <w:ilvl w:val="0"/>
                <w:numId w:val="0"/>
              </w:numPr>
              <w:suppressLineNumbers w:val="0"/>
              <w:kinsoku/>
              <w:wordWrap/>
              <w:overflowPunct w:val="0"/>
              <w:topLinePunct w:val="0"/>
              <w:autoSpaceDE w:val="0"/>
              <w:autoSpaceDN w:val="0"/>
              <w:bidi w:val="0"/>
              <w:adjustRightInd/>
              <w:snapToGrid/>
              <w:spacing w:before="0" w:beforeAutospacing="0" w:after="0" w:afterAutospacing="0" w:line="360" w:lineRule="auto"/>
              <w:ind w:left="0" w:right="0" w:rightChars="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kern w:val="2"/>
                <w:sz w:val="24"/>
                <w:szCs w:val="24"/>
                <w:highlight w:val="none"/>
                <w:lang w:val="en-US" w:eastAsia="zh-CN"/>
              </w:rPr>
              <w:t>在本项目二级活性炭吸附装置中，活性炭填充量为0.6t，单个活性炭箱填充量为0.3t，</w:t>
            </w:r>
            <w:r>
              <w:rPr>
                <w:rFonts w:hint="eastAsia" w:ascii="Times New Roman" w:hAnsi="Times New Roman" w:cs="Times New Roman"/>
                <w:color w:val="auto"/>
                <w:kern w:val="2"/>
                <w:sz w:val="24"/>
                <w:szCs w:val="24"/>
                <w:highlight w:val="none"/>
                <w:lang w:val="en-US" w:eastAsia="zh-CN"/>
              </w:rPr>
              <w:t>活性炭箱单次</w:t>
            </w:r>
            <w:r>
              <w:rPr>
                <w:rFonts w:hint="eastAsia" w:ascii="Times New Roman" w:hAnsi="Times New Roman" w:eastAsia="宋体" w:cs="Times New Roman"/>
                <w:color w:val="auto"/>
                <w:kern w:val="2"/>
                <w:sz w:val="24"/>
                <w:szCs w:val="24"/>
                <w:highlight w:val="none"/>
                <w:lang w:val="en-US" w:eastAsia="zh-CN"/>
              </w:rPr>
              <w:t>有机废气饱和吸附量约为90kg，根据</w:t>
            </w:r>
            <w:r>
              <w:rPr>
                <w:rFonts w:hint="default" w:ascii="Times New Roman" w:hAnsi="Times New Roman" w:eastAsia="宋体" w:cs="Times New Roman"/>
                <w:color w:val="auto"/>
                <w:kern w:val="2"/>
                <w:sz w:val="24"/>
                <w:szCs w:val="24"/>
                <w:highlight w:val="none"/>
                <w:lang w:val="en-US" w:eastAsia="zh-CN"/>
              </w:rPr>
              <w:t>表</w:t>
            </w:r>
            <w:r>
              <w:rPr>
                <w:rFonts w:hint="eastAsia" w:ascii="Times New Roman" w:hAnsi="Times New Roman" w:cs="Times New Roman"/>
                <w:color w:val="auto"/>
                <w:kern w:val="2"/>
                <w:sz w:val="24"/>
                <w:szCs w:val="24"/>
                <w:highlight w:val="none"/>
                <w:lang w:val="en-US" w:eastAsia="zh-CN"/>
              </w:rPr>
              <w:t>4-4可知</w:t>
            </w:r>
            <w:r>
              <w:rPr>
                <w:rFonts w:hint="eastAsia" w:ascii="Times New Roman" w:hAnsi="Times New Roman" w:eastAsia="宋体" w:cs="Times New Roman"/>
                <w:color w:val="auto"/>
                <w:kern w:val="2"/>
                <w:sz w:val="24"/>
                <w:szCs w:val="24"/>
                <w:highlight w:val="none"/>
                <w:lang w:val="en-US" w:eastAsia="zh-CN"/>
              </w:rPr>
              <w:t>，</w:t>
            </w:r>
            <w:r>
              <w:rPr>
                <w:rFonts w:hint="eastAsia" w:ascii="Times New Roman" w:hAnsi="Times New Roman" w:cs="Times New Roman"/>
                <w:color w:val="auto"/>
                <w:kern w:val="2"/>
                <w:sz w:val="24"/>
                <w:szCs w:val="24"/>
                <w:highlight w:val="none"/>
                <w:lang w:val="en-US" w:eastAsia="zh-CN"/>
              </w:rPr>
              <w:t>二级</w:t>
            </w:r>
            <w:r>
              <w:rPr>
                <w:rFonts w:hint="eastAsia" w:ascii="Times New Roman" w:hAnsi="Times New Roman" w:eastAsia="宋体" w:cs="Times New Roman"/>
                <w:color w:val="auto"/>
                <w:kern w:val="2"/>
                <w:sz w:val="24"/>
                <w:szCs w:val="24"/>
                <w:highlight w:val="none"/>
                <w:lang w:val="en-US" w:eastAsia="zh-CN"/>
              </w:rPr>
              <w:t>活性炭吸附装置每年需要吸附的废气量约</w:t>
            </w:r>
            <w:r>
              <w:rPr>
                <w:rFonts w:hint="eastAsia" w:cs="Times New Roman"/>
                <w:color w:val="auto"/>
                <w:kern w:val="2"/>
                <w:sz w:val="24"/>
                <w:szCs w:val="24"/>
                <w:highlight w:val="none"/>
                <w:lang w:val="en-US" w:eastAsia="zh-CN"/>
              </w:rPr>
              <w:t>0.134</w:t>
            </w:r>
            <w:r>
              <w:rPr>
                <w:rFonts w:hint="eastAsia" w:ascii="Times New Roman" w:hAnsi="Times New Roman" w:eastAsia="宋体" w:cs="Times New Roman"/>
                <w:color w:val="auto"/>
                <w:kern w:val="2"/>
                <w:sz w:val="24"/>
                <w:szCs w:val="24"/>
                <w:highlight w:val="none"/>
                <w:lang w:val="en-US" w:eastAsia="zh-CN"/>
              </w:rPr>
              <w:t>t，为保证活性炭吸附效率，活性炭每年更换</w:t>
            </w:r>
            <w:r>
              <w:rPr>
                <w:rFonts w:hint="eastAsia" w:ascii="Times New Roman" w:hAnsi="Times New Roman" w:cs="Times New Roman"/>
                <w:color w:val="auto"/>
                <w:kern w:val="2"/>
                <w:sz w:val="24"/>
                <w:szCs w:val="24"/>
                <w:highlight w:val="none"/>
                <w:lang w:val="en-US" w:eastAsia="zh-CN"/>
              </w:rPr>
              <w:t>2</w:t>
            </w:r>
            <w:r>
              <w:rPr>
                <w:rFonts w:hint="eastAsia" w:ascii="Times New Roman" w:hAnsi="Times New Roman" w:eastAsia="宋体" w:cs="Times New Roman"/>
                <w:color w:val="auto"/>
                <w:kern w:val="2"/>
                <w:sz w:val="24"/>
                <w:szCs w:val="24"/>
                <w:highlight w:val="none"/>
                <w:lang w:val="en-US" w:eastAsia="zh-CN"/>
              </w:rPr>
              <w:t>次，则废活性炭产生量为</w:t>
            </w:r>
            <w:r>
              <w:rPr>
                <w:rFonts w:hint="eastAsia" w:cs="Times New Roman"/>
                <w:color w:val="auto"/>
                <w:kern w:val="2"/>
                <w:sz w:val="24"/>
                <w:szCs w:val="24"/>
                <w:highlight w:val="none"/>
                <w:lang w:val="en-US" w:eastAsia="zh-CN"/>
              </w:rPr>
              <w:t>1.334</w:t>
            </w:r>
            <w:r>
              <w:rPr>
                <w:rFonts w:hint="eastAsia" w:ascii="Times New Roman" w:hAnsi="Times New Roman" w:eastAsia="宋体" w:cs="Times New Roman"/>
                <w:color w:val="auto"/>
                <w:kern w:val="2"/>
                <w:sz w:val="24"/>
                <w:szCs w:val="24"/>
                <w:highlight w:val="none"/>
                <w:lang w:val="en-US" w:eastAsia="zh-CN"/>
              </w:rPr>
              <w:t>t/a。</w:t>
            </w:r>
          </w:p>
          <w:p w14:paraId="27745FE9">
            <w:pPr>
              <w:keepNext w:val="0"/>
              <w:keepLines w:val="0"/>
              <w:pageBreakBefore w:val="0"/>
              <w:widowControl w:val="0"/>
              <w:numPr>
                <w:ilvl w:val="0"/>
                <w:numId w:val="0"/>
              </w:numPr>
              <w:suppressLineNumbers w:val="0"/>
              <w:kinsoku/>
              <w:wordWrap w:val="0"/>
              <w:overflowPunct/>
              <w:topLinePunct w:val="0"/>
              <w:bidi w:val="0"/>
              <w:adjustRightInd/>
              <w:snapToGrid/>
              <w:spacing w:before="0" w:beforeAutospacing="0" w:after="0" w:afterAutospacing="0" w:line="360" w:lineRule="auto"/>
              <w:ind w:left="0" w:right="0" w:rightChars="0" w:firstLine="480" w:firstLineChars="200"/>
              <w:jc w:val="left"/>
              <w:textAlignment w:val="auto"/>
              <w:rPr>
                <w:rFonts w:hint="default"/>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根据《国家危险废物名录（2025年版）》，废物类别HW49、废物代码为900-039-49。暂存于危废贮存库，定期委托资质单位处理。</w:t>
            </w:r>
          </w:p>
          <w:p w14:paraId="6D6CD0AB">
            <w:pPr>
              <w:keepNext w:val="0"/>
              <w:keepLines w:val="0"/>
              <w:pageBreakBefore w:val="0"/>
              <w:widowControl w:val="0"/>
              <w:numPr>
                <w:ilvl w:val="0"/>
                <w:numId w:val="0"/>
              </w:numPr>
              <w:suppressLineNumbers w:val="0"/>
              <w:kinsoku/>
              <w:wordWrap w:val="0"/>
              <w:overflowPunct/>
              <w:topLinePunct w:val="0"/>
              <w:bidi w:val="0"/>
              <w:adjustRightInd/>
              <w:snapToGrid/>
              <w:spacing w:before="0" w:beforeAutospacing="0" w:after="0" w:afterAutospacing="0" w:line="360" w:lineRule="auto"/>
              <w:ind w:left="0" w:right="0" w:rightChars="0" w:firstLine="360" w:firstLineChars="20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18"/>
                <w:szCs w:val="18"/>
                <w:highlight w:val="none"/>
                <w:lang w:val="en-US" w:eastAsia="zh-CN"/>
              </w:rPr>
              <w:fldChar w:fldCharType="begin"/>
            </w:r>
            <w:r>
              <w:rPr>
                <w:rFonts w:hint="default" w:ascii="Times New Roman" w:hAnsi="Times New Roman" w:eastAsia="宋体" w:cs="Times New Roman"/>
                <w:color w:val="auto"/>
                <w:sz w:val="18"/>
                <w:szCs w:val="18"/>
                <w:highlight w:val="none"/>
                <w:lang w:val="en-US" w:eastAsia="zh-CN"/>
              </w:rPr>
              <w:instrText xml:space="preserve"> EQ \o\ac(</w:instrText>
            </w:r>
            <w:r>
              <w:rPr>
                <w:rFonts w:hint="eastAsia" w:ascii="Times New Roman" w:hAnsi="Times New Roman" w:eastAsia="宋体" w:cs="Times New Roman"/>
                <w:color w:val="auto"/>
                <w:position w:val="-3"/>
                <w:sz w:val="27"/>
                <w:szCs w:val="18"/>
                <w:highlight w:val="none"/>
                <w:lang w:val="en-US" w:eastAsia="zh-CN"/>
              </w:rPr>
              <w:instrText xml:space="preserve">○</w:instrText>
            </w:r>
            <w:r>
              <w:rPr>
                <w:rFonts w:hint="default" w:ascii="Times New Roman" w:hAnsi="Times New Roman" w:eastAsia="宋体" w:cs="Times New Roman"/>
                <w:color w:val="auto"/>
                <w:position w:val="0"/>
                <w:sz w:val="18"/>
                <w:szCs w:val="18"/>
                <w:highlight w:val="none"/>
                <w:lang w:val="en-US" w:eastAsia="zh-CN"/>
              </w:rPr>
              <w:instrText xml:space="preserve">,11)</w:instrText>
            </w:r>
            <w:r>
              <w:rPr>
                <w:rFonts w:hint="default" w:ascii="Times New Roman" w:hAnsi="Times New Roman" w:eastAsia="宋体" w:cs="Times New Roman"/>
                <w:color w:val="auto"/>
                <w:sz w:val="18"/>
                <w:szCs w:val="18"/>
                <w:highlight w:val="none"/>
                <w:lang w:val="en-US" w:eastAsia="zh-CN"/>
              </w:rPr>
              <w:fldChar w:fldCharType="end"/>
            </w:r>
            <w:r>
              <w:rPr>
                <w:rFonts w:hint="default" w:ascii="Times New Roman" w:hAnsi="Times New Roman" w:eastAsia="宋体" w:cs="Times New Roman"/>
                <w:color w:val="auto"/>
                <w:sz w:val="24"/>
                <w:szCs w:val="24"/>
                <w:highlight w:val="none"/>
                <w:lang w:val="en-US" w:eastAsia="zh-CN"/>
              </w:rPr>
              <w:t>污水处理设施污泥</w:t>
            </w:r>
          </w:p>
          <w:p w14:paraId="44228653">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bidi="zh-CN"/>
              </w:rPr>
            </w:pPr>
            <w:r>
              <w:rPr>
                <w:rFonts w:hint="default" w:ascii="Times New Roman" w:hAnsi="Times New Roman" w:eastAsia="宋体" w:cs="Times New Roman"/>
                <w:color w:val="auto"/>
                <w:sz w:val="24"/>
                <w:szCs w:val="24"/>
                <w:highlight w:val="none"/>
                <w:u w:val="none" w:color="auto"/>
                <w:lang w:val="en-US" w:eastAsia="zh-CN" w:bidi="zh-CN"/>
              </w:rPr>
              <w:t>本项目污水处理设施产生的污泥含有石油类等有害物质，污泥产生量为</w:t>
            </w:r>
            <w:r>
              <w:rPr>
                <w:rFonts w:hint="eastAsia" w:ascii="Times New Roman" w:hAnsi="Times New Roman" w:eastAsia="宋体" w:cs="Times New Roman"/>
                <w:color w:val="auto"/>
                <w:sz w:val="24"/>
                <w:szCs w:val="24"/>
                <w:highlight w:val="none"/>
                <w:u w:val="none" w:color="auto"/>
                <w:lang w:val="en-US" w:eastAsia="zh-CN" w:bidi="zh-CN"/>
              </w:rPr>
              <w:t>2</w:t>
            </w:r>
            <w:r>
              <w:rPr>
                <w:rFonts w:hint="default" w:ascii="Times New Roman" w:hAnsi="Times New Roman" w:eastAsia="宋体" w:cs="Times New Roman"/>
                <w:color w:val="auto"/>
                <w:sz w:val="24"/>
                <w:szCs w:val="24"/>
                <w:highlight w:val="none"/>
                <w:u w:val="none" w:color="auto"/>
                <w:lang w:val="en-US" w:eastAsia="zh-CN" w:bidi="zh-CN"/>
              </w:rPr>
              <w:t>t/a 。根据《国家危险废物名录》（2025 年版），属于 HW08 900-210-08 。收集后暂存于危废贮存库内，定期委托有资质单位安全处置。</w:t>
            </w:r>
          </w:p>
          <w:p w14:paraId="1C48EB62">
            <w:pPr>
              <w:keepNext w:val="0"/>
              <w:keepLines w:val="0"/>
              <w:pageBreakBefore w:val="0"/>
              <w:widowControl w:val="0"/>
              <w:suppressLineNumbers w:val="0"/>
              <w:kinsoku/>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zh-CN" w:eastAsia="zh-CN" w:bidi="ar-SA"/>
              </w:rPr>
            </w:pPr>
            <w:r>
              <w:rPr>
                <w:rFonts w:hint="default" w:ascii="Times New Roman" w:hAnsi="Times New Roman" w:eastAsia="宋体" w:cs="Times New Roman"/>
                <w:color w:val="auto"/>
                <w:sz w:val="24"/>
                <w:szCs w:val="24"/>
                <w:highlight w:val="none"/>
                <w:lang w:val="zh-CN" w:eastAsia="zh-CN" w:bidi="ar-SA"/>
              </w:rPr>
              <w:t>（</w:t>
            </w:r>
            <w:r>
              <w:rPr>
                <w:rFonts w:hint="default" w:ascii="Times New Roman" w:hAnsi="Times New Roman" w:eastAsia="宋体" w:cs="Times New Roman"/>
                <w:color w:val="auto"/>
                <w:sz w:val="24"/>
                <w:szCs w:val="24"/>
                <w:highlight w:val="none"/>
                <w:lang w:val="en-US" w:eastAsia="zh-CN" w:bidi="ar-SA"/>
              </w:rPr>
              <w:t>3</w:t>
            </w:r>
            <w:r>
              <w:rPr>
                <w:rFonts w:hint="default" w:ascii="Times New Roman" w:hAnsi="Times New Roman" w:eastAsia="宋体" w:cs="Times New Roman"/>
                <w:color w:val="auto"/>
                <w:sz w:val="24"/>
                <w:szCs w:val="24"/>
                <w:highlight w:val="none"/>
                <w:lang w:val="zh-CN" w:eastAsia="zh-CN" w:bidi="ar-SA"/>
              </w:rPr>
              <w:t>）生活垃圾</w:t>
            </w:r>
          </w:p>
          <w:p w14:paraId="042E2078">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u w:val="none" w:color="auto"/>
                <w:lang w:val="de-DE" w:bidi="zh-CN"/>
              </w:rPr>
              <w:t>本项目生活垃圾产生量按每人每天0.5kg计，则生活垃圾产生量为</w:t>
            </w:r>
            <w:r>
              <w:rPr>
                <w:rFonts w:hint="eastAsia" w:ascii="Times New Roman" w:hAnsi="Times New Roman" w:eastAsia="宋体" w:cs="Times New Roman"/>
                <w:color w:val="auto"/>
                <w:sz w:val="24"/>
                <w:szCs w:val="24"/>
                <w:highlight w:val="none"/>
                <w:u w:val="none" w:color="auto"/>
                <w:lang w:val="en-US" w:bidi="zh-CN"/>
              </w:rPr>
              <w:t>10</w:t>
            </w:r>
            <w:r>
              <w:rPr>
                <w:rFonts w:hint="default" w:ascii="Times New Roman" w:hAnsi="Times New Roman" w:eastAsia="宋体" w:cs="Times New Roman"/>
                <w:color w:val="auto"/>
                <w:sz w:val="24"/>
                <w:szCs w:val="24"/>
                <w:highlight w:val="none"/>
                <w:u w:val="none" w:color="auto"/>
                <w:lang w:val="de-DE" w:bidi="zh-CN"/>
              </w:rPr>
              <w:t>kg/d</w:t>
            </w:r>
            <w:r>
              <w:rPr>
                <w:rFonts w:hint="eastAsia" w:cs="Times New Roman"/>
                <w:color w:val="auto"/>
                <w:sz w:val="24"/>
                <w:szCs w:val="24"/>
                <w:highlight w:val="none"/>
                <w:u w:val="none" w:color="auto"/>
                <w:lang w:val="de-DE" w:bidi="zh-CN"/>
              </w:rPr>
              <w:t>（</w:t>
            </w:r>
            <w:r>
              <w:rPr>
                <w:rFonts w:hint="eastAsia" w:ascii="Times New Roman" w:hAnsi="Times New Roman" w:eastAsia="宋体" w:cs="Times New Roman"/>
                <w:color w:val="auto"/>
                <w:sz w:val="24"/>
                <w:szCs w:val="24"/>
                <w:highlight w:val="none"/>
                <w:u w:val="none" w:color="auto"/>
                <w:lang w:val="en-US" w:bidi="zh-CN"/>
              </w:rPr>
              <w:t>2.5</w:t>
            </w:r>
            <w:r>
              <w:rPr>
                <w:rFonts w:hint="default" w:ascii="Times New Roman" w:hAnsi="Times New Roman" w:eastAsia="宋体" w:cs="Times New Roman"/>
                <w:color w:val="auto"/>
                <w:sz w:val="24"/>
                <w:szCs w:val="24"/>
                <w:highlight w:val="none"/>
                <w:u w:val="none" w:color="auto"/>
                <w:lang w:val="de-DE" w:bidi="zh-CN"/>
              </w:rPr>
              <w:t>t/a</w:t>
            </w:r>
            <w:r>
              <w:rPr>
                <w:rFonts w:hint="eastAsia" w:cs="Times New Roman"/>
                <w:color w:val="auto"/>
                <w:sz w:val="24"/>
                <w:szCs w:val="24"/>
                <w:highlight w:val="none"/>
                <w:u w:val="none" w:color="auto"/>
                <w:lang w:val="de-DE" w:bidi="zh-CN"/>
              </w:rPr>
              <w:t>）</w:t>
            </w:r>
            <w:r>
              <w:rPr>
                <w:rFonts w:hint="default" w:ascii="Times New Roman" w:hAnsi="Times New Roman" w:eastAsia="宋体" w:cs="Times New Roman"/>
                <w:color w:val="auto"/>
                <w:sz w:val="24"/>
                <w:szCs w:val="24"/>
                <w:highlight w:val="none"/>
                <w:u w:val="none" w:color="auto"/>
                <w:lang w:val="de-DE" w:bidi="zh-CN"/>
              </w:rPr>
              <w:t>。</w:t>
            </w:r>
            <w:r>
              <w:rPr>
                <w:rFonts w:hint="default" w:ascii="Times New Roman" w:hAnsi="Times New Roman" w:eastAsia="宋体" w:cs="Times New Roman"/>
                <w:color w:val="auto"/>
                <w:sz w:val="24"/>
                <w:szCs w:val="24"/>
                <w:highlight w:val="none"/>
                <w:lang w:val="en-US" w:eastAsia="zh-CN"/>
              </w:rPr>
              <w:t>收集后委托环卫部门定期清运。</w:t>
            </w:r>
          </w:p>
          <w:p w14:paraId="28626D48">
            <w:pPr>
              <w:keepNext w:val="0"/>
              <w:keepLines w:val="0"/>
              <w:pageBreakBefore w:val="0"/>
              <w:widowControl w:val="0"/>
              <w:suppressLineNumbers w:val="0"/>
              <w:kinsoku/>
              <w:wordWrap w:val="0"/>
              <w:overflowPunct/>
              <w:topLinePunct w:val="0"/>
              <w:bidi w:val="0"/>
              <w:spacing w:before="0" w:beforeAutospacing="0" w:after="0" w:afterAutospacing="0" w:line="360" w:lineRule="auto"/>
              <w:ind w:left="0" w:right="0" w:firstLine="482" w:firstLineChars="200"/>
              <w:jc w:val="left"/>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 xml:space="preserve">4.2 </w:t>
            </w:r>
            <w:r>
              <w:rPr>
                <w:rFonts w:hint="default" w:ascii="Times New Roman" w:hAnsi="Times New Roman" w:eastAsia="宋体" w:cs="Times New Roman"/>
                <w:b/>
                <w:bCs/>
                <w:color w:val="auto"/>
                <w:sz w:val="24"/>
                <w:szCs w:val="22"/>
                <w:highlight w:val="none"/>
                <w:u w:val="none" w:color="auto"/>
                <w:lang w:val="en-US" w:eastAsia="zh-CN" w:bidi="zh-CN"/>
              </w:rPr>
              <w:t>固体废物产生情况</w:t>
            </w:r>
          </w:p>
          <w:p w14:paraId="7704F21F">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US" w:eastAsia="zh-CN"/>
              </w:rPr>
            </w:pPr>
          </w:p>
          <w:p w14:paraId="70F4540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US" w:eastAsia="zh-CN"/>
              </w:rPr>
            </w:pPr>
          </w:p>
          <w:p w14:paraId="78A0904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US" w:eastAsia="zh-CN"/>
              </w:rPr>
            </w:pPr>
          </w:p>
          <w:p w14:paraId="6DD8928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表4-</w:t>
            </w:r>
            <w:r>
              <w:rPr>
                <w:rFonts w:hint="eastAsia" w:ascii="Times New Roman" w:hAnsi="Times New Roman" w:eastAsia="宋体"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4</w:t>
            </w:r>
            <w:r>
              <w:rPr>
                <w:rFonts w:hint="default" w:ascii="Times New Roman" w:hAnsi="Times New Roman" w:eastAsia="宋体" w:cs="Times New Roman"/>
                <w:b/>
                <w:bCs/>
                <w:color w:val="auto"/>
                <w:sz w:val="21"/>
                <w:szCs w:val="21"/>
                <w:highlight w:val="none"/>
                <w:lang w:val="en-US" w:eastAsia="zh-CN"/>
              </w:rPr>
              <w:t xml:space="preserve">  固体废物产生情况表</w:t>
            </w:r>
          </w:p>
          <w:tbl>
            <w:tblPr>
              <w:tblStyle w:val="26"/>
              <w:tblW w:w="4991"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1802"/>
              <w:gridCol w:w="609"/>
              <w:gridCol w:w="926"/>
              <w:gridCol w:w="1351"/>
              <w:gridCol w:w="994"/>
              <w:gridCol w:w="742"/>
              <w:gridCol w:w="753"/>
              <w:gridCol w:w="850"/>
              <w:gridCol w:w="1083"/>
            </w:tblGrid>
            <w:tr w14:paraId="18121B4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5B90B32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名称</w:t>
                  </w:r>
                </w:p>
              </w:tc>
              <w:tc>
                <w:tcPr>
                  <w:tcW w:w="334" w:type="pct"/>
                  <w:tcBorders>
                    <w:tl2br w:val="nil"/>
                    <w:tr2bl w:val="nil"/>
                  </w:tcBorders>
                  <w:noWrap w:val="0"/>
                  <w:vAlign w:val="center"/>
                </w:tcPr>
                <w:p w14:paraId="0854F88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属性</w:t>
                  </w:r>
                </w:p>
              </w:tc>
              <w:tc>
                <w:tcPr>
                  <w:tcW w:w="508" w:type="pct"/>
                  <w:tcBorders>
                    <w:tl2br w:val="nil"/>
                    <w:tr2bl w:val="nil"/>
                  </w:tcBorders>
                  <w:noWrap w:val="0"/>
                  <w:vAlign w:val="center"/>
                </w:tcPr>
                <w:p w14:paraId="3852D4F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 xml:space="preserve">废物 </w:t>
                  </w:r>
                </w:p>
                <w:p w14:paraId="4D942C4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类别</w:t>
                  </w:r>
                </w:p>
              </w:tc>
              <w:tc>
                <w:tcPr>
                  <w:tcW w:w="741" w:type="pct"/>
                  <w:tcBorders>
                    <w:tl2br w:val="nil"/>
                    <w:tr2bl w:val="nil"/>
                  </w:tcBorders>
                  <w:noWrap w:val="0"/>
                  <w:vAlign w:val="center"/>
                </w:tcPr>
                <w:p w14:paraId="02E7F9B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废物代码</w:t>
                  </w:r>
                </w:p>
              </w:tc>
              <w:tc>
                <w:tcPr>
                  <w:tcW w:w="545" w:type="pct"/>
                  <w:tcBorders>
                    <w:tl2br w:val="nil"/>
                    <w:tr2bl w:val="nil"/>
                  </w:tcBorders>
                  <w:noWrap w:val="0"/>
                  <w:vAlign w:val="center"/>
                </w:tcPr>
                <w:p w14:paraId="49DE499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主要</w:t>
                  </w:r>
                </w:p>
                <w:p w14:paraId="7CF4B5E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成分</w:t>
                  </w:r>
                </w:p>
              </w:tc>
              <w:tc>
                <w:tcPr>
                  <w:tcW w:w="407" w:type="pct"/>
                  <w:tcBorders>
                    <w:tl2br w:val="nil"/>
                    <w:tr2bl w:val="nil"/>
                  </w:tcBorders>
                  <w:noWrap w:val="0"/>
                  <w:vAlign w:val="center"/>
                </w:tcPr>
                <w:p w14:paraId="6923033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 xml:space="preserve">物理 </w:t>
                  </w:r>
                </w:p>
                <w:p w14:paraId="369F60E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性状</w:t>
                  </w:r>
                </w:p>
              </w:tc>
              <w:tc>
                <w:tcPr>
                  <w:tcW w:w="413" w:type="pct"/>
                  <w:tcBorders>
                    <w:tl2br w:val="nil"/>
                    <w:tr2bl w:val="nil"/>
                  </w:tcBorders>
                  <w:noWrap w:val="0"/>
                  <w:vAlign w:val="center"/>
                </w:tcPr>
                <w:p w14:paraId="662CEA4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 xml:space="preserve">危险 </w:t>
                  </w:r>
                </w:p>
                <w:p w14:paraId="3411CCC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特性</w:t>
                  </w:r>
                </w:p>
              </w:tc>
              <w:tc>
                <w:tcPr>
                  <w:tcW w:w="466" w:type="pct"/>
                  <w:tcBorders>
                    <w:tl2br w:val="nil"/>
                    <w:tr2bl w:val="nil"/>
                  </w:tcBorders>
                  <w:noWrap w:val="0"/>
                  <w:vAlign w:val="center"/>
                </w:tcPr>
                <w:p w14:paraId="3FCBD09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产生量t/a</w:t>
                  </w:r>
                </w:p>
              </w:tc>
              <w:tc>
                <w:tcPr>
                  <w:tcW w:w="594" w:type="pct"/>
                  <w:tcBorders>
                    <w:tl2br w:val="nil"/>
                    <w:tr2bl w:val="nil"/>
                  </w:tcBorders>
                  <w:noWrap w:val="0"/>
                  <w:vAlign w:val="center"/>
                </w:tcPr>
                <w:p w14:paraId="2CDC4CF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贮存位置</w:t>
                  </w:r>
                </w:p>
              </w:tc>
            </w:tr>
            <w:tr w14:paraId="4C2DA1A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36B13741">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lang w:val="en-US" w:eastAsia="zh-CN"/>
                    </w:rPr>
                    <w:t>含有机溶剂废物</w:t>
                  </w:r>
                </w:p>
              </w:tc>
              <w:tc>
                <w:tcPr>
                  <w:tcW w:w="334" w:type="pct"/>
                  <w:vMerge w:val="restart"/>
                  <w:tcBorders>
                    <w:tl2br w:val="nil"/>
                    <w:tr2bl w:val="nil"/>
                  </w:tcBorders>
                  <w:noWrap w:val="0"/>
                  <w:vAlign w:val="center"/>
                </w:tcPr>
                <w:p w14:paraId="0A49721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危险废物</w:t>
                  </w:r>
                </w:p>
              </w:tc>
              <w:tc>
                <w:tcPr>
                  <w:tcW w:w="508" w:type="pct"/>
                  <w:tcBorders>
                    <w:tl2br w:val="nil"/>
                    <w:tr2bl w:val="nil"/>
                  </w:tcBorders>
                  <w:noWrap w:val="0"/>
                  <w:vAlign w:val="center"/>
                </w:tcPr>
                <w:p w14:paraId="0FB4E1F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HW06</w:t>
                  </w:r>
                </w:p>
              </w:tc>
              <w:tc>
                <w:tcPr>
                  <w:tcW w:w="741" w:type="pct"/>
                  <w:tcBorders>
                    <w:tl2br w:val="nil"/>
                    <w:tr2bl w:val="nil"/>
                  </w:tcBorders>
                  <w:noWrap w:val="0"/>
                  <w:vAlign w:val="center"/>
                </w:tcPr>
                <w:p w14:paraId="4781773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900-404-06</w:t>
                  </w:r>
                </w:p>
              </w:tc>
              <w:tc>
                <w:tcPr>
                  <w:tcW w:w="545" w:type="pct"/>
                  <w:tcBorders>
                    <w:tl2br w:val="nil"/>
                    <w:tr2bl w:val="nil"/>
                  </w:tcBorders>
                  <w:noWrap w:val="0"/>
                  <w:vAlign w:val="center"/>
                </w:tcPr>
                <w:p w14:paraId="1F753B4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有机溶剂</w:t>
                  </w:r>
                </w:p>
              </w:tc>
              <w:tc>
                <w:tcPr>
                  <w:tcW w:w="407" w:type="pct"/>
                  <w:tcBorders>
                    <w:tl2br w:val="nil"/>
                    <w:tr2bl w:val="nil"/>
                  </w:tcBorders>
                  <w:noWrap w:val="0"/>
                  <w:vAlign w:val="center"/>
                </w:tcPr>
                <w:p w14:paraId="6D02BEA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液态</w:t>
                  </w:r>
                </w:p>
              </w:tc>
              <w:tc>
                <w:tcPr>
                  <w:tcW w:w="413" w:type="pct"/>
                  <w:tcBorders>
                    <w:tl2br w:val="nil"/>
                    <w:tr2bl w:val="nil"/>
                  </w:tcBorders>
                  <w:noWrap w:val="0"/>
                  <w:vAlign w:val="center"/>
                </w:tcPr>
                <w:p w14:paraId="14C9833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T,l,R</w:t>
                  </w:r>
                </w:p>
              </w:tc>
              <w:tc>
                <w:tcPr>
                  <w:tcW w:w="466" w:type="pct"/>
                  <w:tcBorders>
                    <w:tl2br w:val="nil"/>
                    <w:tr2bl w:val="nil"/>
                  </w:tcBorders>
                  <w:noWrap w:val="0"/>
                  <w:vAlign w:val="center"/>
                </w:tcPr>
                <w:p w14:paraId="4D6D9A6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30.3</w:t>
                  </w:r>
                </w:p>
              </w:tc>
              <w:tc>
                <w:tcPr>
                  <w:tcW w:w="594" w:type="pct"/>
                  <w:vMerge w:val="restart"/>
                  <w:tcBorders>
                    <w:tl2br w:val="nil"/>
                    <w:tr2bl w:val="nil"/>
                  </w:tcBorders>
                  <w:noWrap w:val="0"/>
                  <w:vAlign w:val="center"/>
                </w:tcPr>
                <w:p w14:paraId="3757077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危废贮存</w:t>
                  </w:r>
                  <w:r>
                    <w:rPr>
                      <w:rFonts w:hint="eastAsia" w:ascii="Times New Roman" w:hAnsi="Times New Roman" w:cs="Times New Roman"/>
                      <w:color w:val="auto"/>
                      <w:kern w:val="2"/>
                      <w:sz w:val="21"/>
                      <w:szCs w:val="21"/>
                      <w:highlight w:val="none"/>
                      <w:lang w:val="en-US" w:eastAsia="zh-CN" w:bidi="ar"/>
                    </w:rPr>
                    <w:t>库中的</w:t>
                  </w:r>
                  <w:r>
                    <w:rPr>
                      <w:rFonts w:hint="default" w:ascii="Times New Roman" w:hAnsi="Times New Roman" w:eastAsia="宋体" w:cs="Times New Roman"/>
                      <w:color w:val="auto"/>
                      <w:kern w:val="2"/>
                      <w:sz w:val="21"/>
                      <w:szCs w:val="21"/>
                      <w:highlight w:val="none"/>
                      <w:lang w:val="en-US" w:eastAsia="zh-CN" w:bidi="ar"/>
                    </w:rPr>
                    <w:t>废</w:t>
                  </w:r>
                  <w:r>
                    <w:rPr>
                      <w:rFonts w:hint="eastAsia" w:ascii="Times New Roman" w:hAnsi="Times New Roman" w:cs="Times New Roman"/>
                      <w:color w:val="auto"/>
                      <w:kern w:val="2"/>
                      <w:sz w:val="21"/>
                      <w:szCs w:val="21"/>
                      <w:highlight w:val="none"/>
                      <w:lang w:val="en-US" w:eastAsia="zh-CN" w:bidi="ar"/>
                    </w:rPr>
                    <w:t>油</w:t>
                  </w:r>
                  <w:r>
                    <w:rPr>
                      <w:rFonts w:hint="default" w:ascii="Times New Roman" w:hAnsi="Times New Roman" w:eastAsia="宋体" w:cs="Times New Roman"/>
                      <w:color w:val="auto"/>
                      <w:kern w:val="2"/>
                      <w:sz w:val="21"/>
                      <w:szCs w:val="21"/>
                      <w:highlight w:val="none"/>
                      <w:lang w:val="en-US" w:eastAsia="zh-CN" w:bidi="ar"/>
                    </w:rPr>
                    <w:t>液贮存</w:t>
                  </w:r>
                  <w:r>
                    <w:rPr>
                      <w:rFonts w:hint="eastAsia" w:ascii="Times New Roman" w:hAnsi="Times New Roman" w:cs="Times New Roman"/>
                      <w:color w:val="auto"/>
                      <w:kern w:val="2"/>
                      <w:sz w:val="21"/>
                      <w:szCs w:val="21"/>
                      <w:highlight w:val="none"/>
                      <w:lang w:val="en-US" w:eastAsia="zh-CN" w:bidi="ar"/>
                    </w:rPr>
                    <w:t>区</w:t>
                  </w:r>
                </w:p>
              </w:tc>
            </w:tr>
            <w:tr w14:paraId="0423C9E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445AC242">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废矿物油与含油废物</w:t>
                  </w:r>
                </w:p>
              </w:tc>
              <w:tc>
                <w:tcPr>
                  <w:tcW w:w="334" w:type="pct"/>
                  <w:vMerge w:val="continue"/>
                  <w:tcBorders>
                    <w:tl2br w:val="nil"/>
                    <w:tr2bl w:val="nil"/>
                  </w:tcBorders>
                  <w:noWrap w:val="0"/>
                  <w:vAlign w:val="center"/>
                </w:tcPr>
                <w:p w14:paraId="04E1D9A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4ED5CDC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HW08</w:t>
                  </w:r>
                </w:p>
              </w:tc>
              <w:tc>
                <w:tcPr>
                  <w:tcW w:w="741" w:type="pct"/>
                  <w:tcBorders>
                    <w:tl2br w:val="nil"/>
                    <w:tr2bl w:val="nil"/>
                  </w:tcBorders>
                  <w:noWrap w:val="0"/>
                  <w:vAlign w:val="center"/>
                </w:tcPr>
                <w:p w14:paraId="0CA751E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900-199-08</w:t>
                  </w:r>
                </w:p>
              </w:tc>
              <w:tc>
                <w:tcPr>
                  <w:tcW w:w="545" w:type="pct"/>
                  <w:tcBorders>
                    <w:tl2br w:val="nil"/>
                    <w:tr2bl w:val="nil"/>
                  </w:tcBorders>
                  <w:noWrap w:val="0"/>
                  <w:vAlign w:val="center"/>
                </w:tcPr>
                <w:p w14:paraId="1385BD3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柴油汽油</w:t>
                  </w:r>
                </w:p>
              </w:tc>
              <w:tc>
                <w:tcPr>
                  <w:tcW w:w="407" w:type="pct"/>
                  <w:tcBorders>
                    <w:tl2br w:val="nil"/>
                    <w:tr2bl w:val="nil"/>
                  </w:tcBorders>
                  <w:noWrap w:val="0"/>
                  <w:vAlign w:val="center"/>
                </w:tcPr>
                <w:p w14:paraId="3E9B150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液态</w:t>
                  </w:r>
                </w:p>
              </w:tc>
              <w:tc>
                <w:tcPr>
                  <w:tcW w:w="413" w:type="pct"/>
                  <w:tcBorders>
                    <w:tl2br w:val="nil"/>
                    <w:tr2bl w:val="nil"/>
                  </w:tcBorders>
                  <w:noWrap w:val="0"/>
                  <w:vAlign w:val="center"/>
                </w:tcPr>
                <w:p w14:paraId="754A8555">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T,l</w:t>
                  </w:r>
                </w:p>
              </w:tc>
              <w:tc>
                <w:tcPr>
                  <w:tcW w:w="466" w:type="pct"/>
                  <w:tcBorders>
                    <w:tl2br w:val="nil"/>
                    <w:tr2bl w:val="nil"/>
                  </w:tcBorders>
                  <w:noWrap w:val="0"/>
                  <w:vAlign w:val="center"/>
                </w:tcPr>
                <w:p w14:paraId="4C7023C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103.45</w:t>
                  </w:r>
                </w:p>
              </w:tc>
              <w:tc>
                <w:tcPr>
                  <w:tcW w:w="594" w:type="pct"/>
                  <w:vMerge w:val="continue"/>
                  <w:tcBorders>
                    <w:tl2br w:val="nil"/>
                    <w:tr2bl w:val="nil"/>
                  </w:tcBorders>
                  <w:noWrap w:val="0"/>
                  <w:vAlign w:val="center"/>
                </w:tcPr>
                <w:p w14:paraId="3C9329C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120275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58470C8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废铅蓄电池</w:t>
                  </w:r>
                </w:p>
              </w:tc>
              <w:tc>
                <w:tcPr>
                  <w:tcW w:w="334" w:type="pct"/>
                  <w:vMerge w:val="continue"/>
                  <w:tcBorders>
                    <w:tl2br w:val="nil"/>
                    <w:tr2bl w:val="nil"/>
                  </w:tcBorders>
                  <w:noWrap w:val="0"/>
                  <w:vAlign w:val="center"/>
                </w:tcPr>
                <w:p w14:paraId="22C18E9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5DD9204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HW31</w:t>
                  </w:r>
                </w:p>
              </w:tc>
              <w:tc>
                <w:tcPr>
                  <w:tcW w:w="741" w:type="pct"/>
                  <w:tcBorders>
                    <w:tl2br w:val="nil"/>
                    <w:tr2bl w:val="nil"/>
                  </w:tcBorders>
                  <w:noWrap w:val="0"/>
                  <w:vAlign w:val="center"/>
                </w:tcPr>
                <w:p w14:paraId="669A5E2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900-052-31</w:t>
                  </w:r>
                </w:p>
              </w:tc>
              <w:tc>
                <w:tcPr>
                  <w:tcW w:w="545" w:type="pct"/>
                  <w:tcBorders>
                    <w:tl2br w:val="nil"/>
                    <w:tr2bl w:val="nil"/>
                  </w:tcBorders>
                  <w:noWrap w:val="0"/>
                  <w:vAlign w:val="center"/>
                </w:tcPr>
                <w:p w14:paraId="0A17319C">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铅膏、铅</w:t>
                  </w:r>
                </w:p>
                <w:p w14:paraId="6978A49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板、酸液</w:t>
                  </w:r>
                </w:p>
              </w:tc>
              <w:tc>
                <w:tcPr>
                  <w:tcW w:w="407" w:type="pct"/>
                  <w:tcBorders>
                    <w:tl2br w:val="nil"/>
                    <w:tr2bl w:val="nil"/>
                  </w:tcBorders>
                  <w:noWrap w:val="0"/>
                  <w:vAlign w:val="center"/>
                </w:tcPr>
                <w:p w14:paraId="55DBF31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2FB4551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T,C</w:t>
                  </w:r>
                </w:p>
              </w:tc>
              <w:tc>
                <w:tcPr>
                  <w:tcW w:w="466" w:type="pct"/>
                  <w:tcBorders>
                    <w:tl2br w:val="nil"/>
                    <w:tr2bl w:val="nil"/>
                  </w:tcBorders>
                  <w:noWrap w:val="0"/>
                  <w:vAlign w:val="center"/>
                </w:tcPr>
                <w:p w14:paraId="0044187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153.5</w:t>
                  </w:r>
                </w:p>
              </w:tc>
              <w:tc>
                <w:tcPr>
                  <w:tcW w:w="594" w:type="pct"/>
                  <w:tcBorders>
                    <w:tl2br w:val="nil"/>
                    <w:tr2bl w:val="nil"/>
                  </w:tcBorders>
                  <w:noWrap w:val="0"/>
                  <w:vAlign w:val="center"/>
                </w:tcPr>
                <w:p w14:paraId="61DABDF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危废贮存</w:t>
                  </w:r>
                  <w:r>
                    <w:rPr>
                      <w:rFonts w:hint="eastAsia" w:ascii="Times New Roman" w:hAnsi="Times New Roman" w:cs="Times New Roman"/>
                      <w:color w:val="auto"/>
                      <w:kern w:val="2"/>
                      <w:sz w:val="21"/>
                      <w:szCs w:val="21"/>
                      <w:highlight w:val="none"/>
                      <w:lang w:val="en-US" w:eastAsia="zh-CN" w:bidi="ar"/>
                    </w:rPr>
                    <w:t>库中的废</w:t>
                  </w:r>
                  <w:r>
                    <w:rPr>
                      <w:rFonts w:hint="default" w:ascii="Times New Roman" w:hAnsi="Times New Roman" w:eastAsia="宋体" w:cs="Times New Roman"/>
                      <w:color w:val="auto"/>
                      <w:kern w:val="2"/>
                      <w:sz w:val="21"/>
                      <w:szCs w:val="21"/>
                      <w:highlight w:val="none"/>
                      <w:lang w:val="en-US" w:eastAsia="zh-CN" w:bidi="ar"/>
                    </w:rPr>
                    <w:t>铅蓄电池贮存</w:t>
                  </w:r>
                  <w:r>
                    <w:rPr>
                      <w:rFonts w:hint="eastAsia" w:ascii="Times New Roman" w:hAnsi="Times New Roman" w:cs="Times New Roman"/>
                      <w:color w:val="auto"/>
                      <w:kern w:val="2"/>
                      <w:sz w:val="21"/>
                      <w:szCs w:val="21"/>
                      <w:highlight w:val="none"/>
                      <w:lang w:val="en-US" w:eastAsia="zh-CN" w:bidi="ar"/>
                    </w:rPr>
                    <w:t>区</w:t>
                  </w:r>
                </w:p>
              </w:tc>
            </w:tr>
            <w:tr w14:paraId="2E2D3E3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054B837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废电路板及元器件</w:t>
                  </w:r>
                </w:p>
              </w:tc>
              <w:tc>
                <w:tcPr>
                  <w:tcW w:w="334" w:type="pct"/>
                  <w:vMerge w:val="continue"/>
                  <w:tcBorders>
                    <w:tl2br w:val="nil"/>
                    <w:tr2bl w:val="nil"/>
                  </w:tcBorders>
                  <w:noWrap w:val="0"/>
                  <w:vAlign w:val="center"/>
                </w:tcPr>
                <w:p w14:paraId="6A24AB6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23DFC40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HW49</w:t>
                  </w:r>
                </w:p>
              </w:tc>
              <w:tc>
                <w:tcPr>
                  <w:tcW w:w="741" w:type="pct"/>
                  <w:tcBorders>
                    <w:tl2br w:val="nil"/>
                    <w:tr2bl w:val="nil"/>
                  </w:tcBorders>
                  <w:noWrap w:val="0"/>
                  <w:vAlign w:val="center"/>
                </w:tcPr>
                <w:p w14:paraId="342ECCB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900-045-49</w:t>
                  </w:r>
                </w:p>
              </w:tc>
              <w:tc>
                <w:tcPr>
                  <w:tcW w:w="545" w:type="pct"/>
                  <w:tcBorders>
                    <w:tl2br w:val="nil"/>
                    <w:tr2bl w:val="nil"/>
                  </w:tcBorders>
                  <w:noWrap w:val="0"/>
                  <w:vAlign w:val="center"/>
                </w:tcPr>
                <w:p w14:paraId="252D9DF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电解液</w:t>
                  </w:r>
                </w:p>
              </w:tc>
              <w:tc>
                <w:tcPr>
                  <w:tcW w:w="407" w:type="pct"/>
                  <w:tcBorders>
                    <w:tl2br w:val="nil"/>
                    <w:tr2bl w:val="nil"/>
                  </w:tcBorders>
                  <w:noWrap w:val="0"/>
                  <w:vAlign w:val="center"/>
                </w:tcPr>
                <w:p w14:paraId="21D87CC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376FE8A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w:t>
                  </w:r>
                </w:p>
              </w:tc>
              <w:tc>
                <w:tcPr>
                  <w:tcW w:w="466" w:type="pct"/>
                  <w:tcBorders>
                    <w:tl2br w:val="nil"/>
                    <w:tr2bl w:val="nil"/>
                  </w:tcBorders>
                  <w:noWrap w:val="0"/>
                  <w:vAlign w:val="center"/>
                </w:tcPr>
                <w:p w14:paraId="3A300D0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30.3</w:t>
                  </w:r>
                </w:p>
              </w:tc>
              <w:tc>
                <w:tcPr>
                  <w:tcW w:w="594" w:type="pct"/>
                  <w:vMerge w:val="restart"/>
                  <w:tcBorders>
                    <w:tl2br w:val="nil"/>
                    <w:tr2bl w:val="nil"/>
                  </w:tcBorders>
                  <w:noWrap w:val="0"/>
                  <w:vAlign w:val="center"/>
                </w:tcPr>
                <w:p w14:paraId="6008505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危废贮存</w:t>
                  </w:r>
                  <w:r>
                    <w:rPr>
                      <w:rFonts w:hint="eastAsia" w:ascii="Times New Roman" w:hAnsi="Times New Roman" w:cs="Times New Roman"/>
                      <w:color w:val="auto"/>
                      <w:kern w:val="2"/>
                      <w:sz w:val="21"/>
                      <w:szCs w:val="21"/>
                      <w:highlight w:val="none"/>
                      <w:lang w:val="en-US" w:eastAsia="zh-CN" w:bidi="ar"/>
                    </w:rPr>
                    <w:t>库</w:t>
                  </w:r>
                </w:p>
              </w:tc>
            </w:tr>
            <w:tr w14:paraId="4B84FAC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058E3C3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废尾气催化剂</w:t>
                  </w:r>
                </w:p>
              </w:tc>
              <w:tc>
                <w:tcPr>
                  <w:tcW w:w="334" w:type="pct"/>
                  <w:vMerge w:val="continue"/>
                  <w:tcBorders>
                    <w:tl2br w:val="nil"/>
                    <w:tr2bl w:val="nil"/>
                  </w:tcBorders>
                  <w:noWrap w:val="0"/>
                  <w:vAlign w:val="center"/>
                </w:tcPr>
                <w:p w14:paraId="535AD8E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523929B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HW50</w:t>
                  </w:r>
                </w:p>
              </w:tc>
              <w:tc>
                <w:tcPr>
                  <w:tcW w:w="741" w:type="pct"/>
                  <w:tcBorders>
                    <w:tl2br w:val="nil"/>
                    <w:tr2bl w:val="nil"/>
                  </w:tcBorders>
                  <w:noWrap w:val="0"/>
                  <w:vAlign w:val="center"/>
                </w:tcPr>
                <w:p w14:paraId="119EF61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900-049-50</w:t>
                  </w:r>
                </w:p>
              </w:tc>
              <w:tc>
                <w:tcPr>
                  <w:tcW w:w="545" w:type="pct"/>
                  <w:tcBorders>
                    <w:tl2br w:val="nil"/>
                    <w:tr2bl w:val="nil"/>
                  </w:tcBorders>
                  <w:noWrap w:val="0"/>
                  <w:vAlign w:val="center"/>
                </w:tcPr>
                <w:p w14:paraId="55C6844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催化剂</w:t>
                  </w:r>
                </w:p>
              </w:tc>
              <w:tc>
                <w:tcPr>
                  <w:tcW w:w="407" w:type="pct"/>
                  <w:tcBorders>
                    <w:tl2br w:val="nil"/>
                    <w:tr2bl w:val="nil"/>
                  </w:tcBorders>
                  <w:noWrap w:val="0"/>
                  <w:vAlign w:val="center"/>
                </w:tcPr>
                <w:p w14:paraId="0BE5F2F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1AD27DC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w:t>
                  </w:r>
                </w:p>
              </w:tc>
              <w:tc>
                <w:tcPr>
                  <w:tcW w:w="466" w:type="pct"/>
                  <w:tcBorders>
                    <w:tl2br w:val="nil"/>
                    <w:tr2bl w:val="nil"/>
                  </w:tcBorders>
                  <w:noWrap w:val="0"/>
                  <w:vAlign w:val="center"/>
                </w:tcPr>
                <w:p w14:paraId="6D1FC31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w:t>
                  </w:r>
                </w:p>
              </w:tc>
              <w:tc>
                <w:tcPr>
                  <w:tcW w:w="594" w:type="pct"/>
                  <w:vMerge w:val="continue"/>
                  <w:tcBorders>
                    <w:tl2br w:val="nil"/>
                    <w:tr2bl w:val="nil"/>
                  </w:tcBorders>
                  <w:noWrap w:val="0"/>
                  <w:vAlign w:val="center"/>
                </w:tcPr>
                <w:p w14:paraId="542AA82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B0B018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558A87A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废机油滤清器</w:t>
                  </w:r>
                </w:p>
              </w:tc>
              <w:tc>
                <w:tcPr>
                  <w:tcW w:w="334" w:type="pct"/>
                  <w:vMerge w:val="continue"/>
                  <w:tcBorders>
                    <w:tl2br w:val="nil"/>
                    <w:tr2bl w:val="nil"/>
                  </w:tcBorders>
                  <w:noWrap w:val="0"/>
                  <w:vAlign w:val="center"/>
                </w:tcPr>
                <w:p w14:paraId="2D9C7F9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358DA4A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HW49</w:t>
                  </w:r>
                </w:p>
              </w:tc>
              <w:tc>
                <w:tcPr>
                  <w:tcW w:w="741" w:type="pct"/>
                  <w:tcBorders>
                    <w:tl2br w:val="nil"/>
                    <w:tr2bl w:val="nil"/>
                  </w:tcBorders>
                  <w:noWrap w:val="0"/>
                  <w:vAlign w:val="center"/>
                </w:tcPr>
                <w:p w14:paraId="5A96031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900-041-49</w:t>
                  </w:r>
                </w:p>
              </w:tc>
              <w:tc>
                <w:tcPr>
                  <w:tcW w:w="545" w:type="pct"/>
                  <w:tcBorders>
                    <w:tl2br w:val="nil"/>
                    <w:tr2bl w:val="nil"/>
                  </w:tcBorders>
                  <w:noWrap w:val="0"/>
                  <w:vAlign w:val="center"/>
                </w:tcPr>
                <w:p w14:paraId="2461CF9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矿物油</w:t>
                  </w:r>
                </w:p>
              </w:tc>
              <w:tc>
                <w:tcPr>
                  <w:tcW w:w="407" w:type="pct"/>
                  <w:tcBorders>
                    <w:tl2br w:val="nil"/>
                    <w:tr2bl w:val="nil"/>
                  </w:tcBorders>
                  <w:noWrap w:val="0"/>
                  <w:vAlign w:val="center"/>
                </w:tcPr>
                <w:p w14:paraId="693776F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6E66F22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T,l</w:t>
                  </w:r>
                </w:p>
              </w:tc>
              <w:tc>
                <w:tcPr>
                  <w:tcW w:w="466" w:type="pct"/>
                  <w:tcBorders>
                    <w:tl2br w:val="nil"/>
                    <w:tr2bl w:val="nil"/>
                  </w:tcBorders>
                  <w:noWrap w:val="0"/>
                  <w:vAlign w:val="center"/>
                </w:tcPr>
                <w:p w14:paraId="507EDBF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5.9</w:t>
                  </w:r>
                </w:p>
              </w:tc>
              <w:tc>
                <w:tcPr>
                  <w:tcW w:w="594" w:type="pct"/>
                  <w:vMerge w:val="continue"/>
                  <w:tcBorders>
                    <w:tl2br w:val="nil"/>
                    <w:tr2bl w:val="nil"/>
                  </w:tcBorders>
                  <w:noWrap w:val="0"/>
                  <w:vAlign w:val="center"/>
                </w:tcPr>
                <w:p w14:paraId="4945E7C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505E8C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6ED6000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废油箱</w:t>
                  </w:r>
                </w:p>
              </w:tc>
              <w:tc>
                <w:tcPr>
                  <w:tcW w:w="334" w:type="pct"/>
                  <w:vMerge w:val="continue"/>
                  <w:tcBorders>
                    <w:tl2br w:val="nil"/>
                    <w:tr2bl w:val="nil"/>
                  </w:tcBorders>
                  <w:noWrap w:val="0"/>
                  <w:vAlign w:val="center"/>
                </w:tcPr>
                <w:p w14:paraId="368984C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0F47BEB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HW08</w:t>
                  </w:r>
                </w:p>
              </w:tc>
              <w:tc>
                <w:tcPr>
                  <w:tcW w:w="741" w:type="pct"/>
                  <w:tcBorders>
                    <w:tl2br w:val="nil"/>
                    <w:tr2bl w:val="nil"/>
                  </w:tcBorders>
                  <w:noWrap w:val="0"/>
                  <w:vAlign w:val="center"/>
                </w:tcPr>
                <w:p w14:paraId="093153D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900-249-08</w:t>
                  </w:r>
                </w:p>
              </w:tc>
              <w:tc>
                <w:tcPr>
                  <w:tcW w:w="545" w:type="pct"/>
                  <w:tcBorders>
                    <w:tl2br w:val="nil"/>
                    <w:tr2bl w:val="nil"/>
                  </w:tcBorders>
                  <w:noWrap w:val="0"/>
                  <w:vAlign w:val="center"/>
                </w:tcPr>
                <w:p w14:paraId="69BB8050">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矿物油</w:t>
                  </w:r>
                </w:p>
              </w:tc>
              <w:tc>
                <w:tcPr>
                  <w:tcW w:w="407" w:type="pct"/>
                  <w:tcBorders>
                    <w:tl2br w:val="nil"/>
                    <w:tr2bl w:val="nil"/>
                  </w:tcBorders>
                  <w:noWrap w:val="0"/>
                  <w:vAlign w:val="center"/>
                </w:tcPr>
                <w:p w14:paraId="1374CAFA">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780C753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T,l</w:t>
                  </w:r>
                </w:p>
              </w:tc>
              <w:tc>
                <w:tcPr>
                  <w:tcW w:w="466" w:type="pct"/>
                  <w:tcBorders>
                    <w:tl2br w:val="nil"/>
                    <w:tr2bl w:val="nil"/>
                  </w:tcBorders>
                  <w:noWrap w:val="0"/>
                  <w:vAlign w:val="center"/>
                </w:tcPr>
                <w:p w14:paraId="18FEF70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18</w:t>
                  </w:r>
                </w:p>
              </w:tc>
              <w:tc>
                <w:tcPr>
                  <w:tcW w:w="594" w:type="pct"/>
                  <w:vMerge w:val="continue"/>
                  <w:tcBorders>
                    <w:tl2br w:val="nil"/>
                    <w:tr2bl w:val="nil"/>
                  </w:tcBorders>
                  <w:noWrap w:val="0"/>
                  <w:vAlign w:val="center"/>
                </w:tcPr>
                <w:p w14:paraId="021854E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3B3C58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378333A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含油手套抹布</w:t>
                  </w:r>
                </w:p>
              </w:tc>
              <w:tc>
                <w:tcPr>
                  <w:tcW w:w="334" w:type="pct"/>
                  <w:vMerge w:val="continue"/>
                  <w:tcBorders>
                    <w:tl2br w:val="nil"/>
                    <w:tr2bl w:val="nil"/>
                  </w:tcBorders>
                  <w:noWrap w:val="0"/>
                  <w:vAlign w:val="center"/>
                </w:tcPr>
                <w:p w14:paraId="78E8354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570DA12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HW49</w:t>
                  </w:r>
                </w:p>
              </w:tc>
              <w:tc>
                <w:tcPr>
                  <w:tcW w:w="741" w:type="pct"/>
                  <w:tcBorders>
                    <w:tl2br w:val="nil"/>
                    <w:tr2bl w:val="nil"/>
                  </w:tcBorders>
                  <w:noWrap w:val="0"/>
                  <w:vAlign w:val="center"/>
                </w:tcPr>
                <w:p w14:paraId="75602A7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900-041-49</w:t>
                  </w:r>
                </w:p>
              </w:tc>
              <w:tc>
                <w:tcPr>
                  <w:tcW w:w="545" w:type="pct"/>
                  <w:tcBorders>
                    <w:tl2br w:val="nil"/>
                    <w:tr2bl w:val="nil"/>
                  </w:tcBorders>
                  <w:noWrap w:val="0"/>
                  <w:vAlign w:val="center"/>
                </w:tcPr>
                <w:p w14:paraId="04CA158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矿物油</w:t>
                  </w:r>
                </w:p>
              </w:tc>
              <w:tc>
                <w:tcPr>
                  <w:tcW w:w="407" w:type="pct"/>
                  <w:tcBorders>
                    <w:tl2br w:val="nil"/>
                    <w:tr2bl w:val="nil"/>
                  </w:tcBorders>
                  <w:noWrap w:val="0"/>
                  <w:vAlign w:val="center"/>
                </w:tcPr>
                <w:p w14:paraId="410734D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4186394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T,l</w:t>
                  </w:r>
                </w:p>
              </w:tc>
              <w:tc>
                <w:tcPr>
                  <w:tcW w:w="466" w:type="pct"/>
                  <w:tcBorders>
                    <w:tl2br w:val="nil"/>
                    <w:tr2bl w:val="nil"/>
                  </w:tcBorders>
                  <w:noWrap w:val="0"/>
                  <w:vAlign w:val="center"/>
                </w:tcPr>
                <w:p w14:paraId="4331E80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0.5</w:t>
                  </w:r>
                </w:p>
              </w:tc>
              <w:tc>
                <w:tcPr>
                  <w:tcW w:w="594" w:type="pct"/>
                  <w:vMerge w:val="continue"/>
                  <w:tcBorders>
                    <w:tl2br w:val="nil"/>
                    <w:tr2bl w:val="nil"/>
                  </w:tcBorders>
                  <w:noWrap w:val="0"/>
                  <w:vAlign w:val="center"/>
                </w:tcPr>
                <w:p w14:paraId="209E424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82EA54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3F14459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废活性炭</w:t>
                  </w:r>
                </w:p>
              </w:tc>
              <w:tc>
                <w:tcPr>
                  <w:tcW w:w="334" w:type="pct"/>
                  <w:vMerge w:val="continue"/>
                  <w:tcBorders>
                    <w:tl2br w:val="nil"/>
                    <w:tr2bl w:val="nil"/>
                  </w:tcBorders>
                  <w:noWrap w:val="0"/>
                  <w:vAlign w:val="center"/>
                </w:tcPr>
                <w:p w14:paraId="3346D3F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noWrap w:val="0"/>
                  <w:vAlign w:val="center"/>
                </w:tcPr>
                <w:p w14:paraId="1700890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HW49</w:t>
                  </w:r>
                </w:p>
              </w:tc>
              <w:tc>
                <w:tcPr>
                  <w:tcW w:w="741" w:type="pct"/>
                  <w:tcBorders>
                    <w:tl2br w:val="nil"/>
                    <w:tr2bl w:val="nil"/>
                  </w:tcBorders>
                  <w:noWrap w:val="0"/>
                  <w:vAlign w:val="center"/>
                </w:tcPr>
                <w:p w14:paraId="0B63FD7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900-039-49</w:t>
                  </w:r>
                </w:p>
              </w:tc>
              <w:tc>
                <w:tcPr>
                  <w:tcW w:w="545" w:type="pct"/>
                  <w:tcBorders>
                    <w:tl2br w:val="nil"/>
                    <w:tr2bl w:val="nil"/>
                  </w:tcBorders>
                  <w:noWrap w:val="0"/>
                  <w:vAlign w:val="center"/>
                </w:tcPr>
                <w:p w14:paraId="4D07963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有机废气</w:t>
                  </w:r>
                </w:p>
              </w:tc>
              <w:tc>
                <w:tcPr>
                  <w:tcW w:w="407" w:type="pct"/>
                  <w:tcBorders>
                    <w:tl2br w:val="nil"/>
                    <w:tr2bl w:val="nil"/>
                  </w:tcBorders>
                  <w:noWrap w:val="0"/>
                  <w:vAlign w:val="center"/>
                </w:tcPr>
                <w:p w14:paraId="4D8CEAA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574BA99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w:t>
                  </w:r>
                </w:p>
              </w:tc>
              <w:tc>
                <w:tcPr>
                  <w:tcW w:w="466" w:type="pct"/>
                  <w:tcBorders>
                    <w:tl2br w:val="nil"/>
                    <w:tr2bl w:val="nil"/>
                  </w:tcBorders>
                  <w:noWrap w:val="0"/>
                  <w:vAlign w:val="center"/>
                </w:tcPr>
                <w:p w14:paraId="45D669A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1.334</w:t>
                  </w:r>
                </w:p>
              </w:tc>
              <w:tc>
                <w:tcPr>
                  <w:tcW w:w="594" w:type="pct"/>
                  <w:vMerge w:val="continue"/>
                  <w:tcBorders>
                    <w:tl2br w:val="nil"/>
                    <w:tr2bl w:val="nil"/>
                  </w:tcBorders>
                  <w:noWrap w:val="0"/>
                  <w:vAlign w:val="center"/>
                </w:tcPr>
                <w:p w14:paraId="56F2F61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34B6A73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shd w:val="clear" w:color="auto" w:fill="auto"/>
                  <w:noWrap w:val="0"/>
                  <w:vAlign w:val="center"/>
                </w:tcPr>
                <w:p w14:paraId="6E7D7EDA">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污水处理设施污泥</w:t>
                  </w:r>
                </w:p>
              </w:tc>
              <w:tc>
                <w:tcPr>
                  <w:tcW w:w="334" w:type="pct"/>
                  <w:vMerge w:val="continue"/>
                  <w:tcBorders>
                    <w:tl2br w:val="nil"/>
                    <w:tr2bl w:val="nil"/>
                  </w:tcBorders>
                  <w:shd w:val="clear" w:color="auto" w:fill="auto"/>
                  <w:noWrap w:val="0"/>
                  <w:vAlign w:val="center"/>
                </w:tcPr>
                <w:p w14:paraId="691E193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shd w:val="clear" w:color="auto" w:fill="auto"/>
                  <w:noWrap w:val="0"/>
                  <w:vAlign w:val="center"/>
                </w:tcPr>
                <w:p w14:paraId="3C8F350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HW08</w:t>
                  </w:r>
                </w:p>
              </w:tc>
              <w:tc>
                <w:tcPr>
                  <w:tcW w:w="741" w:type="pct"/>
                  <w:tcBorders>
                    <w:tl2br w:val="nil"/>
                    <w:tr2bl w:val="nil"/>
                  </w:tcBorders>
                  <w:shd w:val="clear" w:color="auto" w:fill="auto"/>
                  <w:noWrap w:val="0"/>
                  <w:vAlign w:val="center"/>
                </w:tcPr>
                <w:p w14:paraId="285AED27">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900-210-08</w:t>
                  </w:r>
                </w:p>
              </w:tc>
              <w:tc>
                <w:tcPr>
                  <w:tcW w:w="545" w:type="pct"/>
                  <w:tcBorders>
                    <w:tl2br w:val="nil"/>
                    <w:tr2bl w:val="nil"/>
                  </w:tcBorders>
                  <w:shd w:val="clear" w:color="auto" w:fill="auto"/>
                  <w:noWrap w:val="0"/>
                  <w:vAlign w:val="center"/>
                </w:tcPr>
                <w:p w14:paraId="6E29FD3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矿物油</w:t>
                  </w:r>
                </w:p>
              </w:tc>
              <w:tc>
                <w:tcPr>
                  <w:tcW w:w="407" w:type="pct"/>
                  <w:tcBorders>
                    <w:tl2br w:val="nil"/>
                    <w:tr2bl w:val="nil"/>
                  </w:tcBorders>
                  <w:shd w:val="clear" w:color="auto" w:fill="auto"/>
                  <w:noWrap w:val="0"/>
                  <w:vAlign w:val="center"/>
                </w:tcPr>
                <w:p w14:paraId="02C5DDD2">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液态</w:t>
                  </w:r>
                </w:p>
              </w:tc>
              <w:tc>
                <w:tcPr>
                  <w:tcW w:w="413" w:type="pct"/>
                  <w:tcBorders>
                    <w:tl2br w:val="nil"/>
                    <w:tr2bl w:val="nil"/>
                  </w:tcBorders>
                  <w:shd w:val="clear" w:color="auto" w:fill="auto"/>
                  <w:noWrap w:val="0"/>
                  <w:vAlign w:val="center"/>
                </w:tcPr>
                <w:p w14:paraId="3685AE5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T,l</w:t>
                  </w:r>
                </w:p>
              </w:tc>
              <w:tc>
                <w:tcPr>
                  <w:tcW w:w="466" w:type="pct"/>
                  <w:tcBorders>
                    <w:tl2br w:val="nil"/>
                    <w:tr2bl w:val="nil"/>
                  </w:tcBorders>
                  <w:shd w:val="clear" w:color="auto" w:fill="auto"/>
                  <w:noWrap w:val="0"/>
                  <w:vAlign w:val="center"/>
                </w:tcPr>
                <w:p w14:paraId="392753D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2</w:t>
                  </w:r>
                </w:p>
              </w:tc>
              <w:tc>
                <w:tcPr>
                  <w:tcW w:w="594" w:type="pct"/>
                  <w:vMerge w:val="continue"/>
                  <w:tcBorders>
                    <w:tl2br w:val="nil"/>
                    <w:tr2bl w:val="nil"/>
                  </w:tcBorders>
                  <w:noWrap w:val="0"/>
                  <w:vAlign w:val="center"/>
                </w:tcPr>
                <w:p w14:paraId="29D10ED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EB8E3F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shd w:val="clear" w:color="auto" w:fill="auto"/>
                  <w:noWrap w:val="0"/>
                  <w:vAlign w:val="center"/>
                </w:tcPr>
                <w:p w14:paraId="3DF7BCA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废动力电池</w:t>
                  </w:r>
                </w:p>
              </w:tc>
              <w:tc>
                <w:tcPr>
                  <w:tcW w:w="334" w:type="pct"/>
                  <w:vMerge w:val="continue"/>
                  <w:tcBorders>
                    <w:tl2br w:val="nil"/>
                    <w:tr2bl w:val="nil"/>
                  </w:tcBorders>
                  <w:shd w:val="clear" w:color="auto" w:fill="auto"/>
                  <w:noWrap w:val="0"/>
                  <w:vAlign w:val="center"/>
                </w:tcPr>
                <w:p w14:paraId="1372CD4B">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508" w:type="pct"/>
                  <w:tcBorders>
                    <w:tl2br w:val="nil"/>
                    <w:tr2bl w:val="nil"/>
                  </w:tcBorders>
                  <w:shd w:val="clear" w:color="auto" w:fill="auto"/>
                  <w:noWrap w:val="0"/>
                  <w:vAlign w:val="center"/>
                </w:tcPr>
                <w:p w14:paraId="4099CF0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HW31</w:t>
                  </w:r>
                </w:p>
              </w:tc>
              <w:tc>
                <w:tcPr>
                  <w:tcW w:w="741" w:type="pct"/>
                  <w:tcBorders>
                    <w:tl2br w:val="nil"/>
                    <w:tr2bl w:val="nil"/>
                  </w:tcBorders>
                  <w:shd w:val="clear" w:color="auto" w:fill="auto"/>
                  <w:noWrap w:val="0"/>
                  <w:vAlign w:val="center"/>
                </w:tcPr>
                <w:p w14:paraId="4A22AED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900-052-31</w:t>
                  </w:r>
                </w:p>
              </w:tc>
              <w:tc>
                <w:tcPr>
                  <w:tcW w:w="545" w:type="pct"/>
                  <w:tcBorders>
                    <w:tl2br w:val="nil"/>
                    <w:tr2bl w:val="nil"/>
                  </w:tcBorders>
                  <w:shd w:val="clear" w:color="auto" w:fill="auto"/>
                  <w:noWrap w:val="0"/>
                  <w:vAlign w:val="center"/>
                </w:tcPr>
                <w:p w14:paraId="7B47D4F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铅膏、铅</w:t>
                  </w:r>
                </w:p>
                <w:p w14:paraId="2CB1E5B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板、酸液</w:t>
                  </w:r>
                </w:p>
              </w:tc>
              <w:tc>
                <w:tcPr>
                  <w:tcW w:w="407" w:type="pct"/>
                  <w:tcBorders>
                    <w:tl2br w:val="nil"/>
                    <w:tr2bl w:val="nil"/>
                  </w:tcBorders>
                  <w:shd w:val="clear" w:color="auto" w:fill="auto"/>
                  <w:noWrap w:val="0"/>
                  <w:vAlign w:val="center"/>
                </w:tcPr>
                <w:p w14:paraId="404B2A50">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shd w:val="clear" w:color="auto" w:fill="auto"/>
                  <w:noWrap w:val="0"/>
                  <w:vAlign w:val="center"/>
                </w:tcPr>
                <w:p w14:paraId="71CD38A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T,C</w:t>
                  </w:r>
                </w:p>
              </w:tc>
              <w:tc>
                <w:tcPr>
                  <w:tcW w:w="466" w:type="pct"/>
                  <w:tcBorders>
                    <w:tl2br w:val="nil"/>
                    <w:tr2bl w:val="nil"/>
                  </w:tcBorders>
                  <w:shd w:val="clear" w:color="auto" w:fill="auto"/>
                  <w:noWrap w:val="0"/>
                  <w:vAlign w:val="center"/>
                </w:tcPr>
                <w:p w14:paraId="578D7DDC">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512.5</w:t>
                  </w:r>
                </w:p>
              </w:tc>
              <w:tc>
                <w:tcPr>
                  <w:tcW w:w="594" w:type="pct"/>
                  <w:tcBorders>
                    <w:tl2br w:val="nil"/>
                    <w:tr2bl w:val="nil"/>
                  </w:tcBorders>
                  <w:noWrap w:val="0"/>
                  <w:vAlign w:val="center"/>
                </w:tcPr>
                <w:p w14:paraId="3C27F45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危废贮存</w:t>
                  </w:r>
                  <w:r>
                    <w:rPr>
                      <w:rFonts w:hint="eastAsia" w:ascii="Times New Roman" w:hAnsi="Times New Roman" w:cs="Times New Roman"/>
                      <w:color w:val="auto"/>
                      <w:kern w:val="2"/>
                      <w:sz w:val="21"/>
                      <w:szCs w:val="21"/>
                      <w:highlight w:val="none"/>
                      <w:lang w:val="en-US" w:eastAsia="zh-CN" w:bidi="ar"/>
                    </w:rPr>
                    <w:t>库中的废</w:t>
                  </w:r>
                  <w:r>
                    <w:rPr>
                      <w:rFonts w:hint="eastAsia" w:ascii="Times New Roman" w:hAnsi="Times New Roman" w:eastAsia="宋体" w:cs="Times New Roman"/>
                      <w:color w:val="auto"/>
                      <w:kern w:val="2"/>
                      <w:sz w:val="21"/>
                      <w:szCs w:val="21"/>
                      <w:highlight w:val="none"/>
                      <w:lang w:val="en-US" w:eastAsia="zh-CN" w:bidi="ar"/>
                    </w:rPr>
                    <w:t>动力电池</w:t>
                  </w:r>
                  <w:r>
                    <w:rPr>
                      <w:rFonts w:hint="default" w:ascii="Times New Roman" w:hAnsi="Times New Roman" w:eastAsia="宋体" w:cs="Times New Roman"/>
                      <w:color w:val="auto"/>
                      <w:kern w:val="2"/>
                      <w:sz w:val="21"/>
                      <w:szCs w:val="21"/>
                      <w:highlight w:val="none"/>
                      <w:lang w:val="en-US" w:eastAsia="zh-CN" w:bidi="ar"/>
                    </w:rPr>
                    <w:t>电池贮存</w:t>
                  </w:r>
                  <w:r>
                    <w:rPr>
                      <w:rFonts w:hint="eastAsia" w:ascii="Times New Roman" w:hAnsi="Times New Roman" w:cs="Times New Roman"/>
                      <w:color w:val="auto"/>
                      <w:kern w:val="2"/>
                      <w:sz w:val="21"/>
                      <w:szCs w:val="21"/>
                      <w:highlight w:val="none"/>
                      <w:lang w:val="en-US" w:eastAsia="zh-CN" w:bidi="ar"/>
                    </w:rPr>
                    <w:t>区</w:t>
                  </w:r>
                </w:p>
              </w:tc>
            </w:tr>
            <w:tr w14:paraId="0D628EA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5D20007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废弃车用电子零部件</w:t>
                  </w:r>
                </w:p>
              </w:tc>
              <w:tc>
                <w:tcPr>
                  <w:tcW w:w="334" w:type="pct"/>
                  <w:vMerge w:val="restart"/>
                  <w:tcBorders>
                    <w:tl2br w:val="nil"/>
                    <w:tr2bl w:val="nil"/>
                  </w:tcBorders>
                  <w:noWrap w:val="0"/>
                  <w:vAlign w:val="center"/>
                </w:tcPr>
                <w:p w14:paraId="4BD9E897">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一般工业固体废物</w:t>
                  </w:r>
                </w:p>
              </w:tc>
              <w:tc>
                <w:tcPr>
                  <w:tcW w:w="1249" w:type="pct"/>
                  <w:gridSpan w:val="2"/>
                  <w:tcBorders>
                    <w:tl2br w:val="nil"/>
                    <w:tr2bl w:val="nil"/>
                  </w:tcBorders>
                  <w:noWrap w:val="0"/>
                  <w:vAlign w:val="center"/>
                </w:tcPr>
                <w:p w14:paraId="1345240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900-008-S17</w:t>
                  </w:r>
                </w:p>
              </w:tc>
              <w:tc>
                <w:tcPr>
                  <w:tcW w:w="545" w:type="pct"/>
                  <w:tcBorders>
                    <w:tl2br w:val="nil"/>
                    <w:tr2bl w:val="nil"/>
                  </w:tcBorders>
                  <w:noWrap w:val="0"/>
                  <w:vAlign w:val="center"/>
                </w:tcPr>
                <w:p w14:paraId="5EEE46B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noWrap w:val="0"/>
                  <w:vAlign w:val="center"/>
                </w:tcPr>
                <w:p w14:paraId="7AD56447">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413" w:type="pct"/>
                  <w:tcBorders>
                    <w:tl2br w:val="nil"/>
                    <w:tr2bl w:val="nil"/>
                  </w:tcBorders>
                  <w:noWrap w:val="0"/>
                  <w:vAlign w:val="center"/>
                </w:tcPr>
                <w:p w14:paraId="657DF16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20BCDB4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93.25</w:t>
                  </w:r>
                </w:p>
              </w:tc>
              <w:tc>
                <w:tcPr>
                  <w:tcW w:w="594" w:type="pct"/>
                  <w:vMerge w:val="restart"/>
                  <w:tcBorders>
                    <w:tl2br w:val="nil"/>
                    <w:tr2bl w:val="nil"/>
                  </w:tcBorders>
                  <w:noWrap w:val="0"/>
                  <w:vAlign w:val="center"/>
                </w:tcPr>
                <w:p w14:paraId="0AA862B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一般工业固废暂存库</w:t>
                  </w:r>
                </w:p>
              </w:tc>
            </w:tr>
            <w:tr w14:paraId="5BF4CDA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989" w:type="pct"/>
                  <w:tcBorders>
                    <w:tl2br w:val="nil"/>
                    <w:tr2bl w:val="nil"/>
                  </w:tcBorders>
                  <w:noWrap w:val="0"/>
                  <w:vAlign w:val="center"/>
                </w:tcPr>
                <w:p w14:paraId="1EDEB30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废安全气囊</w:t>
                  </w:r>
                </w:p>
              </w:tc>
              <w:tc>
                <w:tcPr>
                  <w:tcW w:w="334" w:type="pct"/>
                  <w:vMerge w:val="continue"/>
                  <w:tcBorders>
                    <w:tl2br w:val="nil"/>
                    <w:tr2bl w:val="nil"/>
                  </w:tcBorders>
                  <w:noWrap w:val="0"/>
                  <w:vAlign w:val="center"/>
                </w:tcPr>
                <w:p w14:paraId="09494040">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7F50066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900-007-S17</w:t>
                  </w:r>
                </w:p>
              </w:tc>
              <w:tc>
                <w:tcPr>
                  <w:tcW w:w="545" w:type="pct"/>
                  <w:tcBorders>
                    <w:tl2br w:val="nil"/>
                    <w:tr2bl w:val="nil"/>
                  </w:tcBorders>
                  <w:noWrap w:val="0"/>
                  <w:vAlign w:val="center"/>
                </w:tcPr>
                <w:p w14:paraId="515D474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noWrap w:val="0"/>
                  <w:vAlign w:val="center"/>
                </w:tcPr>
                <w:p w14:paraId="038760E1">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295B970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1E36B3C7">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16</w:t>
                  </w:r>
                </w:p>
              </w:tc>
              <w:tc>
                <w:tcPr>
                  <w:tcW w:w="594" w:type="pct"/>
                  <w:vMerge w:val="continue"/>
                  <w:tcBorders>
                    <w:tl2br w:val="nil"/>
                    <w:tr2bl w:val="nil"/>
                  </w:tcBorders>
                  <w:noWrap w:val="0"/>
                  <w:vAlign w:val="center"/>
                </w:tcPr>
                <w:p w14:paraId="3A2EF58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2763C68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25A8A3B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废尼龙布、废海绵、废皮革</w:t>
                  </w:r>
                </w:p>
              </w:tc>
              <w:tc>
                <w:tcPr>
                  <w:tcW w:w="334" w:type="pct"/>
                  <w:vMerge w:val="continue"/>
                  <w:tcBorders>
                    <w:tl2br w:val="nil"/>
                    <w:tr2bl w:val="nil"/>
                  </w:tcBorders>
                  <w:noWrap w:val="0"/>
                  <w:vAlign w:val="center"/>
                </w:tcPr>
                <w:p w14:paraId="3257DC1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70A2767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900-011-S17</w:t>
                  </w:r>
                </w:p>
              </w:tc>
              <w:tc>
                <w:tcPr>
                  <w:tcW w:w="545" w:type="pct"/>
                  <w:tcBorders>
                    <w:tl2br w:val="nil"/>
                    <w:tr2bl w:val="nil"/>
                  </w:tcBorders>
                  <w:noWrap w:val="0"/>
                  <w:vAlign w:val="center"/>
                </w:tcPr>
                <w:p w14:paraId="79A0B38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noWrap w:val="0"/>
                  <w:vAlign w:val="center"/>
                </w:tcPr>
                <w:p w14:paraId="6EF11451">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4CEBC56B">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29C6350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525.5</w:t>
                  </w:r>
                </w:p>
              </w:tc>
              <w:tc>
                <w:tcPr>
                  <w:tcW w:w="594" w:type="pct"/>
                  <w:vMerge w:val="continue"/>
                  <w:tcBorders>
                    <w:tl2br w:val="nil"/>
                    <w:tr2bl w:val="nil"/>
                  </w:tcBorders>
                  <w:noWrap w:val="0"/>
                  <w:vAlign w:val="center"/>
                </w:tcPr>
                <w:p w14:paraId="4F271F4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7EC4F37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1162720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废液化气罐</w:t>
                  </w:r>
                </w:p>
              </w:tc>
              <w:tc>
                <w:tcPr>
                  <w:tcW w:w="334" w:type="pct"/>
                  <w:vMerge w:val="continue"/>
                  <w:tcBorders>
                    <w:tl2br w:val="nil"/>
                    <w:tr2bl w:val="nil"/>
                  </w:tcBorders>
                  <w:noWrap w:val="0"/>
                  <w:vAlign w:val="center"/>
                </w:tcPr>
                <w:p w14:paraId="125C36B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54937F5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900-013-S17</w:t>
                  </w:r>
                </w:p>
              </w:tc>
              <w:tc>
                <w:tcPr>
                  <w:tcW w:w="545" w:type="pct"/>
                  <w:tcBorders>
                    <w:tl2br w:val="nil"/>
                    <w:tr2bl w:val="nil"/>
                  </w:tcBorders>
                  <w:noWrap w:val="0"/>
                  <w:vAlign w:val="center"/>
                </w:tcPr>
                <w:p w14:paraId="3E30D48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noWrap w:val="0"/>
                  <w:vAlign w:val="center"/>
                </w:tcPr>
                <w:p w14:paraId="43826E77">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29A5EA5B">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7E39591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49.5</w:t>
                  </w:r>
                </w:p>
              </w:tc>
              <w:tc>
                <w:tcPr>
                  <w:tcW w:w="594" w:type="pct"/>
                  <w:vMerge w:val="continue"/>
                  <w:tcBorders>
                    <w:tl2br w:val="nil"/>
                    <w:tr2bl w:val="nil"/>
                  </w:tcBorders>
                  <w:noWrap w:val="0"/>
                  <w:vAlign w:val="center"/>
                </w:tcPr>
                <w:p w14:paraId="0E5C392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A95CCF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0DB8FA1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其他不可利用物</w:t>
                  </w:r>
                </w:p>
              </w:tc>
              <w:tc>
                <w:tcPr>
                  <w:tcW w:w="334" w:type="pct"/>
                  <w:vMerge w:val="continue"/>
                  <w:tcBorders>
                    <w:tl2br w:val="nil"/>
                    <w:tr2bl w:val="nil"/>
                  </w:tcBorders>
                  <w:noWrap w:val="0"/>
                  <w:vAlign w:val="center"/>
                </w:tcPr>
                <w:p w14:paraId="45FA616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48E2ACC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900-099-S59</w:t>
                  </w:r>
                </w:p>
              </w:tc>
              <w:tc>
                <w:tcPr>
                  <w:tcW w:w="545" w:type="pct"/>
                  <w:tcBorders>
                    <w:tl2br w:val="nil"/>
                    <w:tr2bl w:val="nil"/>
                  </w:tcBorders>
                  <w:noWrap w:val="0"/>
                  <w:vAlign w:val="center"/>
                </w:tcPr>
                <w:p w14:paraId="19B485A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noWrap w:val="0"/>
                  <w:vAlign w:val="center"/>
                </w:tcPr>
                <w:p w14:paraId="3CBA9D8C">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16DED050">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1C0AD40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11</w:t>
                  </w:r>
                </w:p>
              </w:tc>
              <w:tc>
                <w:tcPr>
                  <w:tcW w:w="594" w:type="pct"/>
                  <w:vMerge w:val="continue"/>
                  <w:tcBorders>
                    <w:tl2br w:val="nil"/>
                    <w:tr2bl w:val="nil"/>
                  </w:tcBorders>
                  <w:noWrap w:val="0"/>
                  <w:vAlign w:val="center"/>
                </w:tcPr>
                <w:p w14:paraId="7030A1C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F75040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3705BD5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除尘灰</w:t>
                  </w:r>
                </w:p>
              </w:tc>
              <w:tc>
                <w:tcPr>
                  <w:tcW w:w="334" w:type="pct"/>
                  <w:vMerge w:val="continue"/>
                  <w:tcBorders>
                    <w:tl2br w:val="nil"/>
                    <w:tr2bl w:val="nil"/>
                  </w:tcBorders>
                  <w:noWrap w:val="0"/>
                  <w:vAlign w:val="center"/>
                </w:tcPr>
                <w:p w14:paraId="0094BFC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4C73988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900-099-S59</w:t>
                  </w:r>
                </w:p>
              </w:tc>
              <w:tc>
                <w:tcPr>
                  <w:tcW w:w="545" w:type="pct"/>
                  <w:tcBorders>
                    <w:tl2br w:val="nil"/>
                    <w:tr2bl w:val="nil"/>
                  </w:tcBorders>
                  <w:noWrap w:val="0"/>
                  <w:vAlign w:val="center"/>
                </w:tcPr>
                <w:p w14:paraId="2DDFCAE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noWrap w:val="0"/>
                  <w:vAlign w:val="center"/>
                </w:tcPr>
                <w:p w14:paraId="0D409F11">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01E282D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745D926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0.073</w:t>
                  </w:r>
                </w:p>
              </w:tc>
              <w:tc>
                <w:tcPr>
                  <w:tcW w:w="594" w:type="pct"/>
                  <w:vMerge w:val="continue"/>
                  <w:tcBorders>
                    <w:tl2br w:val="nil"/>
                    <w:tr2bl w:val="nil"/>
                  </w:tcBorders>
                  <w:noWrap w:val="0"/>
                  <w:vAlign w:val="center"/>
                </w:tcPr>
                <w:p w14:paraId="36D0164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0DC80E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15A8E60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废布袋</w:t>
                  </w:r>
                </w:p>
              </w:tc>
              <w:tc>
                <w:tcPr>
                  <w:tcW w:w="334" w:type="pct"/>
                  <w:vMerge w:val="continue"/>
                  <w:tcBorders>
                    <w:tl2br w:val="nil"/>
                    <w:tr2bl w:val="nil"/>
                  </w:tcBorders>
                  <w:noWrap w:val="0"/>
                  <w:vAlign w:val="center"/>
                </w:tcPr>
                <w:p w14:paraId="6332564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355535F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Times New Roman" w:cs="Times New Roman"/>
                      <w:color w:val="auto"/>
                      <w:spacing w:val="3"/>
                      <w:sz w:val="21"/>
                      <w:szCs w:val="21"/>
                      <w:highlight w:val="none"/>
                    </w:rPr>
                    <w:t>900-009-S59</w:t>
                  </w:r>
                </w:p>
              </w:tc>
              <w:tc>
                <w:tcPr>
                  <w:tcW w:w="545" w:type="pct"/>
                  <w:tcBorders>
                    <w:tl2br w:val="nil"/>
                    <w:tr2bl w:val="nil"/>
                  </w:tcBorders>
                  <w:noWrap w:val="0"/>
                  <w:vAlign w:val="center"/>
                </w:tcPr>
                <w:p w14:paraId="3563D37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shd w:val="clear" w:color="auto" w:fill="auto"/>
                  <w:noWrap w:val="0"/>
                  <w:vAlign w:val="center"/>
                </w:tcPr>
                <w:p w14:paraId="69724EF3">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shd w:val="clear" w:color="auto" w:fill="auto"/>
                  <w:noWrap w:val="0"/>
                  <w:vAlign w:val="center"/>
                </w:tcPr>
                <w:p w14:paraId="611FB4E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5AE2055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0.01</w:t>
                  </w:r>
                </w:p>
              </w:tc>
              <w:tc>
                <w:tcPr>
                  <w:tcW w:w="594" w:type="pct"/>
                  <w:vMerge w:val="continue"/>
                  <w:tcBorders>
                    <w:tl2br w:val="nil"/>
                    <w:tr2bl w:val="nil"/>
                  </w:tcBorders>
                  <w:noWrap w:val="0"/>
                  <w:vAlign w:val="center"/>
                </w:tcPr>
                <w:p w14:paraId="4E81FE1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0286AD8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586EF8F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隔油渣</w:t>
                  </w:r>
                </w:p>
              </w:tc>
              <w:tc>
                <w:tcPr>
                  <w:tcW w:w="334" w:type="pct"/>
                  <w:vMerge w:val="continue"/>
                  <w:tcBorders>
                    <w:tl2br w:val="nil"/>
                    <w:tr2bl w:val="nil"/>
                  </w:tcBorders>
                  <w:noWrap w:val="0"/>
                  <w:vAlign w:val="center"/>
                </w:tcPr>
                <w:p w14:paraId="527AD49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49" w:type="pct"/>
                  <w:gridSpan w:val="2"/>
                  <w:tcBorders>
                    <w:tl2br w:val="nil"/>
                    <w:tr2bl w:val="nil"/>
                  </w:tcBorders>
                  <w:noWrap w:val="0"/>
                  <w:vAlign w:val="center"/>
                </w:tcPr>
                <w:p w14:paraId="11E3C93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Times New Roman" w:cs="Times New Roman"/>
                      <w:color w:val="auto"/>
                      <w:spacing w:val="3"/>
                      <w:sz w:val="21"/>
                      <w:szCs w:val="21"/>
                      <w:highlight w:val="none"/>
                    </w:rPr>
                  </w:pPr>
                  <w:r>
                    <w:rPr>
                      <w:rFonts w:hint="default" w:ascii="Times New Roman" w:hAnsi="Times New Roman" w:eastAsia="Times New Roman" w:cs="Times New Roman"/>
                      <w:color w:val="auto"/>
                      <w:spacing w:val="3"/>
                      <w:sz w:val="21"/>
                      <w:szCs w:val="21"/>
                      <w:highlight w:val="none"/>
                    </w:rPr>
                    <w:t>900-099-S64</w:t>
                  </w:r>
                </w:p>
              </w:tc>
              <w:tc>
                <w:tcPr>
                  <w:tcW w:w="545" w:type="pct"/>
                  <w:tcBorders>
                    <w:tl2br w:val="nil"/>
                    <w:tr2bl w:val="nil"/>
                  </w:tcBorders>
                  <w:shd w:val="clear" w:color="auto" w:fill="auto"/>
                  <w:noWrap w:val="0"/>
                  <w:vAlign w:val="center"/>
                </w:tcPr>
                <w:p w14:paraId="717170D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w:t>
                  </w:r>
                </w:p>
              </w:tc>
              <w:tc>
                <w:tcPr>
                  <w:tcW w:w="407" w:type="pct"/>
                  <w:tcBorders>
                    <w:tl2br w:val="nil"/>
                    <w:tr2bl w:val="nil"/>
                  </w:tcBorders>
                  <w:shd w:val="clear" w:color="auto" w:fill="auto"/>
                  <w:noWrap w:val="0"/>
                  <w:vAlign w:val="center"/>
                </w:tcPr>
                <w:p w14:paraId="48D7E49E">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shd w:val="clear" w:color="auto" w:fill="auto"/>
                  <w:noWrap w:val="0"/>
                  <w:vAlign w:val="center"/>
                </w:tcPr>
                <w:p w14:paraId="51A5A75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719E0C4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0.001</w:t>
                  </w:r>
                </w:p>
              </w:tc>
              <w:tc>
                <w:tcPr>
                  <w:tcW w:w="594" w:type="pct"/>
                  <w:vMerge w:val="restart"/>
                  <w:tcBorders>
                    <w:tl2br w:val="nil"/>
                    <w:tr2bl w:val="nil"/>
                  </w:tcBorders>
                  <w:noWrap w:val="0"/>
                  <w:vAlign w:val="center"/>
                </w:tcPr>
                <w:p w14:paraId="70C6104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环卫部门统一清运</w:t>
                  </w:r>
                </w:p>
              </w:tc>
            </w:tr>
            <w:tr w14:paraId="3BC853F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989" w:type="pct"/>
                  <w:tcBorders>
                    <w:tl2br w:val="nil"/>
                    <w:tr2bl w:val="nil"/>
                  </w:tcBorders>
                  <w:noWrap w:val="0"/>
                  <w:vAlign w:val="center"/>
                </w:tcPr>
                <w:p w14:paraId="2110E09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生活垃圾</w:t>
                  </w:r>
                </w:p>
              </w:tc>
              <w:tc>
                <w:tcPr>
                  <w:tcW w:w="334" w:type="pct"/>
                  <w:tcBorders>
                    <w:tl2br w:val="nil"/>
                    <w:tr2bl w:val="nil"/>
                  </w:tcBorders>
                  <w:noWrap w:val="0"/>
                  <w:vAlign w:val="center"/>
                </w:tcPr>
                <w:p w14:paraId="41F41D3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1249" w:type="pct"/>
                  <w:gridSpan w:val="2"/>
                  <w:tcBorders>
                    <w:tl2br w:val="nil"/>
                    <w:tr2bl w:val="nil"/>
                  </w:tcBorders>
                  <w:noWrap w:val="0"/>
                  <w:vAlign w:val="center"/>
                </w:tcPr>
                <w:p w14:paraId="681339A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Times New Roman" w:cs="Times New Roman"/>
                      <w:color w:val="auto"/>
                      <w:spacing w:val="3"/>
                      <w:sz w:val="21"/>
                      <w:szCs w:val="21"/>
                      <w:highlight w:val="none"/>
                    </w:rPr>
                    <w:t>900-099-S64</w:t>
                  </w:r>
                </w:p>
              </w:tc>
              <w:tc>
                <w:tcPr>
                  <w:tcW w:w="545" w:type="pct"/>
                  <w:tcBorders>
                    <w:tl2br w:val="nil"/>
                    <w:tr2bl w:val="nil"/>
                  </w:tcBorders>
                  <w:noWrap w:val="0"/>
                  <w:vAlign w:val="center"/>
                </w:tcPr>
                <w:p w14:paraId="1D7567F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纸、塑料</w:t>
                  </w:r>
                </w:p>
              </w:tc>
              <w:tc>
                <w:tcPr>
                  <w:tcW w:w="407" w:type="pct"/>
                  <w:tcBorders>
                    <w:tl2br w:val="nil"/>
                    <w:tr2bl w:val="nil"/>
                  </w:tcBorders>
                  <w:noWrap w:val="0"/>
                  <w:vAlign w:val="center"/>
                </w:tcPr>
                <w:p w14:paraId="125771AE">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固态</w:t>
                  </w:r>
                </w:p>
              </w:tc>
              <w:tc>
                <w:tcPr>
                  <w:tcW w:w="413" w:type="pct"/>
                  <w:tcBorders>
                    <w:tl2br w:val="nil"/>
                    <w:tr2bl w:val="nil"/>
                  </w:tcBorders>
                  <w:noWrap w:val="0"/>
                  <w:vAlign w:val="center"/>
                </w:tcPr>
                <w:p w14:paraId="34D6B40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466" w:type="pct"/>
                  <w:tcBorders>
                    <w:tl2br w:val="nil"/>
                    <w:tr2bl w:val="nil"/>
                  </w:tcBorders>
                  <w:noWrap w:val="0"/>
                  <w:vAlign w:val="center"/>
                </w:tcPr>
                <w:p w14:paraId="65880B1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2.5</w:t>
                  </w:r>
                </w:p>
              </w:tc>
              <w:tc>
                <w:tcPr>
                  <w:tcW w:w="594" w:type="pct"/>
                  <w:vMerge w:val="continue"/>
                  <w:tcBorders>
                    <w:tl2br w:val="nil"/>
                    <w:tr2bl w:val="nil"/>
                  </w:tcBorders>
                  <w:noWrap w:val="0"/>
                  <w:vAlign w:val="center"/>
                </w:tcPr>
                <w:p w14:paraId="038966E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bl>
          <w:p w14:paraId="3AD06C39">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color w:val="auto"/>
                <w:sz w:val="24"/>
                <w:highlight w:val="none"/>
                <w:lang w:val="en-US" w:eastAsia="zh-CN"/>
              </w:rPr>
              <w:t>根据《报废机动车拆解企业污染控制技术规范》（HJ348-2022）附录A，主要拆解产物及产生的固废去向情况见下表。</w:t>
            </w:r>
          </w:p>
          <w:p w14:paraId="530CD171">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表4-</w:t>
            </w:r>
            <w:r>
              <w:rPr>
                <w:rFonts w:hint="eastAsia" w:cs="Times New Roman"/>
                <w:b/>
                <w:bCs/>
                <w:color w:val="auto"/>
                <w:sz w:val="21"/>
                <w:szCs w:val="21"/>
                <w:highlight w:val="none"/>
                <w:lang w:val="en-US" w:eastAsia="zh-CN"/>
              </w:rPr>
              <w:t xml:space="preserve">25  </w:t>
            </w:r>
            <w:r>
              <w:rPr>
                <w:rFonts w:hint="default" w:ascii="Times New Roman" w:hAnsi="Times New Roman" w:eastAsia="宋体" w:cs="Times New Roman"/>
                <w:b/>
                <w:bCs/>
                <w:color w:val="auto"/>
                <w:sz w:val="21"/>
                <w:szCs w:val="21"/>
                <w:highlight w:val="none"/>
                <w:lang w:val="en-US" w:eastAsia="zh-CN"/>
              </w:rPr>
              <w:t>固体废物环境特征及去向情况表</w:t>
            </w:r>
          </w:p>
          <w:tbl>
            <w:tblPr>
              <w:tblStyle w:val="26"/>
              <w:tblW w:w="4995"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2846"/>
              <w:gridCol w:w="1082"/>
              <w:gridCol w:w="969"/>
              <w:gridCol w:w="872"/>
              <w:gridCol w:w="1022"/>
              <w:gridCol w:w="2326"/>
            </w:tblGrid>
            <w:tr w14:paraId="2B6F1BF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0E0E402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名称</w:t>
                  </w:r>
                </w:p>
              </w:tc>
              <w:tc>
                <w:tcPr>
                  <w:tcW w:w="593" w:type="pct"/>
                  <w:tcBorders>
                    <w:tl2br w:val="nil"/>
                    <w:tr2bl w:val="nil"/>
                  </w:tcBorders>
                  <w:noWrap w:val="0"/>
                  <w:vAlign w:val="center"/>
                </w:tcPr>
                <w:p w14:paraId="2D4BE08A">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存储位置</w:t>
                  </w:r>
                </w:p>
                <w:p w14:paraId="33ADB9C8">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及方式</w:t>
                  </w:r>
                </w:p>
              </w:tc>
              <w:tc>
                <w:tcPr>
                  <w:tcW w:w="531" w:type="pct"/>
                  <w:tcBorders>
                    <w:tl2br w:val="nil"/>
                    <w:tr2bl w:val="nil"/>
                  </w:tcBorders>
                  <w:noWrap w:val="0"/>
                  <w:vAlign w:val="center"/>
                </w:tcPr>
                <w:p w14:paraId="2C78B0E3">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最大储存量t</w:t>
                  </w:r>
                </w:p>
              </w:tc>
              <w:tc>
                <w:tcPr>
                  <w:tcW w:w="478" w:type="pct"/>
                  <w:tcBorders>
                    <w:tl2br w:val="nil"/>
                    <w:tr2bl w:val="nil"/>
                  </w:tcBorders>
                  <w:noWrap w:val="0"/>
                  <w:vAlign w:val="center"/>
                </w:tcPr>
                <w:p w14:paraId="23DBA229">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存储周期d</w:t>
                  </w:r>
                </w:p>
              </w:tc>
              <w:tc>
                <w:tcPr>
                  <w:tcW w:w="560" w:type="pct"/>
                  <w:tcBorders>
                    <w:tl2br w:val="nil"/>
                    <w:tr2bl w:val="nil"/>
                  </w:tcBorders>
                  <w:noWrap w:val="0"/>
                  <w:vAlign w:val="center"/>
                </w:tcPr>
                <w:p w14:paraId="5840627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环境</w:t>
                  </w:r>
                </w:p>
                <w:p w14:paraId="34575406">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特征</w:t>
                  </w:r>
                </w:p>
              </w:tc>
              <w:tc>
                <w:tcPr>
                  <w:tcW w:w="1275" w:type="pct"/>
                  <w:tcBorders>
                    <w:tl2br w:val="nil"/>
                    <w:tr2bl w:val="nil"/>
                  </w:tcBorders>
                  <w:noWrap w:val="0"/>
                  <w:vAlign w:val="center"/>
                </w:tcPr>
                <w:p w14:paraId="6F338C15">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去向</w:t>
                  </w:r>
                </w:p>
              </w:tc>
            </w:tr>
            <w:tr w14:paraId="7D67DA7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shd w:val="clear" w:color="auto" w:fill="auto"/>
                  <w:noWrap w:val="0"/>
                  <w:vAlign w:val="center"/>
                </w:tcPr>
                <w:p w14:paraId="727E9A3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含有机溶剂废物</w:t>
                  </w:r>
                  <w:r>
                    <w:rPr>
                      <w:rFonts w:hint="eastAsia" w:ascii="Times New Roman" w:hAnsi="Times New Roman" w:eastAsia="宋体" w:cs="Times New Roman"/>
                      <w:color w:val="auto"/>
                      <w:kern w:val="2"/>
                      <w:sz w:val="21"/>
                      <w:szCs w:val="21"/>
                      <w:highlight w:val="none"/>
                      <w:lang w:val="en-US" w:eastAsia="zh-CN" w:bidi="ar"/>
                    </w:rPr>
                    <w:t>（</w:t>
                  </w:r>
                  <w:r>
                    <w:rPr>
                      <w:rFonts w:hint="default" w:ascii="Times New Roman" w:hAnsi="Times New Roman" w:eastAsia="宋体" w:cs="Times New Roman"/>
                      <w:color w:val="auto"/>
                      <w:kern w:val="2"/>
                      <w:sz w:val="21"/>
                      <w:szCs w:val="21"/>
                      <w:highlight w:val="none"/>
                      <w:lang w:val="en-US" w:eastAsia="zh-CN" w:bidi="ar"/>
                    </w:rPr>
                    <w:t>挡风玻璃洗涤液、防冻液</w:t>
                  </w:r>
                  <w:r>
                    <w:rPr>
                      <w:rFonts w:hint="eastAsia" w:ascii="Times New Roman" w:hAnsi="Times New Roman" w:cs="Times New Roman"/>
                      <w:color w:val="auto"/>
                      <w:kern w:val="2"/>
                      <w:sz w:val="21"/>
                      <w:szCs w:val="21"/>
                      <w:highlight w:val="none"/>
                      <w:lang w:val="en-US" w:eastAsia="zh-CN" w:bidi="ar"/>
                    </w:rPr>
                    <w:t>、废制冷剂</w:t>
                  </w:r>
                  <w:r>
                    <w:rPr>
                      <w:rFonts w:hint="eastAsia" w:ascii="Times New Roman" w:hAnsi="Times New Roman" w:eastAsia="宋体" w:cs="Times New Roman"/>
                      <w:color w:val="auto"/>
                      <w:kern w:val="2"/>
                      <w:sz w:val="21"/>
                      <w:szCs w:val="21"/>
                      <w:highlight w:val="none"/>
                      <w:lang w:val="en-US" w:eastAsia="zh-CN" w:bidi="ar"/>
                    </w:rPr>
                    <w:t>）</w:t>
                  </w:r>
                </w:p>
              </w:tc>
              <w:tc>
                <w:tcPr>
                  <w:tcW w:w="593" w:type="pct"/>
                  <w:tcBorders>
                    <w:tl2br w:val="nil"/>
                    <w:tr2bl w:val="nil"/>
                  </w:tcBorders>
                  <w:noWrap w:val="0"/>
                  <w:vAlign w:val="center"/>
                </w:tcPr>
                <w:p w14:paraId="1FFB994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挡风玻璃洗涤液、防冻液密闭桶装，分区存放</w:t>
                  </w:r>
                  <w:r>
                    <w:rPr>
                      <w:rFonts w:hint="eastAsia" w:ascii="Times New Roman" w:hAnsi="Times New Roman" w:eastAsia="宋体" w:cs="Times New Roman"/>
                      <w:color w:val="auto"/>
                      <w:kern w:val="2"/>
                      <w:sz w:val="21"/>
                      <w:szCs w:val="21"/>
                      <w:highlight w:val="none"/>
                      <w:lang w:val="en-US" w:eastAsia="zh-CN" w:bidi="ar"/>
                    </w:rPr>
                    <w:t>；</w:t>
                  </w:r>
                </w:p>
                <w:p w14:paraId="593EDB4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废制冷剂</w:t>
                  </w:r>
                  <w:r>
                    <w:rPr>
                      <w:rFonts w:hint="default" w:ascii="Times New Roman" w:hAnsi="Times New Roman" w:eastAsia="宋体" w:cs="Times New Roman"/>
                      <w:color w:val="auto"/>
                      <w:kern w:val="2"/>
                      <w:sz w:val="21"/>
                      <w:szCs w:val="21"/>
                      <w:highlight w:val="none"/>
                      <w:lang w:val="en-US" w:eastAsia="zh-CN" w:bidi="ar"/>
                    </w:rPr>
                    <w:t>钢瓶，分区存放</w:t>
                  </w:r>
                </w:p>
              </w:tc>
              <w:tc>
                <w:tcPr>
                  <w:tcW w:w="531" w:type="pct"/>
                  <w:tcBorders>
                    <w:tl2br w:val="nil"/>
                    <w:tr2bl w:val="nil"/>
                  </w:tcBorders>
                  <w:noWrap w:val="0"/>
                  <w:vAlign w:val="center"/>
                </w:tcPr>
                <w:p w14:paraId="2370453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3</w:t>
                  </w:r>
                </w:p>
              </w:tc>
              <w:tc>
                <w:tcPr>
                  <w:tcW w:w="478" w:type="pct"/>
                  <w:tcBorders>
                    <w:tl2br w:val="nil"/>
                    <w:tr2bl w:val="nil"/>
                  </w:tcBorders>
                  <w:noWrap w:val="0"/>
                  <w:vAlign w:val="center"/>
                </w:tcPr>
                <w:p w14:paraId="4EAAF31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20</w:t>
                  </w:r>
                </w:p>
              </w:tc>
              <w:tc>
                <w:tcPr>
                  <w:tcW w:w="560" w:type="pct"/>
                  <w:vMerge w:val="restart"/>
                  <w:tcBorders>
                    <w:tl2br w:val="nil"/>
                    <w:tr2bl w:val="nil"/>
                  </w:tcBorders>
                  <w:noWrap w:val="0"/>
                  <w:vAlign w:val="center"/>
                </w:tcPr>
                <w:p w14:paraId="76D833C7">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危险废物</w:t>
                  </w:r>
                </w:p>
              </w:tc>
              <w:tc>
                <w:tcPr>
                  <w:tcW w:w="1275" w:type="pct"/>
                  <w:vMerge w:val="restart"/>
                  <w:tcBorders>
                    <w:tl2br w:val="nil"/>
                    <w:tr2bl w:val="nil"/>
                  </w:tcBorders>
                  <w:noWrap w:val="0"/>
                  <w:vAlign w:val="center"/>
                </w:tcPr>
                <w:p w14:paraId="4FBABBE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定期交由有资质单位处理</w:t>
                  </w:r>
                </w:p>
              </w:tc>
            </w:tr>
            <w:tr w14:paraId="2DD3440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shd w:val="clear" w:color="auto" w:fill="auto"/>
                  <w:noWrap w:val="0"/>
                  <w:vAlign w:val="center"/>
                </w:tcPr>
                <w:p w14:paraId="151FDD2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废矿物油与含油废物（</w:t>
                  </w:r>
                  <w:r>
                    <w:rPr>
                      <w:rFonts w:hint="default" w:ascii="Times New Roman" w:hAnsi="Times New Roman" w:eastAsia="宋体" w:cs="Times New Roman"/>
                      <w:color w:val="auto"/>
                      <w:kern w:val="2"/>
                      <w:sz w:val="21"/>
                      <w:szCs w:val="21"/>
                      <w:highlight w:val="none"/>
                      <w:lang w:val="en-US" w:eastAsia="zh-CN" w:bidi="ar"/>
                    </w:rPr>
                    <w:t>废燃料油、发动机油、变速器/齿轮箱油、动力转向油、制动液</w:t>
                  </w:r>
                  <w:r>
                    <w:rPr>
                      <w:rFonts w:hint="eastAsia" w:ascii="Times New Roman" w:hAnsi="Times New Roman" w:eastAsia="宋体" w:cs="Times New Roman"/>
                      <w:color w:val="auto"/>
                      <w:kern w:val="2"/>
                      <w:sz w:val="21"/>
                      <w:szCs w:val="21"/>
                      <w:highlight w:val="none"/>
                      <w:lang w:val="en-US" w:eastAsia="zh-CN" w:bidi="ar"/>
                    </w:rPr>
                    <w:t>）</w:t>
                  </w:r>
                </w:p>
              </w:tc>
              <w:tc>
                <w:tcPr>
                  <w:tcW w:w="593" w:type="pct"/>
                  <w:vMerge w:val="restart"/>
                  <w:tcBorders>
                    <w:tl2br w:val="nil"/>
                    <w:tr2bl w:val="nil"/>
                  </w:tcBorders>
                  <w:noWrap w:val="0"/>
                  <w:vAlign w:val="center"/>
                </w:tcPr>
                <w:p w14:paraId="72BCC37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密闭桶装，分区存放</w:t>
                  </w:r>
                </w:p>
              </w:tc>
              <w:tc>
                <w:tcPr>
                  <w:tcW w:w="531" w:type="pct"/>
                  <w:tcBorders>
                    <w:tl2br w:val="nil"/>
                    <w:tr2bl w:val="nil"/>
                  </w:tcBorders>
                  <w:noWrap w:val="0"/>
                  <w:vAlign w:val="center"/>
                </w:tcPr>
                <w:p w14:paraId="1557397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15</w:t>
                  </w:r>
                </w:p>
              </w:tc>
              <w:tc>
                <w:tcPr>
                  <w:tcW w:w="478" w:type="pct"/>
                  <w:tcBorders>
                    <w:tl2br w:val="nil"/>
                    <w:tr2bl w:val="nil"/>
                  </w:tcBorders>
                  <w:noWrap w:val="0"/>
                  <w:vAlign w:val="center"/>
                </w:tcPr>
                <w:p w14:paraId="53EBC1B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5BE784D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54FF1214">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r>
            <w:tr w14:paraId="1E06660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2F1C87D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污水处理设施污泥</w:t>
                  </w:r>
                </w:p>
              </w:tc>
              <w:tc>
                <w:tcPr>
                  <w:tcW w:w="593" w:type="pct"/>
                  <w:vMerge w:val="continue"/>
                  <w:tcBorders>
                    <w:tl2br w:val="nil"/>
                    <w:tr2bl w:val="nil"/>
                  </w:tcBorders>
                  <w:noWrap w:val="0"/>
                  <w:vAlign w:val="center"/>
                </w:tcPr>
                <w:p w14:paraId="0057876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11CCD70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0.3</w:t>
                  </w:r>
                </w:p>
              </w:tc>
              <w:tc>
                <w:tcPr>
                  <w:tcW w:w="478" w:type="pct"/>
                  <w:tcBorders>
                    <w:tl2br w:val="nil"/>
                    <w:tr2bl w:val="nil"/>
                  </w:tcBorders>
                  <w:noWrap w:val="0"/>
                  <w:vAlign w:val="center"/>
                </w:tcPr>
                <w:p w14:paraId="4B33AC4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34D3DFF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2E870AC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r>
            <w:tr w14:paraId="421E6D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62E6F35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废铅蓄电池</w:t>
                  </w:r>
                </w:p>
              </w:tc>
              <w:tc>
                <w:tcPr>
                  <w:tcW w:w="593" w:type="pct"/>
                  <w:tcBorders>
                    <w:tl2br w:val="nil"/>
                    <w:tr2bl w:val="nil"/>
                  </w:tcBorders>
                  <w:noWrap w:val="0"/>
                  <w:vAlign w:val="center"/>
                </w:tcPr>
                <w:p w14:paraId="7AF70DE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耐腐蚀专用容器，码垛堆放</w:t>
                  </w:r>
                </w:p>
              </w:tc>
              <w:tc>
                <w:tcPr>
                  <w:tcW w:w="531" w:type="pct"/>
                  <w:tcBorders>
                    <w:tl2br w:val="nil"/>
                    <w:tr2bl w:val="nil"/>
                  </w:tcBorders>
                  <w:noWrap w:val="0"/>
                  <w:vAlign w:val="center"/>
                </w:tcPr>
                <w:p w14:paraId="054CBCF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5</w:t>
                  </w:r>
                </w:p>
              </w:tc>
              <w:tc>
                <w:tcPr>
                  <w:tcW w:w="478" w:type="pct"/>
                  <w:tcBorders>
                    <w:tl2br w:val="nil"/>
                    <w:tr2bl w:val="nil"/>
                  </w:tcBorders>
                  <w:noWrap w:val="0"/>
                  <w:vAlign w:val="center"/>
                </w:tcPr>
                <w:p w14:paraId="63FEAA6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7</w:t>
                  </w:r>
                </w:p>
              </w:tc>
              <w:tc>
                <w:tcPr>
                  <w:tcW w:w="560" w:type="pct"/>
                  <w:vMerge w:val="continue"/>
                  <w:tcBorders>
                    <w:tl2br w:val="nil"/>
                    <w:tr2bl w:val="nil"/>
                  </w:tcBorders>
                  <w:noWrap w:val="0"/>
                  <w:vAlign w:val="center"/>
                </w:tcPr>
                <w:p w14:paraId="511DEC1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7F31E3E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0C57DAB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2BC9BA1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废电路板及元器件</w:t>
                  </w:r>
                </w:p>
              </w:tc>
              <w:tc>
                <w:tcPr>
                  <w:tcW w:w="593" w:type="pct"/>
                  <w:vMerge w:val="restart"/>
                  <w:tcBorders>
                    <w:tl2br w:val="nil"/>
                    <w:tr2bl w:val="nil"/>
                  </w:tcBorders>
                  <w:noWrap w:val="0"/>
                  <w:vAlign w:val="center"/>
                </w:tcPr>
                <w:p w14:paraId="55A2A68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密闭桶装，分区存放</w:t>
                  </w:r>
                </w:p>
              </w:tc>
              <w:tc>
                <w:tcPr>
                  <w:tcW w:w="531" w:type="pct"/>
                  <w:tcBorders>
                    <w:tl2br w:val="nil"/>
                    <w:tr2bl w:val="nil"/>
                  </w:tcBorders>
                  <w:noWrap w:val="0"/>
                  <w:vAlign w:val="center"/>
                </w:tcPr>
                <w:p w14:paraId="78248F8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4.5</w:t>
                  </w:r>
                </w:p>
              </w:tc>
              <w:tc>
                <w:tcPr>
                  <w:tcW w:w="478" w:type="pct"/>
                  <w:tcBorders>
                    <w:tl2br w:val="nil"/>
                    <w:tr2bl w:val="nil"/>
                  </w:tcBorders>
                  <w:noWrap w:val="0"/>
                  <w:vAlign w:val="center"/>
                </w:tcPr>
                <w:p w14:paraId="4F5F7E5B">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1630A62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4B0F338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0588F3D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1508FA6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废尾气催化剂</w:t>
                  </w:r>
                </w:p>
              </w:tc>
              <w:tc>
                <w:tcPr>
                  <w:tcW w:w="593" w:type="pct"/>
                  <w:vMerge w:val="continue"/>
                  <w:tcBorders>
                    <w:tl2br w:val="nil"/>
                    <w:tr2bl w:val="nil"/>
                  </w:tcBorders>
                  <w:noWrap w:val="0"/>
                  <w:vAlign w:val="center"/>
                </w:tcPr>
                <w:p w14:paraId="4B56D66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3C1BF18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2.65</w:t>
                  </w:r>
                </w:p>
              </w:tc>
              <w:tc>
                <w:tcPr>
                  <w:tcW w:w="478" w:type="pct"/>
                  <w:tcBorders>
                    <w:tl2br w:val="nil"/>
                    <w:tr2bl w:val="nil"/>
                  </w:tcBorders>
                  <w:noWrap w:val="0"/>
                  <w:vAlign w:val="center"/>
                </w:tcPr>
                <w:p w14:paraId="62B703E7">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24DBC47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7B3229A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D42F9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0BABD79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废机油滤清器</w:t>
                  </w:r>
                </w:p>
              </w:tc>
              <w:tc>
                <w:tcPr>
                  <w:tcW w:w="593" w:type="pct"/>
                  <w:vMerge w:val="continue"/>
                  <w:tcBorders>
                    <w:tl2br w:val="nil"/>
                    <w:tr2bl w:val="nil"/>
                  </w:tcBorders>
                  <w:noWrap w:val="0"/>
                  <w:vAlign w:val="center"/>
                </w:tcPr>
                <w:p w14:paraId="20A7B32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7D6A1E2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0.4</w:t>
                  </w:r>
                </w:p>
              </w:tc>
              <w:tc>
                <w:tcPr>
                  <w:tcW w:w="478" w:type="pct"/>
                  <w:tcBorders>
                    <w:tl2br w:val="nil"/>
                    <w:tr2bl w:val="nil"/>
                  </w:tcBorders>
                  <w:noWrap w:val="0"/>
                  <w:vAlign w:val="center"/>
                </w:tcPr>
                <w:p w14:paraId="280DA551">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562DCF8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47830B8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E3100D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092AB68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废油箱</w:t>
                  </w:r>
                </w:p>
              </w:tc>
              <w:tc>
                <w:tcPr>
                  <w:tcW w:w="593" w:type="pct"/>
                  <w:tcBorders>
                    <w:tl2br w:val="nil"/>
                    <w:tr2bl w:val="nil"/>
                  </w:tcBorders>
                  <w:noWrap w:val="0"/>
                  <w:vAlign w:val="center"/>
                </w:tcPr>
                <w:p w14:paraId="0678249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分区存放</w:t>
                  </w:r>
                </w:p>
              </w:tc>
              <w:tc>
                <w:tcPr>
                  <w:tcW w:w="531" w:type="pct"/>
                  <w:tcBorders>
                    <w:tl2br w:val="nil"/>
                    <w:tr2bl w:val="nil"/>
                  </w:tcBorders>
                  <w:noWrap w:val="0"/>
                  <w:vAlign w:val="center"/>
                </w:tcPr>
                <w:p w14:paraId="796A039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2</w:t>
                  </w:r>
                </w:p>
              </w:tc>
              <w:tc>
                <w:tcPr>
                  <w:tcW w:w="478" w:type="pct"/>
                  <w:tcBorders>
                    <w:tl2br w:val="nil"/>
                    <w:tr2bl w:val="nil"/>
                  </w:tcBorders>
                  <w:noWrap w:val="0"/>
                  <w:vAlign w:val="center"/>
                </w:tcPr>
                <w:p w14:paraId="6BD33DAA">
                  <w:pPr>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34AEEFC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1A4D43B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7D65B8C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0DFBCA8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含油手套抹布</w:t>
                  </w:r>
                </w:p>
              </w:tc>
              <w:tc>
                <w:tcPr>
                  <w:tcW w:w="593" w:type="pct"/>
                  <w:vMerge w:val="restart"/>
                  <w:tcBorders>
                    <w:tl2br w:val="nil"/>
                    <w:tr2bl w:val="nil"/>
                  </w:tcBorders>
                  <w:noWrap w:val="0"/>
                  <w:vAlign w:val="center"/>
                </w:tcPr>
                <w:p w14:paraId="4ED253F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密闭桶装，分区存放</w:t>
                  </w:r>
                </w:p>
              </w:tc>
              <w:tc>
                <w:tcPr>
                  <w:tcW w:w="531" w:type="pct"/>
                  <w:tcBorders>
                    <w:tl2br w:val="nil"/>
                    <w:tr2bl w:val="nil"/>
                  </w:tcBorders>
                  <w:noWrap w:val="0"/>
                  <w:vAlign w:val="center"/>
                </w:tcPr>
                <w:p w14:paraId="1E0DF75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0.2</w:t>
                  </w:r>
                </w:p>
              </w:tc>
              <w:tc>
                <w:tcPr>
                  <w:tcW w:w="478" w:type="pct"/>
                  <w:tcBorders>
                    <w:tl2br w:val="nil"/>
                    <w:tr2bl w:val="nil"/>
                  </w:tcBorders>
                  <w:noWrap w:val="0"/>
                  <w:vAlign w:val="center"/>
                </w:tcPr>
                <w:p w14:paraId="19AB672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90</w:t>
                  </w:r>
                </w:p>
              </w:tc>
              <w:tc>
                <w:tcPr>
                  <w:tcW w:w="560" w:type="pct"/>
                  <w:vMerge w:val="continue"/>
                  <w:tcBorders>
                    <w:tl2br w:val="nil"/>
                    <w:tr2bl w:val="nil"/>
                  </w:tcBorders>
                  <w:noWrap w:val="0"/>
                  <w:vAlign w:val="center"/>
                </w:tcPr>
                <w:p w14:paraId="6959624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7301A3B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9BDFC1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675EB91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废活性炭</w:t>
                  </w:r>
                </w:p>
              </w:tc>
              <w:tc>
                <w:tcPr>
                  <w:tcW w:w="593" w:type="pct"/>
                  <w:vMerge w:val="continue"/>
                  <w:tcBorders>
                    <w:tl2br w:val="nil"/>
                    <w:tr2bl w:val="nil"/>
                  </w:tcBorders>
                  <w:noWrap w:val="0"/>
                  <w:vAlign w:val="center"/>
                </w:tcPr>
                <w:p w14:paraId="129482E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681FC09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0.5</w:t>
                  </w:r>
                </w:p>
              </w:tc>
              <w:tc>
                <w:tcPr>
                  <w:tcW w:w="478" w:type="pct"/>
                  <w:tcBorders>
                    <w:tl2br w:val="nil"/>
                    <w:tr2bl w:val="nil"/>
                  </w:tcBorders>
                  <w:noWrap w:val="0"/>
                  <w:vAlign w:val="center"/>
                </w:tcPr>
                <w:p w14:paraId="4AB0C0D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60</w:t>
                  </w:r>
                </w:p>
              </w:tc>
              <w:tc>
                <w:tcPr>
                  <w:tcW w:w="560" w:type="pct"/>
                  <w:vMerge w:val="continue"/>
                  <w:tcBorders>
                    <w:tl2br w:val="nil"/>
                    <w:tr2bl w:val="nil"/>
                  </w:tcBorders>
                  <w:noWrap w:val="0"/>
                  <w:vAlign w:val="center"/>
                </w:tcPr>
                <w:p w14:paraId="2765AD5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1360E5C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D08F52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457EE97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废动力电池</w:t>
                  </w:r>
                </w:p>
              </w:tc>
              <w:tc>
                <w:tcPr>
                  <w:tcW w:w="593" w:type="pct"/>
                  <w:tcBorders>
                    <w:tl2br w:val="nil"/>
                    <w:tr2bl w:val="nil"/>
                  </w:tcBorders>
                  <w:noWrap w:val="0"/>
                  <w:vAlign w:val="center"/>
                </w:tcPr>
                <w:p w14:paraId="1362DB3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耐腐蚀专用容器，码垛堆放</w:t>
                  </w:r>
                </w:p>
              </w:tc>
              <w:tc>
                <w:tcPr>
                  <w:tcW w:w="531" w:type="pct"/>
                  <w:tcBorders>
                    <w:tl2br w:val="nil"/>
                    <w:tr2bl w:val="nil"/>
                  </w:tcBorders>
                  <w:noWrap w:val="0"/>
                  <w:vAlign w:val="center"/>
                </w:tcPr>
                <w:p w14:paraId="7DFE97D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13</w:t>
                  </w:r>
                </w:p>
              </w:tc>
              <w:tc>
                <w:tcPr>
                  <w:tcW w:w="478" w:type="pct"/>
                  <w:tcBorders>
                    <w:tl2br w:val="nil"/>
                    <w:tr2bl w:val="nil"/>
                  </w:tcBorders>
                  <w:noWrap w:val="0"/>
                  <w:vAlign w:val="center"/>
                </w:tcPr>
                <w:p w14:paraId="438CBFF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10</w:t>
                  </w:r>
                </w:p>
              </w:tc>
              <w:tc>
                <w:tcPr>
                  <w:tcW w:w="560" w:type="pct"/>
                  <w:vMerge w:val="continue"/>
                  <w:tcBorders>
                    <w:tl2br w:val="nil"/>
                    <w:tr2bl w:val="nil"/>
                  </w:tcBorders>
                  <w:noWrap w:val="0"/>
                  <w:vAlign w:val="center"/>
                </w:tcPr>
                <w:p w14:paraId="26F7EEC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13D00A3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6226F96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6ECAEC9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废弃车用电子零部件</w:t>
                  </w:r>
                </w:p>
              </w:tc>
              <w:tc>
                <w:tcPr>
                  <w:tcW w:w="593" w:type="pct"/>
                  <w:vMerge w:val="restart"/>
                  <w:tcBorders>
                    <w:tl2br w:val="nil"/>
                    <w:tr2bl w:val="nil"/>
                  </w:tcBorders>
                  <w:noWrap w:val="0"/>
                  <w:vAlign w:val="center"/>
                </w:tcPr>
                <w:p w14:paraId="0158C573">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分类分区存放</w:t>
                  </w:r>
                </w:p>
              </w:tc>
              <w:tc>
                <w:tcPr>
                  <w:tcW w:w="531" w:type="pct"/>
                  <w:tcBorders>
                    <w:tl2br w:val="nil"/>
                    <w:tr2bl w:val="nil"/>
                  </w:tcBorders>
                  <w:noWrap w:val="0"/>
                  <w:vAlign w:val="center"/>
                </w:tcPr>
                <w:p w14:paraId="2725180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2</w:t>
                  </w:r>
                </w:p>
              </w:tc>
              <w:tc>
                <w:tcPr>
                  <w:tcW w:w="478" w:type="pct"/>
                  <w:tcBorders>
                    <w:tl2br w:val="nil"/>
                    <w:tr2bl w:val="nil"/>
                  </w:tcBorders>
                  <w:noWrap w:val="0"/>
                  <w:vAlign w:val="center"/>
                </w:tcPr>
                <w:p w14:paraId="02AB9EB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15</w:t>
                  </w:r>
                </w:p>
              </w:tc>
              <w:tc>
                <w:tcPr>
                  <w:tcW w:w="560" w:type="pct"/>
                  <w:vMerge w:val="restart"/>
                  <w:tcBorders>
                    <w:tl2br w:val="nil"/>
                    <w:tr2bl w:val="nil"/>
                  </w:tcBorders>
                  <w:noWrap w:val="0"/>
                  <w:vAlign w:val="center"/>
                </w:tcPr>
                <w:p w14:paraId="5F07D54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w:t>
                  </w:r>
                </w:p>
              </w:tc>
              <w:tc>
                <w:tcPr>
                  <w:tcW w:w="1275" w:type="pct"/>
                  <w:tcBorders>
                    <w:tl2br w:val="nil"/>
                    <w:tr2bl w:val="nil"/>
                  </w:tcBorders>
                  <w:noWrap w:val="0"/>
                  <w:vAlign w:val="center"/>
                </w:tcPr>
                <w:p w14:paraId="3199497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交由有废弃电器电子产品处理资格企业、电子废的拆解利用处置单位名录内企业</w:t>
                  </w:r>
                </w:p>
              </w:tc>
            </w:tr>
            <w:tr w14:paraId="7502DFF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41A5A86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废安全气囊</w:t>
                  </w:r>
                </w:p>
              </w:tc>
              <w:tc>
                <w:tcPr>
                  <w:tcW w:w="593" w:type="pct"/>
                  <w:vMerge w:val="continue"/>
                  <w:tcBorders>
                    <w:tl2br w:val="nil"/>
                    <w:tr2bl w:val="nil"/>
                  </w:tcBorders>
                  <w:noWrap w:val="0"/>
                  <w:vAlign w:val="center"/>
                </w:tcPr>
                <w:p w14:paraId="521C052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3465425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0.75</w:t>
                  </w:r>
                </w:p>
              </w:tc>
              <w:tc>
                <w:tcPr>
                  <w:tcW w:w="478" w:type="pct"/>
                  <w:tcBorders>
                    <w:tl2br w:val="nil"/>
                    <w:tr2bl w:val="nil"/>
                  </w:tcBorders>
                  <w:noWrap w:val="0"/>
                  <w:vAlign w:val="center"/>
                </w:tcPr>
                <w:p w14:paraId="7134C5B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15</w:t>
                  </w:r>
                </w:p>
              </w:tc>
              <w:tc>
                <w:tcPr>
                  <w:tcW w:w="560" w:type="pct"/>
                  <w:vMerge w:val="continue"/>
                  <w:tcBorders>
                    <w:tl2br w:val="nil"/>
                    <w:tr2bl w:val="nil"/>
                  </w:tcBorders>
                  <w:noWrap w:val="0"/>
                  <w:vAlign w:val="center"/>
                </w:tcPr>
                <w:p w14:paraId="50F5B3E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restart"/>
                  <w:tcBorders>
                    <w:tl2br w:val="nil"/>
                    <w:tr2bl w:val="nil"/>
                  </w:tcBorders>
                  <w:noWrap w:val="0"/>
                  <w:vAlign w:val="center"/>
                </w:tcPr>
                <w:p w14:paraId="3E04D5C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交由具有相应处理能力或经营范围的单位利用和处置</w:t>
                  </w:r>
                </w:p>
              </w:tc>
            </w:tr>
            <w:tr w14:paraId="6D1541B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1D1F5BB6">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废尼龙布、废海绵、废皮革</w:t>
                  </w:r>
                </w:p>
              </w:tc>
              <w:tc>
                <w:tcPr>
                  <w:tcW w:w="593" w:type="pct"/>
                  <w:vMerge w:val="continue"/>
                  <w:tcBorders>
                    <w:tl2br w:val="nil"/>
                    <w:tr2bl w:val="nil"/>
                  </w:tcBorders>
                  <w:noWrap w:val="0"/>
                  <w:vAlign w:val="center"/>
                </w:tcPr>
                <w:p w14:paraId="4FABDAE8">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15911699">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34</w:t>
                  </w:r>
                </w:p>
              </w:tc>
              <w:tc>
                <w:tcPr>
                  <w:tcW w:w="478" w:type="pct"/>
                  <w:tcBorders>
                    <w:tl2br w:val="nil"/>
                    <w:tr2bl w:val="nil"/>
                  </w:tcBorders>
                  <w:noWrap w:val="0"/>
                  <w:vAlign w:val="center"/>
                </w:tcPr>
                <w:p w14:paraId="5616829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15</w:t>
                  </w:r>
                </w:p>
              </w:tc>
              <w:tc>
                <w:tcPr>
                  <w:tcW w:w="560" w:type="pct"/>
                  <w:vMerge w:val="continue"/>
                  <w:tcBorders>
                    <w:tl2br w:val="nil"/>
                    <w:tr2bl w:val="nil"/>
                  </w:tcBorders>
                  <w:noWrap w:val="0"/>
                  <w:vAlign w:val="center"/>
                </w:tcPr>
                <w:p w14:paraId="4C7977D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44DB777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5348E3D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1059B65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废制冷剂</w:t>
                  </w:r>
                </w:p>
              </w:tc>
              <w:tc>
                <w:tcPr>
                  <w:tcW w:w="593" w:type="pct"/>
                  <w:tcBorders>
                    <w:tl2br w:val="nil"/>
                    <w:tr2bl w:val="nil"/>
                  </w:tcBorders>
                  <w:noWrap w:val="0"/>
                  <w:vAlign w:val="center"/>
                </w:tcPr>
                <w:p w14:paraId="2C13E94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钢瓶，分区存放</w:t>
                  </w:r>
                </w:p>
              </w:tc>
              <w:tc>
                <w:tcPr>
                  <w:tcW w:w="531" w:type="pct"/>
                  <w:tcBorders>
                    <w:tl2br w:val="nil"/>
                    <w:tr2bl w:val="nil"/>
                  </w:tcBorders>
                  <w:noWrap w:val="0"/>
                  <w:vAlign w:val="center"/>
                </w:tcPr>
                <w:p w14:paraId="13F3528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0.75</w:t>
                  </w:r>
                </w:p>
              </w:tc>
              <w:tc>
                <w:tcPr>
                  <w:tcW w:w="478" w:type="pct"/>
                  <w:tcBorders>
                    <w:tl2br w:val="nil"/>
                    <w:tr2bl w:val="nil"/>
                  </w:tcBorders>
                  <w:noWrap w:val="0"/>
                  <w:vAlign w:val="center"/>
                </w:tcPr>
                <w:p w14:paraId="6C2DA29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15</w:t>
                  </w:r>
                </w:p>
              </w:tc>
              <w:tc>
                <w:tcPr>
                  <w:tcW w:w="560" w:type="pct"/>
                  <w:vMerge w:val="continue"/>
                  <w:tcBorders>
                    <w:tl2br w:val="nil"/>
                    <w:tr2bl w:val="nil"/>
                  </w:tcBorders>
                  <w:noWrap w:val="0"/>
                  <w:vAlign w:val="center"/>
                </w:tcPr>
                <w:p w14:paraId="737A29C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restart"/>
                  <w:tcBorders>
                    <w:tl2br w:val="nil"/>
                    <w:tr2bl w:val="nil"/>
                  </w:tcBorders>
                  <w:noWrap w:val="0"/>
                  <w:vAlign w:val="center"/>
                </w:tcPr>
                <w:p w14:paraId="232A6C6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交由具有相应资质的单位利用和处置</w:t>
                  </w:r>
                </w:p>
              </w:tc>
            </w:tr>
            <w:tr w14:paraId="6276396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7FF6A28B">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废液化气罐</w:t>
                  </w:r>
                </w:p>
              </w:tc>
              <w:tc>
                <w:tcPr>
                  <w:tcW w:w="593" w:type="pct"/>
                  <w:vMerge w:val="restart"/>
                  <w:tcBorders>
                    <w:tl2br w:val="nil"/>
                    <w:tr2bl w:val="nil"/>
                  </w:tcBorders>
                  <w:noWrap w:val="0"/>
                  <w:vAlign w:val="center"/>
                </w:tcPr>
                <w:p w14:paraId="7971104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分类分区存放</w:t>
                  </w:r>
                </w:p>
              </w:tc>
              <w:tc>
                <w:tcPr>
                  <w:tcW w:w="531" w:type="pct"/>
                  <w:tcBorders>
                    <w:tl2br w:val="nil"/>
                    <w:tr2bl w:val="nil"/>
                  </w:tcBorders>
                  <w:noWrap w:val="0"/>
                  <w:vAlign w:val="center"/>
                </w:tcPr>
                <w:p w14:paraId="1DD4ABF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3</w:t>
                  </w:r>
                </w:p>
              </w:tc>
              <w:tc>
                <w:tcPr>
                  <w:tcW w:w="478" w:type="pct"/>
                  <w:tcBorders>
                    <w:tl2br w:val="nil"/>
                    <w:tr2bl w:val="nil"/>
                  </w:tcBorders>
                  <w:noWrap w:val="0"/>
                  <w:vAlign w:val="center"/>
                </w:tcPr>
                <w:p w14:paraId="78C9AAEC">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15</w:t>
                  </w:r>
                </w:p>
              </w:tc>
              <w:tc>
                <w:tcPr>
                  <w:tcW w:w="560" w:type="pct"/>
                  <w:vMerge w:val="continue"/>
                  <w:tcBorders>
                    <w:tl2br w:val="nil"/>
                    <w:tr2bl w:val="nil"/>
                  </w:tcBorders>
                  <w:noWrap w:val="0"/>
                  <w:vAlign w:val="center"/>
                </w:tcPr>
                <w:p w14:paraId="722DD8C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1275" w:type="pct"/>
                  <w:vMerge w:val="continue"/>
                  <w:tcBorders>
                    <w:tl2br w:val="nil"/>
                    <w:tr2bl w:val="nil"/>
                  </w:tcBorders>
                  <w:noWrap w:val="0"/>
                  <w:vAlign w:val="center"/>
                </w:tcPr>
                <w:p w14:paraId="32DE43F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r w14:paraId="43A7690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490281F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其他不可利用物</w:t>
                  </w:r>
                </w:p>
              </w:tc>
              <w:tc>
                <w:tcPr>
                  <w:tcW w:w="593" w:type="pct"/>
                  <w:vMerge w:val="continue"/>
                  <w:tcBorders>
                    <w:tl2br w:val="nil"/>
                    <w:tr2bl w:val="nil"/>
                  </w:tcBorders>
                  <w:noWrap w:val="0"/>
                  <w:vAlign w:val="center"/>
                </w:tcPr>
                <w:p w14:paraId="2F2856E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2A30EA2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cs="Times New Roman"/>
                      <w:color w:val="auto"/>
                      <w:kern w:val="2"/>
                      <w:sz w:val="21"/>
                      <w:szCs w:val="21"/>
                      <w:highlight w:val="none"/>
                      <w:lang w:val="en-US" w:eastAsia="zh-CN" w:bidi="ar"/>
                    </w:rPr>
                    <w:t>2</w:t>
                  </w:r>
                </w:p>
              </w:tc>
              <w:tc>
                <w:tcPr>
                  <w:tcW w:w="478" w:type="pct"/>
                  <w:tcBorders>
                    <w:tl2br w:val="nil"/>
                    <w:tr2bl w:val="nil"/>
                  </w:tcBorders>
                  <w:noWrap w:val="0"/>
                  <w:vAlign w:val="center"/>
                </w:tcPr>
                <w:p w14:paraId="2DBAD10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60</w:t>
                  </w:r>
                </w:p>
              </w:tc>
              <w:tc>
                <w:tcPr>
                  <w:tcW w:w="560" w:type="pct"/>
                  <w:tcBorders>
                    <w:tl2br w:val="nil"/>
                    <w:tr2bl w:val="nil"/>
                  </w:tcBorders>
                  <w:noWrap w:val="0"/>
                  <w:vAlign w:val="center"/>
                </w:tcPr>
                <w:p w14:paraId="43B02F8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1275" w:type="pct"/>
                  <w:vMerge w:val="restart"/>
                  <w:tcBorders>
                    <w:tl2br w:val="nil"/>
                    <w:tr2bl w:val="nil"/>
                  </w:tcBorders>
                  <w:noWrap w:val="0"/>
                  <w:vAlign w:val="center"/>
                </w:tcPr>
                <w:p w14:paraId="72A89AF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交由具有相应处理能力或经营范围的单位利用和处置</w:t>
                  </w:r>
                </w:p>
              </w:tc>
            </w:tr>
            <w:tr w14:paraId="1BE4E05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1560" w:type="pct"/>
                  <w:tcBorders>
                    <w:tl2br w:val="nil"/>
                    <w:tr2bl w:val="nil"/>
                  </w:tcBorders>
                  <w:noWrap w:val="0"/>
                  <w:vAlign w:val="center"/>
                </w:tcPr>
                <w:p w14:paraId="4595693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除尘灰</w:t>
                  </w:r>
                </w:p>
              </w:tc>
              <w:tc>
                <w:tcPr>
                  <w:tcW w:w="593" w:type="pct"/>
                  <w:vMerge w:val="continue"/>
                  <w:tcBorders>
                    <w:tl2br w:val="nil"/>
                    <w:tr2bl w:val="nil"/>
                  </w:tcBorders>
                  <w:noWrap w:val="0"/>
                  <w:vAlign w:val="center"/>
                </w:tcPr>
                <w:p w14:paraId="4E807C4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c>
                <w:tcPr>
                  <w:tcW w:w="531" w:type="pct"/>
                  <w:tcBorders>
                    <w:tl2br w:val="nil"/>
                    <w:tr2bl w:val="nil"/>
                  </w:tcBorders>
                  <w:noWrap w:val="0"/>
                  <w:vAlign w:val="center"/>
                </w:tcPr>
                <w:p w14:paraId="7F0B87B1">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0.05</w:t>
                  </w:r>
                </w:p>
              </w:tc>
              <w:tc>
                <w:tcPr>
                  <w:tcW w:w="478" w:type="pct"/>
                  <w:tcBorders>
                    <w:tl2br w:val="nil"/>
                    <w:tr2bl w:val="nil"/>
                  </w:tcBorders>
                  <w:noWrap w:val="0"/>
                  <w:vAlign w:val="center"/>
                </w:tcPr>
                <w:p w14:paraId="2A934670">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2"/>
                      <w:sz w:val="21"/>
                      <w:szCs w:val="21"/>
                      <w:highlight w:val="none"/>
                      <w:lang w:val="en-US" w:eastAsia="zh-CN" w:bidi="ar"/>
                    </w:rPr>
                    <w:t>60</w:t>
                  </w:r>
                </w:p>
              </w:tc>
              <w:tc>
                <w:tcPr>
                  <w:tcW w:w="560" w:type="pct"/>
                  <w:tcBorders>
                    <w:tl2br w:val="nil"/>
                    <w:tr2bl w:val="nil"/>
                  </w:tcBorders>
                  <w:noWrap w:val="0"/>
                  <w:vAlign w:val="center"/>
                </w:tcPr>
                <w:p w14:paraId="1F9E7DB0">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2"/>
                      <w:sz w:val="21"/>
                      <w:szCs w:val="21"/>
                      <w:highlight w:val="none"/>
                      <w:lang w:val="en-US" w:eastAsia="zh-CN" w:bidi="ar"/>
                    </w:rPr>
                    <w:t>/</w:t>
                  </w:r>
                </w:p>
              </w:tc>
              <w:tc>
                <w:tcPr>
                  <w:tcW w:w="1275" w:type="pct"/>
                  <w:vMerge w:val="continue"/>
                  <w:tcBorders>
                    <w:tl2br w:val="nil"/>
                    <w:tr2bl w:val="nil"/>
                  </w:tcBorders>
                  <w:noWrap w:val="0"/>
                  <w:vAlign w:val="center"/>
                </w:tcPr>
                <w:p w14:paraId="406DF70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color w:val="auto"/>
                      <w:kern w:val="2"/>
                      <w:sz w:val="21"/>
                      <w:szCs w:val="21"/>
                      <w:highlight w:val="none"/>
                      <w:lang w:val="en-US" w:eastAsia="zh-CN" w:bidi="ar"/>
                    </w:rPr>
                  </w:pPr>
                </w:p>
              </w:tc>
            </w:tr>
          </w:tbl>
          <w:p w14:paraId="604E70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根据《危险废物贮存污染控制标准》（GB18597-2023）中贮存设施定义，本项目选用贮存库作为危险废物贮存设施。本项目危废贮存库占地面积为</w:t>
            </w:r>
            <w:r>
              <w:rPr>
                <w:rFonts w:hint="eastAsia" w:cs="Times New Roman"/>
                <w:color w:val="auto"/>
                <w:sz w:val="24"/>
                <w:szCs w:val="24"/>
                <w:highlight w:val="none"/>
                <w:lang w:val="en-US" w:eastAsia="zh-CN"/>
              </w:rPr>
              <w:t>125</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危废库内按照危险废物种类进行分区，</w:t>
            </w:r>
            <w:r>
              <w:rPr>
                <w:rFonts w:hint="default" w:ascii="Times New Roman" w:hAnsi="Times New Roman" w:eastAsia="宋体" w:cs="Times New Roman"/>
                <w:color w:val="auto"/>
                <w:sz w:val="24"/>
                <w:szCs w:val="24"/>
                <w:highlight w:val="none"/>
                <w:lang w:val="en-US" w:eastAsia="zh-CN"/>
              </w:rPr>
              <w:t>分为</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个区域，1#</w:t>
            </w:r>
            <w:r>
              <w:rPr>
                <w:rFonts w:hint="eastAsia" w:cs="Times New Roman"/>
                <w:color w:val="auto"/>
                <w:sz w:val="24"/>
                <w:szCs w:val="24"/>
                <w:highlight w:val="none"/>
                <w:lang w:val="en-US" w:eastAsia="zh-CN"/>
              </w:rPr>
              <w:t>废动力电池贮存库</w:t>
            </w:r>
            <w:r>
              <w:rPr>
                <w:rFonts w:hint="default" w:ascii="Times New Roman" w:hAnsi="Times New Roman" w:eastAsia="宋体" w:cs="Times New Roman"/>
                <w:color w:val="auto"/>
                <w:sz w:val="24"/>
                <w:szCs w:val="24"/>
                <w:highlight w:val="none"/>
                <w:lang w:val="en-US" w:eastAsia="zh-CN"/>
              </w:rPr>
              <w:t>、2#废铅蓄电池贮存</w:t>
            </w:r>
            <w:r>
              <w:rPr>
                <w:rFonts w:hint="eastAsia" w:cs="Times New Roman"/>
                <w:color w:val="auto"/>
                <w:sz w:val="24"/>
                <w:szCs w:val="24"/>
                <w:highlight w:val="none"/>
                <w:lang w:val="en-US" w:eastAsia="zh-CN"/>
              </w:rPr>
              <w:t>区</w:t>
            </w:r>
            <w:r>
              <w:rPr>
                <w:rFonts w:hint="default" w:ascii="Times New Roman" w:hAnsi="Times New Roman" w:eastAsia="宋体" w:cs="Times New Roman"/>
                <w:color w:val="auto"/>
                <w:sz w:val="24"/>
                <w:szCs w:val="24"/>
                <w:highlight w:val="none"/>
                <w:lang w:val="en-US" w:eastAsia="zh-CN"/>
              </w:rPr>
              <w:t>，3#</w:t>
            </w:r>
            <w:r>
              <w:rPr>
                <w:rFonts w:hint="eastAsia" w:cs="Times New Roman"/>
                <w:color w:val="auto"/>
                <w:sz w:val="24"/>
                <w:szCs w:val="24"/>
                <w:highlight w:val="none"/>
                <w:lang w:val="en-US" w:eastAsia="zh-CN"/>
              </w:rPr>
              <w:t>废油贮存库，4#废液贮存库，5#</w:t>
            </w:r>
            <w:r>
              <w:rPr>
                <w:rFonts w:hint="default" w:ascii="Times New Roman" w:hAnsi="Times New Roman" w:eastAsia="宋体" w:cs="Times New Roman"/>
                <w:color w:val="auto"/>
                <w:sz w:val="24"/>
                <w:szCs w:val="24"/>
                <w:highlight w:val="none"/>
                <w:lang w:val="en-US" w:eastAsia="zh-CN"/>
              </w:rPr>
              <w:t>其他危险废物贮存</w:t>
            </w:r>
            <w:r>
              <w:rPr>
                <w:rFonts w:hint="eastAsia" w:cs="Times New Roman"/>
                <w:color w:val="auto"/>
                <w:sz w:val="24"/>
                <w:szCs w:val="24"/>
                <w:highlight w:val="none"/>
                <w:lang w:val="en-US" w:eastAsia="zh-CN"/>
              </w:rPr>
              <w:t>区</w:t>
            </w:r>
            <w:r>
              <w:rPr>
                <w:rFonts w:hint="default" w:ascii="Times New Roman" w:hAnsi="Times New Roman"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危废贮存库最大储存能力约50t，本项目危险废物最大暂存量约46.55t，因此危废贮存库</w:t>
            </w:r>
            <w:r>
              <w:rPr>
                <w:rFonts w:hint="default" w:ascii="Times New Roman" w:hAnsi="Times New Roman" w:eastAsia="宋体" w:cs="Times New Roman"/>
                <w:color w:val="auto"/>
                <w:sz w:val="24"/>
                <w:szCs w:val="24"/>
                <w:highlight w:val="none"/>
                <w:lang w:val="en-US" w:eastAsia="zh-CN"/>
              </w:rPr>
              <w:t>容量可以满足危险废物暂存需求。厂区内设置一般固废库，占地面积</w:t>
            </w:r>
            <w:r>
              <w:rPr>
                <w:rFonts w:hint="eastAsia" w:ascii="Times New Roman" w:hAnsi="Times New Roman" w:eastAsia="宋体" w:cs="Times New Roman"/>
                <w:color w:val="auto"/>
                <w:sz w:val="24"/>
                <w:szCs w:val="24"/>
                <w:highlight w:val="none"/>
                <w:lang w:val="en-US" w:eastAsia="zh-CN"/>
              </w:rPr>
              <w:t>50</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，需要满足《一般工业固体废物贮存和填埋污染控制标准》（GB 18599-2020）中三防要求。</w:t>
            </w:r>
          </w:p>
          <w:p w14:paraId="2F7F25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4.3 固体废物</w:t>
            </w:r>
            <w:r>
              <w:rPr>
                <w:rFonts w:hint="default" w:ascii="Times New Roman" w:hAnsi="Times New Roman" w:eastAsia="宋体" w:cs="Times New Roman"/>
                <w:b/>
                <w:bCs/>
                <w:color w:val="auto"/>
                <w:sz w:val="24"/>
                <w:szCs w:val="24"/>
                <w:highlight w:val="none"/>
                <w:lang w:val="en-US" w:eastAsia="zh-CN"/>
              </w:rPr>
              <w:t>环境管理要求如下：</w:t>
            </w:r>
          </w:p>
          <w:p w14:paraId="7D32F4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一般固体废物</w:t>
            </w:r>
            <w:r>
              <w:rPr>
                <w:rFonts w:hint="eastAsia" w:ascii="Times New Roman" w:hAnsi="Times New Roman" w:eastAsia="宋体" w:cs="Times New Roman"/>
                <w:b/>
                <w:bCs/>
                <w:color w:val="auto"/>
                <w:sz w:val="24"/>
                <w:szCs w:val="24"/>
                <w:highlight w:val="none"/>
                <w:lang w:val="en-US" w:eastAsia="zh-CN"/>
              </w:rPr>
              <w:t>管理要求</w:t>
            </w:r>
            <w:r>
              <w:rPr>
                <w:rFonts w:hint="default" w:ascii="Times New Roman" w:hAnsi="Times New Roman" w:eastAsia="宋体" w:cs="Times New Roman"/>
                <w:b/>
                <w:bCs/>
                <w:color w:val="auto"/>
                <w:sz w:val="24"/>
                <w:szCs w:val="24"/>
                <w:highlight w:val="none"/>
                <w:lang w:val="en-US" w:eastAsia="zh-CN"/>
              </w:rPr>
              <w:t>：</w:t>
            </w:r>
          </w:p>
          <w:p w14:paraId="351BFB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本项目一般固废暂存处位于拆解车间内，占地面积50m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w:t>
            </w:r>
          </w:p>
          <w:p w14:paraId="0C6823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根据《一般工业固体废物贮存和填埋污染控制标准》（GB18599-2020）及《辽宁省生态环境厅关于加强全省一般工业固体废物环境管理工作的通知》（辽环函〔2022〕42 号），根据本项目情况提出如下环保措施：</w:t>
            </w:r>
          </w:p>
          <w:p w14:paraId="42681F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（1）加强贮存管理。对照《一般工业固体废物贮存和填埋污染控制标准》 （GB18599-2020）等有关标准规范要求建设一般工业固体废物贮存设施，落实防渗漏、防雨淋、防扬尘等要求，按固废类别进行分类贮存，禁止将一般工业固体废物投放到生活垃圾收集设施，禁止将不符合豁免条件的危险废物等混入到一般工业固体废物收集贮存设施。贮存设施应在显著位置张贴符合《环境保护图形标志-固体废物贮存（处置）场》（GB 15562.2）要求的环境保护图形标志，并注明相应固废类别。</w:t>
            </w:r>
          </w:p>
          <w:p w14:paraId="1B59626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2）规范台账申报管理。根据《一般工业固体废物管理台账制定指南（试行）》要求建立一般工业固体废物产生、收集、贮存、运输、利用、处置全过程管理台账。台账应由专人管理，防止遗失，保存期限不少于 5 年。</w:t>
            </w:r>
          </w:p>
          <w:p w14:paraId="5104B6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（3）加强利用处置管理。应该按照“宜用则用，全程管控 ”的原则，根据经济、技术条件对一般工业固体废物进行综合利用。对不能利用的一般工业固体废物应该进行无害化处置。鼓励产废单位直接委托他人运输、利用、处置一般工业固体废物，并按照相关法律法规要求，对受托方的主体资格和技术能力进行核实，依法签订书面合同，并在合同中约定污染防治要求，明确双方的义务及违约责任。严禁向合同规定单位以外的单位或个人转移废物。</w:t>
            </w:r>
          </w:p>
          <w:p w14:paraId="58CDC0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eastAsia="宋体" w:cs="Times New Roman"/>
                <w:b/>
                <w:bCs/>
                <w:color w:val="auto"/>
                <w:sz w:val="24"/>
                <w:szCs w:val="24"/>
                <w:highlight w:val="none"/>
                <w:lang w:val="en-US" w:eastAsia="zh-CN"/>
              </w:rPr>
              <w:t>危险废物</w:t>
            </w:r>
            <w:r>
              <w:rPr>
                <w:rFonts w:hint="eastAsia" w:ascii="Times New Roman" w:hAnsi="Times New Roman" w:eastAsia="宋体" w:cs="Times New Roman"/>
                <w:b/>
                <w:bCs/>
                <w:color w:val="auto"/>
                <w:sz w:val="24"/>
                <w:szCs w:val="24"/>
                <w:highlight w:val="none"/>
                <w:lang w:val="en-US" w:eastAsia="zh-CN"/>
              </w:rPr>
              <w:t>管理要求</w:t>
            </w:r>
            <w:r>
              <w:rPr>
                <w:rFonts w:hint="default" w:ascii="Times New Roman" w:hAnsi="Times New Roman" w:eastAsia="宋体" w:cs="Times New Roman"/>
                <w:b/>
                <w:bCs/>
                <w:color w:val="auto"/>
                <w:sz w:val="24"/>
                <w:szCs w:val="24"/>
                <w:highlight w:val="none"/>
                <w:lang w:val="en-US" w:eastAsia="zh-CN"/>
              </w:rPr>
              <w:t>：</w:t>
            </w:r>
          </w:p>
          <w:p w14:paraId="255087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本项目危废贮存库位于拆解车间内，占地面积</w:t>
            </w:r>
            <w:r>
              <w:rPr>
                <w:rFonts w:hint="eastAsia" w:cs="Times New Roman"/>
                <w:color w:val="auto"/>
                <w:sz w:val="24"/>
                <w:szCs w:val="24"/>
                <w:highlight w:val="none"/>
                <w:lang w:val="en-US" w:eastAsia="zh-CN"/>
              </w:rPr>
              <w:t>125</w:t>
            </w:r>
            <w:r>
              <w:rPr>
                <w:rFonts w:hint="default" w:ascii="Times New Roman" w:hAnsi="Times New Roman" w:eastAsia="宋体" w:cs="Times New Roman"/>
                <w:color w:val="auto"/>
                <w:sz w:val="24"/>
                <w:szCs w:val="24"/>
                <w:highlight w:val="none"/>
                <w:lang w:val="en-US" w:eastAsia="zh-CN"/>
              </w:rPr>
              <w:t>m</w:t>
            </w:r>
            <w:r>
              <w:rPr>
                <w:rFonts w:hint="default" w:ascii="Times New Roman" w:hAnsi="Times New Roman" w:eastAsia="宋体" w:cs="Times New Roman"/>
                <w:color w:val="auto"/>
                <w:sz w:val="24"/>
                <w:szCs w:val="24"/>
                <w:highlight w:val="none"/>
                <w:vertAlign w:val="superscript"/>
                <w:lang w:val="en-US" w:eastAsia="zh-CN"/>
              </w:rPr>
              <w:t>2</w:t>
            </w:r>
            <w:r>
              <w:rPr>
                <w:rFonts w:hint="default" w:ascii="Times New Roman" w:hAnsi="Times New Roman" w:eastAsia="宋体" w:cs="Times New Roman"/>
                <w:color w:val="auto"/>
                <w:sz w:val="24"/>
                <w:szCs w:val="24"/>
                <w:highlight w:val="none"/>
                <w:lang w:val="en-US" w:eastAsia="zh-CN"/>
              </w:rPr>
              <w:t xml:space="preserve"> ，分为</w:t>
            </w:r>
            <w:r>
              <w:rPr>
                <w:rFonts w:hint="eastAsia"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个区域，1#</w:t>
            </w:r>
            <w:r>
              <w:rPr>
                <w:rFonts w:hint="eastAsia" w:cs="Times New Roman"/>
                <w:color w:val="auto"/>
                <w:sz w:val="24"/>
                <w:szCs w:val="24"/>
                <w:highlight w:val="none"/>
                <w:lang w:val="en-US" w:eastAsia="zh-CN"/>
              </w:rPr>
              <w:t>废动力电池贮存库</w:t>
            </w:r>
            <w:r>
              <w:rPr>
                <w:rFonts w:hint="default" w:ascii="Times New Roman" w:hAnsi="Times New Roman" w:eastAsia="宋体" w:cs="Times New Roman"/>
                <w:color w:val="auto"/>
                <w:sz w:val="24"/>
                <w:szCs w:val="24"/>
                <w:highlight w:val="none"/>
                <w:lang w:val="en-US" w:eastAsia="zh-CN"/>
              </w:rPr>
              <w:t>、2#废铅蓄电池贮存</w:t>
            </w:r>
            <w:r>
              <w:rPr>
                <w:rFonts w:hint="eastAsia" w:cs="Times New Roman"/>
                <w:color w:val="auto"/>
                <w:sz w:val="24"/>
                <w:szCs w:val="24"/>
                <w:highlight w:val="none"/>
                <w:lang w:val="en-US" w:eastAsia="zh-CN"/>
              </w:rPr>
              <w:t>区</w:t>
            </w:r>
            <w:r>
              <w:rPr>
                <w:rFonts w:hint="default" w:ascii="Times New Roman" w:hAnsi="Times New Roman" w:eastAsia="宋体" w:cs="Times New Roman"/>
                <w:color w:val="auto"/>
                <w:sz w:val="24"/>
                <w:szCs w:val="24"/>
                <w:highlight w:val="none"/>
                <w:lang w:val="en-US" w:eastAsia="zh-CN"/>
              </w:rPr>
              <w:t>，3#</w:t>
            </w:r>
            <w:r>
              <w:rPr>
                <w:rFonts w:hint="eastAsia" w:cs="Times New Roman"/>
                <w:color w:val="auto"/>
                <w:sz w:val="24"/>
                <w:szCs w:val="24"/>
                <w:highlight w:val="none"/>
                <w:lang w:val="en-US" w:eastAsia="zh-CN"/>
              </w:rPr>
              <w:t>废油贮存库，4#废液贮存库，5#</w:t>
            </w:r>
            <w:r>
              <w:rPr>
                <w:rFonts w:hint="default" w:ascii="Times New Roman" w:hAnsi="Times New Roman" w:eastAsia="宋体" w:cs="Times New Roman"/>
                <w:color w:val="auto"/>
                <w:sz w:val="24"/>
                <w:szCs w:val="24"/>
                <w:highlight w:val="none"/>
                <w:lang w:val="en-US" w:eastAsia="zh-CN"/>
              </w:rPr>
              <w:t>其他危险废物贮存</w:t>
            </w:r>
            <w:r>
              <w:rPr>
                <w:rFonts w:hint="eastAsia" w:cs="Times New Roman"/>
                <w:color w:val="auto"/>
                <w:sz w:val="24"/>
                <w:szCs w:val="24"/>
                <w:highlight w:val="none"/>
                <w:lang w:val="en-US" w:eastAsia="zh-CN"/>
              </w:rPr>
              <w:t>区</w:t>
            </w:r>
            <w:r>
              <w:rPr>
                <w:rFonts w:hint="default" w:ascii="Times New Roman" w:hAnsi="Times New Roman" w:eastAsia="宋体" w:cs="Times New Roman"/>
                <w:color w:val="auto"/>
                <w:sz w:val="24"/>
                <w:szCs w:val="24"/>
                <w:highlight w:val="none"/>
                <w:lang w:val="en-US" w:eastAsia="zh-CN"/>
              </w:rPr>
              <w:t>。</w:t>
            </w:r>
          </w:p>
          <w:p w14:paraId="5584C9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危废库分区如下：</w:t>
            </w:r>
          </w:p>
          <w:p w14:paraId="4224076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206833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660269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37AAAF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3CE16EB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45AD42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39B1F0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lang w:val="en-US" w:eastAsia="zh-CN"/>
              </w:rPr>
            </w:pPr>
          </w:p>
          <w:p w14:paraId="3B5E18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jc w:val="both"/>
              <w:textAlignment w:val="auto"/>
              <w:rPr>
                <w:rFonts w:hint="default" w:cs="Times New Roman"/>
                <w:color w:val="auto"/>
                <w:sz w:val="24"/>
                <w:szCs w:val="24"/>
                <w:highlight w:val="none"/>
                <w:lang w:val="en-US" w:eastAsia="zh-CN"/>
              </w:rPr>
            </w:pPr>
          </w:p>
          <w:p w14:paraId="3B1FCC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center"/>
              <w:textAlignment w:val="auto"/>
              <w:rPr>
                <w:rFonts w:hint="default"/>
                <w:color w:val="auto"/>
              </w:rPr>
            </w:pPr>
            <w:r>
              <w:rPr>
                <w:rFonts w:hint="default"/>
                <w:color w:val="auto"/>
              </w:rPr>
              <w:pict>
                <v:shape id="_x0000_i1039" o:spt="75" type="#_x0000_t75" style="height:459.75pt;width:124.5pt;" filled="f" stroked="f" coordsize="21600,21600">
                  <v:path/>
                  <v:fill on="f" focussize="0,0"/>
                  <v:stroke on="f"/>
                  <v:imagedata r:id="rId22" o:title=""/>
                  <o:lock v:ext="edit" aspectratio="t"/>
                  <w10:wrap type="none"/>
                  <w10:anchorlock/>
                </v:shape>
              </w:pict>
            </w:r>
          </w:p>
          <w:p w14:paraId="0D0CED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firstLineChars="200"/>
              <w:jc w:val="center"/>
              <w:textAlignment w:val="auto"/>
              <w:rPr>
                <w:rFonts w:hint="default" w:eastAsia="宋体"/>
                <w:b/>
                <w:bCs/>
                <w:color w:val="auto"/>
                <w:lang w:val="en-US" w:eastAsia="zh-CN"/>
              </w:rPr>
            </w:pPr>
            <w:r>
              <w:rPr>
                <w:rFonts w:hint="eastAsia"/>
                <w:b/>
                <w:bCs/>
                <w:color w:val="auto"/>
                <w:lang w:val="en-US" w:eastAsia="zh-CN"/>
              </w:rPr>
              <w:t>图10  危废贮存库分区示意图</w:t>
            </w:r>
          </w:p>
          <w:p w14:paraId="7DC1F6F8">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根据</w:t>
            </w:r>
            <w:r>
              <w:rPr>
                <w:rFonts w:hint="eastAsia" w:ascii="Times New Roman" w:hAnsi="Times New Roman" w:eastAsia="宋体" w:cs="Times New Roman"/>
                <w:color w:val="auto"/>
                <w:sz w:val="24"/>
                <w:highlight w:val="none"/>
                <w:lang w:val="en-US" w:eastAsia="zh-CN"/>
              </w:rPr>
              <w:t>《国家危险废物名录》（</w:t>
            </w:r>
            <w:r>
              <w:rPr>
                <w:rFonts w:hint="default" w:ascii="Times New Roman" w:hAnsi="Times New Roman" w:eastAsia="宋体" w:cs="Times New Roman"/>
                <w:color w:val="auto"/>
                <w:sz w:val="24"/>
                <w:highlight w:val="none"/>
                <w:lang w:val="en-US" w:eastAsia="zh-CN"/>
              </w:rPr>
              <w:t>2025</w:t>
            </w:r>
            <w:r>
              <w:rPr>
                <w:rFonts w:hint="eastAsia" w:ascii="Times New Roman" w:hAnsi="Times New Roman" w:eastAsia="宋体" w:cs="Times New Roman"/>
                <w:color w:val="auto"/>
                <w:sz w:val="24"/>
                <w:highlight w:val="none"/>
                <w:lang w:val="en-US" w:eastAsia="zh-CN"/>
              </w:rPr>
              <w:t>年版）、</w:t>
            </w:r>
            <w:r>
              <w:rPr>
                <w:rFonts w:hint="default" w:ascii="Times New Roman" w:hAnsi="Times New Roman" w:eastAsia="宋体" w:cs="Times New Roman"/>
                <w:color w:val="auto"/>
                <w:sz w:val="24"/>
                <w:highlight w:val="none"/>
                <w:lang w:val="en-US" w:eastAsia="zh-CN"/>
              </w:rPr>
              <w:t xml:space="preserve">《危险废物贮存污染控制标准》（GB 18597-2023）、《废铅蓄电池处理污染控制技术规范》（HJ519-2020）、《废电池污染防治技术政策》（环境保护部公告2016年第82号）、《报废机动车拆解企业污染控制技术规范》（HJ348-2022）中的相关要求进行管理。 </w:t>
            </w:r>
          </w:p>
          <w:p w14:paraId="102BFC41">
            <w:pPr>
              <w:keepNext w:val="0"/>
              <w:keepLines w:val="0"/>
              <w:suppressLineNumbers w:val="0"/>
              <w:wordWrap w:val="0"/>
              <w:spacing w:before="0" w:beforeAutospacing="0" w:after="0" w:afterAutospacing="0" w:line="360" w:lineRule="auto"/>
              <w:ind w:left="0" w:right="0" w:firstLine="480" w:firstLineChars="200"/>
              <w:jc w:val="left"/>
              <w:rPr>
                <w:rFonts w:hint="default"/>
                <w:color w:val="auto"/>
                <w:highlight w:val="none"/>
                <w:lang w:val="en-US" w:eastAsia="zh-CN"/>
              </w:rPr>
            </w:pPr>
            <w:r>
              <w:rPr>
                <w:rFonts w:hint="eastAsia" w:ascii="Times New Roman" w:hAnsi="Times New Roman" w:eastAsia="宋体" w:cs="Times New Roman"/>
                <w:color w:val="auto"/>
                <w:sz w:val="24"/>
                <w:highlight w:val="none"/>
                <w:lang w:val="en-US" w:eastAsia="zh-CN"/>
              </w:rPr>
              <w:t>危废贮存库应封闭、独立、防风、防晒、防雨、防漏、防渗、防腐，且设置警示标志。贮存设施或贮存分区内地面、墙面裙脚、堵截泄漏的围堰、接触危险废物的隔板和墙体等应采用坚固的材料建造，表面无裂缝。贮存设施地面与裙脚应采取表面防渗措施；表面防渗材料应与所接触的物料或污染物相容，可采用抗渗混凝土、高密度聚乙烯膜、钠基膨润土防水毯或其他防渗性能等效的材料。后续监管中保证表面无裂缝，防止泄漏事故，避免贮存的危险废物污染当地地下水和土壤，同时在贮存区域设置明显的警示牌标识；对危险废物的收集和管理，厂区应委派专人负责，并做好登记记录，防止存放过程中的二次污染。</w:t>
            </w:r>
          </w:p>
          <w:p w14:paraId="4C70F274">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sz w:val="24"/>
                <w:highlight w:val="none"/>
                <w:lang w:val="en-US" w:eastAsia="zh-CN"/>
              </w:rPr>
            </w:pPr>
            <w:r>
              <w:rPr>
                <w:rFonts w:hint="default" w:ascii="Times New Roman" w:hAnsi="Times New Roman" w:eastAsia="宋体" w:cs="Times New Roman"/>
                <w:color w:val="auto"/>
                <w:sz w:val="24"/>
                <w:highlight w:val="none"/>
                <w:lang w:val="en-US" w:eastAsia="zh-CN"/>
              </w:rPr>
              <w:t>本项目危险废物在厂区内收集后暂存于危废贮存库，定期委托有资质单位进行处理。危险废物的收集、贮存、转移和运输需要严格按照《危险废物贮存污染控制标准》（GB18597-2023）要求进行</w:t>
            </w:r>
            <w:r>
              <w:rPr>
                <w:rFonts w:hint="eastAsia" w:cs="Times New Roman"/>
                <w:color w:val="auto"/>
                <w:sz w:val="24"/>
                <w:highlight w:val="none"/>
                <w:lang w:val="en-US" w:eastAsia="zh-CN"/>
              </w:rPr>
              <w:t>，具体见下表。</w:t>
            </w:r>
          </w:p>
          <w:p w14:paraId="45B52420">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b/>
                <w:bCs/>
                <w:color w:val="auto"/>
                <w:sz w:val="21"/>
                <w:szCs w:val="21"/>
                <w:highlight w:val="none"/>
                <w:lang w:val="en-US" w:eastAsia="zh-CN"/>
              </w:rPr>
              <w:t>表4-</w:t>
            </w:r>
            <w:r>
              <w:rPr>
                <w:rFonts w:hint="eastAsia" w:ascii="Times New Roman" w:hAnsi="Times New Roman" w:eastAsia="宋体" w:cs="Times New Roman"/>
                <w:b/>
                <w:bCs/>
                <w:color w:val="auto"/>
                <w:sz w:val="21"/>
                <w:szCs w:val="21"/>
                <w:highlight w:val="none"/>
                <w:lang w:val="en-US" w:eastAsia="zh-CN"/>
              </w:rPr>
              <w:t>2</w:t>
            </w:r>
            <w:r>
              <w:rPr>
                <w:rFonts w:hint="eastAsia" w:cs="Times New Roman"/>
                <w:b/>
                <w:bCs/>
                <w:color w:val="auto"/>
                <w:sz w:val="21"/>
                <w:szCs w:val="21"/>
                <w:highlight w:val="none"/>
                <w:lang w:val="en-US" w:eastAsia="zh-CN"/>
              </w:rPr>
              <w:t>6</w:t>
            </w:r>
            <w:r>
              <w:rPr>
                <w:rFonts w:hint="default" w:ascii="Times New Roman" w:hAnsi="Times New Roman" w:eastAsia="宋体" w:cs="Times New Roman"/>
                <w:b/>
                <w:bCs/>
                <w:color w:val="auto"/>
                <w:sz w:val="21"/>
                <w:szCs w:val="21"/>
                <w:highlight w:val="none"/>
                <w:lang w:val="en-US" w:eastAsia="zh-CN"/>
              </w:rPr>
              <w:t xml:space="preserve">  危险废物贮存设施污染控制要求对照表</w:t>
            </w:r>
          </w:p>
          <w:tbl>
            <w:tblPr>
              <w:tblStyle w:val="26"/>
              <w:tblW w:w="4959" w:type="pct"/>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autofit"/>
              <w:tblCellMar>
                <w:top w:w="0" w:type="dxa"/>
                <w:left w:w="108" w:type="dxa"/>
                <w:bottom w:w="0" w:type="dxa"/>
                <w:right w:w="108" w:type="dxa"/>
              </w:tblCellMar>
            </w:tblPr>
            <w:tblGrid>
              <w:gridCol w:w="750"/>
              <w:gridCol w:w="4299"/>
              <w:gridCol w:w="3265"/>
              <w:gridCol w:w="737"/>
            </w:tblGrid>
            <w:tr w14:paraId="49FCFB7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788" w:type="pct"/>
                  <w:gridSpan w:val="2"/>
                  <w:tcBorders>
                    <w:tl2br w:val="nil"/>
                    <w:tr2bl w:val="nil"/>
                  </w:tcBorders>
                  <w:noWrap w:val="0"/>
                  <w:vAlign w:val="center"/>
                </w:tcPr>
                <w:p w14:paraId="4F29B98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文件要求</w:t>
                  </w:r>
                </w:p>
              </w:tc>
              <w:tc>
                <w:tcPr>
                  <w:tcW w:w="1803" w:type="pct"/>
                  <w:tcBorders>
                    <w:tl2br w:val="nil"/>
                    <w:tr2bl w:val="nil"/>
                  </w:tcBorders>
                  <w:noWrap w:val="0"/>
                  <w:vAlign w:val="center"/>
                </w:tcPr>
                <w:p w14:paraId="4F58BF7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项目情况</w:t>
                  </w:r>
                </w:p>
              </w:tc>
              <w:tc>
                <w:tcPr>
                  <w:tcW w:w="407" w:type="pct"/>
                  <w:tcBorders>
                    <w:tl2br w:val="nil"/>
                    <w:tr2bl w:val="nil"/>
                  </w:tcBorders>
                  <w:noWrap w:val="0"/>
                  <w:vAlign w:val="center"/>
                </w:tcPr>
                <w:p w14:paraId="7B5BD9B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符合性</w:t>
                  </w:r>
                </w:p>
              </w:tc>
            </w:tr>
            <w:tr w14:paraId="64A8288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restart"/>
                  <w:tcBorders>
                    <w:tl2br w:val="nil"/>
                    <w:tr2bl w:val="nil"/>
                  </w:tcBorders>
                  <w:noWrap w:val="0"/>
                  <w:vAlign w:val="center"/>
                </w:tcPr>
                <w:p w14:paraId="10CC642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贮存设施污染控制要求</w:t>
                  </w:r>
                </w:p>
              </w:tc>
              <w:tc>
                <w:tcPr>
                  <w:tcW w:w="2374" w:type="pct"/>
                  <w:tcBorders>
                    <w:tl2br w:val="nil"/>
                    <w:tr2bl w:val="nil"/>
                  </w:tcBorders>
                  <w:noWrap w:val="0"/>
                  <w:vAlign w:val="center"/>
                </w:tcPr>
                <w:p w14:paraId="154BE96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贮存设施应根据危险废物的形态、物理化学性质、包装形式和污染物迁移途径，采取必要的防风、防晒、防雨、防漏、防渗、防腐以及其他环境污染防治措施，不应露天堆放危险废物。</w:t>
                  </w:r>
                </w:p>
              </w:tc>
              <w:tc>
                <w:tcPr>
                  <w:tcW w:w="1803" w:type="pct"/>
                  <w:tcBorders>
                    <w:tl2br w:val="nil"/>
                    <w:tr2bl w:val="nil"/>
                  </w:tcBorders>
                  <w:noWrap w:val="0"/>
                  <w:vAlign w:val="center"/>
                </w:tcPr>
                <w:p w14:paraId="08C78AB5">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本项目危废贮存点位于</w:t>
                  </w:r>
                  <w:r>
                    <w:rPr>
                      <w:rFonts w:hint="eastAsia" w:ascii="Times New Roman" w:hAnsi="Times New Roman" w:cs="Times New Roman"/>
                      <w:b w:val="0"/>
                      <w:bCs w:val="0"/>
                      <w:color w:val="auto"/>
                      <w:kern w:val="2"/>
                      <w:sz w:val="21"/>
                      <w:szCs w:val="21"/>
                      <w:highlight w:val="none"/>
                      <w:lang w:val="en-US" w:eastAsia="zh-CN" w:bidi="ar"/>
                    </w:rPr>
                    <w:t>拆解车间内</w:t>
                  </w:r>
                  <w:r>
                    <w:rPr>
                      <w:rFonts w:hint="default" w:ascii="Times New Roman" w:hAnsi="Times New Roman" w:eastAsia="宋体" w:cs="Times New Roman"/>
                      <w:b w:val="0"/>
                      <w:bCs w:val="0"/>
                      <w:color w:val="auto"/>
                      <w:kern w:val="2"/>
                      <w:sz w:val="21"/>
                      <w:szCs w:val="21"/>
                      <w:highlight w:val="none"/>
                      <w:lang w:val="en-US" w:eastAsia="zh-CN" w:bidi="ar"/>
                    </w:rPr>
                    <w:t>，贮存库可满足防风、防晒、防雨要求，建设单位拟对危废贮存点地面、裙脚等进行防腐防渗处理。</w:t>
                  </w:r>
                </w:p>
              </w:tc>
              <w:tc>
                <w:tcPr>
                  <w:tcW w:w="407" w:type="pct"/>
                  <w:tcBorders>
                    <w:tl2br w:val="nil"/>
                    <w:tr2bl w:val="nil"/>
                  </w:tcBorders>
                  <w:noWrap w:val="0"/>
                  <w:vAlign w:val="center"/>
                </w:tcPr>
                <w:p w14:paraId="192F6A94">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0E333A5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6818116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D792F05">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贮存设施应根据危险废物的类别、数量、形态、物理化学性质和污染防治等要求设置必要的贮存分区，避免不相容的危险废物接触、混合。</w:t>
                  </w:r>
                </w:p>
              </w:tc>
              <w:tc>
                <w:tcPr>
                  <w:tcW w:w="1803" w:type="pct"/>
                  <w:tcBorders>
                    <w:tl2br w:val="nil"/>
                    <w:tr2bl w:val="nil"/>
                  </w:tcBorders>
                  <w:noWrap w:val="0"/>
                  <w:vAlign w:val="center"/>
                </w:tcPr>
                <w:p w14:paraId="7F242472">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w:t>
                  </w:r>
                  <w:r>
                    <w:rPr>
                      <w:rFonts w:hint="eastAsia" w:ascii="Times New Roman" w:hAnsi="Times New Roman" w:cs="Times New Roman"/>
                      <w:b w:val="0"/>
                      <w:bCs w:val="0"/>
                      <w:color w:val="auto"/>
                      <w:kern w:val="2"/>
                      <w:sz w:val="21"/>
                      <w:szCs w:val="21"/>
                      <w:highlight w:val="none"/>
                      <w:lang w:val="en-US" w:eastAsia="zh-CN" w:bidi="ar"/>
                    </w:rPr>
                    <w:t>对危废贮存库按照危废种类进行</w:t>
                  </w:r>
                  <w:r>
                    <w:rPr>
                      <w:rFonts w:hint="default" w:ascii="Times New Roman" w:hAnsi="Times New Roman" w:eastAsia="宋体" w:cs="Times New Roman"/>
                      <w:b w:val="0"/>
                      <w:bCs w:val="0"/>
                      <w:color w:val="auto"/>
                      <w:kern w:val="2"/>
                      <w:sz w:val="21"/>
                      <w:szCs w:val="21"/>
                      <w:highlight w:val="none"/>
                      <w:lang w:val="en-US" w:eastAsia="zh-CN" w:bidi="ar"/>
                    </w:rPr>
                    <w:t>分类分区</w:t>
                  </w:r>
                  <w:r>
                    <w:rPr>
                      <w:rFonts w:hint="eastAsia" w:ascii="Times New Roman" w:hAnsi="Times New Roman" w:cs="Times New Roman"/>
                      <w:b w:val="0"/>
                      <w:bCs w:val="0"/>
                      <w:color w:val="auto"/>
                      <w:kern w:val="2"/>
                      <w:sz w:val="21"/>
                      <w:szCs w:val="21"/>
                      <w:highlight w:val="none"/>
                      <w:lang w:val="en-US" w:eastAsia="zh-CN" w:bidi="ar"/>
                    </w:rPr>
                    <w:t>，危废库内包括废油液贮存区、</w:t>
                  </w:r>
                  <w:r>
                    <w:rPr>
                      <w:rFonts w:hint="default" w:ascii="Times New Roman" w:hAnsi="Times New Roman" w:eastAsia="宋体" w:cs="Times New Roman"/>
                      <w:b w:val="0"/>
                      <w:bCs w:val="0"/>
                      <w:color w:val="auto"/>
                      <w:kern w:val="2"/>
                      <w:sz w:val="21"/>
                      <w:szCs w:val="21"/>
                      <w:highlight w:val="none"/>
                      <w:lang w:val="en-US" w:eastAsia="zh-CN" w:bidi="ar"/>
                    </w:rPr>
                    <w:t>废铅蓄电池</w:t>
                  </w:r>
                  <w:r>
                    <w:rPr>
                      <w:rFonts w:hint="eastAsia" w:ascii="Times New Roman" w:hAnsi="Times New Roman" w:cs="Times New Roman"/>
                      <w:b w:val="0"/>
                      <w:bCs w:val="0"/>
                      <w:color w:val="auto"/>
                      <w:kern w:val="2"/>
                      <w:sz w:val="21"/>
                      <w:szCs w:val="21"/>
                      <w:highlight w:val="none"/>
                      <w:lang w:val="en-US" w:eastAsia="zh-CN" w:bidi="ar"/>
                    </w:rPr>
                    <w:t>贮存区</w:t>
                  </w:r>
                  <w:r>
                    <w:rPr>
                      <w:rFonts w:hint="default" w:ascii="Times New Roman" w:hAnsi="Times New Roman" w:eastAsia="宋体" w:cs="Times New Roman"/>
                      <w:b w:val="0"/>
                      <w:bCs w:val="0"/>
                      <w:color w:val="auto"/>
                      <w:kern w:val="2"/>
                      <w:sz w:val="21"/>
                      <w:szCs w:val="21"/>
                      <w:highlight w:val="none"/>
                      <w:lang w:val="en-US" w:eastAsia="zh-CN" w:bidi="ar"/>
                    </w:rPr>
                    <w:t>以及其他危废</w:t>
                  </w:r>
                  <w:r>
                    <w:rPr>
                      <w:rFonts w:hint="eastAsia" w:ascii="Times New Roman" w:hAnsi="Times New Roman" w:cs="Times New Roman"/>
                      <w:b w:val="0"/>
                      <w:bCs w:val="0"/>
                      <w:color w:val="auto"/>
                      <w:kern w:val="2"/>
                      <w:sz w:val="21"/>
                      <w:szCs w:val="21"/>
                      <w:highlight w:val="none"/>
                      <w:lang w:val="en-US" w:eastAsia="zh-CN" w:bidi="ar"/>
                    </w:rPr>
                    <w:t>贮存区</w:t>
                  </w:r>
                  <w:r>
                    <w:rPr>
                      <w:rFonts w:hint="default" w:ascii="Times New Roman" w:hAnsi="Times New Roman" w:eastAsia="宋体" w:cs="Times New Roman"/>
                      <w:b w:val="0"/>
                      <w:bCs w:val="0"/>
                      <w:color w:val="auto"/>
                      <w:kern w:val="2"/>
                      <w:sz w:val="21"/>
                      <w:szCs w:val="21"/>
                      <w:highlight w:val="none"/>
                      <w:lang w:val="en-US" w:eastAsia="zh-CN" w:bidi="ar"/>
                    </w:rPr>
                    <w:t>，无不相容的危险废物接触、混合。</w:t>
                  </w:r>
                </w:p>
              </w:tc>
              <w:tc>
                <w:tcPr>
                  <w:tcW w:w="407" w:type="pct"/>
                  <w:tcBorders>
                    <w:tl2br w:val="nil"/>
                    <w:tr2bl w:val="nil"/>
                  </w:tcBorders>
                  <w:noWrap w:val="0"/>
                  <w:vAlign w:val="center"/>
                </w:tcPr>
                <w:p w14:paraId="5C6DD129">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17F186E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195EA3F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2D945F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贮存设施或贮存分区内地面、墙面裙脚、堵截泄漏的围堰、接触危险废物的隔板和墙体等应采用坚固的材料建造，表面无裂缝。</w:t>
                  </w:r>
                </w:p>
              </w:tc>
              <w:tc>
                <w:tcPr>
                  <w:tcW w:w="1803" w:type="pct"/>
                  <w:tcBorders>
                    <w:tl2br w:val="nil"/>
                    <w:tr2bl w:val="nil"/>
                  </w:tcBorders>
                  <w:noWrap w:val="0"/>
                  <w:vAlign w:val="center"/>
                </w:tcPr>
                <w:p w14:paraId="468383AA">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本项目拟对贮存点地面、裙角进行重点防渗处理，并设置堵截泄漏的围堰。</w:t>
                  </w:r>
                </w:p>
              </w:tc>
              <w:tc>
                <w:tcPr>
                  <w:tcW w:w="407" w:type="pct"/>
                  <w:tcBorders>
                    <w:tl2br w:val="nil"/>
                    <w:tr2bl w:val="nil"/>
                  </w:tcBorders>
                  <w:noWrap w:val="0"/>
                  <w:vAlign w:val="center"/>
                </w:tcPr>
                <w:p w14:paraId="78C9D561">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5F1882D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7577C78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E7C69C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w:t>
                  </w:r>
                  <w:r>
                    <w:rPr>
                      <w:rFonts w:hint="default" w:ascii="Times New Roman" w:hAnsi="Times New Roman" w:eastAsia="宋体" w:cs="Times New Roman"/>
                      <w:b w:val="0"/>
                      <w:bCs w:val="0"/>
                      <w:color w:val="auto"/>
                      <w:kern w:val="2"/>
                      <w:sz w:val="21"/>
                      <w:szCs w:val="21"/>
                      <w:highlight w:val="none"/>
                      <w:vertAlign w:val="superscript"/>
                      <w:lang w:val="en-US" w:eastAsia="zh-CN" w:bidi="ar"/>
                    </w:rPr>
                    <w:t>-7</w:t>
                  </w:r>
                  <w:r>
                    <w:rPr>
                      <w:rFonts w:hint="default" w:ascii="Times New Roman" w:hAnsi="Times New Roman" w:eastAsia="宋体" w:cs="Times New Roman"/>
                      <w:b w:val="0"/>
                      <w:bCs w:val="0"/>
                      <w:color w:val="auto"/>
                      <w:kern w:val="2"/>
                      <w:sz w:val="21"/>
                      <w:szCs w:val="21"/>
                      <w:highlight w:val="none"/>
                      <w:lang w:val="en-US" w:eastAsia="zh-CN" w:bidi="ar"/>
                    </w:rPr>
                    <w:t>cm/s），或至少2mm厚高密度聚乙烯膜等人工防渗材料（渗透系数不大于10</w:t>
                  </w:r>
                  <w:r>
                    <w:rPr>
                      <w:rFonts w:hint="default" w:ascii="Times New Roman" w:hAnsi="Times New Roman" w:eastAsia="宋体" w:cs="Times New Roman"/>
                      <w:b w:val="0"/>
                      <w:bCs w:val="0"/>
                      <w:color w:val="auto"/>
                      <w:kern w:val="2"/>
                      <w:sz w:val="21"/>
                      <w:szCs w:val="21"/>
                      <w:highlight w:val="none"/>
                      <w:vertAlign w:val="superscript"/>
                      <w:lang w:val="en-US" w:eastAsia="zh-CN" w:bidi="ar"/>
                    </w:rPr>
                    <w:t>-10</w:t>
                  </w:r>
                  <w:r>
                    <w:rPr>
                      <w:rFonts w:hint="default" w:ascii="Times New Roman" w:hAnsi="Times New Roman" w:eastAsia="宋体" w:cs="Times New Roman"/>
                      <w:b w:val="0"/>
                      <w:bCs w:val="0"/>
                      <w:color w:val="auto"/>
                      <w:kern w:val="2"/>
                      <w:sz w:val="21"/>
                      <w:szCs w:val="21"/>
                      <w:highlight w:val="none"/>
                      <w:lang w:val="en-US" w:eastAsia="zh-CN" w:bidi="ar"/>
                    </w:rPr>
                    <w:t>cm/s），或其他防渗性能等效的材料。</w:t>
                  </w:r>
                </w:p>
              </w:tc>
              <w:tc>
                <w:tcPr>
                  <w:tcW w:w="1803" w:type="pct"/>
                  <w:tcBorders>
                    <w:tl2br w:val="nil"/>
                    <w:tr2bl w:val="nil"/>
                  </w:tcBorders>
                  <w:noWrap w:val="0"/>
                  <w:vAlign w:val="center"/>
                </w:tcPr>
                <w:p w14:paraId="7EAEBEA3">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本项目对贮存点地面按照重点防渗区进行防渗，采用环氧树脂进行防腐蚀处理。</w:t>
                  </w:r>
                </w:p>
              </w:tc>
              <w:tc>
                <w:tcPr>
                  <w:tcW w:w="407" w:type="pct"/>
                  <w:tcBorders>
                    <w:tl2br w:val="nil"/>
                    <w:tr2bl w:val="nil"/>
                  </w:tcBorders>
                  <w:noWrap w:val="0"/>
                  <w:vAlign w:val="center"/>
                </w:tcPr>
                <w:p w14:paraId="43DED3DA">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202007F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414" w:type="pct"/>
                  <w:vMerge w:val="continue"/>
                  <w:tcBorders>
                    <w:tl2br w:val="nil"/>
                    <w:tr2bl w:val="nil"/>
                  </w:tcBorders>
                  <w:noWrap w:val="0"/>
                  <w:vAlign w:val="center"/>
                </w:tcPr>
                <w:p w14:paraId="5F9AE597">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2EE0AFD1">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同一贮存设施宜采用相同的防渗、防腐工艺（包括防渗、防腐结构或材料），防渗、防腐材料应覆盖所有可能与废物及其渗滤液、渗漏液等接触的构筑物表面；采用不同防渗、防腐工艺应分别建设贮存分区。</w:t>
                  </w:r>
                </w:p>
              </w:tc>
              <w:tc>
                <w:tcPr>
                  <w:tcW w:w="1803" w:type="pct"/>
                  <w:tcBorders>
                    <w:tl2br w:val="nil"/>
                    <w:tr2bl w:val="nil"/>
                  </w:tcBorders>
                  <w:noWrap w:val="0"/>
                  <w:vAlign w:val="center"/>
                </w:tcPr>
                <w:p w14:paraId="7142ECA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w:t>
                  </w:r>
                  <w:r>
                    <w:rPr>
                      <w:rFonts w:hint="eastAsia" w:ascii="Times New Roman" w:hAnsi="Times New Roman" w:cs="Times New Roman"/>
                      <w:b w:val="0"/>
                      <w:bCs w:val="0"/>
                      <w:color w:val="auto"/>
                      <w:kern w:val="2"/>
                      <w:sz w:val="21"/>
                      <w:szCs w:val="21"/>
                      <w:highlight w:val="none"/>
                      <w:lang w:val="en-US" w:eastAsia="zh-CN" w:bidi="ar"/>
                    </w:rPr>
                    <w:t>危废</w:t>
                  </w:r>
                  <w:r>
                    <w:rPr>
                      <w:rFonts w:hint="default" w:ascii="Times New Roman" w:hAnsi="Times New Roman" w:eastAsia="宋体" w:cs="Times New Roman"/>
                      <w:b w:val="0"/>
                      <w:bCs w:val="0"/>
                      <w:color w:val="auto"/>
                      <w:kern w:val="2"/>
                      <w:sz w:val="21"/>
                      <w:szCs w:val="21"/>
                      <w:highlight w:val="none"/>
                      <w:lang w:val="en-US" w:eastAsia="zh-CN" w:bidi="ar"/>
                    </w:rPr>
                    <w:t>贮存库地面、裙角等均采取相同防渗、防腐工艺。</w:t>
                  </w:r>
                </w:p>
              </w:tc>
              <w:tc>
                <w:tcPr>
                  <w:tcW w:w="407" w:type="pct"/>
                  <w:tcBorders>
                    <w:tl2br w:val="nil"/>
                    <w:tr2bl w:val="nil"/>
                  </w:tcBorders>
                  <w:noWrap w:val="0"/>
                  <w:vAlign w:val="center"/>
                </w:tcPr>
                <w:p w14:paraId="47228912">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11FAA6F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593151A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4AAD30A7">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贮存设施应采取技术和管理措施防止无关人员进入。</w:t>
                  </w:r>
                </w:p>
              </w:tc>
              <w:tc>
                <w:tcPr>
                  <w:tcW w:w="1803" w:type="pct"/>
                  <w:tcBorders>
                    <w:tl2br w:val="nil"/>
                    <w:tr2bl w:val="nil"/>
                  </w:tcBorders>
                  <w:noWrap w:val="0"/>
                  <w:vAlign w:val="center"/>
                </w:tcPr>
                <w:p w14:paraId="0D3A387B">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本项目危废贮存库设置专人管理。</w:t>
                  </w:r>
                </w:p>
              </w:tc>
              <w:tc>
                <w:tcPr>
                  <w:tcW w:w="407" w:type="pct"/>
                  <w:tcBorders>
                    <w:tl2br w:val="nil"/>
                    <w:tr2bl w:val="nil"/>
                  </w:tcBorders>
                  <w:noWrap w:val="0"/>
                  <w:vAlign w:val="center"/>
                </w:tcPr>
                <w:p w14:paraId="5CC854F8">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315CDD4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1332" w:hRule="atLeast"/>
                <w:jc w:val="center"/>
              </w:trPr>
              <w:tc>
                <w:tcPr>
                  <w:tcW w:w="414" w:type="pct"/>
                  <w:vMerge w:val="restart"/>
                  <w:tcBorders>
                    <w:tl2br w:val="nil"/>
                    <w:tr2bl w:val="nil"/>
                  </w:tcBorders>
                  <w:noWrap w:val="0"/>
                  <w:vAlign w:val="center"/>
                </w:tcPr>
                <w:p w14:paraId="2BD2B56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容器和包装物污染控制要求</w:t>
                  </w:r>
                </w:p>
              </w:tc>
              <w:tc>
                <w:tcPr>
                  <w:tcW w:w="2374" w:type="pct"/>
                  <w:tcBorders>
                    <w:tl2br w:val="nil"/>
                    <w:tr2bl w:val="nil"/>
                  </w:tcBorders>
                  <w:noWrap w:val="0"/>
                  <w:vAlign w:val="center"/>
                </w:tcPr>
                <w:p w14:paraId="695A08A4">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容器和包装物材质、内衬应与盛装的危险废物相容。</w:t>
                  </w:r>
                </w:p>
              </w:tc>
              <w:tc>
                <w:tcPr>
                  <w:tcW w:w="1803" w:type="pct"/>
                  <w:tcBorders>
                    <w:tl2br w:val="nil"/>
                    <w:tr2bl w:val="nil"/>
                  </w:tcBorders>
                  <w:noWrap w:val="0"/>
                  <w:vAlign w:val="center"/>
                </w:tcPr>
                <w:p w14:paraId="4340158F">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本项目废油液等液态废物采用密闭铁桶盛装，废铅蓄电池采用耐腐蚀专用容器盛装，其他固态危废采用盒装或桶装，容器与盛装物质无不相容情况。</w:t>
                  </w:r>
                </w:p>
              </w:tc>
              <w:tc>
                <w:tcPr>
                  <w:tcW w:w="407" w:type="pct"/>
                  <w:tcBorders>
                    <w:tl2br w:val="nil"/>
                    <w:tr2bl w:val="nil"/>
                  </w:tcBorders>
                  <w:noWrap w:val="0"/>
                  <w:vAlign w:val="center"/>
                </w:tcPr>
                <w:p w14:paraId="7D75CB8D">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1B4EBC9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6E70504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40F9D271">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针对不同类别、形态、物理化学性质的危险废物，其容器和包装物应满足相应的防渗、防漏、防腐和强度等要求。</w:t>
                  </w:r>
                </w:p>
              </w:tc>
              <w:tc>
                <w:tcPr>
                  <w:tcW w:w="1803" w:type="pct"/>
                  <w:tcBorders>
                    <w:tl2br w:val="nil"/>
                    <w:tr2bl w:val="nil"/>
                  </w:tcBorders>
                  <w:noWrap w:val="0"/>
                  <w:vAlign w:val="center"/>
                </w:tcPr>
                <w:p w14:paraId="6B89621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本项目废油液等液态废物采用密闭铁桶盛装，废铅蓄电池采用耐腐蚀专用容器盛装，其他固态危废采用盒装或桶装，容器符合防渗、防漏及防腐要求。</w:t>
                  </w:r>
                </w:p>
              </w:tc>
              <w:tc>
                <w:tcPr>
                  <w:tcW w:w="407" w:type="pct"/>
                  <w:tcBorders>
                    <w:tl2br w:val="nil"/>
                    <w:tr2bl w:val="nil"/>
                  </w:tcBorders>
                  <w:noWrap w:val="0"/>
                  <w:vAlign w:val="center"/>
                </w:tcPr>
                <w:p w14:paraId="2E2E599E">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108E466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54F7B38E">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3C97CD1E">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硬质容器和包装物及其支护结构堆叠码放时不应有明显变形，无破损泄漏。柔性容器和包装物堆叠码放时应封口严密，无破损泄漏。</w:t>
                  </w:r>
                </w:p>
              </w:tc>
              <w:tc>
                <w:tcPr>
                  <w:tcW w:w="1803" w:type="pct"/>
                  <w:tcBorders>
                    <w:tl2br w:val="nil"/>
                    <w:tr2bl w:val="nil"/>
                  </w:tcBorders>
                  <w:noWrap w:val="0"/>
                  <w:vAlign w:val="center"/>
                </w:tcPr>
                <w:p w14:paraId="073FAB07">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本项目废铅蓄电池耐腐蚀专用容器，码垛堆放，其他危废无堆叠码放情况。要求采取专人定期检查危险废物包装情况，确保堆叠码放时不应有明显变形，无破损泄漏。</w:t>
                  </w:r>
                </w:p>
              </w:tc>
              <w:tc>
                <w:tcPr>
                  <w:tcW w:w="407" w:type="pct"/>
                  <w:tcBorders>
                    <w:tl2br w:val="nil"/>
                    <w:tr2bl w:val="nil"/>
                  </w:tcBorders>
                  <w:noWrap w:val="0"/>
                  <w:vAlign w:val="center"/>
                </w:tcPr>
                <w:p w14:paraId="73B75AA4">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15CD9BB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5FF825FD">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3ACC6199">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使用容器盛装液态、半固态危险废物时，容器内部应留有适当的空间，以适应因温度变化等可能引发的收缩和膨胀，防止其导致容器渗漏或永久变形。</w:t>
                  </w:r>
                </w:p>
              </w:tc>
              <w:tc>
                <w:tcPr>
                  <w:tcW w:w="1803" w:type="pct"/>
                  <w:tcBorders>
                    <w:tl2br w:val="nil"/>
                    <w:tr2bl w:val="nil"/>
                  </w:tcBorders>
                  <w:noWrap w:val="0"/>
                  <w:vAlign w:val="center"/>
                </w:tcPr>
                <w:p w14:paraId="0C9FF805">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本项目废油液等液态废物盛装采用桶装，充装系数取0.9，确保容器内部应留有适当的空间。</w:t>
                  </w:r>
                </w:p>
              </w:tc>
              <w:tc>
                <w:tcPr>
                  <w:tcW w:w="407" w:type="pct"/>
                  <w:tcBorders>
                    <w:tl2br w:val="nil"/>
                    <w:tr2bl w:val="nil"/>
                  </w:tcBorders>
                  <w:noWrap w:val="0"/>
                  <w:vAlign w:val="center"/>
                </w:tcPr>
                <w:p w14:paraId="2EA8C2D8">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3C8D4A9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0179492A">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9F008F5">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容器和包装物外表面应保持清洁。</w:t>
                  </w:r>
                </w:p>
              </w:tc>
              <w:tc>
                <w:tcPr>
                  <w:tcW w:w="1803" w:type="pct"/>
                  <w:tcBorders>
                    <w:tl2br w:val="nil"/>
                    <w:tr2bl w:val="nil"/>
                  </w:tcBorders>
                  <w:noWrap w:val="0"/>
                  <w:vAlign w:val="center"/>
                </w:tcPr>
                <w:p w14:paraId="5A487B7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容器及外包装进入危废库需检查外表面，确保保持清洁。</w:t>
                  </w:r>
                </w:p>
              </w:tc>
              <w:tc>
                <w:tcPr>
                  <w:tcW w:w="407" w:type="pct"/>
                  <w:tcBorders>
                    <w:tl2br w:val="nil"/>
                    <w:tr2bl w:val="nil"/>
                  </w:tcBorders>
                  <w:noWrap w:val="0"/>
                  <w:vAlign w:val="center"/>
                </w:tcPr>
                <w:p w14:paraId="1A6F7A6C">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0C1D9A0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restart"/>
                  <w:tcBorders>
                    <w:tl2br w:val="nil"/>
                    <w:tr2bl w:val="nil"/>
                  </w:tcBorders>
                  <w:noWrap w:val="0"/>
                  <w:vAlign w:val="center"/>
                </w:tcPr>
                <w:p w14:paraId="090EE434">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r>
                    <w:rPr>
                      <w:rFonts w:hint="default" w:ascii="Times New Roman" w:hAnsi="Times New Roman" w:eastAsia="宋体" w:cs="Times New Roman"/>
                      <w:b/>
                      <w:bCs/>
                      <w:color w:val="auto"/>
                      <w:kern w:val="2"/>
                      <w:sz w:val="21"/>
                      <w:szCs w:val="21"/>
                      <w:highlight w:val="none"/>
                      <w:lang w:val="en-US" w:eastAsia="zh-CN" w:bidi="ar"/>
                    </w:rPr>
                    <w:t>贮存过程污染控制要求</w:t>
                  </w:r>
                </w:p>
              </w:tc>
              <w:tc>
                <w:tcPr>
                  <w:tcW w:w="2374" w:type="pct"/>
                  <w:tcBorders>
                    <w:tl2br w:val="nil"/>
                    <w:tr2bl w:val="nil"/>
                  </w:tcBorders>
                  <w:noWrap w:val="0"/>
                  <w:vAlign w:val="center"/>
                </w:tcPr>
                <w:p w14:paraId="633845D4">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在常温常压下不易水解、不易挥发的固态危险废物可分类堆放贮存，其他固态危险废物应装入容器或包装物内贮存。</w:t>
                  </w:r>
                </w:p>
              </w:tc>
              <w:tc>
                <w:tcPr>
                  <w:tcW w:w="1803" w:type="pct"/>
                  <w:tcBorders>
                    <w:tl2br w:val="nil"/>
                    <w:tr2bl w:val="nil"/>
                  </w:tcBorders>
                  <w:noWrap w:val="0"/>
                  <w:vAlign w:val="center"/>
                </w:tcPr>
                <w:p w14:paraId="411B65F4">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w:t>
                  </w:r>
                  <w:r>
                    <w:rPr>
                      <w:rFonts w:hint="eastAsia" w:ascii="Times New Roman" w:hAnsi="Times New Roman" w:cs="Times New Roman"/>
                      <w:b w:val="0"/>
                      <w:bCs w:val="0"/>
                      <w:color w:val="auto"/>
                      <w:kern w:val="2"/>
                      <w:sz w:val="21"/>
                      <w:szCs w:val="21"/>
                      <w:highlight w:val="none"/>
                      <w:lang w:val="en-US" w:eastAsia="zh-CN" w:bidi="ar"/>
                    </w:rPr>
                    <w:t>固体废物</w:t>
                  </w:r>
                  <w:r>
                    <w:rPr>
                      <w:rFonts w:hint="default" w:ascii="Times New Roman" w:hAnsi="Times New Roman" w:eastAsia="宋体" w:cs="Times New Roman"/>
                      <w:b w:val="0"/>
                      <w:bCs w:val="0"/>
                      <w:color w:val="auto"/>
                      <w:kern w:val="2"/>
                      <w:sz w:val="21"/>
                      <w:szCs w:val="21"/>
                      <w:highlight w:val="none"/>
                      <w:lang w:val="en-US" w:eastAsia="zh-CN" w:bidi="ar"/>
                    </w:rPr>
                    <w:t>主要有废铅蓄电池、废电路板、废尾气催化剂、废机油滤清器等，废铅蓄电池采用耐腐蚀专用容器盛装存放于废蓄电池危废贮存库，其他固态危废采用盒装或桶装，分类暂存于其他危废贮存库。</w:t>
                  </w:r>
                </w:p>
              </w:tc>
              <w:tc>
                <w:tcPr>
                  <w:tcW w:w="407" w:type="pct"/>
                  <w:tcBorders>
                    <w:tl2br w:val="nil"/>
                    <w:tr2bl w:val="nil"/>
                  </w:tcBorders>
                  <w:noWrap w:val="0"/>
                  <w:vAlign w:val="center"/>
                </w:tcPr>
                <w:p w14:paraId="656DC15B">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68316DC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0BC6352F">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22DB05E0">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液态危险废物应装入容器内贮存，或直接采用贮存池、贮存罐区贮存。</w:t>
                  </w:r>
                </w:p>
              </w:tc>
              <w:tc>
                <w:tcPr>
                  <w:tcW w:w="1803" w:type="pct"/>
                  <w:tcBorders>
                    <w:tl2br w:val="nil"/>
                    <w:tr2bl w:val="nil"/>
                  </w:tcBorders>
                  <w:noWrap w:val="0"/>
                  <w:vAlign w:val="center"/>
                </w:tcPr>
                <w:p w14:paraId="785A05AD">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本项目液态废物主要有废油液、</w:t>
                  </w:r>
                  <w:r>
                    <w:rPr>
                      <w:rFonts w:hint="default" w:ascii="Times New Roman" w:hAnsi="Times New Roman" w:eastAsia="宋体" w:cs="Times New Roman"/>
                      <w:color w:val="auto"/>
                      <w:sz w:val="21"/>
                      <w:szCs w:val="21"/>
                      <w:highlight w:val="none"/>
                      <w:lang w:val="en-US" w:eastAsia="zh-CN"/>
                    </w:rPr>
                    <w:t>含有机溶剂废物</w:t>
                  </w:r>
                  <w:r>
                    <w:rPr>
                      <w:rFonts w:hint="eastAsia" w:ascii="Times New Roman" w:hAnsi="Times New Roman" w:cs="Times New Roman"/>
                      <w:color w:val="auto"/>
                      <w:sz w:val="21"/>
                      <w:szCs w:val="21"/>
                      <w:highlight w:val="none"/>
                      <w:lang w:val="en-US" w:eastAsia="zh-CN"/>
                    </w:rPr>
                    <w:t>、</w:t>
                  </w:r>
                  <w:r>
                    <w:rPr>
                      <w:rFonts w:hint="default" w:ascii="Times New Roman" w:hAnsi="Times New Roman" w:eastAsia="宋体" w:cs="Times New Roman"/>
                      <w:b w:val="0"/>
                      <w:bCs w:val="0"/>
                      <w:color w:val="auto"/>
                      <w:kern w:val="2"/>
                      <w:sz w:val="21"/>
                      <w:szCs w:val="21"/>
                      <w:highlight w:val="none"/>
                      <w:lang w:val="en-US" w:eastAsia="zh-CN" w:bidi="ar"/>
                    </w:rPr>
                    <w:t>污水处理产生的</w:t>
                  </w:r>
                  <w:r>
                    <w:rPr>
                      <w:rFonts w:hint="eastAsia" w:ascii="Times New Roman" w:hAnsi="Times New Roman" w:cs="Times New Roman"/>
                      <w:b w:val="0"/>
                      <w:bCs w:val="0"/>
                      <w:color w:val="auto"/>
                      <w:kern w:val="2"/>
                      <w:sz w:val="21"/>
                      <w:szCs w:val="21"/>
                      <w:highlight w:val="none"/>
                      <w:lang w:val="en-US" w:eastAsia="zh-CN" w:bidi="ar"/>
                    </w:rPr>
                    <w:t>污泥等</w:t>
                  </w:r>
                  <w:r>
                    <w:rPr>
                      <w:rFonts w:hint="default" w:ascii="Times New Roman" w:hAnsi="Times New Roman" w:eastAsia="宋体" w:cs="Times New Roman"/>
                      <w:b w:val="0"/>
                      <w:bCs w:val="0"/>
                      <w:color w:val="auto"/>
                      <w:kern w:val="2"/>
                      <w:sz w:val="21"/>
                      <w:szCs w:val="21"/>
                      <w:highlight w:val="none"/>
                      <w:lang w:val="en-US" w:eastAsia="zh-CN" w:bidi="ar"/>
                    </w:rPr>
                    <w:t>。采用密闭铁桶贮存。</w:t>
                  </w:r>
                </w:p>
              </w:tc>
              <w:tc>
                <w:tcPr>
                  <w:tcW w:w="407" w:type="pct"/>
                  <w:tcBorders>
                    <w:tl2br w:val="nil"/>
                    <w:tr2bl w:val="nil"/>
                  </w:tcBorders>
                  <w:noWrap w:val="0"/>
                  <w:vAlign w:val="center"/>
                </w:tcPr>
                <w:p w14:paraId="74E8D6AC">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0221E545">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6D2D194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7A4803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半固态危险废物应装入容器或包装袋内贮存，或直接采用贮存池贮存。</w:t>
                  </w:r>
                </w:p>
              </w:tc>
              <w:tc>
                <w:tcPr>
                  <w:tcW w:w="1803" w:type="pct"/>
                  <w:tcBorders>
                    <w:tl2br w:val="nil"/>
                    <w:tr2bl w:val="nil"/>
                  </w:tcBorders>
                  <w:noWrap w:val="0"/>
                  <w:vAlign w:val="center"/>
                </w:tcPr>
                <w:p w14:paraId="35A76BA7">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本项目不涉及</w:t>
                  </w:r>
                </w:p>
              </w:tc>
              <w:tc>
                <w:tcPr>
                  <w:tcW w:w="407" w:type="pct"/>
                  <w:tcBorders>
                    <w:tl2br w:val="nil"/>
                    <w:tr2bl w:val="nil"/>
                  </w:tcBorders>
                  <w:noWrap w:val="0"/>
                  <w:vAlign w:val="center"/>
                </w:tcPr>
                <w:p w14:paraId="67B2CD15">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10C88C7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228E120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71A8A9CD">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具有热塑性的危险废物应装入容器或包装袋内进行贮存。</w:t>
                  </w:r>
                </w:p>
              </w:tc>
              <w:tc>
                <w:tcPr>
                  <w:tcW w:w="1803" w:type="pct"/>
                  <w:tcBorders>
                    <w:tl2br w:val="nil"/>
                    <w:tr2bl w:val="nil"/>
                  </w:tcBorders>
                  <w:noWrap w:val="0"/>
                  <w:vAlign w:val="center"/>
                </w:tcPr>
                <w:p w14:paraId="73117936">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本项目不涉及</w:t>
                  </w:r>
                </w:p>
              </w:tc>
              <w:tc>
                <w:tcPr>
                  <w:tcW w:w="407" w:type="pct"/>
                  <w:tcBorders>
                    <w:tl2br w:val="nil"/>
                    <w:tr2bl w:val="nil"/>
                  </w:tcBorders>
                  <w:noWrap w:val="0"/>
                  <w:vAlign w:val="center"/>
                </w:tcPr>
                <w:p w14:paraId="1DE5C81C">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26044E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3325D266">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5CD5488E">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易产生粉尘、VOCs、酸雾、有毒有害大气污染物和刺激性气味气体的危险废物应装入闭口容器或包装物内贮存。</w:t>
                  </w:r>
                </w:p>
              </w:tc>
              <w:tc>
                <w:tcPr>
                  <w:tcW w:w="1803" w:type="pct"/>
                  <w:tcBorders>
                    <w:tl2br w:val="nil"/>
                    <w:tr2bl w:val="nil"/>
                  </w:tcBorders>
                  <w:noWrap w:val="0"/>
                  <w:vAlign w:val="center"/>
                </w:tcPr>
                <w:p w14:paraId="456E4625">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本项目废油液主要有废燃料油、发动机油、变速器/齿轮箱油、制动液、防冻液等，贮存过程中产生少量有机废气，采用密闭铁桶分类贮存在废液贮存危险废物暂存库内。</w:t>
                  </w:r>
                </w:p>
              </w:tc>
              <w:tc>
                <w:tcPr>
                  <w:tcW w:w="407" w:type="pct"/>
                  <w:tcBorders>
                    <w:tl2br w:val="nil"/>
                    <w:tr2bl w:val="nil"/>
                  </w:tcBorders>
                  <w:noWrap w:val="0"/>
                  <w:vAlign w:val="center"/>
                </w:tcPr>
                <w:p w14:paraId="75F87370">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5514806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5FD19DE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2F4E471A">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危险废物贮存过程中易产生粉尘等无组织排放的，应采取抑尘等有效措施。</w:t>
                  </w:r>
                </w:p>
              </w:tc>
              <w:tc>
                <w:tcPr>
                  <w:tcW w:w="1803" w:type="pct"/>
                  <w:tcBorders>
                    <w:tl2br w:val="nil"/>
                    <w:tr2bl w:val="nil"/>
                  </w:tcBorders>
                  <w:noWrap w:val="0"/>
                  <w:vAlign w:val="center"/>
                </w:tcPr>
                <w:p w14:paraId="078DE34C">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本项目不涉及</w:t>
                  </w:r>
                </w:p>
              </w:tc>
              <w:tc>
                <w:tcPr>
                  <w:tcW w:w="407" w:type="pct"/>
                  <w:tcBorders>
                    <w:tl2br w:val="nil"/>
                    <w:tr2bl w:val="nil"/>
                  </w:tcBorders>
                  <w:noWrap w:val="0"/>
                  <w:vAlign w:val="center"/>
                </w:tcPr>
                <w:p w14:paraId="7402CF24">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5B406A2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5295BFE5">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5F9B407">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危险废物存入贮存设施前应对危险废物类别和特性与危险废物标签等危险废物识别标志的一致性进行核验，不一致的或类别、特性不明的不应存入。</w:t>
                  </w:r>
                </w:p>
              </w:tc>
              <w:tc>
                <w:tcPr>
                  <w:tcW w:w="1803" w:type="pct"/>
                  <w:tcBorders>
                    <w:tl2br w:val="nil"/>
                    <w:tr2bl w:val="nil"/>
                  </w:tcBorders>
                  <w:noWrap w:val="0"/>
                  <w:vAlign w:val="center"/>
                </w:tcPr>
                <w:p w14:paraId="100498C7">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本项目危废贮存库设置专人管理，危险废物存入贮存点时进行相关核验。</w:t>
                  </w:r>
                </w:p>
              </w:tc>
              <w:tc>
                <w:tcPr>
                  <w:tcW w:w="407" w:type="pct"/>
                  <w:tcBorders>
                    <w:tl2br w:val="nil"/>
                    <w:tr2bl w:val="nil"/>
                  </w:tcBorders>
                  <w:noWrap w:val="0"/>
                  <w:vAlign w:val="center"/>
                </w:tcPr>
                <w:p w14:paraId="5D9AA244">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0C6C655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4F66867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26F5CD1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应定期检查危险废物的贮存状况，及时清理贮存设施地面，更换破损泄漏的危险废物贮存容器和包装物，保证堆存危险废物的防雨、防风、防扬尘等设施功能完好。</w:t>
                  </w:r>
                </w:p>
              </w:tc>
              <w:tc>
                <w:tcPr>
                  <w:tcW w:w="1803" w:type="pct"/>
                  <w:tcBorders>
                    <w:tl2br w:val="nil"/>
                    <w:tr2bl w:val="nil"/>
                  </w:tcBorders>
                  <w:noWrap w:val="0"/>
                  <w:vAlign w:val="center"/>
                </w:tcPr>
                <w:p w14:paraId="12DC541E">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本项目设置专人管理危废贮存库，定期对危废贮存点进行检查维护。</w:t>
                  </w:r>
                </w:p>
              </w:tc>
              <w:tc>
                <w:tcPr>
                  <w:tcW w:w="407" w:type="pct"/>
                  <w:tcBorders>
                    <w:tl2br w:val="nil"/>
                    <w:tr2bl w:val="nil"/>
                  </w:tcBorders>
                  <w:noWrap w:val="0"/>
                  <w:vAlign w:val="center"/>
                </w:tcPr>
                <w:p w14:paraId="2B29479C">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6792EC5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1F0634F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0046868">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贮存设施运行期间，应按国家有关标准和规定建立危险废物管理台账并保存。</w:t>
                  </w:r>
                </w:p>
              </w:tc>
              <w:tc>
                <w:tcPr>
                  <w:tcW w:w="1803" w:type="pct"/>
                  <w:tcBorders>
                    <w:tl2br w:val="nil"/>
                    <w:tr2bl w:val="nil"/>
                  </w:tcBorders>
                  <w:noWrap w:val="0"/>
                  <w:vAlign w:val="center"/>
                </w:tcPr>
                <w:p w14:paraId="6490354D">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本项目按照《危险废物管理计划和管理台账制定技术导则》（HJ1259-2022）建立危险废物管理台账并保存。</w:t>
                  </w:r>
                </w:p>
              </w:tc>
              <w:tc>
                <w:tcPr>
                  <w:tcW w:w="407" w:type="pct"/>
                  <w:tcBorders>
                    <w:tl2br w:val="nil"/>
                    <w:tr2bl w:val="nil"/>
                  </w:tcBorders>
                  <w:noWrap w:val="0"/>
                  <w:vAlign w:val="center"/>
                </w:tcPr>
                <w:p w14:paraId="780D54F3">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51EA3641">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501C4038">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1E9D0C63">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贮存设施所有者或运营者应建立贮存设施环境管理制度、管理人员岗位职责制度、设施运行操作制度、人员岗位培训制度等。</w:t>
                  </w:r>
                </w:p>
              </w:tc>
              <w:tc>
                <w:tcPr>
                  <w:tcW w:w="1803" w:type="pct"/>
                  <w:tcBorders>
                    <w:tl2br w:val="nil"/>
                    <w:tr2bl w:val="nil"/>
                  </w:tcBorders>
                  <w:noWrap w:val="0"/>
                  <w:vAlign w:val="center"/>
                </w:tcPr>
                <w:p w14:paraId="7ACB2F06">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本项目设置专人管理危废贮存库，并建立相关管理制度。</w:t>
                  </w:r>
                </w:p>
              </w:tc>
              <w:tc>
                <w:tcPr>
                  <w:tcW w:w="407" w:type="pct"/>
                  <w:tcBorders>
                    <w:tl2br w:val="nil"/>
                    <w:tr2bl w:val="nil"/>
                  </w:tcBorders>
                  <w:noWrap w:val="0"/>
                  <w:vAlign w:val="center"/>
                </w:tcPr>
                <w:p w14:paraId="57FD8E0E">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4AEA737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6D59610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5D3B3254">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贮存设施所有者或运营者应依据国家土壤和地下水污染防治的有关规定，结合贮存设施特点建立土壤和地下水污染隐患排查制度，并定期开展隐患排查；发现隐患应及时采取措施消除隐患，并建立档案。</w:t>
                  </w:r>
                </w:p>
              </w:tc>
              <w:tc>
                <w:tcPr>
                  <w:tcW w:w="1803" w:type="pct"/>
                  <w:tcBorders>
                    <w:tl2br w:val="nil"/>
                    <w:tr2bl w:val="nil"/>
                  </w:tcBorders>
                  <w:noWrap w:val="0"/>
                  <w:vAlign w:val="center"/>
                </w:tcPr>
                <w:p w14:paraId="390C993C">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本项目危废贮存库采取重点防渗措施，并设置托盘，无土壤及地下水影响途径。</w:t>
                  </w:r>
                </w:p>
              </w:tc>
              <w:tc>
                <w:tcPr>
                  <w:tcW w:w="407" w:type="pct"/>
                  <w:tcBorders>
                    <w:tl2br w:val="nil"/>
                    <w:tr2bl w:val="nil"/>
                  </w:tcBorders>
                  <w:noWrap w:val="0"/>
                  <w:vAlign w:val="center"/>
                </w:tcPr>
                <w:p w14:paraId="42485637">
                  <w:pPr>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r w14:paraId="55858D9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414" w:type="pct"/>
                  <w:vMerge w:val="continue"/>
                  <w:tcBorders>
                    <w:tl2br w:val="nil"/>
                    <w:tr2bl w:val="nil"/>
                  </w:tcBorders>
                  <w:noWrap w:val="0"/>
                  <w:vAlign w:val="center"/>
                </w:tcPr>
                <w:p w14:paraId="1EF86FB2">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bCs/>
                      <w:color w:val="auto"/>
                      <w:kern w:val="2"/>
                      <w:sz w:val="21"/>
                      <w:szCs w:val="21"/>
                      <w:highlight w:val="none"/>
                      <w:lang w:val="en-US" w:eastAsia="zh-CN" w:bidi="ar"/>
                    </w:rPr>
                  </w:pPr>
                </w:p>
              </w:tc>
              <w:tc>
                <w:tcPr>
                  <w:tcW w:w="2374" w:type="pct"/>
                  <w:tcBorders>
                    <w:tl2br w:val="nil"/>
                    <w:tr2bl w:val="nil"/>
                  </w:tcBorders>
                  <w:noWrap w:val="0"/>
                  <w:vAlign w:val="center"/>
                </w:tcPr>
                <w:p w14:paraId="025FEB21">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贮存设施所有者或运营者应建立贮存设施全部档案，包括设计、施工、验收、运行、监测和环境应急等，应按国家有关档案管理的法律法规进行整理和归档。</w:t>
                  </w:r>
                </w:p>
              </w:tc>
              <w:tc>
                <w:tcPr>
                  <w:tcW w:w="1803" w:type="pct"/>
                  <w:tcBorders>
                    <w:tl2br w:val="nil"/>
                    <w:tr2bl w:val="nil"/>
                  </w:tcBorders>
                  <w:noWrap w:val="0"/>
                  <w:vAlign w:val="center"/>
                </w:tcPr>
                <w:p w14:paraId="4CCAA360">
                  <w:pPr>
                    <w:pStyle w:val="22"/>
                    <w:keepNext w:val="0"/>
                    <w:keepLines w:val="0"/>
                    <w:widowControl w:val="0"/>
                    <w:suppressLineNumbers w:val="0"/>
                    <w:autoSpaceDE w:val="0"/>
                    <w:autoSpaceDN w:val="0"/>
                    <w:adjustRightInd w:val="0"/>
                    <w:spacing w:before="0" w:beforeAutospacing="0" w:after="0" w:afterAutospacing="0"/>
                    <w:ind w:left="0" w:right="0"/>
                    <w:jc w:val="both"/>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本项目设置专人管理危废贮存库，并对其相关材料进行整理、归档。</w:t>
                  </w:r>
                </w:p>
              </w:tc>
              <w:tc>
                <w:tcPr>
                  <w:tcW w:w="407" w:type="pct"/>
                  <w:tcBorders>
                    <w:tl2br w:val="nil"/>
                    <w:tr2bl w:val="nil"/>
                  </w:tcBorders>
                  <w:noWrap w:val="0"/>
                  <w:vAlign w:val="center"/>
                </w:tcPr>
                <w:p w14:paraId="0327CD69">
                  <w:pPr>
                    <w:pStyle w:val="22"/>
                    <w:keepNext w:val="0"/>
                    <w:keepLines w:val="0"/>
                    <w:widowControl w:val="0"/>
                    <w:suppressLineNumbers w:val="0"/>
                    <w:autoSpaceDE w:val="0"/>
                    <w:autoSpaceDN w:val="0"/>
                    <w:adjustRightInd w:val="0"/>
                    <w:spacing w:before="0" w:beforeAutospacing="0" w:after="0" w:afterAutospacing="0"/>
                    <w:ind w:left="0" w:right="0"/>
                    <w:jc w:val="center"/>
                    <w:rPr>
                      <w:rFonts w:hint="default" w:ascii="Times New Roman" w:hAnsi="Times New Roman" w:eastAsia="宋体" w:cs="Times New Roman"/>
                      <w:b w:val="0"/>
                      <w:bCs w:val="0"/>
                      <w:color w:val="auto"/>
                      <w:kern w:val="2"/>
                      <w:sz w:val="21"/>
                      <w:szCs w:val="21"/>
                      <w:highlight w:val="none"/>
                      <w:lang w:val="en-US" w:eastAsia="zh-CN" w:bidi="ar"/>
                    </w:rPr>
                  </w:pPr>
                  <w:r>
                    <w:rPr>
                      <w:rFonts w:hint="default" w:ascii="Times New Roman" w:hAnsi="Times New Roman" w:eastAsia="宋体" w:cs="Times New Roman"/>
                      <w:b w:val="0"/>
                      <w:bCs w:val="0"/>
                      <w:color w:val="auto"/>
                      <w:kern w:val="2"/>
                      <w:sz w:val="21"/>
                      <w:szCs w:val="21"/>
                      <w:highlight w:val="none"/>
                      <w:lang w:val="en-US" w:eastAsia="zh-CN" w:bidi="ar"/>
                    </w:rPr>
                    <w:t>符合</w:t>
                  </w:r>
                </w:p>
              </w:tc>
            </w:tr>
          </w:tbl>
          <w:p w14:paraId="6715D3E7">
            <w:pPr>
              <w:keepNext w:val="0"/>
              <w:keepLines w:val="0"/>
              <w:suppressLineNumbers w:val="0"/>
              <w:wordWrap w:val="0"/>
              <w:spacing w:before="0" w:beforeAutospacing="0" w:after="0" w:afterAutospacing="0" w:line="360" w:lineRule="auto"/>
              <w:ind w:left="0" w:right="0" w:firstLine="480" w:firstLineChars="200"/>
              <w:jc w:val="both"/>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为保证暂存的危险废物不对环境产生污染，</w:t>
            </w:r>
            <w:r>
              <w:rPr>
                <w:rFonts w:hint="eastAsia" w:cs="Times New Roman"/>
                <w:color w:val="auto"/>
                <w:sz w:val="24"/>
                <w:highlight w:val="none"/>
                <w:lang w:val="en-US" w:eastAsia="zh-CN"/>
              </w:rPr>
              <w:t>根据</w:t>
            </w:r>
            <w:r>
              <w:rPr>
                <w:rFonts w:hint="eastAsia" w:ascii="Times New Roman" w:hAnsi="Times New Roman" w:eastAsia="宋体" w:cs="Times New Roman"/>
                <w:color w:val="auto"/>
                <w:sz w:val="24"/>
                <w:highlight w:val="none"/>
                <w:lang w:val="en-US" w:eastAsia="zh-CN"/>
              </w:rPr>
              <w:t>《危险废物贮存污染控制标准》（</w:t>
            </w:r>
            <w:r>
              <w:rPr>
                <w:rFonts w:hint="default" w:ascii="Times New Roman" w:hAnsi="Times New Roman" w:eastAsia="宋体" w:cs="Times New Roman"/>
                <w:color w:val="auto"/>
                <w:sz w:val="24"/>
                <w:highlight w:val="none"/>
                <w:lang w:val="en-US" w:eastAsia="zh-CN"/>
              </w:rPr>
              <w:t>GB18597-2023</w:t>
            </w:r>
            <w:r>
              <w:rPr>
                <w:rFonts w:hint="eastAsia" w:ascii="Times New Roman" w:hAnsi="Times New Roman" w:eastAsia="宋体" w:cs="Times New Roman"/>
                <w:color w:val="auto"/>
                <w:sz w:val="24"/>
                <w:highlight w:val="none"/>
                <w:lang w:val="en-US" w:eastAsia="zh-CN"/>
              </w:rPr>
              <w:t>）、《危险废物收集贮存运输技术规范》（</w:t>
            </w:r>
            <w:r>
              <w:rPr>
                <w:rFonts w:hint="default" w:ascii="Times New Roman" w:hAnsi="Times New Roman" w:eastAsia="宋体" w:cs="Times New Roman"/>
                <w:color w:val="auto"/>
                <w:sz w:val="24"/>
                <w:highlight w:val="none"/>
                <w:lang w:val="en-US" w:eastAsia="zh-CN"/>
              </w:rPr>
              <w:t>HJ2025-2012</w:t>
            </w:r>
            <w:r>
              <w:rPr>
                <w:rFonts w:hint="eastAsia" w:ascii="Times New Roman" w:hAnsi="Times New Roman" w:eastAsia="宋体" w:cs="Times New Roman"/>
                <w:color w:val="auto"/>
                <w:sz w:val="24"/>
                <w:highlight w:val="none"/>
                <w:lang w:val="en-US" w:eastAsia="zh-CN"/>
              </w:rPr>
              <w:t>）及相关法律法规，</w:t>
            </w:r>
            <w:r>
              <w:rPr>
                <w:rFonts w:hint="default" w:ascii="Times New Roman" w:hAnsi="Times New Roman" w:eastAsia="宋体" w:cs="Times New Roman"/>
                <w:color w:val="auto"/>
                <w:kern w:val="2"/>
                <w:sz w:val="24"/>
                <w:szCs w:val="24"/>
                <w:highlight w:val="none"/>
                <w:lang w:val="en-US" w:eastAsia="zh-CN" w:bidi="ar-SA"/>
              </w:rPr>
              <w:t>本项目应加强危险废物环境管理，对危险废物收集、贮存、运输等各环节做好全过程环境监管</w:t>
            </w:r>
            <w:r>
              <w:rPr>
                <w:rFonts w:hint="eastAsia" w:eastAsia="宋体" w:cs="Times New Roman"/>
                <w:color w:val="auto"/>
                <w:kern w:val="2"/>
                <w:sz w:val="24"/>
                <w:szCs w:val="24"/>
                <w:highlight w:val="none"/>
                <w:lang w:val="en-US" w:eastAsia="zh-CN" w:bidi="ar-SA"/>
              </w:rPr>
              <w:t>，</w:t>
            </w:r>
            <w:r>
              <w:rPr>
                <w:rFonts w:hint="eastAsia" w:ascii="Times New Roman" w:hAnsi="Times New Roman" w:eastAsia="宋体" w:cs="Times New Roman"/>
                <w:color w:val="auto"/>
                <w:sz w:val="24"/>
                <w:highlight w:val="none"/>
                <w:lang w:val="en-US" w:eastAsia="zh-CN"/>
              </w:rPr>
              <w:t>对危险废物提出如下管理措施：</w:t>
            </w:r>
          </w:p>
          <w:p w14:paraId="5BD0F1FF">
            <w:pPr>
              <w:keepNext w:val="0"/>
              <w:keepLines w:val="0"/>
              <w:suppressLineNumbers w:val="0"/>
              <w:wordWrap w:val="0"/>
              <w:spacing w:before="0" w:beforeAutospacing="0" w:after="0" w:afterAutospacing="0" w:line="360" w:lineRule="auto"/>
              <w:ind w:left="0" w:right="0" w:firstLine="482" w:firstLineChars="200"/>
              <w:jc w:val="left"/>
              <w:rPr>
                <w:rFonts w:hint="eastAsia" w:ascii="Times New Roman" w:hAnsi="Times New Roman" w:cs="Times New Roman"/>
                <w:b/>
                <w:bCs/>
                <w:color w:val="auto"/>
                <w:kern w:val="0"/>
                <w:sz w:val="24"/>
                <w:highlight w:val="none"/>
                <w:lang w:val="en-US" w:eastAsia="zh-CN"/>
              </w:rPr>
            </w:pPr>
            <w:r>
              <w:rPr>
                <w:rFonts w:hint="default" w:ascii="Times New Roman" w:hAnsi="Times New Roman" w:eastAsia="宋体" w:cs="Times New Roman"/>
                <w:b/>
                <w:bCs/>
                <w:color w:val="auto"/>
                <w:kern w:val="0"/>
                <w:sz w:val="24"/>
                <w:highlight w:val="none"/>
              </w:rPr>
              <w:t>①危险废物的收集</w:t>
            </w:r>
            <w:r>
              <w:rPr>
                <w:rFonts w:hint="eastAsia" w:ascii="Times New Roman" w:hAnsi="Times New Roman" w:cs="Times New Roman"/>
                <w:b/>
                <w:bCs/>
                <w:color w:val="auto"/>
                <w:kern w:val="0"/>
                <w:sz w:val="24"/>
                <w:highlight w:val="none"/>
                <w:lang w:val="en-US" w:eastAsia="zh-CN"/>
              </w:rPr>
              <w:t>要求</w:t>
            </w:r>
          </w:p>
          <w:p w14:paraId="6624A47F">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制定危险废物收集操作规程，包括适用范围、操作程序和方法、专用设备和工具、转移和交接、安全保障和应急防护等；危险废物收集和转运人员应根据工作需要配备必要的个人防护装备，如手套、防护镜、防护服、防毒面具或口罩等；危险废物收集时应根据危险废物的种类、数量、危险特性、物理形态、运输要求等因素确定包装形式，具体包装符合如下要求：包装材质与危险废物相容，根据废物特性选择钢、铝、塑料等材质；性质类似的废物可收集到同一容器中，性质不相容的危险废物不能混合包装；危险废物包装应能有效隔断危险废物迁移扩散途径，并达到防渗、防漏要求；包装好的危险废物应设置相应的标签，标签信息应填写完整</w:t>
            </w:r>
            <w:r>
              <w:rPr>
                <w:rFonts w:hint="eastAsia" w:cs="Times New Roman"/>
                <w:color w:val="auto"/>
                <w:kern w:val="0"/>
                <w:sz w:val="24"/>
                <w:highlight w:val="none"/>
                <w:lang w:eastAsia="zh-CN"/>
              </w:rPr>
              <w:t>翔实</w:t>
            </w:r>
            <w:r>
              <w:rPr>
                <w:rFonts w:hint="default" w:ascii="Times New Roman" w:hAnsi="Times New Roman" w:eastAsia="宋体" w:cs="Times New Roman"/>
                <w:color w:val="auto"/>
                <w:kern w:val="0"/>
                <w:sz w:val="24"/>
                <w:highlight w:val="none"/>
              </w:rPr>
              <w:t>；盛装过危险废物的包装袋或包装容器破损后应按危险废物进行管理和处置等；根据收集设备、转运车辆以及现场人员等实际情况确定收集作业区域，同时要设置作业界限标志和警示牌；作业区域内应设置危险废物收集专用通道和人员避险通道；收集时应配备必要的收集工具和包装物，以及必要的应急监测设备及应急装备；填写危险废物收集记录表，并作为危险废物管理的重要档案妥善保存；收集结束后清理和恢复收集作业区域，确保作业区域环境整洁安全；收集过危险废物的容器、设备、设施、场所及其他物品转作</w:t>
            </w:r>
            <w:r>
              <w:rPr>
                <w:rFonts w:hint="default" w:ascii="Times New Roman" w:hAnsi="Times New Roman" w:eastAsia="宋体" w:cs="Times New Roman"/>
                <w:color w:val="auto"/>
                <w:kern w:val="0"/>
                <w:sz w:val="24"/>
                <w:highlight w:val="none"/>
                <w:lang w:eastAsia="zh-CN"/>
              </w:rPr>
              <w:t>他</w:t>
            </w:r>
            <w:r>
              <w:rPr>
                <w:rFonts w:hint="default" w:ascii="Times New Roman" w:hAnsi="Times New Roman" w:eastAsia="宋体" w:cs="Times New Roman"/>
                <w:color w:val="auto"/>
                <w:kern w:val="0"/>
                <w:sz w:val="24"/>
                <w:highlight w:val="none"/>
              </w:rPr>
              <w:t>用时，应消除污染，确保其使用安全。</w:t>
            </w:r>
          </w:p>
          <w:p w14:paraId="45B27378">
            <w:pPr>
              <w:keepNext w:val="0"/>
              <w:keepLines w:val="0"/>
              <w:suppressLineNumbers w:val="0"/>
              <w:wordWrap w:val="0"/>
              <w:spacing w:before="0" w:beforeAutospacing="0" w:after="0" w:afterAutospacing="0" w:line="360" w:lineRule="auto"/>
              <w:ind w:left="0" w:right="0" w:firstLine="482" w:firstLineChars="200"/>
              <w:jc w:val="left"/>
              <w:rPr>
                <w:rFonts w:hint="eastAsia" w:ascii="Times New Roman" w:hAnsi="Times New Roman" w:cs="Times New Roman"/>
                <w:b/>
                <w:bCs/>
                <w:color w:val="auto"/>
                <w:kern w:val="0"/>
                <w:sz w:val="24"/>
                <w:highlight w:val="none"/>
                <w:lang w:val="en-US" w:eastAsia="zh-CN"/>
              </w:rPr>
            </w:pPr>
            <w:r>
              <w:rPr>
                <w:rFonts w:hint="default" w:ascii="Times New Roman" w:hAnsi="Times New Roman" w:eastAsia="宋体" w:cs="Times New Roman"/>
                <w:b/>
                <w:bCs/>
                <w:color w:val="auto"/>
                <w:kern w:val="0"/>
                <w:sz w:val="24"/>
                <w:highlight w:val="none"/>
              </w:rPr>
              <w:t>②危险废物的内部转运作业</w:t>
            </w:r>
            <w:r>
              <w:rPr>
                <w:rFonts w:hint="eastAsia" w:ascii="Times New Roman" w:hAnsi="Times New Roman" w:cs="Times New Roman"/>
                <w:b/>
                <w:bCs/>
                <w:color w:val="auto"/>
                <w:kern w:val="0"/>
                <w:sz w:val="24"/>
                <w:highlight w:val="none"/>
                <w:lang w:val="en-US" w:eastAsia="zh-CN"/>
              </w:rPr>
              <w:t>要求</w:t>
            </w:r>
          </w:p>
          <w:p w14:paraId="74B6AB45">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危险废物内部转运综合考虑厂区的实际情况确定转运路线，尽量避开办公区和生活区；危险废物内部转运作业采用专用的工具；危险废物内部转运结束后，对转运路线进行检查和清理，确保无危险废物遗失在转运路线上，并对转运工具进行清洗。</w:t>
            </w:r>
          </w:p>
          <w:p w14:paraId="28BB58EC">
            <w:pPr>
              <w:keepNext w:val="0"/>
              <w:keepLines w:val="0"/>
              <w:suppressLineNumbers w:val="0"/>
              <w:wordWrap w:val="0"/>
              <w:spacing w:before="0" w:beforeAutospacing="0" w:after="0" w:afterAutospacing="0" w:line="360" w:lineRule="auto"/>
              <w:ind w:left="0" w:right="0" w:firstLine="482" w:firstLineChars="200"/>
              <w:jc w:val="left"/>
              <w:rPr>
                <w:rFonts w:hint="eastAsia" w:ascii="Times New Roman" w:hAnsi="Times New Roman" w:cs="Times New Roman"/>
                <w:b/>
                <w:bCs/>
                <w:color w:val="auto"/>
                <w:kern w:val="0"/>
                <w:sz w:val="24"/>
                <w:highlight w:val="none"/>
                <w:lang w:val="en-US" w:eastAsia="zh-CN"/>
              </w:rPr>
            </w:pPr>
            <w:r>
              <w:rPr>
                <w:rFonts w:hint="default" w:ascii="Times New Roman" w:hAnsi="Times New Roman" w:eastAsia="宋体" w:cs="Times New Roman"/>
                <w:b/>
                <w:bCs/>
                <w:color w:val="auto"/>
                <w:kern w:val="0"/>
                <w:sz w:val="24"/>
                <w:highlight w:val="none"/>
              </w:rPr>
              <w:t>③危险废物的贮存</w:t>
            </w:r>
            <w:r>
              <w:rPr>
                <w:rFonts w:hint="eastAsia" w:ascii="Times New Roman" w:hAnsi="Times New Roman" w:cs="Times New Roman"/>
                <w:b/>
                <w:bCs/>
                <w:color w:val="auto"/>
                <w:kern w:val="0"/>
                <w:sz w:val="24"/>
                <w:highlight w:val="none"/>
                <w:lang w:val="en-US" w:eastAsia="zh-CN"/>
              </w:rPr>
              <w:t>要求</w:t>
            </w:r>
          </w:p>
          <w:p w14:paraId="5DEC25E9">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危险废物贮存设施应配备通讯设备、照明设施和消防设施；贮存危险废物时应按危险废物的种类和特性进行分区贮存，每个贮存区域之间设置</w:t>
            </w:r>
            <w:r>
              <w:rPr>
                <w:rFonts w:hint="default" w:ascii="Times New Roman" w:hAnsi="Times New Roman" w:eastAsia="宋体" w:cs="Times New Roman"/>
                <w:color w:val="auto"/>
                <w:kern w:val="0"/>
                <w:sz w:val="24"/>
                <w:highlight w:val="none"/>
                <w:lang w:eastAsia="zh-CN"/>
              </w:rPr>
              <w:t>隔挡</w:t>
            </w:r>
            <w:r>
              <w:rPr>
                <w:rFonts w:hint="default" w:ascii="Times New Roman" w:hAnsi="Times New Roman" w:eastAsia="宋体" w:cs="Times New Roman"/>
                <w:color w:val="auto"/>
                <w:kern w:val="0"/>
                <w:sz w:val="24"/>
                <w:highlight w:val="none"/>
              </w:rPr>
              <w:t>，并设置防雨、防火、防雷、防扬尘装置；贮存易燃易爆危险废物需配置有机气体报警、火灾报警装置和导出静电的接地装置；建立危险废物贮存的台账制度。</w:t>
            </w:r>
          </w:p>
          <w:p w14:paraId="524DE9B6">
            <w:pPr>
              <w:keepNext w:val="0"/>
              <w:keepLines w:val="0"/>
              <w:suppressLineNumbers w:val="0"/>
              <w:wordWrap w:val="0"/>
              <w:spacing w:before="0" w:beforeAutospacing="0" w:after="0" w:afterAutospacing="0" w:line="360" w:lineRule="auto"/>
              <w:ind w:left="0" w:right="0" w:firstLine="482" w:firstLineChars="200"/>
              <w:jc w:val="left"/>
              <w:rPr>
                <w:rFonts w:hint="eastAsia" w:ascii="Times New Roman" w:hAnsi="Times New Roman" w:cs="Times New Roman"/>
                <w:b/>
                <w:bCs/>
                <w:color w:val="auto"/>
                <w:kern w:val="0"/>
                <w:sz w:val="24"/>
                <w:highlight w:val="none"/>
                <w:lang w:val="en-US" w:eastAsia="zh-CN"/>
              </w:rPr>
            </w:pPr>
            <w:r>
              <w:rPr>
                <w:rFonts w:hint="default" w:ascii="Times New Roman" w:hAnsi="Times New Roman" w:eastAsia="宋体" w:cs="Times New Roman"/>
                <w:b/>
                <w:bCs/>
                <w:color w:val="auto"/>
                <w:kern w:val="0"/>
                <w:sz w:val="24"/>
                <w:highlight w:val="none"/>
              </w:rPr>
              <w:t>④危险废物的厂外运输</w:t>
            </w:r>
            <w:r>
              <w:rPr>
                <w:rFonts w:hint="eastAsia" w:ascii="Times New Roman" w:hAnsi="Times New Roman" w:cs="Times New Roman"/>
                <w:b/>
                <w:bCs/>
                <w:color w:val="auto"/>
                <w:kern w:val="0"/>
                <w:sz w:val="24"/>
                <w:highlight w:val="none"/>
                <w:lang w:val="en-US" w:eastAsia="zh-CN"/>
              </w:rPr>
              <w:t>要求</w:t>
            </w:r>
          </w:p>
          <w:p w14:paraId="48A9B54B">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default" w:ascii="Times New Roman" w:hAnsi="Times New Roman" w:eastAsia="宋体" w:cs="Times New Roman"/>
                <w:color w:val="auto"/>
                <w:kern w:val="0"/>
                <w:sz w:val="24"/>
                <w:highlight w:val="none"/>
              </w:rPr>
              <w:t>危险废物的厂外运输由持有危险废物经营许可证的单位按照其许可证的经营范围组织实施。</w:t>
            </w:r>
          </w:p>
          <w:p w14:paraId="04539608">
            <w:pPr>
              <w:keepNext w:val="0"/>
              <w:keepLines w:val="0"/>
              <w:suppressLineNumbers w:val="0"/>
              <w:wordWrap w:val="0"/>
              <w:spacing w:before="0" w:beforeAutospacing="0" w:after="0" w:afterAutospacing="0" w:line="360" w:lineRule="auto"/>
              <w:ind w:left="0" w:right="0" w:firstLine="482" w:firstLineChars="200"/>
              <w:jc w:val="left"/>
              <w:rPr>
                <w:rFonts w:hint="eastAsia" w:ascii="Times New Roman" w:hAnsi="Times New Roman" w:cs="Times New Roman"/>
                <w:b/>
                <w:bCs/>
                <w:color w:val="auto"/>
                <w:kern w:val="0"/>
                <w:sz w:val="24"/>
                <w:highlight w:val="none"/>
                <w:lang w:val="en-US" w:eastAsia="zh-CN"/>
              </w:rPr>
            </w:pPr>
            <w:r>
              <w:rPr>
                <w:rFonts w:hint="eastAsia" w:ascii="Times New Roman" w:hAnsi="Times New Roman" w:cs="Times New Roman"/>
                <w:b/>
                <w:bCs/>
                <w:color w:val="auto"/>
                <w:kern w:val="0"/>
                <w:sz w:val="24"/>
                <w:highlight w:val="none"/>
                <w:lang w:val="en-US" w:eastAsia="zh-CN"/>
              </w:rPr>
              <w:t>⑤危险废物管理台账要求</w:t>
            </w:r>
          </w:p>
          <w:p w14:paraId="4513EF81">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eastAsia" w:ascii="Times New Roman" w:hAnsi="Times New Roman" w:cs="Times New Roman"/>
                <w:color w:val="auto"/>
                <w:kern w:val="0"/>
                <w:sz w:val="24"/>
                <w:highlight w:val="none"/>
                <w:lang w:val="en-US" w:eastAsia="zh-CN"/>
              </w:rPr>
              <w:t>a.</w:t>
            </w:r>
            <w:r>
              <w:rPr>
                <w:rFonts w:hint="default" w:ascii="Times New Roman" w:hAnsi="Times New Roman" w:eastAsia="宋体" w:cs="Times New Roman"/>
                <w:color w:val="auto"/>
                <w:kern w:val="0"/>
                <w:sz w:val="24"/>
                <w:highlight w:val="none"/>
              </w:rPr>
              <w:t>产生危险废物的单位应建立危险废物管理台账，落实危险废物管理台账记录的责任人，明确工作职责，并对危险废物管理台账的真实性、准确性和完整性负法律责任。产生危险废物的单位应根据危险废物产生、贮存、利用、处置等环节的动态流向，如实建立各环节的危险废物管理台账。危险废物管理台账分为电子管理台账和纸质管理台账两种形式。产生危险废物的单位可通过国家危险废物信息管理系统、企业自建信息管理系统或第三方平台等方式记录电子管理台账。</w:t>
            </w:r>
          </w:p>
          <w:p w14:paraId="10FAD481">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eastAsia" w:ascii="Times New Roman" w:hAnsi="Times New Roman" w:cs="Times New Roman"/>
                <w:color w:val="auto"/>
                <w:kern w:val="0"/>
                <w:sz w:val="24"/>
                <w:highlight w:val="none"/>
                <w:lang w:val="en-US" w:eastAsia="zh-CN"/>
              </w:rPr>
              <w:t>b.</w:t>
            </w:r>
            <w:r>
              <w:rPr>
                <w:rFonts w:hint="default" w:ascii="Times New Roman" w:hAnsi="Times New Roman" w:eastAsia="宋体" w:cs="Times New Roman"/>
                <w:color w:val="auto"/>
                <w:kern w:val="0"/>
                <w:sz w:val="24"/>
                <w:highlight w:val="none"/>
              </w:rPr>
              <w:t>频次要求：产生后盛放至容器和包装物的，应按每个容器和包装物进行记录；产生后采用管道等方式输送至贮存场所的，按日记录；其他特殊情形的，根据危险废物产生规律确定记录频次。</w:t>
            </w:r>
          </w:p>
          <w:p w14:paraId="3D4A6722">
            <w:pPr>
              <w:keepNext w:val="0"/>
              <w:keepLines w:val="0"/>
              <w:suppressLineNumbers w:val="0"/>
              <w:wordWrap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0"/>
                <w:sz w:val="24"/>
                <w:highlight w:val="none"/>
              </w:rPr>
            </w:pPr>
            <w:r>
              <w:rPr>
                <w:rFonts w:hint="eastAsia" w:ascii="Times New Roman" w:hAnsi="Times New Roman" w:cs="Times New Roman"/>
                <w:color w:val="auto"/>
                <w:kern w:val="0"/>
                <w:sz w:val="24"/>
                <w:highlight w:val="none"/>
                <w:lang w:val="en-US" w:eastAsia="zh-CN"/>
              </w:rPr>
              <w:t>c.</w:t>
            </w:r>
            <w:r>
              <w:rPr>
                <w:rFonts w:hint="default" w:ascii="Times New Roman" w:hAnsi="Times New Roman" w:eastAsia="宋体" w:cs="Times New Roman"/>
                <w:color w:val="auto"/>
                <w:kern w:val="0"/>
                <w:sz w:val="24"/>
                <w:highlight w:val="none"/>
              </w:rPr>
              <w:t>记录内容：危险废物产生环节，应记录产生批次编码、产生时间、危险废物名称、危险废物类别、危险废物代码、产生量、计量单位、容器/包装编码、容器/包装类型、容器/包装数量、产生危险废物设施编码、产生部门经办人、去向等。危险废物入库环节，应记录入库批次编码、入库时间、容器/包装编码、容器/包装类型、容器包装数量、危险废物名称、危险废物类别、危险废物代码、入库量、计量单位、贮存设施编码、贮存设施类型、运送部门经办人、贮存部门经办人、产生批次编码等。危险废物出库环节，应记录出库批次编码、出库时间、容器/包装编码、容器/包装类型、容器包装数量、危险废物名称、危险废物类别、危险废物代码、出库量、计量单位、贮存设施编码、贮存设施类型、出库部门经办人、运送部门经办人、入库批次编码、去向等。保存时间原则上应存档5年以上。</w:t>
            </w:r>
          </w:p>
          <w:p w14:paraId="6E8F9BB3">
            <w:pPr>
              <w:keepNext w:val="0"/>
              <w:keepLines w:val="0"/>
              <w:numPr>
                <w:ilvl w:val="0"/>
                <w:numId w:val="0"/>
              </w:numPr>
              <w:suppressLineNumbers w:val="0"/>
              <w:spacing w:before="0" w:beforeAutospacing="0" w:after="0" w:afterAutospacing="0" w:line="360" w:lineRule="auto"/>
              <w:ind w:left="0" w:right="0" w:firstLine="482" w:firstLineChars="200"/>
              <w:rPr>
                <w:rFonts w:hint="default" w:ascii="Times New Roman" w:hAnsi="Times New Roman" w:eastAsia="宋体" w:cs="Times New Roman"/>
                <w:b/>
                <w:bCs/>
                <w:color w:val="auto"/>
                <w:sz w:val="24"/>
                <w:highlight w:val="none"/>
              </w:rPr>
            </w:pPr>
            <w:r>
              <w:rPr>
                <w:rFonts w:hint="eastAsia" w:cs="Times New Roman"/>
                <w:b/>
                <w:bCs/>
                <w:color w:val="auto"/>
                <w:sz w:val="24"/>
                <w:highlight w:val="none"/>
                <w:lang w:val="en-US" w:eastAsia="zh-CN"/>
              </w:rPr>
              <w:t xml:space="preserve">5 </w:t>
            </w:r>
            <w:r>
              <w:rPr>
                <w:rFonts w:hint="default" w:ascii="Times New Roman" w:hAnsi="Times New Roman" w:eastAsia="宋体" w:cs="Times New Roman"/>
                <w:b/>
                <w:bCs/>
                <w:color w:val="auto"/>
                <w:sz w:val="24"/>
                <w:highlight w:val="none"/>
              </w:rPr>
              <w:t>地下水和土壤</w:t>
            </w:r>
          </w:p>
          <w:p w14:paraId="2D3DE6B1">
            <w:pPr>
              <w:keepNext w:val="0"/>
              <w:keepLines w:val="0"/>
              <w:suppressLineNumbers w:val="0"/>
              <w:autoSpaceDE w:val="0"/>
              <w:autoSpaceDN w:val="0"/>
              <w:spacing w:before="0" w:beforeAutospacing="0" w:after="0" w:afterAutospacing="0" w:line="360" w:lineRule="auto"/>
              <w:ind w:left="0" w:right="0" w:firstLine="480" w:firstLineChars="200"/>
              <w:jc w:val="left"/>
              <w:rPr>
                <w:rFonts w:hint="default" w:ascii="Times New Roman" w:hAnsi="Times New Roman" w:eastAsia="宋体" w:cs="Times New Roman"/>
                <w:b w:val="0"/>
                <w:bCs w:val="0"/>
                <w:color w:val="auto"/>
                <w:sz w:val="24"/>
                <w:szCs w:val="22"/>
                <w:highlight w:val="none"/>
                <w:u w:val="none" w:color="auto"/>
                <w:lang w:val="zh-CN" w:bidi="zh-CN"/>
              </w:rPr>
            </w:pPr>
            <w:r>
              <w:rPr>
                <w:rFonts w:hint="default" w:ascii="Times New Roman" w:hAnsi="Times New Roman" w:eastAsia="宋体" w:cs="Times New Roman"/>
                <w:b w:val="0"/>
                <w:bCs w:val="0"/>
                <w:color w:val="auto"/>
                <w:sz w:val="24"/>
                <w:szCs w:val="22"/>
                <w:highlight w:val="none"/>
                <w:u w:val="none" w:color="auto"/>
                <w:lang w:bidi="zh-CN"/>
              </w:rPr>
              <w:t>（1）</w:t>
            </w:r>
            <w:r>
              <w:rPr>
                <w:rFonts w:hint="default" w:ascii="Times New Roman" w:hAnsi="Times New Roman" w:eastAsia="宋体" w:cs="Times New Roman"/>
                <w:b w:val="0"/>
                <w:bCs w:val="0"/>
                <w:color w:val="auto"/>
                <w:sz w:val="24"/>
                <w:szCs w:val="22"/>
                <w:highlight w:val="none"/>
                <w:u w:val="none" w:color="auto"/>
                <w:lang w:val="zh-CN" w:bidi="zh-CN"/>
              </w:rPr>
              <w:t>地下水和土壤影响途径分析</w:t>
            </w:r>
          </w:p>
          <w:p w14:paraId="3048FE2C">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2"/>
                <w:highlight w:val="none"/>
                <w:u w:val="none" w:color="auto"/>
                <w:lang w:val="zh-CN" w:bidi="zh-CN"/>
              </w:rPr>
            </w:pPr>
            <w:r>
              <w:rPr>
                <w:rFonts w:hint="default" w:ascii="Times New Roman" w:hAnsi="Times New Roman" w:eastAsia="宋体" w:cs="Times New Roman"/>
                <w:color w:val="auto"/>
                <w:sz w:val="24"/>
                <w:szCs w:val="22"/>
                <w:highlight w:val="none"/>
                <w:u w:val="none" w:color="auto"/>
                <w:lang w:val="zh-CN" w:bidi="zh-CN"/>
              </w:rPr>
              <w:t>工程对地下水水质的影响对象为浅层地下水。项目对土壤的影响主要来自由于污水或者危废暂存</w:t>
            </w:r>
            <w:r>
              <w:rPr>
                <w:rFonts w:hint="eastAsia" w:cs="Times New Roman"/>
                <w:color w:val="auto"/>
                <w:sz w:val="24"/>
                <w:szCs w:val="22"/>
                <w:highlight w:val="none"/>
                <w:u w:val="none" w:color="auto"/>
                <w:lang w:val="zh-CN" w:bidi="zh-CN"/>
              </w:rPr>
              <w:t>库</w:t>
            </w:r>
            <w:r>
              <w:rPr>
                <w:rFonts w:hint="default" w:ascii="Times New Roman" w:hAnsi="Times New Roman" w:eastAsia="宋体" w:cs="Times New Roman"/>
                <w:color w:val="auto"/>
                <w:sz w:val="24"/>
                <w:szCs w:val="22"/>
                <w:highlight w:val="none"/>
                <w:u w:val="none" w:color="auto"/>
                <w:lang w:val="zh-CN" w:bidi="zh-CN"/>
              </w:rPr>
              <w:t>外渗漏进入土壤环境，从而导致其中含有的污染物质污染土壤，其影响途径和地下水基本相同。项目对地下水水质和土壤的影响途径来自废水通过厂区污水构筑物（初期雨水池</w:t>
            </w:r>
            <w:r>
              <w:rPr>
                <w:rFonts w:hint="eastAsia" w:cs="Times New Roman"/>
                <w:color w:val="auto"/>
                <w:sz w:val="24"/>
                <w:szCs w:val="22"/>
                <w:highlight w:val="none"/>
                <w:u w:val="none" w:color="auto"/>
                <w:lang w:val="zh-CN" w:bidi="zh-CN"/>
              </w:rPr>
              <w:t>、污水处理设施</w:t>
            </w:r>
            <w:r>
              <w:rPr>
                <w:rFonts w:hint="default" w:ascii="Times New Roman" w:hAnsi="Times New Roman" w:eastAsia="宋体" w:cs="Times New Roman"/>
                <w:color w:val="auto"/>
                <w:sz w:val="24"/>
                <w:szCs w:val="22"/>
                <w:highlight w:val="none"/>
                <w:u w:val="none" w:color="auto"/>
                <w:lang w:val="zh-CN" w:bidi="zh-CN"/>
              </w:rPr>
              <w:t>）和危废暂存</w:t>
            </w:r>
            <w:r>
              <w:rPr>
                <w:rFonts w:hint="eastAsia" w:cs="Times New Roman"/>
                <w:color w:val="auto"/>
                <w:sz w:val="24"/>
                <w:szCs w:val="22"/>
                <w:highlight w:val="none"/>
                <w:u w:val="none" w:color="auto"/>
                <w:lang w:val="zh-CN" w:bidi="zh-CN"/>
              </w:rPr>
              <w:t>库</w:t>
            </w:r>
            <w:r>
              <w:rPr>
                <w:rFonts w:hint="default" w:ascii="Times New Roman" w:hAnsi="Times New Roman" w:eastAsia="宋体" w:cs="Times New Roman"/>
                <w:color w:val="auto"/>
                <w:sz w:val="24"/>
                <w:szCs w:val="22"/>
                <w:highlight w:val="none"/>
                <w:u w:val="none" w:color="auto"/>
                <w:lang w:val="zh-CN" w:bidi="zh-CN"/>
              </w:rPr>
              <w:t>等直接渗入地下土壤而影响地下水。</w:t>
            </w:r>
          </w:p>
          <w:p w14:paraId="70AEEBE1">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2"/>
                <w:highlight w:val="none"/>
                <w:u w:val="none" w:color="auto"/>
                <w:lang w:val="zh-CN" w:bidi="zh-CN"/>
              </w:rPr>
            </w:pPr>
            <w:r>
              <w:rPr>
                <w:rFonts w:hint="default" w:ascii="Times New Roman" w:hAnsi="Times New Roman" w:eastAsia="宋体" w:cs="Times New Roman"/>
                <w:color w:val="auto"/>
                <w:sz w:val="24"/>
                <w:szCs w:val="22"/>
                <w:highlight w:val="none"/>
                <w:u w:val="none" w:color="auto"/>
                <w:lang w:val="zh-CN" w:bidi="zh-CN"/>
              </w:rPr>
              <w:t>正常情况下，由于项目贮水构筑物和危废暂存</w:t>
            </w:r>
            <w:r>
              <w:rPr>
                <w:rFonts w:hint="eastAsia" w:cs="Times New Roman"/>
                <w:color w:val="auto"/>
                <w:sz w:val="24"/>
                <w:szCs w:val="22"/>
                <w:highlight w:val="none"/>
                <w:u w:val="none" w:color="auto"/>
                <w:lang w:val="zh-CN" w:bidi="zh-CN"/>
              </w:rPr>
              <w:t>库</w:t>
            </w:r>
            <w:r>
              <w:rPr>
                <w:rFonts w:hint="default" w:ascii="Times New Roman" w:hAnsi="Times New Roman" w:eastAsia="宋体" w:cs="Times New Roman"/>
                <w:color w:val="auto"/>
                <w:sz w:val="24"/>
                <w:szCs w:val="22"/>
                <w:highlight w:val="none"/>
                <w:u w:val="none" w:color="auto"/>
                <w:lang w:val="zh-CN" w:bidi="zh-CN"/>
              </w:rPr>
              <w:t>地面均采用钢筋混凝土结构，在构筑物的混凝土中，要加入一定比例的具有补偿收缩功能的防水剂，用于提高混凝土的密实度、抗渗性及抗腐蚀能力。并且评价要求对污泥设施等也采取硬化、防渗措施，采取这些措施后，基本切断了废水、有毒有害物料进入土壤和地下水的途径，废水一般不会直接渗入地下土壤进而污染地下水。所以也基本不存在废水渗漏引起的地下水水量和水质变化而产生的环境水文地质问题。如果污水池发生渗漏，污水池周围的污染物浓度会很快升高，但向远处扩散的时间会较长。</w:t>
            </w:r>
          </w:p>
          <w:p w14:paraId="1CB42894">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b w:val="0"/>
                <w:bCs w:val="0"/>
                <w:color w:val="auto"/>
                <w:sz w:val="24"/>
                <w:szCs w:val="22"/>
                <w:highlight w:val="none"/>
                <w:u w:val="none" w:color="auto"/>
                <w:lang w:val="zh-CN" w:bidi="zh-CN"/>
              </w:rPr>
            </w:pPr>
            <w:r>
              <w:rPr>
                <w:rFonts w:hint="default" w:ascii="Times New Roman" w:hAnsi="Times New Roman" w:eastAsia="宋体" w:cs="Times New Roman"/>
                <w:b w:val="0"/>
                <w:bCs w:val="0"/>
                <w:color w:val="auto"/>
                <w:sz w:val="24"/>
                <w:szCs w:val="22"/>
                <w:highlight w:val="none"/>
                <w:u w:val="none" w:color="auto"/>
                <w:lang w:val="zh-CN" w:bidi="zh-CN"/>
              </w:rPr>
              <w:t>（</w:t>
            </w:r>
            <w:r>
              <w:rPr>
                <w:rFonts w:hint="default" w:ascii="Times New Roman" w:hAnsi="Times New Roman" w:eastAsia="宋体" w:cs="Times New Roman"/>
                <w:b w:val="0"/>
                <w:bCs w:val="0"/>
                <w:color w:val="auto"/>
                <w:sz w:val="24"/>
                <w:szCs w:val="22"/>
                <w:highlight w:val="none"/>
                <w:u w:val="none" w:color="auto"/>
                <w:lang w:bidi="zh-CN"/>
              </w:rPr>
              <w:t>2</w:t>
            </w:r>
            <w:r>
              <w:rPr>
                <w:rFonts w:hint="default" w:ascii="Times New Roman" w:hAnsi="Times New Roman" w:eastAsia="宋体" w:cs="Times New Roman"/>
                <w:b w:val="0"/>
                <w:bCs w:val="0"/>
                <w:color w:val="auto"/>
                <w:sz w:val="24"/>
                <w:szCs w:val="22"/>
                <w:highlight w:val="none"/>
                <w:u w:val="none" w:color="auto"/>
                <w:lang w:val="zh-CN" w:bidi="zh-CN"/>
              </w:rPr>
              <w:t>）源头控制措施</w:t>
            </w:r>
          </w:p>
          <w:p w14:paraId="51164477">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2"/>
                <w:highlight w:val="none"/>
                <w:u w:val="none" w:color="auto"/>
                <w:lang w:val="zh-CN" w:bidi="zh-CN"/>
              </w:rPr>
            </w:pPr>
            <w:r>
              <w:rPr>
                <w:rFonts w:hint="default" w:ascii="Times New Roman" w:hAnsi="Times New Roman" w:eastAsia="宋体" w:cs="Times New Roman"/>
                <w:color w:val="auto"/>
                <w:sz w:val="24"/>
                <w:szCs w:val="22"/>
                <w:highlight w:val="none"/>
                <w:u w:val="none" w:color="auto"/>
                <w:lang w:val="zh-CN" w:bidi="zh-CN"/>
              </w:rPr>
              <w:t>源头控制主要包括对污水处理构筑物采取相应措施，防止和降低污染物跑、冒、滴、漏，将污染物泄漏的环境风险事故降到最低程度。对进来的污废水进行合理的处理，以先进工艺、管道、设备、污水储存，尽可能从源头上减少可能污染物的产生；严格按照国家相关规范要求，对工艺、管道、设备、污水储存及处理构筑物采取相应的措施，以防止和降低可能</w:t>
            </w:r>
            <w:r>
              <w:rPr>
                <w:rFonts w:hint="eastAsia" w:cs="Times New Roman"/>
                <w:color w:val="auto"/>
                <w:sz w:val="24"/>
                <w:szCs w:val="22"/>
                <w:highlight w:val="none"/>
                <w:u w:val="none" w:color="auto"/>
                <w:lang w:val="zh-CN" w:bidi="zh-CN"/>
              </w:rPr>
              <w:t>污染物</w:t>
            </w:r>
            <w:r>
              <w:rPr>
                <w:rFonts w:hint="default" w:ascii="Times New Roman" w:hAnsi="Times New Roman" w:eastAsia="宋体" w:cs="Times New Roman"/>
                <w:color w:val="auto"/>
                <w:sz w:val="24"/>
                <w:szCs w:val="22"/>
                <w:highlight w:val="none"/>
                <w:u w:val="none" w:color="auto"/>
                <w:lang w:val="zh-CN" w:bidi="zh-CN"/>
              </w:rPr>
              <w:t>跑、冒、滴、漏，将废水泄漏的环境风险事故降低到最低程度；项目产生的固废严格按照《危险废物贮存污染控制标准》</w:t>
            </w:r>
            <w:r>
              <w:rPr>
                <w:rFonts w:hint="eastAsia" w:cs="Times New Roman"/>
                <w:color w:val="auto"/>
                <w:sz w:val="24"/>
                <w:szCs w:val="22"/>
                <w:highlight w:val="none"/>
                <w:u w:val="none" w:color="auto"/>
                <w:lang w:val="zh-CN" w:bidi="zh-CN"/>
              </w:rPr>
              <w:t>（</w:t>
            </w:r>
            <w:r>
              <w:rPr>
                <w:rFonts w:hint="default" w:ascii="Times New Roman" w:hAnsi="Times New Roman" w:eastAsia="宋体" w:cs="Times New Roman"/>
                <w:color w:val="auto"/>
                <w:sz w:val="24"/>
                <w:szCs w:val="22"/>
                <w:highlight w:val="none"/>
                <w:u w:val="none" w:color="auto"/>
                <w:lang w:val="zh-CN" w:bidi="zh-CN"/>
              </w:rPr>
              <w:t>GB18597-</w:t>
            </w:r>
            <w:r>
              <w:rPr>
                <w:rFonts w:hint="eastAsia" w:cs="Times New Roman"/>
                <w:color w:val="auto"/>
                <w:sz w:val="24"/>
                <w:szCs w:val="22"/>
                <w:highlight w:val="none"/>
                <w:u w:val="none" w:color="auto"/>
                <w:lang w:val="en-US" w:bidi="zh-CN"/>
              </w:rPr>
              <w:t>2023</w:t>
            </w:r>
            <w:r>
              <w:rPr>
                <w:rFonts w:hint="default" w:ascii="Times New Roman" w:hAnsi="Times New Roman" w:eastAsia="宋体" w:cs="Times New Roman"/>
                <w:color w:val="auto"/>
                <w:sz w:val="24"/>
                <w:szCs w:val="22"/>
                <w:highlight w:val="none"/>
                <w:u w:val="none" w:color="auto"/>
                <w:lang w:val="zh-CN" w:bidi="zh-CN"/>
              </w:rPr>
              <w:t>）及修改单（生态环境部2013年第36号）和《一般工业固体废物贮存和填埋污染控制标准》</w:t>
            </w:r>
            <w:r>
              <w:rPr>
                <w:rFonts w:hint="eastAsia" w:cs="Times New Roman"/>
                <w:color w:val="auto"/>
                <w:sz w:val="24"/>
                <w:szCs w:val="22"/>
                <w:highlight w:val="none"/>
                <w:u w:val="none" w:color="auto"/>
                <w:lang w:val="zh-CN" w:bidi="zh-CN"/>
              </w:rPr>
              <w:t>（</w:t>
            </w:r>
            <w:r>
              <w:rPr>
                <w:rFonts w:hint="default" w:ascii="Times New Roman" w:hAnsi="Times New Roman" w:eastAsia="宋体" w:cs="Times New Roman"/>
                <w:color w:val="auto"/>
                <w:sz w:val="24"/>
                <w:szCs w:val="22"/>
                <w:highlight w:val="none"/>
                <w:u w:val="none" w:color="auto"/>
                <w:lang w:val="zh-CN" w:bidi="zh-CN"/>
              </w:rPr>
              <w:t>GB18599-2020）相关要求进行设计和管理。</w:t>
            </w:r>
          </w:p>
          <w:p w14:paraId="2860DBF1">
            <w:pPr>
              <w:keepNext w:val="0"/>
              <w:keepLines w:val="0"/>
              <w:suppressLineNumbers w:val="0"/>
              <w:autoSpaceDE w:val="0"/>
              <w:autoSpaceDN w:val="0"/>
              <w:spacing w:before="0" w:beforeAutospacing="0" w:after="0" w:afterAutospacing="0" w:line="360" w:lineRule="auto"/>
              <w:ind w:left="0" w:right="0" w:firstLine="480" w:firstLineChars="200"/>
              <w:rPr>
                <w:rFonts w:hint="default" w:ascii="Times New Roman" w:hAnsi="Times New Roman" w:eastAsia="宋体" w:cs="Times New Roman"/>
                <w:b w:val="0"/>
                <w:bCs w:val="0"/>
                <w:color w:val="auto"/>
                <w:sz w:val="24"/>
                <w:szCs w:val="22"/>
                <w:highlight w:val="none"/>
                <w:u w:val="none" w:color="auto"/>
                <w:lang w:val="zh-CN" w:bidi="zh-CN"/>
              </w:rPr>
            </w:pPr>
            <w:r>
              <w:rPr>
                <w:rFonts w:hint="default" w:ascii="Times New Roman" w:hAnsi="Times New Roman" w:eastAsia="宋体" w:cs="Times New Roman"/>
                <w:b w:val="0"/>
                <w:bCs w:val="0"/>
                <w:color w:val="auto"/>
                <w:sz w:val="24"/>
                <w:szCs w:val="22"/>
                <w:highlight w:val="none"/>
                <w:u w:val="none" w:color="auto"/>
                <w:lang w:bidi="zh-CN"/>
              </w:rPr>
              <w:t>（3）</w:t>
            </w:r>
            <w:r>
              <w:rPr>
                <w:rFonts w:hint="default" w:ascii="Times New Roman" w:hAnsi="Times New Roman" w:eastAsia="宋体" w:cs="Times New Roman"/>
                <w:b w:val="0"/>
                <w:bCs w:val="0"/>
                <w:color w:val="auto"/>
                <w:sz w:val="24"/>
                <w:szCs w:val="22"/>
                <w:highlight w:val="none"/>
                <w:u w:val="none" w:color="auto"/>
                <w:lang w:val="zh-CN" w:bidi="zh-CN"/>
              </w:rPr>
              <w:t>分区防控措施</w:t>
            </w:r>
          </w:p>
          <w:p w14:paraId="6A8E8ED8">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sz w:val="24"/>
                <w:szCs w:val="21"/>
                <w:highlight w:val="none"/>
              </w:rPr>
            </w:pPr>
            <w:r>
              <w:rPr>
                <w:rFonts w:hint="eastAsia" w:cs="Times New Roman"/>
                <w:color w:val="auto"/>
                <w:sz w:val="24"/>
                <w:szCs w:val="21"/>
                <w:highlight w:val="none"/>
                <w:lang w:eastAsia="zh-CN"/>
              </w:rPr>
              <w:t>本</w:t>
            </w:r>
            <w:r>
              <w:rPr>
                <w:rFonts w:hint="default" w:ascii="Times New Roman" w:hAnsi="Times New Roman" w:eastAsia="宋体" w:cs="Times New Roman"/>
                <w:color w:val="auto"/>
                <w:sz w:val="24"/>
                <w:szCs w:val="21"/>
                <w:highlight w:val="none"/>
              </w:rPr>
              <w:t>项目对土壤的影响降至最低限度，采取分区防控措施。主要包括危废间地面的防渗措施和泄漏、渗漏污染物收集措施，即在污染区地面进行防渗处理，防止有害物质</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1"/>
                <w:highlight w:val="none"/>
                <w:lang w:val="zh-CN"/>
              </w:rPr>
              <w:t>废机油</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1"/>
                <w:highlight w:val="none"/>
              </w:rPr>
              <w:t>泄漏渗入地下，并把滞留在地面的有害物质</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1"/>
                <w:highlight w:val="none"/>
                <w:lang w:val="zh-CN"/>
              </w:rPr>
              <w:t>废机油</w:t>
            </w:r>
            <w:r>
              <w:rPr>
                <w:rFonts w:hint="default" w:ascii="Times New Roman" w:hAnsi="Times New Roman" w:eastAsia="宋体" w:cs="Times New Roman"/>
                <w:color w:val="auto"/>
                <w:sz w:val="24"/>
                <w:highlight w:val="none"/>
              </w:rPr>
              <w:t>）</w:t>
            </w:r>
            <w:r>
              <w:rPr>
                <w:rFonts w:hint="default" w:ascii="Times New Roman" w:hAnsi="Times New Roman" w:eastAsia="宋体" w:cs="Times New Roman"/>
                <w:color w:val="auto"/>
                <w:sz w:val="24"/>
                <w:szCs w:val="21"/>
                <w:highlight w:val="none"/>
              </w:rPr>
              <w:t>收集起来集中处理，从而避免对环境的污染。根据生产装置、辅助设施及公用工程所处位置不同将防渗区划分为重点防渗区和简单防渗区。</w:t>
            </w:r>
          </w:p>
          <w:p w14:paraId="31C8998F">
            <w:pPr>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b/>
                <w:color w:val="auto"/>
                <w:sz w:val="21"/>
                <w:szCs w:val="21"/>
                <w:highlight w:val="none"/>
                <w:u w:val="none" w:color="auto"/>
                <w:lang w:val="zh-CN" w:bidi="zh-CN"/>
              </w:rPr>
            </w:pPr>
            <w:r>
              <w:rPr>
                <w:rFonts w:hint="default" w:ascii="Times New Roman" w:hAnsi="Times New Roman" w:eastAsia="宋体" w:cs="Times New Roman"/>
                <w:color w:val="auto"/>
                <w:sz w:val="24"/>
                <w:szCs w:val="21"/>
                <w:highlight w:val="none"/>
              </w:rPr>
              <w:t>根据本项目区物料或者污染物泄漏的途径和功能单元所处的位置，厂区进行分区防渗处理，</w:t>
            </w:r>
            <w:r>
              <w:rPr>
                <w:rFonts w:hint="eastAsia" w:ascii="Times New Roman" w:hAnsi="Times New Roman" w:eastAsia="宋体" w:cs="Times New Roman"/>
                <w:color w:val="auto"/>
                <w:sz w:val="24"/>
                <w:szCs w:val="21"/>
                <w:highlight w:val="none"/>
                <w:lang w:eastAsia="zh-CN"/>
              </w:rPr>
              <w:t>五大总成储存区、产品储存区、切割区、固废暂存区</w:t>
            </w:r>
            <w:r>
              <w:rPr>
                <w:rFonts w:hint="default" w:ascii="Times New Roman" w:hAnsi="Times New Roman" w:eastAsia="宋体" w:cs="Times New Roman"/>
                <w:color w:val="auto"/>
                <w:sz w:val="24"/>
                <w:szCs w:val="21"/>
                <w:highlight w:val="none"/>
              </w:rPr>
              <w:t>及</w:t>
            </w:r>
            <w:r>
              <w:rPr>
                <w:rFonts w:hint="eastAsia" w:ascii="Times New Roman" w:hAnsi="Times New Roman" w:eastAsia="宋体" w:cs="Times New Roman"/>
                <w:color w:val="auto"/>
                <w:sz w:val="24"/>
                <w:szCs w:val="21"/>
                <w:highlight w:val="none"/>
                <w:lang w:eastAsia="zh-CN"/>
              </w:rPr>
              <w:t>报废汽车暂存场</w:t>
            </w:r>
            <w:r>
              <w:rPr>
                <w:rFonts w:hint="default" w:ascii="Times New Roman" w:hAnsi="Times New Roman" w:eastAsia="宋体" w:cs="Times New Roman"/>
                <w:color w:val="auto"/>
                <w:sz w:val="24"/>
                <w:szCs w:val="21"/>
                <w:highlight w:val="none"/>
              </w:rPr>
              <w:t>进行一般防渗（防渗技术要求为等效黏土防渗层Mb≥</w:t>
            </w:r>
            <w:r>
              <w:rPr>
                <w:rFonts w:hint="eastAsia" w:ascii="Times New Roman" w:hAnsi="Times New Roman" w:eastAsia="宋体" w:cs="Times New Roman"/>
                <w:color w:val="auto"/>
                <w:sz w:val="24"/>
                <w:szCs w:val="21"/>
                <w:highlight w:val="none"/>
                <w:lang w:val="en-US" w:eastAsia="zh-CN"/>
              </w:rPr>
              <w:t>1.5</w:t>
            </w:r>
            <w:r>
              <w:rPr>
                <w:rFonts w:hint="default" w:ascii="Times New Roman" w:hAnsi="Times New Roman" w:eastAsia="宋体" w:cs="Times New Roman"/>
                <w:color w:val="auto"/>
                <w:sz w:val="24"/>
                <w:szCs w:val="21"/>
                <w:highlight w:val="none"/>
              </w:rPr>
              <w:t>m，K≤1×10</w:t>
            </w:r>
            <w:r>
              <w:rPr>
                <w:rFonts w:hint="default" w:ascii="Times New Roman" w:hAnsi="Times New Roman" w:eastAsia="宋体" w:cs="Times New Roman"/>
                <w:color w:val="auto"/>
                <w:sz w:val="24"/>
                <w:szCs w:val="21"/>
                <w:highlight w:val="none"/>
                <w:vertAlign w:val="superscript"/>
              </w:rPr>
              <w:t>-7</w:t>
            </w:r>
            <w:r>
              <w:rPr>
                <w:rFonts w:hint="default" w:ascii="Times New Roman" w:hAnsi="Times New Roman" w:eastAsia="宋体" w:cs="Times New Roman"/>
                <w:color w:val="auto"/>
                <w:sz w:val="24"/>
                <w:szCs w:val="21"/>
                <w:highlight w:val="none"/>
              </w:rPr>
              <w:t>cm/s；或参照GB18598执行），</w:t>
            </w:r>
            <w:r>
              <w:rPr>
                <w:rFonts w:hint="default" w:ascii="Times New Roman" w:hAnsi="Times New Roman" w:eastAsia="宋体" w:cs="Times New Roman"/>
                <w:color w:val="auto"/>
                <w:sz w:val="24"/>
                <w:szCs w:val="21"/>
                <w:highlight w:val="none"/>
                <w:lang w:eastAsia="zh-CN"/>
              </w:rPr>
              <w:t>危废贮存库</w:t>
            </w:r>
            <w:r>
              <w:rPr>
                <w:rFonts w:hint="default" w:ascii="Times New Roman" w:hAnsi="Times New Roman" w:eastAsia="宋体" w:cs="Times New Roman"/>
                <w:color w:val="auto"/>
                <w:sz w:val="24"/>
                <w:szCs w:val="21"/>
                <w:highlight w:val="none"/>
              </w:rPr>
              <w:t>、</w:t>
            </w:r>
            <w:r>
              <w:rPr>
                <w:rFonts w:hint="eastAsia" w:ascii="Times New Roman" w:hAnsi="Times New Roman" w:eastAsia="宋体" w:cs="Times New Roman"/>
                <w:color w:val="auto"/>
                <w:sz w:val="24"/>
                <w:szCs w:val="21"/>
                <w:highlight w:val="none"/>
                <w:lang w:eastAsia="zh-CN"/>
              </w:rPr>
              <w:t>汽车</w:t>
            </w:r>
            <w:r>
              <w:rPr>
                <w:rFonts w:hint="default" w:ascii="Times New Roman" w:hAnsi="Times New Roman" w:eastAsia="宋体" w:cs="Times New Roman"/>
                <w:color w:val="auto"/>
                <w:sz w:val="24"/>
                <w:szCs w:val="21"/>
                <w:highlight w:val="none"/>
              </w:rPr>
              <w:t>拆解</w:t>
            </w:r>
            <w:r>
              <w:rPr>
                <w:rFonts w:hint="default" w:ascii="Times New Roman" w:hAnsi="Times New Roman" w:eastAsia="宋体" w:cs="Times New Roman"/>
                <w:color w:val="auto"/>
                <w:sz w:val="24"/>
                <w:szCs w:val="21"/>
                <w:highlight w:val="none"/>
                <w:lang w:eastAsia="zh-CN"/>
              </w:rPr>
              <w:t>区、污水处理设施、</w:t>
            </w:r>
            <w:r>
              <w:rPr>
                <w:rFonts w:hint="default" w:ascii="Times New Roman" w:hAnsi="Times New Roman" w:eastAsia="宋体" w:cs="Times New Roman"/>
                <w:color w:val="auto"/>
                <w:sz w:val="24"/>
                <w:szCs w:val="21"/>
                <w:highlight w:val="none"/>
              </w:rPr>
              <w:t>初期雨水收集池</w:t>
            </w:r>
            <w:r>
              <w:rPr>
                <w:rFonts w:hint="eastAsia" w:ascii="Times New Roman" w:hAnsi="Times New Roman" w:eastAsia="宋体" w:cs="Times New Roman"/>
                <w:color w:val="auto"/>
                <w:sz w:val="24"/>
                <w:szCs w:val="21"/>
                <w:highlight w:val="none"/>
                <w:lang w:eastAsia="zh-CN"/>
              </w:rPr>
              <w:t>、事故池</w:t>
            </w:r>
            <w:r>
              <w:rPr>
                <w:rFonts w:hint="default" w:ascii="Times New Roman" w:hAnsi="Times New Roman" w:eastAsia="宋体" w:cs="Times New Roman"/>
                <w:color w:val="auto"/>
                <w:sz w:val="24"/>
                <w:szCs w:val="21"/>
                <w:highlight w:val="none"/>
              </w:rPr>
              <w:t>进行重点防渗（防渗技术要求为等效黏土防渗层Mb≥6.0m，K≤1×10</w:t>
            </w:r>
            <w:r>
              <w:rPr>
                <w:rFonts w:hint="default" w:ascii="Times New Roman" w:hAnsi="Times New Roman" w:eastAsia="宋体" w:cs="Times New Roman"/>
                <w:color w:val="auto"/>
                <w:sz w:val="24"/>
                <w:szCs w:val="21"/>
                <w:highlight w:val="none"/>
                <w:vertAlign w:val="superscript"/>
              </w:rPr>
              <w:t>-7</w:t>
            </w:r>
            <w:r>
              <w:rPr>
                <w:rFonts w:hint="default" w:ascii="Times New Roman" w:hAnsi="Times New Roman" w:eastAsia="宋体" w:cs="Times New Roman"/>
                <w:color w:val="auto"/>
                <w:sz w:val="24"/>
                <w:szCs w:val="21"/>
                <w:highlight w:val="none"/>
              </w:rPr>
              <w:t>cm/s；或参照GB18598执行）。</w:t>
            </w:r>
          </w:p>
          <w:p w14:paraId="58472A1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240" w:lineRule="auto"/>
              <w:ind w:left="0" w:leftChars="0" w:right="0" w:rightChars="0" w:firstLine="0" w:firstLineChars="0"/>
              <w:jc w:val="center"/>
              <w:textAlignment w:val="auto"/>
              <w:outlineLvl w:val="9"/>
              <w:rPr>
                <w:rFonts w:hint="default" w:ascii="Times New Roman" w:hAnsi="Times New Roman" w:eastAsia="宋体" w:cs="Times New Roman"/>
                <w:b/>
                <w:color w:val="auto"/>
                <w:sz w:val="21"/>
                <w:szCs w:val="21"/>
                <w:highlight w:val="none"/>
                <w:u w:val="none" w:color="auto"/>
                <w:lang w:val="zh-CN" w:bidi="zh-CN"/>
              </w:rPr>
            </w:pPr>
            <w:r>
              <w:rPr>
                <w:rFonts w:hint="default" w:ascii="Times New Roman" w:hAnsi="Times New Roman" w:eastAsia="宋体" w:cs="Times New Roman"/>
                <w:b/>
                <w:color w:val="auto"/>
                <w:sz w:val="21"/>
                <w:szCs w:val="21"/>
                <w:highlight w:val="none"/>
                <w:u w:val="none" w:color="auto"/>
                <w:lang w:val="zh-CN" w:bidi="zh-CN"/>
              </w:rPr>
              <w:t>表</w:t>
            </w:r>
            <w:r>
              <w:rPr>
                <w:rFonts w:hint="default" w:ascii="Times New Roman" w:hAnsi="Times New Roman" w:eastAsia="宋体" w:cs="Times New Roman"/>
                <w:b/>
                <w:color w:val="auto"/>
                <w:sz w:val="21"/>
                <w:szCs w:val="21"/>
                <w:highlight w:val="none"/>
                <w:u w:val="none" w:color="auto"/>
                <w:lang w:bidi="zh-CN"/>
              </w:rPr>
              <w:t>4-</w:t>
            </w:r>
            <w:r>
              <w:rPr>
                <w:rFonts w:hint="default" w:ascii="Times New Roman" w:hAnsi="Times New Roman" w:eastAsia="宋体" w:cs="Times New Roman"/>
                <w:b/>
                <w:color w:val="auto"/>
                <w:sz w:val="21"/>
                <w:szCs w:val="21"/>
                <w:highlight w:val="none"/>
                <w:u w:val="none" w:color="auto"/>
                <w:lang w:val="en-US" w:bidi="zh-CN"/>
              </w:rPr>
              <w:t>2</w:t>
            </w:r>
            <w:r>
              <w:rPr>
                <w:rFonts w:hint="eastAsia" w:cs="Times New Roman"/>
                <w:b/>
                <w:color w:val="auto"/>
                <w:sz w:val="21"/>
                <w:szCs w:val="21"/>
                <w:highlight w:val="none"/>
                <w:u w:val="none" w:color="auto"/>
                <w:lang w:val="en-US" w:bidi="zh-CN"/>
              </w:rPr>
              <w:t xml:space="preserve">7  </w:t>
            </w:r>
            <w:r>
              <w:rPr>
                <w:rFonts w:hint="default" w:ascii="Times New Roman" w:hAnsi="Times New Roman" w:eastAsia="宋体" w:cs="Times New Roman"/>
                <w:b/>
                <w:color w:val="auto"/>
                <w:sz w:val="21"/>
                <w:szCs w:val="21"/>
                <w:highlight w:val="none"/>
                <w:u w:val="none" w:color="auto"/>
                <w:lang w:val="zh-CN" w:bidi="zh-CN"/>
              </w:rPr>
              <w:t>项目污染区划分及防渗等级一览表</w:t>
            </w:r>
          </w:p>
          <w:tbl>
            <w:tblPr>
              <w:tblStyle w:val="26"/>
              <w:tblW w:w="4998"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735"/>
              <w:gridCol w:w="2830"/>
              <w:gridCol w:w="5557"/>
            </w:tblGrid>
            <w:tr w14:paraId="69B3C4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3" w:type="pct"/>
                  <w:tcBorders>
                    <w:tl2br w:val="nil"/>
                    <w:tr2bl w:val="nil"/>
                  </w:tcBorders>
                  <w:noWrap w:val="0"/>
                  <w:vAlign w:val="center"/>
                </w:tcPr>
                <w:p w14:paraId="493553AF">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Cs w:val="22"/>
                      <w:highlight w:val="none"/>
                      <w:u w:val="none" w:color="auto"/>
                      <w:lang w:val="zh-CN" w:bidi="zh-CN"/>
                    </w:rPr>
                  </w:pPr>
                  <w:r>
                    <w:rPr>
                      <w:rFonts w:hint="default" w:ascii="Times New Roman" w:hAnsi="Times New Roman" w:eastAsia="宋体" w:cs="Times New Roman"/>
                      <w:b/>
                      <w:bCs/>
                      <w:color w:val="auto"/>
                      <w:szCs w:val="22"/>
                      <w:highlight w:val="none"/>
                      <w:u w:val="none" w:color="auto"/>
                      <w:lang w:val="zh-CN" w:bidi="zh-CN"/>
                    </w:rPr>
                    <w:t>分区</w:t>
                  </w:r>
                </w:p>
              </w:tc>
              <w:tc>
                <w:tcPr>
                  <w:tcW w:w="1551" w:type="pct"/>
                  <w:tcBorders>
                    <w:tl2br w:val="nil"/>
                    <w:tr2bl w:val="nil"/>
                  </w:tcBorders>
                  <w:noWrap w:val="0"/>
                  <w:vAlign w:val="center"/>
                </w:tcPr>
                <w:p w14:paraId="261C8320">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Cs w:val="22"/>
                      <w:highlight w:val="none"/>
                      <w:u w:val="none" w:color="auto"/>
                      <w:lang w:val="zh-CN" w:bidi="zh-CN"/>
                    </w:rPr>
                  </w:pPr>
                  <w:r>
                    <w:rPr>
                      <w:rFonts w:hint="default" w:ascii="Times New Roman" w:hAnsi="Times New Roman" w:eastAsia="宋体" w:cs="Times New Roman"/>
                      <w:b/>
                      <w:bCs/>
                      <w:color w:val="auto"/>
                      <w:szCs w:val="22"/>
                      <w:highlight w:val="none"/>
                      <w:u w:val="none" w:color="auto"/>
                      <w:lang w:val="zh-CN" w:bidi="zh-CN"/>
                    </w:rPr>
                    <w:t>厂内分区</w:t>
                  </w:r>
                </w:p>
              </w:tc>
              <w:tc>
                <w:tcPr>
                  <w:tcW w:w="3045" w:type="pct"/>
                  <w:tcBorders>
                    <w:tl2br w:val="nil"/>
                    <w:tr2bl w:val="nil"/>
                  </w:tcBorders>
                  <w:noWrap w:val="0"/>
                  <w:vAlign w:val="center"/>
                </w:tcPr>
                <w:p w14:paraId="134060FE">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b/>
                      <w:bCs/>
                      <w:color w:val="auto"/>
                      <w:szCs w:val="22"/>
                      <w:highlight w:val="none"/>
                      <w:u w:val="none" w:color="auto"/>
                      <w:lang w:val="zh-CN" w:bidi="zh-CN"/>
                    </w:rPr>
                  </w:pPr>
                  <w:r>
                    <w:rPr>
                      <w:rFonts w:hint="default" w:ascii="Times New Roman" w:hAnsi="Times New Roman" w:eastAsia="宋体" w:cs="Times New Roman"/>
                      <w:b/>
                      <w:bCs/>
                      <w:color w:val="auto"/>
                      <w:szCs w:val="22"/>
                      <w:highlight w:val="none"/>
                      <w:u w:val="none" w:color="auto"/>
                      <w:lang w:val="zh-CN" w:bidi="zh-CN"/>
                    </w:rPr>
                    <w:t>防渗等级</w:t>
                  </w:r>
                </w:p>
              </w:tc>
            </w:tr>
            <w:tr w14:paraId="6B146B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3" w:type="pct"/>
                  <w:vMerge w:val="restart"/>
                  <w:tcBorders>
                    <w:tl2br w:val="nil"/>
                    <w:tr2bl w:val="nil"/>
                  </w:tcBorders>
                  <w:noWrap w:val="0"/>
                  <w:vAlign w:val="center"/>
                </w:tcPr>
                <w:p w14:paraId="7131B9D1">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bidi="zh-CN"/>
                    </w:rPr>
                  </w:pPr>
                  <w:r>
                    <w:rPr>
                      <w:rFonts w:hint="default" w:ascii="Times New Roman" w:hAnsi="Times New Roman" w:eastAsia="宋体" w:cs="Times New Roman"/>
                      <w:color w:val="auto"/>
                      <w:szCs w:val="22"/>
                      <w:highlight w:val="none"/>
                      <w:u w:val="none" w:color="auto"/>
                      <w:lang w:val="zh-CN" w:bidi="zh-CN"/>
                    </w:rPr>
                    <w:t>重点防渗</w:t>
                  </w:r>
                </w:p>
              </w:tc>
              <w:tc>
                <w:tcPr>
                  <w:tcW w:w="1551" w:type="pct"/>
                  <w:tcBorders>
                    <w:tl2br w:val="nil"/>
                    <w:tr2bl w:val="nil"/>
                  </w:tcBorders>
                  <w:noWrap w:val="0"/>
                  <w:vAlign w:val="center"/>
                </w:tcPr>
                <w:p w14:paraId="2B35E6DA">
                  <w:pPr>
                    <w:pStyle w:val="79"/>
                    <w:keepNext w:val="0"/>
                    <w:keepLines w:val="0"/>
                    <w:suppressLineNumbers w:val="0"/>
                    <w:spacing w:before="0" w:beforeAutospacing="0" w:after="0" w:afterAutospacing="0"/>
                    <w:ind w:left="0" w:right="0"/>
                    <w:jc w:val="center"/>
                    <w:rPr>
                      <w:rFonts w:hint="eastAsia" w:ascii="Times New Roman" w:hAnsi="Times New Roman" w:eastAsia="宋体" w:cs="Times New Roman"/>
                      <w:color w:val="auto"/>
                      <w:szCs w:val="22"/>
                      <w:highlight w:val="none"/>
                      <w:u w:val="none" w:color="auto"/>
                      <w:lang w:val="zh-CN" w:eastAsia="zh-CN" w:bidi="zh-CN"/>
                    </w:rPr>
                  </w:pPr>
                  <w:r>
                    <w:rPr>
                      <w:rFonts w:hint="eastAsia" w:cs="Times New Roman"/>
                      <w:color w:val="auto"/>
                      <w:highlight w:val="none"/>
                      <w:u w:val="none" w:color="auto"/>
                      <w:lang w:eastAsia="zh-CN"/>
                    </w:rPr>
                    <w:t>汽车</w:t>
                  </w:r>
                  <w:r>
                    <w:rPr>
                      <w:rFonts w:hint="default" w:ascii="Times New Roman" w:hAnsi="Times New Roman" w:eastAsia="宋体" w:cs="Times New Roman"/>
                      <w:color w:val="auto"/>
                      <w:highlight w:val="none"/>
                      <w:u w:val="none" w:color="auto"/>
                    </w:rPr>
                    <w:t>拆解</w:t>
                  </w:r>
                  <w:r>
                    <w:rPr>
                      <w:rFonts w:hint="default" w:ascii="Times New Roman" w:hAnsi="Times New Roman" w:eastAsia="宋体" w:cs="Times New Roman"/>
                      <w:color w:val="auto"/>
                      <w:highlight w:val="none"/>
                      <w:u w:val="none" w:color="auto"/>
                      <w:lang w:eastAsia="zh-CN"/>
                    </w:rPr>
                    <w:t>区、污水处理设施、</w:t>
                  </w:r>
                  <w:r>
                    <w:rPr>
                      <w:rFonts w:hint="default" w:ascii="Times New Roman" w:hAnsi="Times New Roman" w:eastAsia="宋体" w:cs="Times New Roman"/>
                      <w:color w:val="auto"/>
                      <w:highlight w:val="none"/>
                      <w:u w:val="none" w:color="auto"/>
                    </w:rPr>
                    <w:t>初期雨水收集池</w:t>
                  </w:r>
                  <w:r>
                    <w:rPr>
                      <w:rFonts w:hint="eastAsia" w:cs="Times New Roman"/>
                      <w:color w:val="auto"/>
                      <w:highlight w:val="none"/>
                      <w:u w:val="none" w:color="auto"/>
                      <w:lang w:eastAsia="zh-CN"/>
                    </w:rPr>
                    <w:t>、事故池</w:t>
                  </w:r>
                </w:p>
              </w:tc>
              <w:tc>
                <w:tcPr>
                  <w:tcW w:w="3045" w:type="pct"/>
                  <w:tcBorders>
                    <w:tl2br w:val="nil"/>
                    <w:tr2bl w:val="nil"/>
                  </w:tcBorders>
                  <w:noWrap w:val="0"/>
                  <w:vAlign w:val="center"/>
                </w:tcPr>
                <w:p w14:paraId="31DD810C">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bidi="zh-CN"/>
                    </w:rPr>
                  </w:pPr>
                  <w:r>
                    <w:rPr>
                      <w:rFonts w:hint="default" w:ascii="Times New Roman" w:hAnsi="Times New Roman" w:eastAsia="宋体" w:cs="Times New Roman"/>
                      <w:color w:val="auto"/>
                      <w:szCs w:val="22"/>
                      <w:highlight w:val="none"/>
                      <w:u w:val="none" w:color="auto"/>
                      <w:lang w:val="zh-CN" w:bidi="zh-CN"/>
                    </w:rPr>
                    <w:t>等效黏土防渗层</w:t>
                  </w:r>
                  <w:r>
                    <w:rPr>
                      <w:rFonts w:hint="default" w:ascii="Times New Roman" w:hAnsi="Times New Roman" w:eastAsia="宋体" w:cs="Times New Roman"/>
                      <w:color w:val="auto"/>
                      <w:szCs w:val="22"/>
                      <w:highlight w:val="none"/>
                      <w:u w:val="none" w:color="auto"/>
                      <w:lang w:bidi="zh-CN"/>
                    </w:rPr>
                    <w:t>Mb≥6m，K≤1×10</w:t>
                  </w:r>
                  <w:r>
                    <w:rPr>
                      <w:rFonts w:hint="default" w:ascii="Times New Roman" w:hAnsi="Times New Roman" w:eastAsia="宋体" w:cs="Times New Roman"/>
                      <w:color w:val="auto"/>
                      <w:szCs w:val="22"/>
                      <w:highlight w:val="none"/>
                      <w:u w:val="none" w:color="auto"/>
                      <w:vertAlign w:val="superscript"/>
                      <w:lang w:bidi="zh-CN"/>
                    </w:rPr>
                    <w:t>-</w:t>
                  </w:r>
                  <w:r>
                    <w:rPr>
                      <w:rFonts w:hint="eastAsia" w:cs="Times New Roman"/>
                      <w:color w:val="auto"/>
                      <w:szCs w:val="22"/>
                      <w:highlight w:val="none"/>
                      <w:u w:val="none" w:color="auto"/>
                      <w:vertAlign w:val="superscript"/>
                      <w:lang w:val="en-US" w:bidi="zh-CN"/>
                    </w:rPr>
                    <w:t>7</w:t>
                  </w:r>
                  <w:r>
                    <w:rPr>
                      <w:rFonts w:hint="default" w:ascii="Times New Roman" w:hAnsi="Times New Roman" w:eastAsia="宋体" w:cs="Times New Roman"/>
                      <w:color w:val="auto"/>
                      <w:szCs w:val="22"/>
                      <w:highlight w:val="none"/>
                      <w:u w:val="none" w:color="auto"/>
                      <w:lang w:bidi="zh-CN"/>
                    </w:rPr>
                    <w:t>cm/s，或参照GB16889执行</w:t>
                  </w:r>
                </w:p>
              </w:tc>
            </w:tr>
            <w:tr w14:paraId="7980D48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3" w:type="pct"/>
                  <w:vMerge w:val="continue"/>
                  <w:tcBorders>
                    <w:tl2br w:val="nil"/>
                    <w:tr2bl w:val="nil"/>
                  </w:tcBorders>
                  <w:noWrap w:val="0"/>
                  <w:vAlign w:val="center"/>
                </w:tcPr>
                <w:p w14:paraId="6C6CA904">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bidi="zh-CN"/>
                    </w:rPr>
                  </w:pPr>
                </w:p>
              </w:tc>
              <w:tc>
                <w:tcPr>
                  <w:tcW w:w="1551" w:type="pct"/>
                  <w:tcBorders>
                    <w:tl2br w:val="nil"/>
                    <w:tr2bl w:val="nil"/>
                  </w:tcBorders>
                  <w:noWrap w:val="0"/>
                  <w:vAlign w:val="center"/>
                </w:tcPr>
                <w:p w14:paraId="06AC9D17">
                  <w:pPr>
                    <w:pStyle w:val="79"/>
                    <w:keepNext w:val="0"/>
                    <w:keepLines w:val="0"/>
                    <w:suppressLineNumbers w:val="0"/>
                    <w:spacing w:before="0" w:beforeAutospacing="0" w:after="0" w:afterAutospacing="0"/>
                    <w:ind w:left="0" w:right="0"/>
                    <w:jc w:val="center"/>
                    <w:rPr>
                      <w:rFonts w:hint="default" w:ascii="Times New Roman" w:hAnsi="Times New Roman" w:eastAsia="宋体" w:cs="Times New Roman"/>
                      <w:color w:val="auto"/>
                      <w:highlight w:val="none"/>
                      <w:u w:val="none" w:color="auto"/>
                      <w:lang w:eastAsia="zh-CN"/>
                    </w:rPr>
                  </w:pPr>
                  <w:r>
                    <w:rPr>
                      <w:rFonts w:hint="default" w:ascii="Times New Roman" w:hAnsi="Times New Roman" w:eastAsia="宋体" w:cs="Times New Roman"/>
                      <w:color w:val="auto"/>
                      <w:highlight w:val="none"/>
                      <w:u w:val="none" w:color="auto"/>
                      <w:lang w:eastAsia="zh-CN"/>
                    </w:rPr>
                    <w:t>危废贮存库</w:t>
                  </w:r>
                </w:p>
              </w:tc>
              <w:tc>
                <w:tcPr>
                  <w:tcW w:w="3045" w:type="pct"/>
                  <w:tcBorders>
                    <w:tl2br w:val="nil"/>
                    <w:tr2bl w:val="nil"/>
                  </w:tcBorders>
                  <w:noWrap w:val="0"/>
                  <w:vAlign w:val="center"/>
                </w:tcPr>
                <w:p w14:paraId="59B70767">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bidi="zh-CN"/>
                    </w:rPr>
                  </w:pPr>
                  <w:r>
                    <w:rPr>
                      <w:rFonts w:hint="default" w:ascii="Times New Roman" w:hAnsi="Times New Roman" w:eastAsia="宋体" w:cs="Times New Roman"/>
                      <w:b w:val="0"/>
                      <w:color w:val="auto"/>
                      <w:kern w:val="2"/>
                      <w:sz w:val="21"/>
                      <w:szCs w:val="21"/>
                      <w:highlight w:val="none"/>
                      <w:lang w:val="en-US" w:eastAsia="zh-CN" w:bidi="ar"/>
                    </w:rPr>
                    <w:t>严格按照《危险废物贮存污染控制标准》（GB18597-2023）要求制定防渗措施，</w:t>
                  </w:r>
                  <w:r>
                    <w:rPr>
                      <w:rFonts w:hint="default" w:ascii="Times New Roman" w:hAnsi="Times New Roman" w:eastAsia="宋体" w:cs="Times New Roman"/>
                      <w:color w:val="auto"/>
                      <w:sz w:val="21"/>
                      <w:szCs w:val="21"/>
                      <w:highlight w:val="none"/>
                      <w:lang w:val="en-US" w:eastAsia="zh-CN"/>
                    </w:rPr>
                    <w:t>人工材料的渗透系数小于</w:t>
                  </w:r>
                  <w:r>
                    <w:rPr>
                      <w:rFonts w:hint="default" w:ascii="Times New Roman" w:hAnsi="Times New Roman" w:eastAsia="宋体" w:cs="Times New Roman"/>
                      <w:color w:val="auto"/>
                      <w:sz w:val="21"/>
                      <w:szCs w:val="21"/>
                      <w:highlight w:val="none"/>
                    </w:rPr>
                    <w:t>1.0×10</w:t>
                  </w:r>
                  <w:r>
                    <w:rPr>
                      <w:rFonts w:hint="default" w:ascii="Times New Roman" w:hAnsi="Times New Roman" w:eastAsia="宋体" w:cs="Times New Roman"/>
                      <w:color w:val="auto"/>
                      <w:sz w:val="21"/>
                      <w:szCs w:val="21"/>
                      <w:highlight w:val="none"/>
                      <w:vertAlign w:val="superscript"/>
                    </w:rPr>
                    <w:t>-</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rPr>
                    <w:t>cm/s</w:t>
                  </w:r>
                  <w:r>
                    <w:rPr>
                      <w:rFonts w:hint="default" w:ascii="Times New Roman" w:hAnsi="Times New Roman" w:eastAsia="宋体" w:cs="Times New Roman"/>
                      <w:color w:val="auto"/>
                      <w:sz w:val="21"/>
                      <w:szCs w:val="21"/>
                      <w:highlight w:val="none"/>
                      <w:lang w:val="en-US" w:eastAsia="zh-CN"/>
                    </w:rPr>
                    <w:t>，切断污染地下水的途径</w:t>
                  </w:r>
                </w:p>
              </w:tc>
            </w:tr>
            <w:tr w14:paraId="6F5FAC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3" w:type="pct"/>
                  <w:tcBorders>
                    <w:tl2br w:val="nil"/>
                    <w:tr2bl w:val="nil"/>
                  </w:tcBorders>
                  <w:noWrap w:val="0"/>
                  <w:vAlign w:val="center"/>
                </w:tcPr>
                <w:p w14:paraId="01668BE9">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bidi="zh-CN"/>
                    </w:rPr>
                  </w:pPr>
                  <w:r>
                    <w:rPr>
                      <w:rFonts w:hint="default" w:ascii="Times New Roman" w:hAnsi="Times New Roman" w:eastAsia="宋体" w:cs="Times New Roman"/>
                      <w:color w:val="auto"/>
                      <w:szCs w:val="22"/>
                      <w:highlight w:val="none"/>
                      <w:u w:val="none" w:color="auto"/>
                      <w:lang w:val="zh-CN" w:bidi="zh-CN"/>
                    </w:rPr>
                    <w:t>一般防渗</w:t>
                  </w:r>
                </w:p>
              </w:tc>
              <w:tc>
                <w:tcPr>
                  <w:tcW w:w="1551" w:type="pct"/>
                  <w:tcBorders>
                    <w:tl2br w:val="nil"/>
                    <w:tr2bl w:val="nil"/>
                  </w:tcBorders>
                  <w:noWrap w:val="0"/>
                  <w:vAlign w:val="center"/>
                </w:tcPr>
                <w:p w14:paraId="490E1146">
                  <w:pPr>
                    <w:pStyle w:val="73"/>
                    <w:keepNext w:val="0"/>
                    <w:keepLines w:val="0"/>
                    <w:suppressLineNumbers w:val="0"/>
                    <w:spacing w:before="52" w:beforeAutospacing="0" w:after="0" w:afterAutospacing="0" w:line="228" w:lineRule="auto"/>
                    <w:ind w:left="0" w:leftChars="0" w:right="0" w:firstLine="0" w:firstLineChars="0"/>
                    <w:rPr>
                      <w:rFonts w:hint="default" w:ascii="Times New Roman" w:hAnsi="Times New Roman" w:eastAsia="宋体" w:cs="Times New Roman"/>
                      <w:color w:val="auto"/>
                      <w:szCs w:val="22"/>
                      <w:highlight w:val="none"/>
                      <w:u w:val="none" w:color="auto"/>
                      <w:lang w:val="en-US" w:eastAsia="zh-CN" w:bidi="zh-CN"/>
                    </w:rPr>
                  </w:pPr>
                  <w:r>
                    <w:rPr>
                      <w:rFonts w:hint="eastAsia" w:cs="Times New Roman"/>
                      <w:color w:val="auto"/>
                      <w:sz w:val="21"/>
                      <w:szCs w:val="21"/>
                      <w:highlight w:val="none"/>
                      <w:u w:val="none" w:color="auto"/>
                      <w:lang w:eastAsia="zh-CN"/>
                    </w:rPr>
                    <w:t>五大总成储存区、产品储存区、切割区、固废暂存区</w:t>
                  </w:r>
                  <w:r>
                    <w:rPr>
                      <w:rFonts w:hint="default" w:ascii="Times New Roman" w:hAnsi="Times New Roman" w:eastAsia="宋体" w:cs="Times New Roman"/>
                      <w:color w:val="auto"/>
                      <w:sz w:val="21"/>
                      <w:szCs w:val="21"/>
                      <w:highlight w:val="none"/>
                      <w:u w:val="none" w:color="auto"/>
                    </w:rPr>
                    <w:t>及</w:t>
                  </w:r>
                  <w:r>
                    <w:rPr>
                      <w:rFonts w:hint="eastAsia" w:cs="Times New Roman"/>
                      <w:color w:val="auto"/>
                      <w:sz w:val="21"/>
                      <w:szCs w:val="21"/>
                      <w:highlight w:val="none"/>
                      <w:u w:val="none" w:color="auto"/>
                      <w:lang w:eastAsia="zh-CN"/>
                    </w:rPr>
                    <w:t>报废汽车暂存场</w:t>
                  </w:r>
                  <w:r>
                    <w:rPr>
                      <w:rFonts w:hint="default" w:ascii="Times New Roman" w:hAnsi="Times New Roman" w:eastAsia="宋体" w:cs="Times New Roman"/>
                      <w:color w:val="auto"/>
                      <w:sz w:val="21"/>
                      <w:szCs w:val="21"/>
                      <w:highlight w:val="none"/>
                      <w:u w:val="none" w:color="auto"/>
                      <w:lang w:val="en-US" w:eastAsia="zh-CN"/>
                    </w:rPr>
                    <w:t>等</w:t>
                  </w:r>
                </w:p>
              </w:tc>
              <w:tc>
                <w:tcPr>
                  <w:tcW w:w="3045" w:type="pct"/>
                  <w:tcBorders>
                    <w:tl2br w:val="nil"/>
                    <w:tr2bl w:val="nil"/>
                  </w:tcBorders>
                  <w:noWrap w:val="0"/>
                  <w:vAlign w:val="center"/>
                </w:tcPr>
                <w:p w14:paraId="72A92284">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bidi="zh-CN"/>
                    </w:rPr>
                  </w:pPr>
                  <w:r>
                    <w:rPr>
                      <w:rFonts w:hint="default" w:ascii="Times New Roman" w:hAnsi="Times New Roman" w:eastAsia="宋体" w:cs="Times New Roman"/>
                      <w:color w:val="auto"/>
                      <w:szCs w:val="22"/>
                      <w:highlight w:val="none"/>
                      <w:u w:val="none" w:color="auto"/>
                      <w:lang w:val="zh-CN" w:bidi="zh-CN"/>
                    </w:rPr>
                    <w:t>等效黏土防渗层</w:t>
                  </w:r>
                  <w:r>
                    <w:rPr>
                      <w:rFonts w:hint="default" w:ascii="Times New Roman" w:hAnsi="Times New Roman" w:eastAsia="宋体" w:cs="Times New Roman"/>
                      <w:color w:val="auto"/>
                      <w:szCs w:val="22"/>
                      <w:highlight w:val="none"/>
                      <w:u w:val="none" w:color="auto"/>
                      <w:lang w:bidi="zh-CN"/>
                    </w:rPr>
                    <w:t>Mb≥1.5m，K≤1×10</w:t>
                  </w:r>
                  <w:r>
                    <w:rPr>
                      <w:rFonts w:hint="default" w:ascii="Times New Roman" w:hAnsi="Times New Roman" w:eastAsia="宋体" w:cs="Times New Roman"/>
                      <w:color w:val="auto"/>
                      <w:szCs w:val="22"/>
                      <w:highlight w:val="none"/>
                      <w:u w:val="none" w:color="auto"/>
                      <w:vertAlign w:val="superscript"/>
                      <w:lang w:bidi="zh-CN"/>
                    </w:rPr>
                    <w:t>-7</w:t>
                  </w:r>
                  <w:r>
                    <w:rPr>
                      <w:rFonts w:hint="default" w:ascii="Times New Roman" w:hAnsi="Times New Roman" w:eastAsia="宋体" w:cs="Times New Roman"/>
                      <w:color w:val="auto"/>
                      <w:szCs w:val="22"/>
                      <w:highlight w:val="none"/>
                      <w:u w:val="none" w:color="auto"/>
                      <w:lang w:bidi="zh-CN"/>
                    </w:rPr>
                    <w:t>cm/s，或参照GB16889执行</w:t>
                  </w:r>
                </w:p>
              </w:tc>
            </w:tr>
            <w:tr w14:paraId="33D342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403" w:type="pct"/>
                  <w:tcBorders>
                    <w:tl2br w:val="nil"/>
                    <w:tr2bl w:val="nil"/>
                  </w:tcBorders>
                  <w:shd w:val="clear" w:color="auto" w:fill="auto"/>
                  <w:noWrap w:val="0"/>
                  <w:vAlign w:val="top"/>
                </w:tcPr>
                <w:p w14:paraId="7413D947">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eastAsia="en-US" w:bidi="zh-CN"/>
                    </w:rPr>
                  </w:pPr>
                  <w:r>
                    <w:rPr>
                      <w:rFonts w:hint="default" w:ascii="Times New Roman" w:hAnsi="Times New Roman" w:eastAsia="宋体" w:cs="Times New Roman"/>
                      <w:color w:val="auto"/>
                      <w:szCs w:val="22"/>
                      <w:highlight w:val="none"/>
                      <w:u w:val="none" w:color="auto"/>
                      <w:lang w:val="zh-CN" w:bidi="zh-CN"/>
                    </w:rPr>
                    <w:t>简单防渗区</w:t>
                  </w:r>
                </w:p>
              </w:tc>
              <w:tc>
                <w:tcPr>
                  <w:tcW w:w="1551" w:type="pct"/>
                  <w:tcBorders>
                    <w:tl2br w:val="nil"/>
                    <w:tr2bl w:val="nil"/>
                  </w:tcBorders>
                  <w:shd w:val="clear" w:color="auto" w:fill="auto"/>
                  <w:noWrap w:val="0"/>
                  <w:vAlign w:val="center"/>
                </w:tcPr>
                <w:p w14:paraId="389F10CE">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en-US" w:eastAsia="zh-CN" w:bidi="zh-CN"/>
                    </w:rPr>
                  </w:pPr>
                  <w:r>
                    <w:rPr>
                      <w:rFonts w:hint="default" w:ascii="Times New Roman" w:hAnsi="Times New Roman" w:eastAsia="宋体" w:cs="Times New Roman"/>
                      <w:color w:val="auto"/>
                      <w:szCs w:val="22"/>
                      <w:highlight w:val="none"/>
                      <w:u w:val="none" w:color="auto"/>
                      <w:lang w:val="zh-CN" w:bidi="zh-CN"/>
                    </w:rPr>
                    <w:t>其他区域</w:t>
                  </w:r>
                </w:p>
              </w:tc>
              <w:tc>
                <w:tcPr>
                  <w:tcW w:w="3045" w:type="pct"/>
                  <w:tcBorders>
                    <w:tl2br w:val="nil"/>
                    <w:tr2bl w:val="nil"/>
                  </w:tcBorders>
                  <w:shd w:val="clear" w:color="auto" w:fill="auto"/>
                  <w:noWrap w:val="0"/>
                  <w:vAlign w:val="center"/>
                </w:tcPr>
                <w:p w14:paraId="5F1AF6C7">
                  <w:pPr>
                    <w:keepNext w:val="0"/>
                    <w:keepLines w:val="0"/>
                    <w:suppressLineNumbers w:val="0"/>
                    <w:autoSpaceDE w:val="0"/>
                    <w:autoSpaceDN w:val="0"/>
                    <w:spacing w:before="0" w:beforeAutospacing="0" w:after="0" w:afterAutospacing="0"/>
                    <w:ind w:left="0" w:right="0"/>
                    <w:jc w:val="center"/>
                    <w:rPr>
                      <w:rFonts w:hint="default" w:ascii="Times New Roman" w:hAnsi="Times New Roman" w:eastAsia="宋体" w:cs="Times New Roman"/>
                      <w:color w:val="auto"/>
                      <w:szCs w:val="22"/>
                      <w:highlight w:val="none"/>
                      <w:u w:val="none" w:color="auto"/>
                      <w:lang w:val="zh-CN" w:eastAsia="en-US" w:bidi="zh-CN"/>
                    </w:rPr>
                  </w:pPr>
                  <w:r>
                    <w:rPr>
                      <w:rFonts w:hint="default" w:ascii="Times New Roman" w:hAnsi="Times New Roman" w:eastAsia="宋体" w:cs="Times New Roman"/>
                      <w:color w:val="auto"/>
                      <w:szCs w:val="22"/>
                      <w:highlight w:val="none"/>
                      <w:u w:val="none" w:color="auto"/>
                      <w:lang w:val="zh-CN" w:bidi="zh-CN"/>
                    </w:rPr>
                    <w:t>一般地面硬化</w:t>
                  </w:r>
                </w:p>
              </w:tc>
            </w:tr>
          </w:tbl>
          <w:p w14:paraId="2056F628">
            <w:pPr>
              <w:pStyle w:val="73"/>
              <w:keepNext w:val="0"/>
              <w:keepLines w:val="0"/>
              <w:numPr>
                <w:ilvl w:val="0"/>
                <w:numId w:val="0"/>
              </w:numPr>
              <w:suppressLineNumbers w:val="0"/>
              <w:spacing w:before="0" w:beforeAutospacing="0" w:after="0" w:afterAutospacing="0" w:line="360" w:lineRule="auto"/>
              <w:ind w:left="420" w:leftChars="200" w:right="0"/>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6</w:t>
            </w:r>
            <w:r>
              <w:rPr>
                <w:rFonts w:hint="eastAsia" w:cs="Times New Roman"/>
                <w:b/>
                <w:bCs/>
                <w:color w:val="auto"/>
                <w:kern w:val="2"/>
                <w:sz w:val="24"/>
                <w:szCs w:val="24"/>
                <w:highlight w:val="none"/>
                <w:lang w:val="en-US" w:eastAsia="zh-CN" w:bidi="ar-SA"/>
              </w:rPr>
              <w:t xml:space="preserve"> </w:t>
            </w:r>
            <w:r>
              <w:rPr>
                <w:rFonts w:hint="default" w:ascii="Times New Roman" w:hAnsi="Times New Roman" w:eastAsia="宋体" w:cs="Times New Roman"/>
                <w:b/>
                <w:bCs/>
                <w:color w:val="auto"/>
                <w:kern w:val="2"/>
                <w:sz w:val="24"/>
                <w:szCs w:val="24"/>
                <w:highlight w:val="none"/>
                <w:lang w:val="en-US" w:eastAsia="zh-CN" w:bidi="ar-SA"/>
              </w:rPr>
              <w:t>环境风险</w:t>
            </w:r>
          </w:p>
          <w:p w14:paraId="46B23EA9">
            <w:pPr>
              <w:pStyle w:val="73"/>
              <w:keepNext w:val="0"/>
              <w:keepLines w:val="0"/>
              <w:numPr>
                <w:ilvl w:val="0"/>
                <w:numId w:val="0"/>
              </w:numPr>
              <w:suppressLineNumbers w:val="0"/>
              <w:spacing w:before="0" w:beforeAutospacing="0" w:after="0" w:afterAutospacing="0" w:line="360" w:lineRule="auto"/>
              <w:ind w:left="420" w:leftChars="200" w:right="0"/>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6.1环境风险调查</w:t>
            </w:r>
          </w:p>
          <w:p w14:paraId="3D87910F">
            <w:pPr>
              <w:pStyle w:val="73"/>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（1）风险调查</w:t>
            </w:r>
          </w:p>
          <w:p w14:paraId="34724C27">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本项目切割工序使用等离子切割，不涉及使用乙炔。</w:t>
            </w:r>
            <w:r>
              <w:rPr>
                <w:rFonts w:hint="default" w:ascii="Times New Roman" w:hAnsi="Times New Roman" w:eastAsia="宋体" w:cs="Times New Roman"/>
                <w:color w:val="auto"/>
                <w:kern w:val="2"/>
                <w:sz w:val="24"/>
                <w:szCs w:val="24"/>
                <w:highlight w:val="none"/>
                <w:lang w:val="en-US" w:eastAsia="zh-CN" w:bidi="ar-SA"/>
              </w:rPr>
              <w:t>结合《建设项目环境风险评价技术导则》</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HJ/T169-2018</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附录B及《危险化学品重大危险源辨识》</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GB18218-2018</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筛选出本项目环境风险物质有：</w:t>
            </w:r>
            <w:r>
              <w:rPr>
                <w:rFonts w:hint="default"/>
                <w:color w:val="auto"/>
                <w:highlight w:val="none"/>
              </w:rPr>
              <w:t>废油液、废铅蓄电</w:t>
            </w:r>
            <w:r>
              <w:rPr>
                <w:rFonts w:hint="default" w:ascii="Times New Roman" w:hAnsi="Times New Roman" w:eastAsia="宋体" w:cs="Times New Roman"/>
                <w:color w:val="auto"/>
                <w:kern w:val="2"/>
                <w:sz w:val="24"/>
                <w:szCs w:val="24"/>
                <w:highlight w:val="none"/>
                <w:lang w:val="en-US" w:eastAsia="zh-CN" w:bidi="ar-SA"/>
              </w:rPr>
              <w:t>池、含有机溶剂废物、</w:t>
            </w:r>
            <w:r>
              <w:rPr>
                <w:rFonts w:hint="default"/>
                <w:color w:val="auto"/>
                <w:highlight w:val="none"/>
              </w:rPr>
              <w:t>液化气</w:t>
            </w:r>
            <w:r>
              <w:rPr>
                <w:rFonts w:hint="default" w:ascii="Times New Roman" w:hAnsi="Times New Roman" w:eastAsia="宋体" w:cs="Times New Roman"/>
                <w:color w:val="auto"/>
                <w:kern w:val="2"/>
                <w:sz w:val="24"/>
                <w:szCs w:val="24"/>
                <w:highlight w:val="none"/>
                <w:lang w:val="en-US" w:eastAsia="zh-CN" w:bidi="ar-SA"/>
              </w:rPr>
              <w:t>。</w:t>
            </w:r>
          </w:p>
          <w:p w14:paraId="0F85E403">
            <w:pPr>
              <w:pStyle w:val="73"/>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（2）</w:t>
            </w:r>
            <w:r>
              <w:rPr>
                <w:rFonts w:hint="default" w:ascii="Times New Roman" w:hAnsi="Times New Roman" w:eastAsia="宋体" w:cs="Times New Roman"/>
                <w:color w:val="auto"/>
                <w:kern w:val="2"/>
                <w:sz w:val="24"/>
                <w:szCs w:val="24"/>
                <w:highlight w:val="none"/>
                <w:lang w:val="en-US" w:eastAsia="zh-CN" w:bidi="ar-SA"/>
              </w:rPr>
              <w:t>风险潜势初判和风险评价等级</w:t>
            </w:r>
          </w:p>
          <w:p w14:paraId="5532A0A8">
            <w:pPr>
              <w:pStyle w:val="73"/>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根据《建设项目环境风险评价技术导则》</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HJ169-2018</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，计算所涉及的每种危险物质在厂界内的最大存在总量与其在附录B中对应临界量的比值Q。</w:t>
            </w:r>
          </w:p>
          <w:p w14:paraId="56998C6F">
            <w:pPr>
              <w:pStyle w:val="73"/>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当只涉及一种危险物质时，计算该物质的总量与其临界量比值，即为Q；</w:t>
            </w:r>
          </w:p>
          <w:p w14:paraId="20A896A4">
            <w:pPr>
              <w:pStyle w:val="73"/>
              <w:keepNext w:val="0"/>
              <w:keepLines w:val="0"/>
              <w:suppressLineNumbers w:val="0"/>
              <w:spacing w:before="0" w:beforeAutospacing="0" w:after="0" w:afterAutospacing="0" w:line="360" w:lineRule="auto"/>
              <w:ind w:left="0" w:right="0" w:firstLine="480" w:firstLineChars="200"/>
              <w:jc w:val="left"/>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当存在多种危险物质时，则按下式计算物质总量与其临界量比值</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Q</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w:t>
            </w:r>
          </w:p>
          <w:p w14:paraId="3CF55E47">
            <w:pPr>
              <w:pStyle w:val="73"/>
              <w:keepNext w:val="0"/>
              <w:keepLines w:val="0"/>
              <w:suppressLineNumbers w:val="0"/>
              <w:spacing w:before="0" w:beforeAutospacing="0" w:after="0" w:afterAutospacing="0" w:line="360" w:lineRule="auto"/>
              <w:ind w:left="0" w:right="0" w:firstLine="480" w:firstLineChars="200"/>
              <w:jc w:val="center"/>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pict>
                <v:shape id="_x0000_i1040" o:spt="75" type="#_x0000_t75" style="height:38.25pt;width:115.35pt;" filled="f" o:preferrelative="t" stroked="f" coordsize="21600,21600">
                  <v:path/>
                  <v:fill on="f" focussize="0,0"/>
                  <v:stroke on="f"/>
                  <v:imagedata r:id="rId23" o:title=""/>
                  <o:lock v:ext="edit" aspectratio="f"/>
                  <w10:wrap type="none"/>
                  <w10:anchorlock/>
                </v:shape>
              </w:pict>
            </w:r>
          </w:p>
          <w:p w14:paraId="2AE09877">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式中，q1，q2…qn——每种危险物质的最大存在总量，t。</w:t>
            </w:r>
          </w:p>
          <w:p w14:paraId="68C9B522">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Q1，Q2…Qn——每种危险物质的临界量，t。</w:t>
            </w:r>
          </w:p>
          <w:p w14:paraId="012DBBF2">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当Q＜1时，该项目环境风险潜势为Ⅰ。</w:t>
            </w:r>
          </w:p>
          <w:p w14:paraId="46DD5E65">
            <w:pPr>
              <w:pStyle w:val="73"/>
              <w:keepNext w:val="0"/>
              <w:keepLines w:val="0"/>
              <w:suppressLineNumbers w:val="0"/>
              <w:spacing w:before="0" w:beforeAutospacing="0" w:after="0" w:afterAutospacing="0" w:line="360" w:lineRule="auto"/>
              <w:ind w:left="0" w:right="0" w:firstLine="480" w:firstLineChars="200"/>
              <w:rPr>
                <w:rFonts w:hint="default"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当Q≥1时，将Q值划分为：</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1≤Q＜10；</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2</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10≤Q＜100；</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3</w:t>
            </w:r>
            <w:r>
              <w:rPr>
                <w:rFonts w:hint="eastAsia" w:ascii="Times New Roman" w:hAnsi="Times New Roman" w:eastAsia="宋体" w:cs="Times New Roman"/>
                <w:color w:val="auto"/>
                <w:kern w:val="2"/>
                <w:sz w:val="24"/>
                <w:szCs w:val="24"/>
                <w:highlight w:val="none"/>
                <w:lang w:val="en-US" w:eastAsia="zh-CN" w:bidi="ar-SA"/>
              </w:rPr>
              <w:t>）</w:t>
            </w:r>
            <w:r>
              <w:rPr>
                <w:rFonts w:hint="default" w:ascii="Times New Roman" w:hAnsi="Times New Roman" w:eastAsia="宋体" w:cs="Times New Roman"/>
                <w:color w:val="auto"/>
                <w:kern w:val="2"/>
                <w:sz w:val="24"/>
                <w:szCs w:val="24"/>
                <w:highlight w:val="none"/>
                <w:lang w:val="en-US" w:eastAsia="zh-CN" w:bidi="ar-SA"/>
              </w:rPr>
              <w:t>Q≥100。</w:t>
            </w:r>
          </w:p>
          <w:p w14:paraId="31908642">
            <w:pPr>
              <w:pStyle w:val="73"/>
              <w:keepNext w:val="0"/>
              <w:keepLines w:val="0"/>
              <w:suppressLineNumbers w:val="0"/>
              <w:spacing w:before="0" w:beforeAutospacing="0" w:after="0" w:afterAutospacing="0" w:line="360" w:lineRule="auto"/>
              <w:ind w:left="0" w:right="0" w:firstLine="480" w:firstLineChars="200"/>
              <w:rPr>
                <w:rFonts w:hint="eastAsia"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SA"/>
              </w:rPr>
              <w:t>汇总统计出</w:t>
            </w:r>
            <w:r>
              <w:rPr>
                <w:rFonts w:hint="eastAsia" w:ascii="Times New Roman" w:hAnsi="Times New Roman" w:eastAsia="宋体" w:cs="Times New Roman"/>
                <w:color w:val="auto"/>
                <w:kern w:val="2"/>
                <w:sz w:val="24"/>
                <w:szCs w:val="24"/>
                <w:highlight w:val="none"/>
                <w:lang w:val="en-US" w:eastAsia="zh-CN" w:bidi="ar-SA"/>
              </w:rPr>
              <w:t>本</w:t>
            </w:r>
            <w:r>
              <w:rPr>
                <w:rFonts w:hint="default" w:ascii="Times New Roman" w:hAnsi="Times New Roman" w:eastAsia="宋体" w:cs="Times New Roman"/>
                <w:color w:val="auto"/>
                <w:kern w:val="2"/>
                <w:sz w:val="24"/>
                <w:szCs w:val="24"/>
                <w:highlight w:val="none"/>
                <w:lang w:val="en-US" w:eastAsia="zh-CN" w:bidi="ar-SA"/>
              </w:rPr>
              <w:t>项目环境风险物质临界量、储存及分布情况</w:t>
            </w:r>
            <w:r>
              <w:rPr>
                <w:rFonts w:hint="eastAsia" w:ascii="Times New Roman" w:hAnsi="Times New Roman" w:eastAsia="宋体" w:cs="Times New Roman"/>
                <w:color w:val="auto"/>
                <w:kern w:val="2"/>
                <w:sz w:val="24"/>
                <w:szCs w:val="24"/>
                <w:highlight w:val="none"/>
                <w:lang w:val="en-US" w:eastAsia="zh-CN" w:bidi="ar-SA"/>
              </w:rPr>
              <w:t>，详见下表</w:t>
            </w:r>
            <w:r>
              <w:rPr>
                <w:rFonts w:hint="default" w:ascii="Times New Roman" w:hAnsi="Times New Roman" w:eastAsia="宋体" w:cs="Times New Roman"/>
                <w:color w:val="auto"/>
                <w:kern w:val="2"/>
                <w:sz w:val="24"/>
                <w:szCs w:val="24"/>
                <w:highlight w:val="none"/>
                <w:lang w:val="en-US" w:eastAsia="zh-CN" w:bidi="ar-SA"/>
              </w:rPr>
              <w:t>。</w:t>
            </w:r>
          </w:p>
          <w:p w14:paraId="0235FD1A">
            <w:pPr>
              <w:keepNext w:val="0"/>
              <w:keepLines w:val="0"/>
              <w:suppressLineNumbers w:val="0"/>
              <w:adjustRightInd w:val="0"/>
              <w:snapToGrid w:val="0"/>
              <w:spacing w:before="0" w:beforeAutospacing="0" w:after="0" w:afterAutospacing="0" w:line="360" w:lineRule="auto"/>
              <w:ind w:left="0" w:right="0"/>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表4-</w:t>
            </w:r>
            <w:r>
              <w:rPr>
                <w:rFonts w:hint="eastAsia" w:cs="Times New Roman"/>
                <w:b/>
                <w:bCs/>
                <w:color w:val="auto"/>
                <w:kern w:val="2"/>
                <w:sz w:val="21"/>
                <w:szCs w:val="21"/>
                <w:highlight w:val="none"/>
                <w:lang w:val="en-US" w:eastAsia="zh-CN" w:bidi="ar-SA"/>
              </w:rPr>
              <w:t xml:space="preserve">28  </w:t>
            </w:r>
            <w:r>
              <w:rPr>
                <w:rFonts w:hint="eastAsia" w:ascii="Times New Roman" w:hAnsi="Times New Roman" w:eastAsia="宋体" w:cs="Times New Roman"/>
                <w:b/>
                <w:bCs/>
                <w:color w:val="auto"/>
                <w:kern w:val="2"/>
                <w:sz w:val="21"/>
                <w:szCs w:val="21"/>
                <w:highlight w:val="none"/>
                <w:lang w:val="en-US" w:eastAsia="zh-CN" w:bidi="ar-SA"/>
              </w:rPr>
              <w:t>项目主要物质风险识别结果一览表</w:t>
            </w:r>
          </w:p>
          <w:tbl>
            <w:tblPr>
              <w:tblStyle w:val="26"/>
              <w:tblW w:w="5000"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0" w:type="dxa"/>
                <w:bottom w:w="0" w:type="dxa"/>
                <w:right w:w="0" w:type="dxa"/>
              </w:tblCellMar>
            </w:tblPr>
            <w:tblGrid>
              <w:gridCol w:w="692"/>
              <w:gridCol w:w="1666"/>
              <w:gridCol w:w="2403"/>
              <w:gridCol w:w="1830"/>
              <w:gridCol w:w="1306"/>
              <w:gridCol w:w="1219"/>
            </w:tblGrid>
            <w:tr w14:paraId="0B3D77E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640" w:type="dxa"/>
                  <w:tcBorders>
                    <w:tl2br w:val="nil"/>
                    <w:tr2bl w:val="nil"/>
                  </w:tcBorders>
                  <w:noWrap w:val="0"/>
                  <w:vAlign w:val="center"/>
                </w:tcPr>
                <w:p w14:paraId="5FF6B75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序号</w:t>
                  </w:r>
                </w:p>
              </w:tc>
              <w:tc>
                <w:tcPr>
                  <w:tcW w:w="1541" w:type="dxa"/>
                  <w:tcBorders>
                    <w:tl2br w:val="nil"/>
                    <w:tr2bl w:val="nil"/>
                  </w:tcBorders>
                  <w:noWrap w:val="0"/>
                  <w:vAlign w:val="center"/>
                </w:tcPr>
                <w:p w14:paraId="251CE87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风险物质名称</w:t>
                  </w:r>
                </w:p>
              </w:tc>
              <w:tc>
                <w:tcPr>
                  <w:tcW w:w="2222" w:type="dxa"/>
                  <w:tcBorders>
                    <w:tl2br w:val="nil"/>
                    <w:tr2bl w:val="nil"/>
                  </w:tcBorders>
                  <w:noWrap w:val="0"/>
                  <w:vAlign w:val="center"/>
                </w:tcPr>
                <w:p w14:paraId="357FFA2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储存位置</w:t>
                  </w:r>
                </w:p>
              </w:tc>
              <w:tc>
                <w:tcPr>
                  <w:tcW w:w="1692" w:type="dxa"/>
                  <w:tcBorders>
                    <w:tl2br w:val="nil"/>
                    <w:tr2bl w:val="nil"/>
                  </w:tcBorders>
                  <w:noWrap w:val="0"/>
                  <w:vAlign w:val="center"/>
                </w:tcPr>
                <w:p w14:paraId="0F9D193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最大存在总量qn/t</w:t>
                  </w:r>
                </w:p>
              </w:tc>
              <w:tc>
                <w:tcPr>
                  <w:tcW w:w="1208" w:type="dxa"/>
                  <w:tcBorders>
                    <w:tl2br w:val="nil"/>
                    <w:tr2bl w:val="nil"/>
                  </w:tcBorders>
                  <w:noWrap w:val="0"/>
                  <w:vAlign w:val="center"/>
                </w:tcPr>
                <w:p w14:paraId="5C2315C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临界量Qn/t</w:t>
                  </w:r>
                </w:p>
              </w:tc>
              <w:tc>
                <w:tcPr>
                  <w:tcW w:w="1127" w:type="dxa"/>
                  <w:tcBorders>
                    <w:tl2br w:val="nil"/>
                    <w:tr2bl w:val="nil"/>
                  </w:tcBorders>
                  <w:noWrap w:val="0"/>
                  <w:vAlign w:val="center"/>
                </w:tcPr>
                <w:p w14:paraId="33995E9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Q值</w:t>
                  </w:r>
                </w:p>
              </w:tc>
            </w:tr>
            <w:tr w14:paraId="2D30C8E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640" w:type="dxa"/>
                  <w:tcBorders>
                    <w:tl2br w:val="nil"/>
                    <w:tr2bl w:val="nil"/>
                  </w:tcBorders>
                  <w:noWrap w:val="0"/>
                  <w:vAlign w:val="center"/>
                </w:tcPr>
                <w:p w14:paraId="6C93454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1</w:t>
                  </w:r>
                </w:p>
              </w:tc>
              <w:tc>
                <w:tcPr>
                  <w:tcW w:w="1541" w:type="dxa"/>
                  <w:tcBorders>
                    <w:tl2br w:val="nil"/>
                    <w:tr2bl w:val="nil"/>
                  </w:tcBorders>
                  <w:shd w:val="clear" w:color="auto" w:fill="auto"/>
                  <w:noWrap w:val="0"/>
                  <w:vAlign w:val="top"/>
                </w:tcPr>
                <w:p w14:paraId="25639518">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废油液①</w:t>
                  </w:r>
                </w:p>
              </w:tc>
              <w:tc>
                <w:tcPr>
                  <w:tcW w:w="2222" w:type="dxa"/>
                  <w:tcBorders>
                    <w:tl2br w:val="nil"/>
                    <w:tr2bl w:val="nil"/>
                  </w:tcBorders>
                  <w:noWrap w:val="0"/>
                  <w:vAlign w:val="center"/>
                </w:tcPr>
                <w:p w14:paraId="75D779BE">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危险废物</w:t>
                  </w:r>
                  <w:r>
                    <w:rPr>
                      <w:rFonts w:hint="eastAsia" w:cs="Times New Roman"/>
                      <w:color w:val="auto"/>
                      <w:sz w:val="21"/>
                      <w:szCs w:val="21"/>
                      <w:highlight w:val="none"/>
                      <w:lang w:val="en-US" w:eastAsia="zh-CN"/>
                    </w:rPr>
                    <w:t>贮存库</w:t>
                  </w:r>
                </w:p>
              </w:tc>
              <w:tc>
                <w:tcPr>
                  <w:tcW w:w="1692" w:type="dxa"/>
                  <w:tcBorders>
                    <w:tl2br w:val="nil"/>
                    <w:tr2bl w:val="nil"/>
                  </w:tcBorders>
                  <w:noWrap w:val="0"/>
                  <w:vAlign w:val="center"/>
                </w:tcPr>
                <w:p w14:paraId="6C14D64D">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w:t>
                  </w:r>
                </w:p>
              </w:tc>
              <w:tc>
                <w:tcPr>
                  <w:tcW w:w="1208" w:type="dxa"/>
                  <w:tcBorders>
                    <w:tl2br w:val="nil"/>
                    <w:tr2bl w:val="nil"/>
                  </w:tcBorders>
                  <w:shd w:val="clear" w:color="auto" w:fill="auto"/>
                  <w:noWrap w:val="0"/>
                  <w:vAlign w:val="top"/>
                </w:tcPr>
                <w:p w14:paraId="433D3624">
                  <w:pPr>
                    <w:keepNext w:val="0"/>
                    <w:keepLines w:val="0"/>
                    <w:suppressLineNumbers w:val="0"/>
                    <w:spacing w:before="247" w:beforeAutospacing="0" w:after="0" w:afterAutospacing="0" w:line="195" w:lineRule="auto"/>
                    <w:ind w:left="374" w:leftChars="0" w:right="0"/>
                    <w:rPr>
                      <w:rFonts w:hint="default" w:ascii="Times New Roman" w:hAnsi="Times New Roman" w:eastAsia="Times New Roman" w:cs="Times New Roman"/>
                      <w:color w:val="auto"/>
                      <w:kern w:val="2"/>
                      <w:sz w:val="20"/>
                      <w:szCs w:val="20"/>
                      <w:highlight w:val="none"/>
                      <w:lang w:val="en-US" w:eastAsia="zh-CN" w:bidi="ar-SA"/>
                    </w:rPr>
                  </w:pPr>
                  <w:r>
                    <w:rPr>
                      <w:rFonts w:hint="default" w:ascii="Times New Roman" w:hAnsi="Times New Roman" w:eastAsia="Times New Roman" w:cs="Times New Roman"/>
                      <w:color w:val="auto"/>
                      <w:spacing w:val="4"/>
                      <w:sz w:val="20"/>
                      <w:szCs w:val="20"/>
                      <w:highlight w:val="none"/>
                    </w:rPr>
                    <w:t>2500</w:t>
                  </w:r>
                </w:p>
              </w:tc>
              <w:tc>
                <w:tcPr>
                  <w:tcW w:w="1127" w:type="dxa"/>
                  <w:tcBorders>
                    <w:tl2br w:val="nil"/>
                    <w:tr2bl w:val="nil"/>
                  </w:tcBorders>
                  <w:noWrap w:val="0"/>
                  <w:vAlign w:val="center"/>
                </w:tcPr>
                <w:p w14:paraId="3B297403">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0.006</w:t>
                  </w:r>
                </w:p>
              </w:tc>
            </w:tr>
            <w:tr w14:paraId="3BBB589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640" w:type="dxa"/>
                  <w:tcBorders>
                    <w:tl2br w:val="nil"/>
                    <w:tr2bl w:val="nil"/>
                  </w:tcBorders>
                  <w:noWrap w:val="0"/>
                  <w:vAlign w:val="center"/>
                </w:tcPr>
                <w:p w14:paraId="6C4F66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2</w:t>
                  </w:r>
                </w:p>
              </w:tc>
              <w:tc>
                <w:tcPr>
                  <w:tcW w:w="1541" w:type="dxa"/>
                  <w:tcBorders>
                    <w:tl2br w:val="nil"/>
                    <w:tr2bl w:val="nil"/>
                  </w:tcBorders>
                  <w:shd w:val="clear" w:color="auto" w:fill="auto"/>
                  <w:noWrap w:val="0"/>
                  <w:vAlign w:val="top"/>
                </w:tcPr>
                <w:p w14:paraId="08E45717">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含有机溶剂废物②</w:t>
                  </w:r>
                </w:p>
              </w:tc>
              <w:tc>
                <w:tcPr>
                  <w:tcW w:w="2222" w:type="dxa"/>
                  <w:tcBorders>
                    <w:tl2br w:val="nil"/>
                    <w:tr2bl w:val="nil"/>
                  </w:tcBorders>
                  <w:noWrap w:val="0"/>
                  <w:vAlign w:val="center"/>
                </w:tcPr>
                <w:p w14:paraId="3FDA698A">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危险废物</w:t>
                  </w:r>
                  <w:r>
                    <w:rPr>
                      <w:rFonts w:hint="eastAsia" w:cs="Times New Roman"/>
                      <w:color w:val="auto"/>
                      <w:sz w:val="21"/>
                      <w:szCs w:val="21"/>
                      <w:highlight w:val="none"/>
                      <w:lang w:val="en-US" w:eastAsia="zh-CN"/>
                    </w:rPr>
                    <w:t>贮存库</w:t>
                  </w:r>
                </w:p>
              </w:tc>
              <w:tc>
                <w:tcPr>
                  <w:tcW w:w="1692" w:type="dxa"/>
                  <w:tcBorders>
                    <w:tl2br w:val="nil"/>
                    <w:tr2bl w:val="nil"/>
                  </w:tcBorders>
                  <w:noWrap w:val="0"/>
                  <w:vAlign w:val="center"/>
                </w:tcPr>
                <w:p w14:paraId="2738D7A2">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3</w:t>
                  </w:r>
                </w:p>
              </w:tc>
              <w:tc>
                <w:tcPr>
                  <w:tcW w:w="1208" w:type="dxa"/>
                  <w:tcBorders>
                    <w:tl2br w:val="nil"/>
                    <w:tr2bl w:val="nil"/>
                  </w:tcBorders>
                  <w:shd w:val="clear" w:color="auto" w:fill="auto"/>
                  <w:noWrap w:val="0"/>
                  <w:vAlign w:val="top"/>
                </w:tcPr>
                <w:p w14:paraId="3CB5424A">
                  <w:pPr>
                    <w:keepNext w:val="0"/>
                    <w:keepLines w:val="0"/>
                    <w:suppressLineNumbers w:val="0"/>
                    <w:spacing w:before="249" w:beforeAutospacing="0" w:after="0" w:afterAutospacing="0" w:line="195" w:lineRule="auto"/>
                    <w:ind w:left="486" w:leftChars="0" w:right="0"/>
                    <w:rPr>
                      <w:rFonts w:hint="default" w:ascii="Times New Roman" w:hAnsi="Times New Roman" w:eastAsia="Times New Roman" w:cs="Times New Roman"/>
                      <w:color w:val="auto"/>
                      <w:kern w:val="2"/>
                      <w:sz w:val="20"/>
                      <w:szCs w:val="20"/>
                      <w:highlight w:val="none"/>
                      <w:lang w:val="en-US" w:eastAsia="zh-CN" w:bidi="ar-SA"/>
                    </w:rPr>
                  </w:pPr>
                  <w:r>
                    <w:rPr>
                      <w:rFonts w:hint="default" w:ascii="Times New Roman" w:hAnsi="Times New Roman" w:eastAsia="Times New Roman" w:cs="Times New Roman"/>
                      <w:color w:val="auto"/>
                      <w:sz w:val="20"/>
                      <w:szCs w:val="20"/>
                      <w:highlight w:val="none"/>
                    </w:rPr>
                    <w:t>50</w:t>
                  </w:r>
                </w:p>
              </w:tc>
              <w:tc>
                <w:tcPr>
                  <w:tcW w:w="1127" w:type="dxa"/>
                  <w:tcBorders>
                    <w:tl2br w:val="nil"/>
                    <w:tr2bl w:val="nil"/>
                  </w:tcBorders>
                  <w:noWrap w:val="0"/>
                  <w:vAlign w:val="center"/>
                </w:tcPr>
                <w:p w14:paraId="581672ED">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0.06</w:t>
                  </w:r>
                </w:p>
              </w:tc>
            </w:tr>
            <w:tr w14:paraId="036ABD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640" w:type="dxa"/>
                  <w:tcBorders>
                    <w:tl2br w:val="nil"/>
                    <w:tr2bl w:val="nil"/>
                  </w:tcBorders>
                  <w:noWrap w:val="0"/>
                  <w:vAlign w:val="center"/>
                </w:tcPr>
                <w:p w14:paraId="6A92E3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w:t>
                  </w:r>
                </w:p>
              </w:tc>
              <w:tc>
                <w:tcPr>
                  <w:tcW w:w="1541" w:type="dxa"/>
                  <w:tcBorders>
                    <w:tl2br w:val="nil"/>
                    <w:tr2bl w:val="nil"/>
                  </w:tcBorders>
                  <w:shd w:val="clear" w:color="auto" w:fill="auto"/>
                  <w:noWrap w:val="0"/>
                  <w:vAlign w:val="top"/>
                </w:tcPr>
                <w:p w14:paraId="558557A6">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废液化气③</w:t>
                  </w:r>
                </w:p>
              </w:tc>
              <w:tc>
                <w:tcPr>
                  <w:tcW w:w="2222" w:type="dxa"/>
                  <w:tcBorders>
                    <w:tl2br w:val="nil"/>
                    <w:tr2bl w:val="nil"/>
                  </w:tcBorders>
                  <w:noWrap w:val="0"/>
                  <w:vAlign w:val="center"/>
                </w:tcPr>
                <w:p w14:paraId="2DC31FEA">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一般固废暂存区</w:t>
                  </w:r>
                </w:p>
              </w:tc>
              <w:tc>
                <w:tcPr>
                  <w:tcW w:w="1692" w:type="dxa"/>
                  <w:tcBorders>
                    <w:tl2br w:val="nil"/>
                    <w:tr2bl w:val="nil"/>
                  </w:tcBorders>
                  <w:noWrap w:val="0"/>
                  <w:vAlign w:val="center"/>
                </w:tcPr>
                <w:p w14:paraId="6BD632B8">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0.046</w:t>
                  </w:r>
                </w:p>
              </w:tc>
              <w:tc>
                <w:tcPr>
                  <w:tcW w:w="1208" w:type="dxa"/>
                  <w:tcBorders>
                    <w:tl2br w:val="nil"/>
                    <w:tr2bl w:val="nil"/>
                  </w:tcBorders>
                  <w:shd w:val="clear" w:color="auto" w:fill="auto"/>
                  <w:noWrap w:val="0"/>
                  <w:vAlign w:val="top"/>
                </w:tcPr>
                <w:p w14:paraId="28F5C4BC">
                  <w:pPr>
                    <w:keepNext w:val="0"/>
                    <w:keepLines w:val="0"/>
                    <w:suppressLineNumbers w:val="0"/>
                    <w:spacing w:before="133" w:beforeAutospacing="0" w:after="0" w:afterAutospacing="0" w:line="195" w:lineRule="auto"/>
                    <w:ind w:left="500" w:leftChars="0" w:right="0"/>
                    <w:rPr>
                      <w:rFonts w:hint="default" w:ascii="Times New Roman" w:hAnsi="Times New Roman" w:eastAsia="Times New Roman" w:cs="Times New Roman"/>
                      <w:color w:val="auto"/>
                      <w:kern w:val="2"/>
                      <w:sz w:val="20"/>
                      <w:szCs w:val="20"/>
                      <w:highlight w:val="none"/>
                      <w:lang w:val="en-US" w:eastAsia="zh-CN" w:bidi="ar-SA"/>
                    </w:rPr>
                  </w:pPr>
                  <w:r>
                    <w:rPr>
                      <w:rFonts w:hint="default" w:ascii="Times New Roman" w:hAnsi="Times New Roman" w:eastAsia="Times New Roman" w:cs="Times New Roman"/>
                      <w:color w:val="auto"/>
                      <w:spacing w:val="-8"/>
                      <w:sz w:val="20"/>
                      <w:szCs w:val="20"/>
                      <w:highlight w:val="none"/>
                    </w:rPr>
                    <w:t>10</w:t>
                  </w:r>
                </w:p>
              </w:tc>
              <w:tc>
                <w:tcPr>
                  <w:tcW w:w="1127" w:type="dxa"/>
                  <w:tcBorders>
                    <w:tl2br w:val="nil"/>
                    <w:tr2bl w:val="nil"/>
                  </w:tcBorders>
                  <w:noWrap w:val="0"/>
                  <w:vAlign w:val="center"/>
                </w:tcPr>
                <w:p w14:paraId="5DC61765">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0.0046</w:t>
                  </w:r>
                </w:p>
              </w:tc>
            </w:tr>
            <w:tr w14:paraId="2503F7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640" w:type="dxa"/>
                  <w:tcBorders>
                    <w:tl2br w:val="nil"/>
                    <w:tr2bl w:val="nil"/>
                  </w:tcBorders>
                  <w:noWrap w:val="0"/>
                  <w:vAlign w:val="center"/>
                </w:tcPr>
                <w:p w14:paraId="060820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5</w:t>
                  </w:r>
                </w:p>
              </w:tc>
              <w:tc>
                <w:tcPr>
                  <w:tcW w:w="1541" w:type="dxa"/>
                  <w:tcBorders>
                    <w:tl2br w:val="nil"/>
                    <w:tr2bl w:val="nil"/>
                  </w:tcBorders>
                  <w:shd w:val="clear" w:color="auto" w:fill="auto"/>
                  <w:noWrap w:val="0"/>
                  <w:vAlign w:val="top"/>
                </w:tcPr>
                <w:p w14:paraId="7FA3FF7C">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废铅蓄电池内硫酸</w:t>
                  </w:r>
                  <w:r>
                    <w:rPr>
                      <w:rFonts w:hint="eastAsia" w:ascii="Times New Roman" w:hAnsi="Times New Roman" w:eastAsia="宋体" w:cs="Times New Roman"/>
                      <w:color w:val="auto"/>
                      <w:kern w:val="2"/>
                      <w:sz w:val="21"/>
                      <w:szCs w:val="21"/>
                      <w:highlight w:val="none"/>
                      <w:lang w:val="en-US" w:eastAsia="zh-CN" w:bidi="ar-SA"/>
                    </w:rPr>
                    <w:t>④</w:t>
                  </w:r>
                </w:p>
              </w:tc>
              <w:tc>
                <w:tcPr>
                  <w:tcW w:w="2222" w:type="dxa"/>
                  <w:tcBorders>
                    <w:tl2br w:val="nil"/>
                    <w:tr2bl w:val="nil"/>
                  </w:tcBorders>
                  <w:noWrap w:val="0"/>
                  <w:vAlign w:val="center"/>
                </w:tcPr>
                <w:p w14:paraId="6EF056F8">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危险废物</w:t>
                  </w:r>
                  <w:r>
                    <w:rPr>
                      <w:rFonts w:hint="eastAsia" w:cs="Times New Roman"/>
                      <w:color w:val="auto"/>
                      <w:sz w:val="21"/>
                      <w:szCs w:val="21"/>
                      <w:highlight w:val="none"/>
                      <w:lang w:val="en-US" w:eastAsia="zh-CN"/>
                    </w:rPr>
                    <w:t>贮存库</w:t>
                  </w:r>
                </w:p>
              </w:tc>
              <w:tc>
                <w:tcPr>
                  <w:tcW w:w="1692" w:type="dxa"/>
                  <w:tcBorders>
                    <w:tl2br w:val="nil"/>
                    <w:tr2bl w:val="nil"/>
                  </w:tcBorders>
                  <w:noWrap w:val="0"/>
                  <w:vAlign w:val="center"/>
                </w:tcPr>
                <w:p w14:paraId="441C3C5B">
                  <w:pPr>
                    <w:keepNext w:val="0"/>
                    <w:keepLines w:val="0"/>
                    <w:widowControl w:val="0"/>
                    <w:suppressLineNumbers w:val="0"/>
                    <w:kinsoku/>
                    <w:autoSpaceDE/>
                    <w:autoSpaceDN/>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0.3</w:t>
                  </w:r>
                </w:p>
              </w:tc>
              <w:tc>
                <w:tcPr>
                  <w:tcW w:w="1208" w:type="dxa"/>
                  <w:tcBorders>
                    <w:tl2br w:val="nil"/>
                    <w:tr2bl w:val="nil"/>
                  </w:tcBorders>
                  <w:shd w:val="clear" w:color="auto" w:fill="auto"/>
                  <w:noWrap w:val="0"/>
                  <w:vAlign w:val="top"/>
                </w:tcPr>
                <w:p w14:paraId="0719B37D">
                  <w:pPr>
                    <w:keepNext w:val="0"/>
                    <w:keepLines w:val="0"/>
                    <w:suppressLineNumbers w:val="0"/>
                    <w:spacing w:before="133" w:beforeAutospacing="0" w:after="0" w:afterAutospacing="0" w:line="195" w:lineRule="auto"/>
                    <w:ind w:left="500" w:leftChars="0" w:right="0"/>
                    <w:rPr>
                      <w:rFonts w:hint="default" w:ascii="Times New Roman" w:hAnsi="Times New Roman" w:eastAsia="Times New Roman" w:cs="Times New Roman"/>
                      <w:color w:val="auto"/>
                      <w:kern w:val="2"/>
                      <w:sz w:val="20"/>
                      <w:szCs w:val="20"/>
                      <w:highlight w:val="none"/>
                      <w:lang w:val="en-US" w:eastAsia="zh-CN" w:bidi="ar-SA"/>
                    </w:rPr>
                  </w:pPr>
                  <w:r>
                    <w:rPr>
                      <w:rFonts w:hint="default" w:ascii="Times New Roman" w:hAnsi="Times New Roman" w:eastAsia="Times New Roman" w:cs="Times New Roman"/>
                      <w:color w:val="auto"/>
                      <w:spacing w:val="-8"/>
                      <w:sz w:val="20"/>
                      <w:szCs w:val="20"/>
                      <w:highlight w:val="none"/>
                    </w:rPr>
                    <w:t>10</w:t>
                  </w:r>
                </w:p>
              </w:tc>
              <w:tc>
                <w:tcPr>
                  <w:tcW w:w="1127" w:type="dxa"/>
                  <w:tcBorders>
                    <w:tl2br w:val="nil"/>
                    <w:tr2bl w:val="nil"/>
                  </w:tcBorders>
                  <w:noWrap w:val="0"/>
                  <w:vAlign w:val="center"/>
                </w:tcPr>
                <w:p w14:paraId="7FB4734E">
                  <w:pPr>
                    <w:keepNext w:val="0"/>
                    <w:keepLines w:val="0"/>
                    <w:suppressLineNumbers w:val="0"/>
                    <w:spacing w:before="0" w:beforeLines="0" w:beforeAutospacing="0" w:after="0" w:afterLines="0" w:afterAutospacing="0" w:line="240" w:lineRule="auto"/>
                    <w:ind w:left="0" w:right="0"/>
                    <w:jc w:val="center"/>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0.03</w:t>
                  </w:r>
                </w:p>
              </w:tc>
            </w:tr>
            <w:tr w14:paraId="4AD813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7303" w:type="dxa"/>
                  <w:gridSpan w:val="5"/>
                  <w:tcBorders>
                    <w:tl2br w:val="nil"/>
                    <w:tr2bl w:val="nil"/>
                  </w:tcBorders>
                  <w:noWrap w:val="0"/>
                  <w:vAlign w:val="center"/>
                </w:tcPr>
                <w:p w14:paraId="4E4FCF5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Q值Σ</w:t>
                  </w:r>
                </w:p>
              </w:tc>
              <w:tc>
                <w:tcPr>
                  <w:tcW w:w="1127" w:type="dxa"/>
                  <w:tcBorders>
                    <w:tl2br w:val="nil"/>
                    <w:tr2bl w:val="nil"/>
                  </w:tcBorders>
                  <w:noWrap w:val="0"/>
                  <w:vAlign w:val="center"/>
                </w:tcPr>
                <w:p w14:paraId="21C5E7D2">
                  <w:pPr>
                    <w:keepNext w:val="0"/>
                    <w:keepLines w:val="0"/>
                    <w:widowControl/>
                    <w:suppressLineNumbers w:val="0"/>
                    <w:spacing w:before="0" w:beforeAutospacing="0" w:after="0" w:afterAutospacing="0" w:line="240" w:lineRule="auto"/>
                    <w:ind w:left="0" w:right="0"/>
                    <w:jc w:val="center"/>
                    <w:textAlignment w:val="center"/>
                    <w:rPr>
                      <w:rFonts w:hint="default" w:ascii="Times New Roman" w:hAnsi="Times New Roman" w:eastAsia="宋体" w:cs="Times New Roman"/>
                      <w:i w:val="0"/>
                      <w:iCs w:val="0"/>
                      <w:color w:val="auto"/>
                      <w:kern w:val="2"/>
                      <w:sz w:val="21"/>
                      <w:szCs w:val="21"/>
                      <w:highlight w:val="none"/>
                      <w:u w:val="none"/>
                      <w:lang w:val="en-US" w:eastAsia="zh-CN" w:bidi="ar-SA"/>
                    </w:rPr>
                  </w:pPr>
                  <w:r>
                    <w:rPr>
                      <w:rFonts w:hint="eastAsia" w:cs="Times New Roman"/>
                      <w:i w:val="0"/>
                      <w:iCs w:val="0"/>
                      <w:color w:val="auto"/>
                      <w:kern w:val="2"/>
                      <w:sz w:val="21"/>
                      <w:szCs w:val="21"/>
                      <w:highlight w:val="none"/>
                      <w:u w:val="none"/>
                      <w:lang w:val="en-US" w:eastAsia="zh-CN" w:bidi="ar-SA"/>
                    </w:rPr>
                    <w:t>0.1006</w:t>
                  </w:r>
                </w:p>
              </w:tc>
            </w:tr>
            <w:tr w14:paraId="5722FC2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57" w:hRule="atLeast"/>
                <w:jc w:val="center"/>
              </w:trPr>
              <w:tc>
                <w:tcPr>
                  <w:tcW w:w="8430" w:type="dxa"/>
                  <w:gridSpan w:val="6"/>
                  <w:tcBorders>
                    <w:tl2br w:val="nil"/>
                    <w:tr2bl w:val="nil"/>
                  </w:tcBorders>
                  <w:noWrap w:val="0"/>
                  <w:vAlign w:val="center"/>
                </w:tcPr>
                <w:p w14:paraId="2BD65005">
                  <w:pPr>
                    <w:pStyle w:val="73"/>
                    <w:keepNext w:val="0"/>
                    <w:keepLines w:val="0"/>
                    <w:suppressLineNumbers w:val="0"/>
                    <w:spacing w:before="0" w:beforeAutospacing="0" w:after="0" w:afterAutospacing="0" w:line="240" w:lineRule="auto"/>
                    <w:ind w:left="0" w:right="0" w:firstLine="420" w:firstLineChars="20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注：①废油液中含有燃料油、发动机油、变速器/齿轮箱油、动力转向油、制动液等，临界量按照油类物质计算。</w:t>
                  </w:r>
                </w:p>
                <w:p w14:paraId="08AE14D2">
                  <w:pPr>
                    <w:pStyle w:val="73"/>
                    <w:keepNext w:val="0"/>
                    <w:keepLines w:val="0"/>
                    <w:suppressLineNumbers w:val="0"/>
                    <w:spacing w:before="0" w:beforeAutospacing="0" w:after="0" w:afterAutospacing="0" w:line="240" w:lineRule="auto"/>
                    <w:ind w:left="0" w:right="0" w:firstLine="420" w:firstLineChars="20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②含有机溶液废物主要有：挡风玻璃洗涤液、防冻液。临界量参照健康危险急性毒性物质（类别2，类别3）。</w:t>
                  </w:r>
                </w:p>
                <w:p w14:paraId="2BA2FE36">
                  <w:pPr>
                    <w:pStyle w:val="73"/>
                    <w:keepNext w:val="0"/>
                    <w:keepLines w:val="0"/>
                    <w:suppressLineNumbers w:val="0"/>
                    <w:spacing w:before="0" w:beforeAutospacing="0" w:after="0" w:afterAutospacing="0" w:line="240" w:lineRule="auto"/>
                    <w:ind w:left="0" w:right="0" w:firstLine="420" w:firstLineChars="200"/>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③废液化气：根据拆解产物计算，本项目废液化气罐年产生量约3000个（49.5t）计，厂区内最大储存量约为125个（约20.6t）。残余的液化气量以每罐2kg计，经计算废液化气最大储存量约0.25吨。天然气临界量以甲烷计。</w:t>
                  </w:r>
                </w:p>
                <w:p w14:paraId="1465FD51">
                  <w:pPr>
                    <w:pStyle w:val="73"/>
                    <w:keepNext w:val="0"/>
                    <w:keepLines w:val="0"/>
                    <w:suppressLineNumbers w:val="0"/>
                    <w:spacing w:before="0" w:beforeAutospacing="0" w:after="0" w:afterAutospacing="0" w:line="240" w:lineRule="auto"/>
                    <w:ind w:left="0" w:right="0" w:firstLine="420" w:firstLineChars="200"/>
                    <w:rPr>
                      <w:rFonts w:hint="eastAsia" w:cs="Times New Roman"/>
                      <w:i w:val="0"/>
                      <w:iCs w:val="0"/>
                      <w:color w:val="auto"/>
                      <w:kern w:val="2"/>
                      <w:sz w:val="21"/>
                      <w:szCs w:val="21"/>
                      <w:highlight w:val="none"/>
                      <w:u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④废铅酸蓄电池采用一次最大存放量为5吨（硫酸电解液占比按30%计，即1.5t，其中硫酸占比按20%计，即0.3t）。</w:t>
                  </w:r>
                </w:p>
              </w:tc>
            </w:tr>
          </w:tbl>
          <w:p w14:paraId="3B6A159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kern w:val="0"/>
                <w:sz w:val="24"/>
                <w:szCs w:val="24"/>
                <w:highlight w:val="none"/>
                <w:u w:val="none" w:color="auto"/>
                <w:lang w:val="zh-CN"/>
              </w:rPr>
              <w:t>根据上表中对项目风险物质的Q值的统计，</w:t>
            </w:r>
            <w:r>
              <w:rPr>
                <w:rFonts w:hint="default" w:ascii="Times New Roman" w:hAnsi="Times New Roman" w:eastAsia="宋体" w:cs="Times New Roman"/>
                <w:color w:val="auto"/>
                <w:kern w:val="0"/>
                <w:sz w:val="24"/>
                <w:szCs w:val="24"/>
                <w:highlight w:val="none"/>
                <w:u w:val="none" w:color="auto"/>
              </w:rPr>
              <w:t>本项目</w:t>
            </w:r>
            <w:r>
              <w:rPr>
                <w:rFonts w:hint="default" w:ascii="Times New Roman" w:hAnsi="Times New Roman" w:eastAsia="宋体" w:cs="Times New Roman"/>
                <w:color w:val="auto"/>
                <w:kern w:val="0"/>
                <w:sz w:val="24"/>
                <w:szCs w:val="24"/>
                <w:highlight w:val="none"/>
                <w:u w:val="none" w:color="auto"/>
                <w:lang w:val="zh-CN"/>
              </w:rPr>
              <w:t>危险物质及临界量的比值Q值为</w:t>
            </w:r>
            <w:r>
              <w:rPr>
                <w:rFonts w:hint="eastAsia" w:cs="Times New Roman"/>
                <w:color w:val="auto"/>
                <w:kern w:val="0"/>
                <w:sz w:val="24"/>
                <w:szCs w:val="24"/>
                <w:highlight w:val="none"/>
                <w:u w:val="none" w:color="auto"/>
                <w:lang w:val="en-US" w:eastAsia="zh-CN"/>
              </w:rPr>
              <w:t>0.1006</w:t>
            </w:r>
            <w:r>
              <w:rPr>
                <w:rFonts w:hint="default" w:ascii="Times New Roman" w:hAnsi="Times New Roman" w:eastAsia="宋体" w:cs="Times New Roman"/>
                <w:color w:val="auto"/>
                <w:kern w:val="0"/>
                <w:sz w:val="24"/>
                <w:szCs w:val="24"/>
                <w:highlight w:val="none"/>
                <w:u w:val="none" w:color="auto"/>
                <w:lang w:val="zh-CN"/>
              </w:rPr>
              <w:t>＜1，所以直接判定该项目环境风险潜势为Ⅰ，对环境风险进行简单分析。</w:t>
            </w:r>
          </w:p>
          <w:p w14:paraId="7E10361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u w:val="none" w:color="auto"/>
                <w:lang w:val="en-US" w:eastAsia="zh-CN" w:bidi="zh-CN"/>
              </w:rPr>
            </w:pPr>
            <w:r>
              <w:rPr>
                <w:rFonts w:hint="eastAsia" w:ascii="Times New Roman" w:hAnsi="Times New Roman" w:eastAsia="宋体" w:cs="Times New Roman"/>
                <w:b/>
                <w:bCs/>
                <w:color w:val="auto"/>
                <w:sz w:val="24"/>
                <w:szCs w:val="24"/>
                <w:highlight w:val="none"/>
                <w:u w:val="none" w:color="auto"/>
                <w:lang w:val="en-US" w:eastAsia="zh-CN" w:bidi="zh-CN"/>
              </w:rPr>
              <w:t>6.3</w:t>
            </w:r>
            <w:r>
              <w:rPr>
                <w:rFonts w:hint="default" w:ascii="Times New Roman" w:hAnsi="Times New Roman" w:eastAsia="宋体" w:cs="Times New Roman"/>
                <w:b/>
                <w:bCs/>
                <w:color w:val="auto"/>
                <w:sz w:val="24"/>
                <w:szCs w:val="24"/>
                <w:highlight w:val="none"/>
                <w:u w:val="none" w:color="auto"/>
                <w:lang w:val="en-US" w:eastAsia="zh-CN" w:bidi="zh-CN"/>
              </w:rPr>
              <w:t>环境风险识别</w:t>
            </w:r>
          </w:p>
          <w:p w14:paraId="0CA9AFC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根据以上判断，拟建工程废油液、废液化气属于易燃物质，储存场所和生产场所均为非重大危险源，不属于环境敏感区；主要风险事故类型为废油液、废液化气遇明火引发的火灾事故及次生环境污染；废油液、含有机溶剂废物、废液化气、破损废铅酸蓄电池中硫酸泄漏导致周围大气、土壤环境污染，拟建工程生产过程中产生的最大可信事故为废油液、含有机溶剂废物、废液化气</w:t>
            </w:r>
            <w:r>
              <w:rPr>
                <w:rFonts w:hint="eastAsia" w:cs="Times New Roman"/>
                <w:color w:val="auto"/>
                <w:sz w:val="24"/>
                <w:szCs w:val="24"/>
                <w:highlight w:val="none"/>
                <w:u w:val="none" w:color="auto"/>
                <w:lang w:val="en-US" w:eastAsia="zh-CN" w:bidi="zh-CN"/>
              </w:rPr>
              <w:t>以及</w:t>
            </w:r>
            <w:r>
              <w:rPr>
                <w:rFonts w:hint="default" w:ascii="Times New Roman" w:hAnsi="Times New Roman" w:eastAsia="宋体" w:cs="Times New Roman"/>
                <w:color w:val="auto"/>
                <w:sz w:val="24"/>
                <w:szCs w:val="24"/>
                <w:highlight w:val="none"/>
                <w:u w:val="none" w:color="auto"/>
                <w:lang w:val="en-US" w:eastAsia="zh-CN" w:bidi="zh-CN"/>
              </w:rPr>
              <w:t xml:space="preserve">破损废铅酸蓄电池中硫酸泄漏导致的大气、土壤环境污染。 </w:t>
            </w:r>
          </w:p>
          <w:p w14:paraId="6B4229B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u w:val="none" w:color="auto"/>
                <w:lang w:val="en-US" w:eastAsia="zh-CN" w:bidi="zh-CN"/>
              </w:rPr>
            </w:pPr>
            <w:r>
              <w:rPr>
                <w:rFonts w:hint="eastAsia" w:ascii="Times New Roman" w:hAnsi="Times New Roman" w:eastAsia="宋体" w:cs="Times New Roman"/>
                <w:b/>
                <w:bCs/>
                <w:color w:val="auto"/>
                <w:sz w:val="24"/>
                <w:szCs w:val="24"/>
                <w:highlight w:val="none"/>
                <w:u w:val="none" w:color="auto"/>
                <w:lang w:val="en-US" w:eastAsia="zh-CN" w:bidi="zh-CN"/>
              </w:rPr>
              <w:t xml:space="preserve">6.4 </w:t>
            </w:r>
            <w:r>
              <w:rPr>
                <w:rFonts w:hint="default" w:ascii="Times New Roman" w:hAnsi="Times New Roman" w:eastAsia="宋体" w:cs="Times New Roman"/>
                <w:b/>
                <w:bCs/>
                <w:color w:val="auto"/>
                <w:sz w:val="24"/>
                <w:szCs w:val="24"/>
                <w:highlight w:val="none"/>
                <w:u w:val="none" w:color="auto"/>
                <w:lang w:val="en-US" w:eastAsia="zh-CN" w:bidi="zh-CN"/>
              </w:rPr>
              <w:t xml:space="preserve">风险物质影响途径 </w:t>
            </w:r>
          </w:p>
          <w:p w14:paraId="7E707DC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风险识别范围包括物质危险性识别，生产系统危险性识别和危险物向环境转移的途径识别。 </w:t>
            </w:r>
          </w:p>
          <w:p w14:paraId="0D1E4CD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物质危险性识别：包括主要废油液、含有机溶剂废物、废液化气等泄漏引起的泄漏、火灾风险。生产系统危险性识别：油液、蓄电池等在拆解过程中发生泄漏，主要是操作不当和设施维护不到位。 </w:t>
            </w:r>
          </w:p>
          <w:p w14:paraId="3DAE38C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危险物质向环境转移的途径识别：包括分析危险物质特性及可能的环境风险类型，识别危险物质影响环境的途径，分析可能影响的环境敏感目标。 </w:t>
            </w:r>
          </w:p>
          <w:p w14:paraId="6912DF3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 xml:space="preserve">在运输过程中存在泄漏风险，若物料发生泄漏，对周围植物、农作物及动物生长造成影响甚至引起死亡。 </w:t>
            </w:r>
          </w:p>
          <w:p w14:paraId="03D34F1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危废贮存库废料意外泄漏，若地面未做防渗处理，泄漏物将通过地面渗漏，进而影响土壤和地下水。</w:t>
            </w:r>
          </w:p>
          <w:p w14:paraId="2FD6E49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5、可能影响环境途径 </w:t>
            </w:r>
          </w:p>
          <w:p w14:paraId="7D366E5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A.向环境转移途径 </w:t>
            </w:r>
          </w:p>
          <w:p w14:paraId="279D8C9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向环境转移的主要途径为：火灾爆炸事故过程中燃烧产生的有毒有害气体进入到大气中，对局部大气环境造成污染。泄漏物料如经雨水管道进入外环境，将污染周边地表水体。泄漏液体如控制不当渗入地下，有可能污染地下水和土壤。 </w:t>
            </w:r>
          </w:p>
          <w:p w14:paraId="6A0FF09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 xml:space="preserve">B.伴生/次生污染 </w:t>
            </w:r>
          </w:p>
          <w:p w14:paraId="48FF1F9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建设单位厂区发生火灾爆炸时，可能产生的次生污染为火灾消防液、消防土及燃烧废气。在贮存区仓库发生火灾爆炸时，有可能引燃周围可燃物质，产生的伴生事故为其它可燃物质的火灾爆炸，产生的伴生污染为燃烧产物，参考物质化学组分，燃烧产物主要为一氧化碳、二氧化碳等。储存单元泄漏发生爆炸事故时，有可能发生连锁。另外在厂区发生火灾、爆炸事故时，其可能产生的次生污染包括火灾消防液、消防土及燃烧废气等，这些物质可能会对周围地表水、土壤、大气等造成一定的影响。</w:t>
            </w:r>
          </w:p>
          <w:p w14:paraId="3FFD256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u w:val="none" w:color="auto"/>
                <w:lang w:val="zh-CN" w:bidi="zh-CN"/>
              </w:rPr>
            </w:pPr>
            <w:r>
              <w:rPr>
                <w:rFonts w:hint="eastAsia" w:ascii="Times New Roman" w:hAnsi="Times New Roman" w:eastAsia="宋体" w:cs="Times New Roman"/>
                <w:b/>
                <w:bCs/>
                <w:color w:val="auto"/>
                <w:sz w:val="24"/>
                <w:szCs w:val="24"/>
                <w:highlight w:val="none"/>
                <w:u w:val="none" w:color="auto"/>
                <w:lang w:val="en-US" w:eastAsia="zh-CN" w:bidi="zh-CN"/>
              </w:rPr>
              <w:t xml:space="preserve">6.5 </w:t>
            </w:r>
            <w:r>
              <w:rPr>
                <w:rFonts w:hint="default" w:ascii="Times New Roman" w:hAnsi="Times New Roman" w:eastAsia="宋体" w:cs="Times New Roman"/>
                <w:b/>
                <w:bCs/>
                <w:color w:val="auto"/>
                <w:sz w:val="24"/>
                <w:szCs w:val="24"/>
                <w:highlight w:val="none"/>
                <w:u w:val="none" w:color="auto"/>
                <w:lang w:val="en-US" w:eastAsia="zh-CN" w:bidi="zh-CN"/>
              </w:rPr>
              <w:t xml:space="preserve">环境风险防范措施 </w:t>
            </w:r>
          </w:p>
          <w:p w14:paraId="7E31A0E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default" w:ascii="Times New Roman" w:hAnsi="Times New Roman" w:eastAsia="宋体" w:cs="Times New Roman"/>
                <w:color w:val="auto"/>
                <w:sz w:val="24"/>
                <w:szCs w:val="24"/>
                <w:highlight w:val="none"/>
                <w:u w:val="none" w:color="auto"/>
                <w:lang w:val="en-US" w:eastAsia="zh-CN" w:bidi="zh-CN"/>
              </w:rPr>
              <w:t>1）建筑</w:t>
            </w:r>
            <w:r>
              <w:rPr>
                <w:rFonts w:hint="eastAsia" w:cs="Times New Roman"/>
                <w:color w:val="auto"/>
                <w:sz w:val="24"/>
                <w:szCs w:val="24"/>
                <w:highlight w:val="none"/>
                <w:u w:val="none" w:color="auto"/>
                <w:lang w:val="en-US" w:eastAsia="zh-CN" w:bidi="zh-CN"/>
              </w:rPr>
              <w:t>风险</w:t>
            </w:r>
            <w:r>
              <w:rPr>
                <w:rFonts w:hint="default" w:ascii="Times New Roman" w:hAnsi="Times New Roman" w:eastAsia="宋体" w:cs="Times New Roman"/>
                <w:color w:val="auto"/>
                <w:sz w:val="24"/>
                <w:szCs w:val="24"/>
                <w:highlight w:val="none"/>
                <w:u w:val="none" w:color="auto"/>
                <w:lang w:val="en-US" w:eastAsia="zh-CN" w:bidi="zh-CN"/>
              </w:rPr>
              <w:t xml:space="preserve">防范措施 </w:t>
            </w:r>
          </w:p>
          <w:p w14:paraId="4F1E16C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default" w:ascii="Times New Roman" w:hAnsi="Times New Roman" w:eastAsia="宋体" w:cs="Times New Roman"/>
                <w:color w:val="auto"/>
                <w:sz w:val="24"/>
                <w:szCs w:val="24"/>
                <w:highlight w:val="none"/>
                <w:u w:val="none" w:color="auto"/>
                <w:lang w:val="en-US" w:eastAsia="zh-CN" w:bidi="zh-CN"/>
              </w:rPr>
              <w:t>根据《报废机动车回收拆解企业技术规范</w:t>
            </w:r>
            <w:r>
              <w:rPr>
                <w:rFonts w:hint="eastAsia" w:cs="Times New Roman"/>
                <w:color w:val="auto"/>
                <w:sz w:val="24"/>
                <w:szCs w:val="24"/>
                <w:highlight w:val="none"/>
                <w:u w:val="none" w:color="auto"/>
                <w:lang w:val="en-US" w:eastAsia="zh-CN" w:bidi="zh-CN"/>
              </w:rPr>
              <w:t>》《</w:t>
            </w:r>
            <w:r>
              <w:rPr>
                <w:rFonts w:hint="default" w:ascii="Times New Roman" w:hAnsi="Times New Roman" w:eastAsia="宋体" w:cs="Times New Roman"/>
                <w:color w:val="auto"/>
                <w:sz w:val="24"/>
                <w:szCs w:val="24"/>
                <w:highlight w:val="none"/>
                <w:u w:val="none" w:color="auto"/>
                <w:lang w:val="en-US" w:eastAsia="zh-CN" w:bidi="zh-CN"/>
              </w:rPr>
              <w:t xml:space="preserve">报废机动车拆解企业污染控制技术规范》（HJ348-2022），厂区建筑建设应满足以下要求： </w:t>
            </w:r>
          </w:p>
          <w:p w14:paraId="7781D42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报废汽车存储场地地面要硬化并防渗漏，</w:t>
            </w:r>
            <w:r>
              <w:rPr>
                <w:rFonts w:hint="eastAsia" w:cs="Times New Roman"/>
                <w:color w:val="auto"/>
                <w:sz w:val="24"/>
                <w:szCs w:val="24"/>
                <w:highlight w:val="none"/>
                <w:u w:val="none" w:color="auto"/>
                <w:lang w:val="en-US" w:eastAsia="zh-CN" w:bidi="zh-CN"/>
              </w:rPr>
              <w:t>危险废物贮存库</w:t>
            </w:r>
            <w:r>
              <w:rPr>
                <w:rFonts w:hint="default" w:ascii="Times New Roman" w:hAnsi="Times New Roman" w:eastAsia="宋体" w:cs="Times New Roman"/>
                <w:color w:val="auto"/>
                <w:sz w:val="24"/>
                <w:szCs w:val="24"/>
                <w:highlight w:val="none"/>
                <w:u w:val="none" w:color="auto"/>
                <w:lang w:val="en-US" w:eastAsia="zh-CN" w:bidi="zh-CN"/>
              </w:rPr>
              <w:t xml:space="preserve">全部进行防渗、防漏处理，修筑防火堤墙，确保事故状态下，也不会有污染物向外泄漏，对外界环境造成污染。危废贮存库内严禁烟火，废油液分别放置在危废贮存库内。 </w:t>
            </w:r>
          </w:p>
          <w:p w14:paraId="70E72A1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 xml:space="preserve">拆解场地为封闭车间，地面应防止渗漏。拆解车间应通风、光线良好，安全防范设施齐全。 </w:t>
            </w:r>
          </w:p>
          <w:p w14:paraId="5CD51D7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c.</w:t>
            </w:r>
            <w:r>
              <w:rPr>
                <w:rFonts w:hint="default" w:ascii="Times New Roman" w:hAnsi="Times New Roman" w:eastAsia="宋体" w:cs="Times New Roman"/>
                <w:color w:val="auto"/>
                <w:sz w:val="24"/>
                <w:szCs w:val="24"/>
                <w:highlight w:val="none"/>
                <w:u w:val="none" w:color="auto"/>
                <w:lang w:val="en-US" w:eastAsia="zh-CN" w:bidi="zh-CN"/>
              </w:rPr>
              <w:t xml:space="preserve">库房条件：库房应当干燥、通风、避光的防火建筑，建筑材料经过防腐处理。 </w:t>
            </w:r>
          </w:p>
          <w:p w14:paraId="33F87B8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d.</w:t>
            </w:r>
            <w:r>
              <w:rPr>
                <w:rFonts w:hint="default" w:ascii="Times New Roman" w:hAnsi="Times New Roman" w:eastAsia="宋体" w:cs="Times New Roman"/>
                <w:color w:val="auto"/>
                <w:sz w:val="24"/>
                <w:szCs w:val="24"/>
                <w:highlight w:val="none"/>
                <w:u w:val="none" w:color="auto"/>
                <w:lang w:val="en-US" w:eastAsia="zh-CN" w:bidi="zh-CN"/>
              </w:rPr>
              <w:t>库房卫生条件：库房地面、门窗应定期打扫，保持清洁；</w:t>
            </w:r>
            <w:r>
              <w:rPr>
                <w:rFonts w:hint="eastAsia" w:cs="Times New Roman"/>
                <w:color w:val="auto"/>
                <w:sz w:val="24"/>
                <w:szCs w:val="24"/>
                <w:highlight w:val="none"/>
                <w:u w:val="none" w:color="auto"/>
                <w:lang w:val="en-US" w:eastAsia="zh-CN" w:bidi="zh-CN"/>
              </w:rPr>
              <w:t>仓库</w:t>
            </w:r>
            <w:r>
              <w:rPr>
                <w:rFonts w:hint="default" w:ascii="Times New Roman" w:hAnsi="Times New Roman" w:eastAsia="宋体" w:cs="Times New Roman"/>
                <w:color w:val="auto"/>
                <w:sz w:val="24"/>
                <w:szCs w:val="24"/>
                <w:highlight w:val="none"/>
                <w:u w:val="none" w:color="auto"/>
                <w:lang w:val="en-US" w:eastAsia="zh-CN" w:bidi="zh-CN"/>
              </w:rPr>
              <w:t xml:space="preserve">内的杂物、易燃物质应及时清理。 </w:t>
            </w:r>
          </w:p>
          <w:p w14:paraId="504C2B8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e.</w:t>
            </w:r>
            <w:r>
              <w:rPr>
                <w:rFonts w:hint="default" w:ascii="Times New Roman" w:hAnsi="Times New Roman" w:eastAsia="宋体" w:cs="Times New Roman"/>
                <w:color w:val="auto"/>
                <w:sz w:val="24"/>
                <w:szCs w:val="24"/>
                <w:highlight w:val="none"/>
                <w:u w:val="none" w:color="auto"/>
                <w:lang w:val="en-US" w:eastAsia="zh-CN" w:bidi="zh-CN"/>
              </w:rPr>
              <w:t xml:space="preserve">涉及危险物质的原料、产品和固体废物或其他化学品的储存区、通道、道路应做好防渗处理，以免危险物质泄漏进入土壤污染地下水，从而污染周围水体和土壤环境。 </w:t>
            </w:r>
          </w:p>
          <w:p w14:paraId="3EEB509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eastAsia" w:ascii="Times New Roman" w:hAnsi="Times New Roman" w:eastAsia="宋体" w:cs="Times New Roman"/>
                <w:color w:val="auto"/>
                <w:sz w:val="24"/>
                <w:szCs w:val="24"/>
                <w:highlight w:val="none"/>
                <w:u w:val="none" w:color="auto"/>
                <w:lang w:val="en-US" w:eastAsia="zh-CN" w:bidi="zh-CN"/>
              </w:rPr>
              <w:t xml:space="preserve">2）设计风险防范措施 </w:t>
            </w:r>
          </w:p>
          <w:p w14:paraId="09643E3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eastAsia" w:ascii="Times New Roman" w:hAnsi="Times New Roman" w:eastAsia="宋体" w:cs="Times New Roman"/>
                <w:color w:val="auto"/>
                <w:sz w:val="24"/>
                <w:szCs w:val="24"/>
                <w:highlight w:val="none"/>
                <w:u w:val="none" w:color="auto"/>
                <w:lang w:val="en-US" w:eastAsia="zh-CN" w:bidi="zh-CN"/>
              </w:rPr>
              <w:t>建设单位必须委托有设计资质的单位进行设计，严防跑、冒、滴、漏，最大限度减少泄漏、火灾可能性。严格按各规范设计要求落实工程防雷、防电、消防、通风、紧急切断阀等安全措施。设计中，易燃易爆物质与明火及可能散发火花地点的距离应满足规范的要求，本项目的废铅酸蓄电池和动力蓄电池贮存间必须单独设置，采用实体墙与易燃易爆危险废物有效隔离，存放前必须检查正负极绝缘措施，防止放电，蓄电池贮存设施按《废铅蓄电池处理污染控制技术规范》和《废蓄电池回收管理规范》要求进行建设。</w:t>
            </w:r>
          </w:p>
          <w:p w14:paraId="2BDD3A9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）危险品贮存</w:t>
            </w:r>
            <w:r>
              <w:rPr>
                <w:rFonts w:hint="eastAsia" w:cs="Times New Roman"/>
                <w:color w:val="auto"/>
                <w:sz w:val="24"/>
                <w:szCs w:val="24"/>
                <w:highlight w:val="none"/>
                <w:u w:val="none" w:color="auto"/>
                <w:lang w:val="en-US" w:eastAsia="zh-CN" w:bidi="zh-CN"/>
              </w:rPr>
              <w:t>措施</w:t>
            </w:r>
            <w:r>
              <w:rPr>
                <w:rFonts w:hint="default" w:ascii="Times New Roman" w:hAnsi="Times New Roman" w:eastAsia="宋体" w:cs="Times New Roman"/>
                <w:color w:val="auto"/>
                <w:sz w:val="24"/>
                <w:szCs w:val="24"/>
                <w:highlight w:val="none"/>
                <w:u w:val="none" w:color="auto"/>
                <w:lang w:val="en-US" w:eastAsia="zh-CN" w:bidi="zh-CN"/>
              </w:rPr>
              <w:t xml:space="preserve"> </w:t>
            </w:r>
          </w:p>
          <w:p w14:paraId="70B391F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default" w:ascii="Times New Roman" w:hAnsi="Times New Roman" w:eastAsia="宋体" w:cs="Times New Roman"/>
                <w:color w:val="auto"/>
                <w:sz w:val="24"/>
                <w:szCs w:val="24"/>
                <w:highlight w:val="none"/>
                <w:u w:val="none" w:color="auto"/>
                <w:lang w:val="en-US" w:eastAsia="zh-CN" w:bidi="zh-CN"/>
              </w:rPr>
              <w:t>由于本项目回收处理处置的物品在回收场所内有一定的贮存量，为避免在贮存环节发生风险事故，建设单位应根据《报废机动车拆解企业污染控制技术规范</w:t>
            </w:r>
            <w:r>
              <w:rPr>
                <w:rFonts w:hint="eastAsia" w:cs="Times New Roman"/>
                <w:color w:val="auto"/>
                <w:sz w:val="24"/>
                <w:szCs w:val="24"/>
                <w:highlight w:val="none"/>
                <w:u w:val="none" w:color="auto"/>
                <w:lang w:val="en-US" w:eastAsia="zh-CN" w:bidi="zh-CN"/>
              </w:rPr>
              <w:t>》《</w:t>
            </w:r>
            <w:r>
              <w:rPr>
                <w:rFonts w:hint="default" w:ascii="Times New Roman" w:hAnsi="Times New Roman" w:eastAsia="宋体" w:cs="Times New Roman"/>
                <w:color w:val="auto"/>
                <w:sz w:val="24"/>
                <w:szCs w:val="24"/>
                <w:highlight w:val="none"/>
                <w:u w:val="none" w:color="auto"/>
                <w:lang w:val="en-US" w:eastAsia="zh-CN" w:bidi="zh-CN"/>
              </w:rPr>
              <w:t>报废机动车回收拆解企业技术规范</w:t>
            </w:r>
            <w:r>
              <w:rPr>
                <w:rFonts w:hint="eastAsia" w:cs="Times New Roman"/>
                <w:color w:val="auto"/>
                <w:sz w:val="24"/>
                <w:szCs w:val="24"/>
                <w:highlight w:val="none"/>
                <w:u w:val="none" w:color="auto"/>
                <w:lang w:val="en-US" w:eastAsia="zh-CN" w:bidi="zh-CN"/>
              </w:rPr>
              <w:t>》《</w:t>
            </w:r>
            <w:r>
              <w:rPr>
                <w:rFonts w:hint="default" w:ascii="Times New Roman" w:hAnsi="Times New Roman" w:eastAsia="宋体" w:cs="Times New Roman"/>
                <w:color w:val="auto"/>
                <w:sz w:val="24"/>
                <w:szCs w:val="24"/>
                <w:highlight w:val="none"/>
                <w:u w:val="none" w:color="auto"/>
                <w:lang w:val="en-US" w:eastAsia="zh-CN" w:bidi="zh-CN"/>
              </w:rPr>
              <w:t>危险废物贮存污染控制标准》（GB18597-2023）中的相关规定，对在厂区内临时暂存的危险物品采取以下措施：</w:t>
            </w:r>
          </w:p>
          <w:p w14:paraId="4F09550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 xml:space="preserve">设置旧零件仓库。 </w:t>
            </w:r>
          </w:p>
          <w:p w14:paraId="1DC06F0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 xml:space="preserve">按化学品不同类别、性质、危险程度、灭火方法等分区分类贮存，并附上明显的危废标签和危废种类标志，性质相抵的禁止同库储存。 </w:t>
            </w:r>
          </w:p>
          <w:p w14:paraId="1409236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c.</w:t>
            </w:r>
            <w:r>
              <w:rPr>
                <w:rFonts w:hint="default" w:ascii="Times New Roman" w:hAnsi="Times New Roman" w:eastAsia="宋体" w:cs="Times New Roman"/>
                <w:color w:val="auto"/>
                <w:sz w:val="24"/>
                <w:szCs w:val="24"/>
                <w:highlight w:val="none"/>
                <w:u w:val="none" w:color="auto"/>
                <w:lang w:val="en-US" w:eastAsia="zh-CN" w:bidi="zh-CN"/>
              </w:rPr>
              <w:t xml:space="preserve">安全条件：避免阳光直射、暴晒，远离热源、电源和火源，库房建筑及各种设备应符合《建筑设计防火规范》中的规定。 </w:t>
            </w:r>
          </w:p>
          <w:p w14:paraId="0D93B39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d.</w:t>
            </w:r>
            <w:r>
              <w:rPr>
                <w:rFonts w:hint="default" w:ascii="Times New Roman" w:hAnsi="Times New Roman" w:eastAsia="宋体" w:cs="Times New Roman"/>
                <w:color w:val="auto"/>
                <w:sz w:val="24"/>
                <w:szCs w:val="24"/>
                <w:highlight w:val="none"/>
                <w:u w:val="none" w:color="auto"/>
                <w:lang w:val="en-US" w:eastAsia="zh-CN" w:bidi="zh-CN"/>
              </w:rPr>
              <w:t>卫生条件：库房地面、门窗、货架应定期打扫，保持清洁；</w:t>
            </w:r>
            <w:r>
              <w:rPr>
                <w:rFonts w:hint="eastAsia" w:cs="Times New Roman"/>
                <w:color w:val="auto"/>
                <w:sz w:val="24"/>
                <w:szCs w:val="24"/>
                <w:highlight w:val="none"/>
                <w:u w:val="none" w:color="auto"/>
                <w:lang w:val="en-US" w:eastAsia="zh-CN" w:bidi="zh-CN"/>
              </w:rPr>
              <w:t>仓库</w:t>
            </w:r>
            <w:r>
              <w:rPr>
                <w:rFonts w:hint="default" w:ascii="Times New Roman" w:hAnsi="Times New Roman" w:eastAsia="宋体" w:cs="Times New Roman"/>
                <w:color w:val="auto"/>
                <w:sz w:val="24"/>
                <w:szCs w:val="24"/>
                <w:highlight w:val="none"/>
                <w:u w:val="none" w:color="auto"/>
                <w:lang w:val="en-US" w:eastAsia="zh-CN" w:bidi="zh-CN"/>
              </w:rPr>
              <w:t xml:space="preserve">内的杂物、易燃物质应及时清理。 </w:t>
            </w:r>
          </w:p>
          <w:p w14:paraId="69E6590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e.</w:t>
            </w:r>
            <w:r>
              <w:rPr>
                <w:rFonts w:hint="default" w:ascii="Times New Roman" w:hAnsi="Times New Roman" w:eastAsia="宋体" w:cs="Times New Roman"/>
                <w:color w:val="auto"/>
                <w:sz w:val="24"/>
                <w:szCs w:val="24"/>
                <w:highlight w:val="none"/>
                <w:u w:val="none" w:color="auto"/>
                <w:lang w:val="en-US" w:eastAsia="zh-CN" w:bidi="zh-CN"/>
              </w:rPr>
              <w:t xml:space="preserve">涉及危险物质的原料、产品和固体废物或其他化学品的储存区、通道、道路应做好防渗处理，以免危险物质泄漏进入土壤污染地下水，从而污染周围水体和土壤环境。 </w:t>
            </w:r>
          </w:p>
          <w:p w14:paraId="7BE06AF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f.</w:t>
            </w:r>
            <w:r>
              <w:rPr>
                <w:rFonts w:hint="default" w:ascii="Times New Roman" w:hAnsi="Times New Roman" w:eastAsia="宋体" w:cs="Times New Roman"/>
                <w:color w:val="auto"/>
                <w:sz w:val="24"/>
                <w:szCs w:val="24"/>
                <w:highlight w:val="none"/>
                <w:u w:val="none" w:color="auto"/>
                <w:lang w:val="en-US" w:eastAsia="zh-CN" w:bidi="zh-CN"/>
              </w:rPr>
              <w:t xml:space="preserve">拆解得到工业固废应按种类分别收集在不同的专用容器或固定区域，并设立明显的区分标识，库区严禁烟火。 </w:t>
            </w:r>
          </w:p>
          <w:p w14:paraId="690584D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4</w:t>
            </w:r>
            <w:r>
              <w:rPr>
                <w:rFonts w:hint="default" w:ascii="Times New Roman" w:hAnsi="Times New Roman" w:eastAsia="宋体" w:cs="Times New Roman"/>
                <w:color w:val="auto"/>
                <w:sz w:val="24"/>
                <w:szCs w:val="24"/>
                <w:highlight w:val="none"/>
                <w:u w:val="none" w:color="auto"/>
                <w:lang w:val="en-US" w:eastAsia="zh-CN" w:bidi="zh-CN"/>
              </w:rPr>
              <w:t xml:space="preserve">）危险物品运输风险事故防范措施 </w:t>
            </w:r>
          </w:p>
          <w:p w14:paraId="664B8F5B">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对危险物品的装卸、转移应由专业人员或经过严格培训的员工来操作，建立一套完整的作业操作</w:t>
            </w:r>
            <w:r>
              <w:rPr>
                <w:rFonts w:hint="eastAsia" w:cs="Times New Roman"/>
                <w:color w:val="auto"/>
                <w:sz w:val="24"/>
                <w:szCs w:val="24"/>
                <w:highlight w:val="none"/>
                <w:u w:val="none" w:color="auto"/>
                <w:lang w:val="en-US" w:eastAsia="zh-CN" w:bidi="zh-CN"/>
              </w:rPr>
              <w:t>技术规范</w:t>
            </w:r>
            <w:r>
              <w:rPr>
                <w:rFonts w:hint="default" w:ascii="Times New Roman" w:hAnsi="Times New Roman" w:eastAsia="宋体" w:cs="Times New Roman"/>
                <w:color w:val="auto"/>
                <w:sz w:val="24"/>
                <w:szCs w:val="24"/>
                <w:highlight w:val="none"/>
                <w:u w:val="none" w:color="auto"/>
                <w:lang w:val="en-US" w:eastAsia="zh-CN" w:bidi="zh-CN"/>
              </w:rPr>
              <w:t xml:space="preserve">，严格遵守操作规定。其中，应专门定制专用的运输箱，所有涉及危险物质运输的车辆必须经过专门的防渗漏、密封处理，严控设计危险物质的各个回收、贮存、运输过程的安全； </w:t>
            </w:r>
          </w:p>
          <w:p w14:paraId="04E8D70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 xml:space="preserve">场区内应设回车场；装卸站的车场应采用现浇混凝土地面，装车时尽可能采取全封闭作业方式； </w:t>
            </w:r>
          </w:p>
          <w:p w14:paraId="733EBBF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c.</w:t>
            </w:r>
            <w:r>
              <w:rPr>
                <w:rFonts w:hint="default" w:ascii="Times New Roman" w:hAnsi="Times New Roman" w:eastAsia="宋体" w:cs="Times New Roman"/>
                <w:color w:val="auto"/>
                <w:sz w:val="24"/>
                <w:szCs w:val="24"/>
                <w:highlight w:val="none"/>
                <w:u w:val="none" w:color="auto"/>
                <w:lang w:val="en-US" w:eastAsia="zh-CN" w:bidi="zh-CN"/>
              </w:rPr>
              <w:t xml:space="preserve">在装运易燃、可燃液体或气体时宜装阻火器以防雷电危害； </w:t>
            </w:r>
          </w:p>
          <w:p w14:paraId="5554617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d.</w:t>
            </w:r>
            <w:r>
              <w:rPr>
                <w:rFonts w:hint="default" w:ascii="Times New Roman" w:hAnsi="Times New Roman" w:eastAsia="宋体" w:cs="Times New Roman"/>
                <w:color w:val="auto"/>
                <w:sz w:val="24"/>
                <w:szCs w:val="24"/>
                <w:highlight w:val="none"/>
                <w:u w:val="none" w:color="auto"/>
                <w:lang w:val="en-US" w:eastAsia="zh-CN" w:bidi="zh-CN"/>
              </w:rPr>
              <w:t xml:space="preserve">危险废物转移处置应委托有危险废物经营许可证的废物处理专业公司进行，并向市环保部门申报登记，办理危险废物的运输转移手续，对危险废物进行全过程严格管理和安全处置。 </w:t>
            </w:r>
          </w:p>
          <w:p w14:paraId="3EE55B7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5</w:t>
            </w:r>
            <w:r>
              <w:rPr>
                <w:rFonts w:hint="default" w:ascii="Times New Roman" w:hAnsi="Times New Roman" w:eastAsia="宋体" w:cs="Times New Roman"/>
                <w:color w:val="auto"/>
                <w:sz w:val="24"/>
                <w:szCs w:val="24"/>
                <w:highlight w:val="none"/>
                <w:u w:val="none" w:color="auto"/>
                <w:lang w:val="en-US" w:eastAsia="zh-CN" w:bidi="zh-CN"/>
              </w:rPr>
              <w:t xml:space="preserve">）危险废物泄漏的防范措施 </w:t>
            </w:r>
          </w:p>
          <w:p w14:paraId="7B457BA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拆解场地废油液回收区设置围堰，围堰高度≥0.2m，防止外溢；其他拆解区及车辆贮存区四周设置导流沟，导流沟连接厂内污水管网，末端设置切换阀门，地面清洁水、消防废水及物料</w:t>
            </w:r>
            <w:r>
              <w:rPr>
                <w:rFonts w:hint="eastAsia" w:cs="Times New Roman"/>
                <w:color w:val="auto"/>
                <w:sz w:val="24"/>
                <w:szCs w:val="24"/>
                <w:highlight w:val="none"/>
                <w:u w:val="none" w:color="auto"/>
                <w:lang w:val="en-US" w:eastAsia="zh-CN" w:bidi="zh-CN"/>
              </w:rPr>
              <w:t>泄漏</w:t>
            </w:r>
            <w:r>
              <w:rPr>
                <w:rFonts w:hint="default" w:ascii="Times New Roman" w:hAnsi="Times New Roman" w:eastAsia="宋体" w:cs="Times New Roman"/>
                <w:color w:val="auto"/>
                <w:sz w:val="24"/>
                <w:szCs w:val="24"/>
                <w:highlight w:val="none"/>
                <w:u w:val="none" w:color="auto"/>
                <w:lang w:val="en-US" w:eastAsia="zh-CN" w:bidi="zh-CN"/>
              </w:rPr>
              <w:t>时，可沿导流沟流至污水处理</w:t>
            </w:r>
            <w:r>
              <w:rPr>
                <w:rFonts w:hint="eastAsia" w:cs="Times New Roman"/>
                <w:color w:val="auto"/>
                <w:sz w:val="24"/>
                <w:szCs w:val="24"/>
                <w:highlight w:val="none"/>
                <w:u w:val="none" w:color="auto"/>
                <w:lang w:val="en-US" w:eastAsia="zh-CN" w:bidi="zh-CN"/>
              </w:rPr>
              <w:t>设施</w:t>
            </w:r>
            <w:r>
              <w:rPr>
                <w:rFonts w:hint="default" w:ascii="Times New Roman" w:hAnsi="Times New Roman" w:eastAsia="宋体" w:cs="Times New Roman"/>
                <w:color w:val="auto"/>
                <w:sz w:val="24"/>
                <w:szCs w:val="24"/>
                <w:highlight w:val="none"/>
                <w:u w:val="none" w:color="auto"/>
                <w:lang w:val="en-US" w:eastAsia="zh-CN" w:bidi="zh-CN"/>
              </w:rPr>
              <w:t xml:space="preserve">、事故池（根据分类水质通过控制切换阀门控制液体流向）。危险废物临时存放间应按照《危险废物贮存污染控制标准》的相关规定进行设置，各类危险废物应分类分开存放，并设置围堰，围堰高度≥0.2m，防止外溢。 </w:t>
            </w:r>
          </w:p>
          <w:p w14:paraId="7F7CD4D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贮存场地面应做耐腐蚀、防渗漏处理，防渗层为2mm厚人工材料（防渗系数&lt;10</w:t>
            </w:r>
            <w:r>
              <w:rPr>
                <w:rFonts w:hint="default" w:ascii="Times New Roman" w:hAnsi="Times New Roman" w:eastAsia="宋体" w:cs="Times New Roman"/>
                <w:color w:val="auto"/>
                <w:sz w:val="24"/>
                <w:szCs w:val="24"/>
                <w:highlight w:val="none"/>
                <w:u w:val="none" w:color="auto"/>
                <w:vertAlign w:val="superscript"/>
                <w:lang w:val="en-US" w:eastAsia="zh-CN" w:bidi="zh-CN"/>
              </w:rPr>
              <w:t>-10</w:t>
            </w:r>
            <w:r>
              <w:rPr>
                <w:rFonts w:hint="default" w:ascii="Times New Roman" w:hAnsi="Times New Roman" w:eastAsia="宋体" w:cs="Times New Roman"/>
                <w:color w:val="auto"/>
                <w:sz w:val="24"/>
                <w:szCs w:val="24"/>
                <w:highlight w:val="none"/>
                <w:u w:val="none" w:color="auto"/>
                <w:lang w:val="en-US" w:eastAsia="zh-CN" w:bidi="zh-CN"/>
              </w:rPr>
              <w:t xml:space="preserve">cm/s），保证地面无裂痕。 </w:t>
            </w:r>
          </w:p>
          <w:p w14:paraId="5EA6D7A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c.</w:t>
            </w:r>
            <w:r>
              <w:rPr>
                <w:rFonts w:hint="default" w:ascii="Times New Roman" w:hAnsi="Times New Roman" w:eastAsia="宋体" w:cs="Times New Roman"/>
                <w:color w:val="auto"/>
                <w:sz w:val="24"/>
                <w:szCs w:val="24"/>
                <w:highlight w:val="none"/>
                <w:u w:val="none" w:color="auto"/>
                <w:lang w:val="en-US" w:eastAsia="zh-CN" w:bidi="zh-CN"/>
              </w:rPr>
              <w:t xml:space="preserve">危险废物的盛装容器密封，耐腐蚀，不渗漏，并进行定期检查。 </w:t>
            </w:r>
          </w:p>
          <w:p w14:paraId="0C68DEE4">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d.</w:t>
            </w:r>
            <w:r>
              <w:rPr>
                <w:rFonts w:hint="default" w:ascii="Times New Roman" w:hAnsi="Times New Roman" w:eastAsia="宋体" w:cs="Times New Roman"/>
                <w:color w:val="auto"/>
                <w:sz w:val="24"/>
                <w:szCs w:val="24"/>
                <w:highlight w:val="none"/>
                <w:u w:val="none" w:color="auto"/>
                <w:lang w:val="en-US" w:eastAsia="zh-CN" w:bidi="zh-CN"/>
              </w:rPr>
              <w:t xml:space="preserve">废油液泄漏时，由经过训练的人员穿消防防护服、切断泄漏源。 </w:t>
            </w:r>
          </w:p>
          <w:p w14:paraId="7C1F3B5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e.</w:t>
            </w:r>
            <w:r>
              <w:rPr>
                <w:rFonts w:hint="default" w:ascii="Times New Roman" w:hAnsi="Times New Roman" w:eastAsia="宋体" w:cs="Times New Roman"/>
                <w:color w:val="auto"/>
                <w:sz w:val="24"/>
                <w:szCs w:val="24"/>
                <w:highlight w:val="none"/>
                <w:u w:val="none" w:color="auto"/>
                <w:lang w:val="en-US" w:eastAsia="zh-CN" w:bidi="zh-CN"/>
              </w:rPr>
              <w:t xml:space="preserve">危险废物设置专人看管，防止危废流失进入外环境。 </w:t>
            </w:r>
          </w:p>
          <w:p w14:paraId="4DA1D0E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f.</w:t>
            </w:r>
            <w:r>
              <w:rPr>
                <w:rFonts w:hint="default" w:ascii="Times New Roman" w:hAnsi="Times New Roman" w:eastAsia="宋体" w:cs="Times New Roman"/>
                <w:color w:val="auto"/>
                <w:sz w:val="24"/>
                <w:szCs w:val="24"/>
                <w:highlight w:val="none"/>
                <w:u w:val="none" w:color="auto"/>
                <w:lang w:val="en-US" w:eastAsia="zh-CN" w:bidi="zh-CN"/>
              </w:rPr>
              <w:t xml:space="preserve">废油液分别桶装收集后，分类暂存于废油液贮存库内，定期交由有资质的单位进行处理。 </w:t>
            </w:r>
          </w:p>
          <w:p w14:paraId="2D701B1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g.</w:t>
            </w:r>
            <w:r>
              <w:rPr>
                <w:rFonts w:hint="default" w:ascii="Times New Roman" w:hAnsi="Times New Roman" w:eastAsia="宋体" w:cs="Times New Roman"/>
                <w:color w:val="auto"/>
                <w:sz w:val="24"/>
                <w:szCs w:val="24"/>
                <w:highlight w:val="none"/>
                <w:u w:val="none" w:color="auto"/>
                <w:lang w:val="en-US" w:eastAsia="zh-CN" w:bidi="zh-CN"/>
              </w:rPr>
              <w:t xml:space="preserve">危险废物实行危险废物转移联单制度，送资质单位处理。本项目只负责对危险废物的收集，运输车辆由接收单位提供。厂区建立危险废物台账制度。 </w:t>
            </w:r>
          </w:p>
          <w:p w14:paraId="7E3006B2">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6</w:t>
            </w:r>
            <w:r>
              <w:rPr>
                <w:rFonts w:hint="default" w:ascii="Times New Roman" w:hAnsi="Times New Roman" w:eastAsia="宋体" w:cs="Times New Roman"/>
                <w:color w:val="auto"/>
                <w:sz w:val="24"/>
                <w:szCs w:val="24"/>
                <w:highlight w:val="none"/>
                <w:u w:val="none" w:color="auto"/>
                <w:lang w:val="en-US" w:eastAsia="zh-CN" w:bidi="zh-CN"/>
              </w:rPr>
              <w:t xml:space="preserve">）易燃易爆物品贮存区事故风险防范措施 </w:t>
            </w:r>
          </w:p>
          <w:p w14:paraId="747F38E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 xml:space="preserve">易燃易爆物品贮存区在总图布置上有足够的防火距离，其与回收车间和交通路线的距离，与其他建筑物之间的距离符合规范要求； </w:t>
            </w:r>
          </w:p>
          <w:p w14:paraId="68BBC18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 xml:space="preserve">贮存区周围设置环形的消防通道，合理进行竖向布置、排雨水、排洪设计； </w:t>
            </w:r>
          </w:p>
          <w:p w14:paraId="6426271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c.</w:t>
            </w:r>
            <w:r>
              <w:rPr>
                <w:rFonts w:hint="default" w:ascii="Times New Roman" w:hAnsi="Times New Roman" w:eastAsia="宋体" w:cs="Times New Roman"/>
                <w:color w:val="auto"/>
                <w:sz w:val="24"/>
                <w:szCs w:val="24"/>
                <w:highlight w:val="none"/>
                <w:u w:val="none" w:color="auto"/>
                <w:lang w:val="en-US" w:eastAsia="zh-CN" w:bidi="zh-CN"/>
              </w:rPr>
              <w:t xml:space="preserve">做好储气瓶的防雷、防静电、保护和工作接地设计，满足有关规范要求； </w:t>
            </w:r>
          </w:p>
          <w:p w14:paraId="50D78D8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d.</w:t>
            </w:r>
            <w:r>
              <w:rPr>
                <w:rFonts w:hint="default" w:ascii="Times New Roman" w:hAnsi="Times New Roman" w:eastAsia="宋体" w:cs="Times New Roman"/>
                <w:color w:val="auto"/>
                <w:sz w:val="24"/>
                <w:szCs w:val="24"/>
                <w:highlight w:val="none"/>
                <w:u w:val="none" w:color="auto"/>
                <w:lang w:val="en-US" w:eastAsia="zh-CN" w:bidi="zh-CN"/>
              </w:rPr>
              <w:t xml:space="preserve">建议辅料间安装可燃气体检测报警装置。 </w:t>
            </w:r>
          </w:p>
          <w:p w14:paraId="1E2A23A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e.</w:t>
            </w:r>
            <w:r>
              <w:rPr>
                <w:rFonts w:hint="default" w:ascii="Times New Roman" w:hAnsi="Times New Roman" w:eastAsia="宋体" w:cs="Times New Roman"/>
                <w:color w:val="auto"/>
                <w:sz w:val="24"/>
                <w:szCs w:val="24"/>
                <w:highlight w:val="none"/>
                <w:u w:val="none" w:color="auto"/>
                <w:lang w:val="en-US" w:eastAsia="zh-CN" w:bidi="zh-CN"/>
              </w:rPr>
              <w:t>控制与消除火源：企业必须划定禁火区域，并制定</w:t>
            </w:r>
            <w:r>
              <w:rPr>
                <w:rFonts w:hint="eastAsia" w:cs="Times New Roman"/>
                <w:color w:val="auto"/>
                <w:sz w:val="24"/>
                <w:szCs w:val="24"/>
                <w:highlight w:val="none"/>
                <w:u w:val="none" w:color="auto"/>
                <w:lang w:val="en-US" w:eastAsia="zh-CN" w:bidi="zh-CN"/>
              </w:rPr>
              <w:t>影响</w:t>
            </w:r>
            <w:r>
              <w:rPr>
                <w:rFonts w:hint="default" w:ascii="Times New Roman" w:hAnsi="Times New Roman" w:eastAsia="宋体" w:cs="Times New Roman"/>
                <w:color w:val="auto"/>
                <w:sz w:val="24"/>
                <w:szCs w:val="24"/>
                <w:highlight w:val="none"/>
                <w:u w:val="none" w:color="auto"/>
                <w:lang w:val="en-US" w:eastAsia="zh-CN" w:bidi="zh-CN"/>
              </w:rPr>
              <w:t>管理制度。严禁在易燃易爆区吸烟、</w:t>
            </w:r>
            <w:r>
              <w:rPr>
                <w:rFonts w:hint="eastAsia" w:cs="Times New Roman"/>
                <w:color w:val="auto"/>
                <w:sz w:val="24"/>
                <w:szCs w:val="24"/>
                <w:highlight w:val="none"/>
                <w:u w:val="none" w:color="auto"/>
                <w:lang w:val="en-US" w:eastAsia="zh-CN" w:bidi="zh-CN"/>
              </w:rPr>
              <w:t>携带火种、穿戴</w:t>
            </w:r>
            <w:r>
              <w:rPr>
                <w:rFonts w:hint="default" w:ascii="Times New Roman" w:hAnsi="Times New Roman" w:eastAsia="宋体" w:cs="Times New Roman"/>
                <w:color w:val="auto"/>
                <w:sz w:val="24"/>
                <w:szCs w:val="24"/>
                <w:highlight w:val="none"/>
                <w:u w:val="none" w:color="auto"/>
                <w:lang w:val="en-US" w:eastAsia="zh-CN" w:bidi="zh-CN"/>
              </w:rPr>
              <w:t>钉皮鞋、穿化纤衣服等。使用防爆型电器，严禁</w:t>
            </w:r>
            <w:r>
              <w:rPr>
                <w:rFonts w:hint="eastAsia" w:cs="Times New Roman"/>
                <w:color w:val="auto"/>
                <w:sz w:val="24"/>
                <w:szCs w:val="24"/>
                <w:highlight w:val="none"/>
                <w:u w:val="none" w:color="auto"/>
                <w:lang w:val="en-US" w:eastAsia="zh-CN" w:bidi="zh-CN"/>
              </w:rPr>
              <w:t>钢质</w:t>
            </w:r>
            <w:r>
              <w:rPr>
                <w:rFonts w:hint="default" w:ascii="Times New Roman" w:hAnsi="Times New Roman" w:eastAsia="宋体" w:cs="Times New Roman"/>
                <w:color w:val="auto"/>
                <w:sz w:val="24"/>
                <w:szCs w:val="24"/>
                <w:highlight w:val="none"/>
                <w:u w:val="none" w:color="auto"/>
                <w:lang w:val="en-US" w:eastAsia="zh-CN" w:bidi="zh-CN"/>
              </w:rPr>
              <w:t xml:space="preserve">工具的敲打、撞击、抛掷，并安装避雷装置。 </w:t>
            </w:r>
          </w:p>
          <w:p w14:paraId="5AED7EF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f.</w:t>
            </w:r>
            <w:r>
              <w:rPr>
                <w:rFonts w:hint="default" w:ascii="Times New Roman" w:hAnsi="Times New Roman" w:eastAsia="宋体" w:cs="Times New Roman"/>
                <w:color w:val="auto"/>
                <w:sz w:val="24"/>
                <w:szCs w:val="24"/>
                <w:highlight w:val="none"/>
                <w:u w:val="none" w:color="auto"/>
                <w:lang w:val="en-US" w:eastAsia="zh-CN" w:bidi="zh-CN"/>
              </w:rPr>
              <w:t xml:space="preserve">严格控制设备质量及安装质量：罐、器、泵、管线等设备及其配套仪表选用合格产品对设备、管线等定期检查、保养、维修。 </w:t>
            </w:r>
          </w:p>
          <w:p w14:paraId="641DE3A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g.</w:t>
            </w:r>
            <w:r>
              <w:rPr>
                <w:rFonts w:hint="default" w:ascii="Times New Roman" w:hAnsi="Times New Roman" w:eastAsia="宋体" w:cs="Times New Roman"/>
                <w:color w:val="auto"/>
                <w:sz w:val="24"/>
                <w:szCs w:val="24"/>
                <w:highlight w:val="none"/>
                <w:u w:val="none" w:color="auto"/>
                <w:lang w:val="en-US" w:eastAsia="zh-CN" w:bidi="zh-CN"/>
              </w:rPr>
              <w:t xml:space="preserve">严格按防火、防爆设计规范的要求进行设计，按规范设置消防系统，配置相应的灭火装置和设施，并保持完好。设置火灾报警系统，该系统由火灾报警控制器、火灾探测器、手动报警按钮等组成，以利于自动预警和及时组织灭火扑救。 </w:t>
            </w:r>
          </w:p>
          <w:p w14:paraId="75AA04A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h.</w:t>
            </w:r>
            <w:r>
              <w:rPr>
                <w:rFonts w:hint="default" w:ascii="Times New Roman" w:hAnsi="Times New Roman" w:eastAsia="宋体" w:cs="Times New Roman"/>
                <w:color w:val="auto"/>
                <w:sz w:val="24"/>
                <w:szCs w:val="24"/>
                <w:highlight w:val="none"/>
                <w:u w:val="none" w:color="auto"/>
                <w:lang w:val="en-US" w:eastAsia="zh-CN" w:bidi="zh-CN"/>
              </w:rPr>
              <w:t xml:space="preserve">加强管理：遵守各项规章制度和操作规程，严格执行岗位责任制。坚持巡回检查，发现问题及时处理。 </w:t>
            </w:r>
          </w:p>
          <w:p w14:paraId="4F0D6D92">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7</w:t>
            </w:r>
            <w:r>
              <w:rPr>
                <w:rFonts w:hint="default" w:ascii="Times New Roman" w:hAnsi="Times New Roman" w:eastAsia="宋体" w:cs="Times New Roman"/>
                <w:color w:val="auto"/>
                <w:sz w:val="24"/>
                <w:szCs w:val="24"/>
                <w:highlight w:val="none"/>
                <w:u w:val="none" w:color="auto"/>
                <w:lang w:val="en-US" w:eastAsia="zh-CN" w:bidi="zh-CN"/>
              </w:rPr>
              <w:t xml:space="preserve">）事故防范措施 </w:t>
            </w:r>
          </w:p>
          <w:p w14:paraId="516A446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a.</w:t>
            </w:r>
            <w:r>
              <w:rPr>
                <w:rFonts w:hint="default" w:ascii="Times New Roman" w:hAnsi="Times New Roman" w:eastAsia="宋体" w:cs="Times New Roman"/>
                <w:color w:val="auto"/>
                <w:sz w:val="24"/>
                <w:szCs w:val="24"/>
                <w:highlight w:val="none"/>
                <w:u w:val="none" w:color="auto"/>
                <w:lang w:val="en-US" w:eastAsia="zh-CN" w:bidi="zh-CN"/>
              </w:rPr>
              <w:t xml:space="preserve">厂区配备灭火器； </w:t>
            </w:r>
          </w:p>
          <w:p w14:paraId="31B1EA8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b.</w:t>
            </w:r>
            <w:r>
              <w:rPr>
                <w:rFonts w:hint="default" w:ascii="Times New Roman" w:hAnsi="Times New Roman" w:eastAsia="宋体" w:cs="Times New Roman"/>
                <w:color w:val="auto"/>
                <w:sz w:val="24"/>
                <w:szCs w:val="24"/>
                <w:highlight w:val="none"/>
                <w:u w:val="none" w:color="auto"/>
                <w:lang w:val="en-US" w:eastAsia="zh-CN" w:bidi="zh-CN"/>
              </w:rPr>
              <w:t xml:space="preserve">拆解车间为防止废油泄漏，在车间内设置截污沟，与事故池连通，收集后与危险固废一起处理。 </w:t>
            </w:r>
          </w:p>
          <w:p w14:paraId="11B94DF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zh-CN" w:bidi="zh-CN"/>
              </w:rPr>
            </w:pPr>
            <w:r>
              <w:rPr>
                <w:rFonts w:hint="eastAsia" w:cs="Times New Roman"/>
                <w:color w:val="auto"/>
                <w:sz w:val="24"/>
                <w:szCs w:val="24"/>
                <w:highlight w:val="none"/>
                <w:u w:val="none" w:color="auto"/>
                <w:lang w:val="en-US" w:eastAsia="zh-CN" w:bidi="zh-CN"/>
              </w:rPr>
              <w:t>c.</w:t>
            </w:r>
            <w:r>
              <w:rPr>
                <w:rFonts w:hint="default" w:ascii="Times New Roman" w:hAnsi="Times New Roman" w:eastAsia="宋体" w:cs="Times New Roman"/>
                <w:color w:val="auto"/>
                <w:sz w:val="24"/>
                <w:szCs w:val="24"/>
                <w:highlight w:val="none"/>
                <w:u w:val="none" w:color="auto"/>
                <w:lang w:val="en-US" w:eastAsia="zh-CN" w:bidi="zh-CN"/>
              </w:rPr>
              <w:t>本项目事故池有效容积为</w:t>
            </w:r>
            <w:r>
              <w:rPr>
                <w:rFonts w:hint="eastAsia" w:cs="Times New Roman"/>
                <w:color w:val="auto"/>
                <w:sz w:val="24"/>
                <w:szCs w:val="24"/>
                <w:highlight w:val="none"/>
                <w:u w:val="none" w:color="auto"/>
                <w:lang w:val="en-US" w:eastAsia="zh-CN" w:bidi="zh-CN"/>
              </w:rPr>
              <w:t>50</w:t>
            </w:r>
            <w:r>
              <w:rPr>
                <w:rFonts w:hint="default" w:ascii="Times New Roman" w:hAnsi="Times New Roman" w:eastAsia="宋体" w:cs="Times New Roman"/>
                <w:color w:val="auto"/>
                <w:sz w:val="24"/>
                <w:szCs w:val="24"/>
                <w:highlight w:val="none"/>
                <w:u w:val="none" w:color="auto"/>
                <w:lang w:val="en-US" w:eastAsia="zh-CN" w:bidi="zh-CN"/>
              </w:rPr>
              <w:t>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 xml:space="preserve">。发生事故时及时将废水导流至事故池，待事故处理完毕后再将事故池中的废水引入废水处理设备处理达标后排放。收集的泄漏废油或废酸应按危险废物进行管理。 </w:t>
            </w:r>
          </w:p>
          <w:p w14:paraId="4D188D8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eastAsia" w:cs="Times New Roman"/>
                <w:color w:val="auto"/>
                <w:sz w:val="24"/>
                <w:szCs w:val="24"/>
                <w:highlight w:val="none"/>
                <w:u w:val="none" w:color="auto"/>
                <w:lang w:val="en-US" w:eastAsia="zh-CN" w:bidi="zh-CN"/>
              </w:rPr>
              <w:t>d.</w:t>
            </w:r>
            <w:r>
              <w:rPr>
                <w:rFonts w:hint="default" w:ascii="Times New Roman" w:hAnsi="Times New Roman" w:eastAsia="宋体" w:cs="Times New Roman"/>
                <w:color w:val="auto"/>
                <w:sz w:val="24"/>
                <w:szCs w:val="24"/>
                <w:highlight w:val="none"/>
                <w:u w:val="none" w:color="auto"/>
                <w:lang w:val="en-US" w:eastAsia="zh-CN" w:bidi="zh-CN"/>
              </w:rPr>
              <w:t xml:space="preserve">本项目在运营过程中安排专人对排污管、水池定时、定期进行检查，同时加强对环保设施的运行管理，一旦发现隐患应当及时报告和排除，当出现废水事故排放时，应立即将水引入事故池，同时组织人力抢修，排除故障，尽量缩短事故排放时间。 </w:t>
            </w:r>
          </w:p>
          <w:p w14:paraId="3F680F0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cs="Times New Roman"/>
                <w:color w:val="auto"/>
                <w:sz w:val="24"/>
                <w:szCs w:val="24"/>
                <w:highlight w:val="none"/>
                <w:u w:val="none" w:color="auto"/>
                <w:lang w:val="en-US" w:eastAsia="zh-CN" w:bidi="zh-CN"/>
              </w:rPr>
            </w:pPr>
            <w:r>
              <w:rPr>
                <w:rFonts w:hint="eastAsia" w:cs="Times New Roman"/>
                <w:color w:val="auto"/>
                <w:sz w:val="24"/>
                <w:szCs w:val="24"/>
                <w:highlight w:val="none"/>
                <w:u w:val="none" w:color="auto"/>
                <w:lang w:val="en-US" w:eastAsia="zh-CN" w:bidi="zh-CN"/>
              </w:rPr>
              <w:t>8）三级防控</w:t>
            </w:r>
          </w:p>
          <w:p w14:paraId="49DA1A0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①一级防控：</w:t>
            </w:r>
          </w:p>
          <w:p w14:paraId="19AF451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一级防控措施为厂区采取有效分区防控措施，危废贮存库、快拆区、预处理区、废水处理站、初期雨水池、事故水池采取重点防渗；</w:t>
            </w:r>
            <w:r>
              <w:rPr>
                <w:rFonts w:hint="eastAsia" w:ascii="Times New Roman" w:hAnsi="Times New Roman" w:eastAsia="宋体" w:cs="Times New Roman"/>
                <w:color w:val="auto"/>
                <w:sz w:val="24"/>
                <w:szCs w:val="24"/>
                <w:highlight w:val="none"/>
                <w:u w:val="none" w:color="auto"/>
                <w:lang w:val="en-US" w:eastAsia="zh-CN" w:bidi="zh-CN"/>
              </w:rPr>
              <w:t>报废车辆</w:t>
            </w:r>
            <w:r>
              <w:rPr>
                <w:rFonts w:hint="default" w:ascii="Times New Roman" w:hAnsi="Times New Roman" w:eastAsia="宋体" w:cs="Times New Roman"/>
                <w:color w:val="auto"/>
                <w:sz w:val="24"/>
                <w:szCs w:val="24"/>
                <w:highlight w:val="none"/>
                <w:u w:val="none" w:color="auto"/>
                <w:lang w:val="en-US" w:eastAsia="zh-CN" w:bidi="zh-CN"/>
              </w:rPr>
              <w:t>暂存区采取</w:t>
            </w:r>
            <w:r>
              <w:rPr>
                <w:rFonts w:hint="eastAsia" w:ascii="Times New Roman" w:hAnsi="Times New Roman" w:eastAsia="宋体" w:cs="Times New Roman"/>
                <w:color w:val="auto"/>
                <w:sz w:val="24"/>
                <w:szCs w:val="24"/>
                <w:highlight w:val="none"/>
                <w:u w:val="none" w:color="auto"/>
                <w:lang w:val="en-US" w:eastAsia="zh-CN" w:bidi="zh-CN"/>
              </w:rPr>
              <w:t>一般防渗</w:t>
            </w:r>
            <w:r>
              <w:rPr>
                <w:rFonts w:hint="default" w:ascii="Times New Roman" w:hAnsi="Times New Roman" w:eastAsia="宋体" w:cs="Times New Roman"/>
                <w:color w:val="auto"/>
                <w:sz w:val="24"/>
                <w:szCs w:val="24"/>
                <w:highlight w:val="none"/>
                <w:u w:val="none" w:color="auto"/>
                <w:lang w:val="en-US" w:eastAsia="zh-CN" w:bidi="zh-CN"/>
              </w:rPr>
              <w:t>；其他区域采取简单防渗。</w:t>
            </w:r>
          </w:p>
          <w:p w14:paraId="3610C4B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eastAsia="宋体" w:cs="Times New Roman"/>
                <w:color w:val="auto"/>
                <w:sz w:val="24"/>
                <w:szCs w:val="24"/>
                <w:highlight w:val="none"/>
                <w:u w:val="none" w:color="auto"/>
                <w:lang w:val="en-US" w:eastAsia="zh-CN" w:bidi="zh-CN"/>
              </w:rPr>
            </w:pPr>
            <w:r>
              <w:rPr>
                <w:rFonts w:hint="eastAsia" w:eastAsia="宋体" w:cs="Times New Roman"/>
                <w:color w:val="auto"/>
                <w:sz w:val="24"/>
                <w:szCs w:val="24"/>
                <w:highlight w:val="none"/>
                <w:u w:val="none" w:color="auto"/>
                <w:lang w:val="en-US" w:eastAsia="zh-CN" w:bidi="zh-CN"/>
              </w:rPr>
              <w:t>②二级防控：</w:t>
            </w:r>
          </w:p>
          <w:p w14:paraId="5541E72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eastAsia="宋体" w:cs="Times New Roman"/>
                <w:color w:val="auto"/>
                <w:sz w:val="24"/>
                <w:szCs w:val="24"/>
                <w:highlight w:val="none"/>
                <w:u w:val="none" w:color="auto"/>
                <w:lang w:val="en-US" w:eastAsia="zh-CN" w:bidi="zh-CN"/>
              </w:rPr>
            </w:pPr>
            <w:r>
              <w:rPr>
                <w:rFonts w:hint="eastAsia" w:eastAsia="宋体" w:cs="Times New Roman"/>
                <w:color w:val="auto"/>
                <w:sz w:val="24"/>
                <w:szCs w:val="24"/>
                <w:highlight w:val="none"/>
                <w:u w:val="none" w:color="auto"/>
                <w:lang w:val="en-US" w:eastAsia="zh-CN" w:bidi="zh-CN"/>
              </w:rPr>
              <w:t>二级防控措施将污染物控制在拆解车间内，在危险废物贮存库内修建泄漏物导流沟和收集池，泄漏物可沿导流沟进入收集池内，收集池大小满足泄漏物料的最大贮存量。</w:t>
            </w:r>
          </w:p>
          <w:p w14:paraId="215E506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eastAsia="宋体" w:cs="Times New Roman"/>
                <w:color w:val="auto"/>
                <w:sz w:val="24"/>
                <w:szCs w:val="24"/>
                <w:highlight w:val="none"/>
                <w:u w:val="none" w:color="auto"/>
                <w:lang w:val="en-US" w:eastAsia="zh-CN" w:bidi="zh-CN"/>
              </w:rPr>
            </w:pPr>
            <w:r>
              <w:rPr>
                <w:rFonts w:hint="eastAsia" w:eastAsia="宋体" w:cs="Times New Roman"/>
                <w:color w:val="auto"/>
                <w:sz w:val="24"/>
                <w:szCs w:val="24"/>
                <w:highlight w:val="none"/>
                <w:u w:val="none" w:color="auto"/>
                <w:lang w:val="en-US" w:eastAsia="zh-CN" w:bidi="zh-CN"/>
              </w:rPr>
              <w:t>③三级防控：</w:t>
            </w:r>
          </w:p>
          <w:p w14:paraId="1FEF72EC">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eastAsia="宋体" w:cs="Times New Roman"/>
                <w:color w:val="auto"/>
                <w:sz w:val="24"/>
                <w:szCs w:val="24"/>
                <w:highlight w:val="none"/>
                <w:u w:val="none" w:color="auto"/>
                <w:lang w:val="en-US" w:eastAsia="zh-CN" w:bidi="zh-CN"/>
              </w:rPr>
            </w:pPr>
            <w:r>
              <w:rPr>
                <w:rFonts w:hint="eastAsia" w:eastAsia="宋体" w:cs="Times New Roman"/>
                <w:color w:val="auto"/>
                <w:sz w:val="24"/>
                <w:szCs w:val="24"/>
                <w:highlight w:val="none"/>
                <w:u w:val="none" w:color="auto"/>
                <w:lang w:val="en-US" w:eastAsia="zh-CN" w:bidi="zh-CN"/>
              </w:rPr>
              <w:t>三级防控措施为设置事故池。在较大事故时将污染物控制在厂区内，防止造成环境污染。防控措施：在厂区建有足够容量的事故排放池，切断污染物与外部的通道，导入事故应急处理系统，将污染控制在厂内，防止较大事故泄漏物料和污染消防水造成的环境污染事故。</w:t>
            </w:r>
          </w:p>
          <w:p w14:paraId="3E886AB7">
            <w:pPr>
              <w:pStyle w:val="73"/>
              <w:keepNext w:val="0"/>
              <w:keepLines w:val="0"/>
              <w:suppressLineNumbers w:val="0"/>
              <w:spacing w:before="1" w:beforeAutospacing="0" w:after="0" w:afterAutospacing="0" w:line="343" w:lineRule="auto"/>
              <w:ind w:left="113" w:right="107" w:firstLine="480"/>
              <w:rPr>
                <w:rFonts w:hint="default"/>
                <w:color w:val="auto"/>
              </w:rPr>
            </w:pPr>
            <w:r>
              <w:rPr>
                <w:rFonts w:hint="default"/>
                <w:color w:val="auto"/>
                <w:spacing w:val="1"/>
              </w:rPr>
              <w:t>根据《事故状态下水体污染的预防和控制规范》（</w:t>
            </w:r>
            <w:r>
              <w:rPr>
                <w:rFonts w:hint="default" w:ascii="Times New Roman" w:hAnsi="Times New Roman" w:eastAsia="Times New Roman" w:cs="Times New Roman"/>
                <w:color w:val="auto"/>
                <w:spacing w:val="1"/>
              </w:rPr>
              <w:t>Q/</w:t>
            </w:r>
            <w:r>
              <w:rPr>
                <w:rFonts w:hint="default" w:ascii="Times New Roman" w:hAnsi="Times New Roman" w:eastAsia="Times New Roman" w:cs="Times New Roman"/>
                <w:color w:val="auto"/>
              </w:rPr>
              <w:t>SY</w:t>
            </w:r>
            <w:r>
              <w:rPr>
                <w:rFonts w:hint="default" w:ascii="Times New Roman" w:hAnsi="Times New Roman" w:eastAsia="Times New Roman" w:cs="Times New Roman"/>
                <w:color w:val="auto"/>
                <w:spacing w:val="1"/>
              </w:rPr>
              <w:t>08190-2019</w:t>
            </w:r>
            <w:r>
              <w:rPr>
                <w:rFonts w:hint="default"/>
                <w:color w:val="auto"/>
                <w:spacing w:val="1"/>
              </w:rPr>
              <w:t>）事故水</w:t>
            </w:r>
            <w:r>
              <w:rPr>
                <w:rFonts w:hint="default"/>
                <w:color w:val="auto"/>
                <w:spacing w:val="-1"/>
              </w:rPr>
              <w:t>池有效容积的确定公式为：</w:t>
            </w:r>
          </w:p>
          <w:p w14:paraId="59706EEA">
            <w:pPr>
              <w:pStyle w:val="73"/>
              <w:keepNext w:val="0"/>
              <w:keepLines w:val="0"/>
              <w:suppressLineNumbers w:val="0"/>
              <w:spacing w:before="0" w:beforeAutospacing="0" w:after="0" w:afterAutospacing="0" w:line="322" w:lineRule="exact"/>
              <w:ind w:left="2858" w:right="0"/>
              <w:rPr>
                <w:rFonts w:hint="default" w:ascii="Times New Roman" w:hAnsi="Times New Roman" w:eastAsia="Times New Roman" w:cs="Times New Roman"/>
                <w:color w:val="auto"/>
                <w:sz w:val="15"/>
                <w:szCs w:val="15"/>
              </w:rPr>
            </w:pPr>
            <w:r>
              <w:rPr>
                <w:rFonts w:hint="default" w:ascii="Times New Roman" w:hAnsi="Times New Roman" w:eastAsia="Times New Roman" w:cs="Times New Roman"/>
                <w:color w:val="auto"/>
                <w:spacing w:val="-4"/>
                <w:position w:val="2"/>
              </w:rPr>
              <w:t>V</w:t>
            </w:r>
            <w:r>
              <w:rPr>
                <w:rFonts w:hint="default" w:ascii="Times New Roman" w:hAnsi="Times New Roman" w:eastAsia="Times New Roman" w:cs="Times New Roman"/>
                <w:color w:val="auto"/>
                <w:spacing w:val="15"/>
                <w:position w:val="2"/>
              </w:rPr>
              <w:t xml:space="preserve"> </w:t>
            </w:r>
            <w:r>
              <w:rPr>
                <w:rFonts w:hint="default"/>
                <w:color w:val="auto"/>
                <w:spacing w:val="-4"/>
                <w:position w:val="-1"/>
                <w:sz w:val="12"/>
                <w:szCs w:val="12"/>
              </w:rPr>
              <w:t>总</w:t>
            </w:r>
            <w:r>
              <w:rPr>
                <w:rFonts w:hint="default" w:ascii="Times New Roman" w:hAnsi="Times New Roman" w:eastAsia="Times New Roman" w:cs="Times New Roman"/>
                <w:color w:val="auto"/>
                <w:spacing w:val="-4"/>
                <w:position w:val="2"/>
              </w:rPr>
              <w:t>=</w:t>
            </w:r>
            <w:r>
              <w:rPr>
                <w:rFonts w:hint="default"/>
                <w:color w:val="auto"/>
                <w:spacing w:val="1"/>
                <w:position w:val="2"/>
              </w:rPr>
              <w:t>（</w:t>
            </w:r>
            <w:r>
              <w:rPr>
                <w:rFonts w:hint="default" w:ascii="Times New Roman" w:hAnsi="Times New Roman" w:eastAsia="Times New Roman" w:cs="Times New Roman"/>
                <w:color w:val="auto"/>
                <w:spacing w:val="1"/>
                <w:position w:val="2"/>
              </w:rPr>
              <w:t>V</w:t>
            </w:r>
            <w:r>
              <w:rPr>
                <w:rFonts w:hint="default" w:ascii="Times New Roman" w:hAnsi="Times New Roman" w:eastAsia="Times New Roman" w:cs="Times New Roman"/>
                <w:color w:val="auto"/>
                <w:spacing w:val="1"/>
                <w:position w:val="1"/>
                <w:sz w:val="15"/>
                <w:szCs w:val="15"/>
              </w:rPr>
              <w:t>1</w:t>
            </w:r>
            <w:r>
              <w:rPr>
                <w:rFonts w:hint="default" w:ascii="Times New Roman" w:hAnsi="Times New Roman" w:eastAsia="Times New Roman" w:cs="Times New Roman"/>
                <w:color w:val="auto"/>
                <w:spacing w:val="1"/>
                <w:position w:val="2"/>
              </w:rPr>
              <w:t>+V</w:t>
            </w:r>
            <w:r>
              <w:rPr>
                <w:rFonts w:hint="default" w:ascii="Times New Roman" w:hAnsi="Times New Roman" w:eastAsia="Times New Roman" w:cs="Times New Roman"/>
                <w:color w:val="auto"/>
                <w:spacing w:val="1"/>
                <w:position w:val="1"/>
                <w:sz w:val="15"/>
                <w:szCs w:val="15"/>
              </w:rPr>
              <w:t>2</w:t>
            </w:r>
            <w:r>
              <w:rPr>
                <w:rFonts w:hint="default" w:ascii="Times New Roman" w:hAnsi="Times New Roman" w:eastAsia="Times New Roman" w:cs="Times New Roman"/>
                <w:color w:val="auto"/>
                <w:spacing w:val="1"/>
                <w:position w:val="2"/>
              </w:rPr>
              <w:t>-V</w:t>
            </w:r>
            <w:r>
              <w:rPr>
                <w:rFonts w:hint="default" w:ascii="Times New Roman" w:hAnsi="Times New Roman" w:eastAsia="Times New Roman" w:cs="Times New Roman"/>
                <w:color w:val="auto"/>
                <w:spacing w:val="1"/>
                <w:position w:val="2"/>
                <w:sz w:val="15"/>
                <w:szCs w:val="15"/>
              </w:rPr>
              <w:t>3</w:t>
            </w:r>
            <w:r>
              <w:rPr>
                <w:rFonts w:hint="default"/>
                <w:color w:val="auto"/>
                <w:spacing w:val="1"/>
                <w:position w:val="2"/>
              </w:rPr>
              <w:t>）</w:t>
            </w:r>
            <w:r>
              <w:rPr>
                <w:rFonts w:hint="default" w:ascii="Times New Roman" w:hAnsi="Times New Roman" w:eastAsia="Times New Roman" w:cs="Times New Roman"/>
                <w:color w:val="auto"/>
                <w:position w:val="1"/>
                <w:sz w:val="15"/>
                <w:szCs w:val="15"/>
              </w:rPr>
              <w:t>max</w:t>
            </w:r>
            <w:r>
              <w:rPr>
                <w:rFonts w:hint="default" w:ascii="Times New Roman" w:hAnsi="Times New Roman" w:eastAsia="Times New Roman" w:cs="Times New Roman"/>
                <w:color w:val="auto"/>
                <w:spacing w:val="1"/>
                <w:position w:val="2"/>
              </w:rPr>
              <w:t>+V</w:t>
            </w:r>
            <w:r>
              <w:rPr>
                <w:rFonts w:hint="default" w:ascii="Times New Roman" w:hAnsi="Times New Roman" w:eastAsia="Times New Roman" w:cs="Times New Roman"/>
                <w:color w:val="auto"/>
                <w:spacing w:val="1"/>
                <w:position w:val="1"/>
                <w:sz w:val="15"/>
                <w:szCs w:val="15"/>
              </w:rPr>
              <w:t>4</w:t>
            </w:r>
            <w:r>
              <w:rPr>
                <w:rFonts w:hint="default" w:ascii="Times New Roman" w:hAnsi="Times New Roman" w:eastAsia="Times New Roman" w:cs="Times New Roman"/>
                <w:color w:val="auto"/>
                <w:spacing w:val="1"/>
                <w:position w:val="2"/>
              </w:rPr>
              <w:t>+V</w:t>
            </w:r>
            <w:r>
              <w:rPr>
                <w:rFonts w:hint="default" w:ascii="Times New Roman" w:hAnsi="Times New Roman" w:eastAsia="Times New Roman" w:cs="Times New Roman"/>
                <w:color w:val="auto"/>
                <w:spacing w:val="1"/>
                <w:position w:val="1"/>
                <w:sz w:val="15"/>
                <w:szCs w:val="15"/>
              </w:rPr>
              <w:t>5</w:t>
            </w:r>
          </w:p>
          <w:p w14:paraId="1626DAF0">
            <w:pPr>
              <w:pStyle w:val="73"/>
              <w:keepNext w:val="0"/>
              <w:keepLines w:val="0"/>
              <w:suppressLineNumbers w:val="0"/>
              <w:spacing w:before="145" w:beforeAutospacing="0" w:after="0" w:afterAutospacing="0" w:line="323" w:lineRule="exact"/>
              <w:ind w:left="3614" w:right="0"/>
              <w:rPr>
                <w:rFonts w:hint="default"/>
                <w:color w:val="auto"/>
                <w:sz w:val="12"/>
                <w:szCs w:val="12"/>
              </w:rPr>
            </w:pPr>
            <w:r>
              <w:rPr>
                <w:rFonts w:hint="default" w:ascii="Times New Roman" w:hAnsi="Times New Roman" w:eastAsia="Times New Roman" w:cs="Times New Roman"/>
                <w:color w:val="auto"/>
                <w:spacing w:val="-1"/>
                <w:position w:val="3"/>
              </w:rPr>
              <w:t>V</w:t>
            </w:r>
            <w:r>
              <w:rPr>
                <w:rFonts w:hint="default" w:ascii="Times New Roman" w:hAnsi="Times New Roman" w:eastAsia="Times New Roman" w:cs="Times New Roman"/>
                <w:color w:val="auto"/>
                <w:spacing w:val="-1"/>
                <w:position w:val="2"/>
                <w:sz w:val="15"/>
                <w:szCs w:val="15"/>
              </w:rPr>
              <w:t>2</w:t>
            </w:r>
            <w:r>
              <w:rPr>
                <w:rFonts w:hint="default" w:ascii="Times New Roman" w:hAnsi="Times New Roman" w:eastAsia="Times New Roman" w:cs="Times New Roman"/>
                <w:color w:val="auto"/>
                <w:spacing w:val="-1"/>
                <w:position w:val="3"/>
              </w:rPr>
              <w:t>=</w:t>
            </w:r>
            <w:r>
              <w:rPr>
                <w:rFonts w:hint="default" w:ascii="Times New Roman" w:hAnsi="Times New Roman" w:eastAsia="Times New Roman" w:cs="Times New Roman"/>
                <w:color w:val="auto"/>
                <w:spacing w:val="-22"/>
                <w:position w:val="3"/>
              </w:rPr>
              <w:t xml:space="preserve"> </w:t>
            </w:r>
            <w:r>
              <w:rPr>
                <w:rFonts w:hint="default"/>
                <w:color w:val="auto"/>
                <w:spacing w:val="-18"/>
                <w:position w:val="3"/>
              </w:rPr>
              <w:t>∑</w:t>
            </w:r>
            <w:r>
              <w:rPr>
                <w:rFonts w:hint="default" w:ascii="Times New Roman" w:hAnsi="Times New Roman" w:eastAsia="Times New Roman" w:cs="Times New Roman"/>
                <w:color w:val="auto"/>
                <w:spacing w:val="-18"/>
                <w:position w:val="3"/>
              </w:rPr>
              <w:t>Q</w:t>
            </w:r>
            <w:r>
              <w:rPr>
                <w:rFonts w:hint="default" w:ascii="Times New Roman" w:hAnsi="Times New Roman" w:eastAsia="Times New Roman" w:cs="Times New Roman"/>
                <w:color w:val="auto"/>
                <w:spacing w:val="7"/>
                <w:position w:val="3"/>
              </w:rPr>
              <w:t xml:space="preserve"> </w:t>
            </w:r>
            <w:r>
              <w:rPr>
                <w:rFonts w:hint="default"/>
                <w:color w:val="auto"/>
                <w:spacing w:val="-7"/>
                <w:sz w:val="12"/>
                <w:szCs w:val="12"/>
              </w:rPr>
              <w:t>消</w:t>
            </w:r>
            <w:r>
              <w:rPr>
                <w:rFonts w:hint="default"/>
                <w:color w:val="auto"/>
                <w:spacing w:val="32"/>
                <w:sz w:val="12"/>
                <w:szCs w:val="12"/>
              </w:rPr>
              <w:t xml:space="preserve"> </w:t>
            </w:r>
            <w:r>
              <w:rPr>
                <w:rFonts w:hint="default"/>
                <w:color w:val="auto"/>
                <w:spacing w:val="-46"/>
                <w:position w:val="3"/>
              </w:rPr>
              <w:t>·</w:t>
            </w:r>
            <w:r>
              <w:rPr>
                <w:rFonts w:hint="default" w:ascii="Times New Roman" w:hAnsi="Times New Roman" w:eastAsia="Times New Roman" w:cs="Times New Roman"/>
                <w:color w:val="auto"/>
                <w:spacing w:val="-46"/>
                <w:position w:val="3"/>
              </w:rPr>
              <w:t>t</w:t>
            </w:r>
            <w:r>
              <w:rPr>
                <w:rFonts w:hint="default" w:ascii="Times New Roman" w:hAnsi="Times New Roman" w:eastAsia="Times New Roman" w:cs="Times New Roman"/>
                <w:color w:val="auto"/>
                <w:spacing w:val="7"/>
                <w:position w:val="3"/>
              </w:rPr>
              <w:t xml:space="preserve"> </w:t>
            </w:r>
            <w:r>
              <w:rPr>
                <w:rFonts w:hint="default"/>
                <w:color w:val="auto"/>
                <w:sz w:val="12"/>
                <w:szCs w:val="12"/>
              </w:rPr>
              <w:t>消</w:t>
            </w:r>
          </w:p>
          <w:p w14:paraId="7F334681">
            <w:pPr>
              <w:keepNext w:val="0"/>
              <w:keepLines w:val="0"/>
              <w:suppressLineNumbers w:val="0"/>
              <w:spacing w:before="145" w:beforeAutospacing="0" w:after="0" w:afterAutospacing="0" w:line="323" w:lineRule="exact"/>
              <w:ind w:left="3933" w:right="0"/>
              <w:rPr>
                <w:rFonts w:hint="default" w:ascii="Times New Roman" w:hAnsi="Times New Roman" w:eastAsia="Times New Roman" w:cs="Times New Roman"/>
                <w:color w:val="auto"/>
                <w:sz w:val="24"/>
                <w:szCs w:val="24"/>
              </w:rPr>
            </w:pPr>
            <w:r>
              <w:rPr>
                <w:rFonts w:hint="default" w:ascii="Times New Roman" w:hAnsi="Times New Roman" w:eastAsia="Times New Roman" w:cs="Times New Roman"/>
                <w:color w:val="auto"/>
                <w:spacing w:val="-1"/>
                <w:position w:val="4"/>
                <w:sz w:val="24"/>
                <w:szCs w:val="24"/>
              </w:rPr>
              <w:t>V</w:t>
            </w:r>
            <w:r>
              <w:rPr>
                <w:rFonts w:hint="default" w:ascii="Times New Roman" w:hAnsi="Times New Roman" w:eastAsia="Times New Roman" w:cs="Times New Roman"/>
                <w:color w:val="auto"/>
                <w:spacing w:val="-1"/>
                <w:position w:val="3"/>
                <w:sz w:val="15"/>
                <w:szCs w:val="15"/>
              </w:rPr>
              <w:t>5</w:t>
            </w:r>
            <w:r>
              <w:rPr>
                <w:rFonts w:hint="default" w:ascii="Times New Roman" w:hAnsi="Times New Roman" w:eastAsia="Times New Roman" w:cs="Times New Roman"/>
                <w:color w:val="auto"/>
                <w:spacing w:val="-1"/>
                <w:position w:val="4"/>
                <w:sz w:val="24"/>
                <w:szCs w:val="24"/>
              </w:rPr>
              <w:t>=</w:t>
            </w:r>
            <w:r>
              <w:rPr>
                <w:rFonts w:hint="default" w:ascii="Times New Roman" w:hAnsi="Times New Roman" w:eastAsia="Times New Roman" w:cs="Times New Roman"/>
                <w:color w:val="auto"/>
                <w:spacing w:val="-29"/>
                <w:position w:val="4"/>
                <w:sz w:val="24"/>
                <w:szCs w:val="24"/>
              </w:rPr>
              <w:t xml:space="preserve"> </w:t>
            </w:r>
            <w:r>
              <w:rPr>
                <w:rFonts w:hint="default" w:ascii="Times New Roman" w:hAnsi="Times New Roman" w:eastAsia="Times New Roman" w:cs="Times New Roman"/>
                <w:color w:val="auto"/>
                <w:spacing w:val="-1"/>
                <w:position w:val="4"/>
                <w:sz w:val="24"/>
                <w:szCs w:val="24"/>
              </w:rPr>
              <w:t>10qf</w:t>
            </w:r>
          </w:p>
          <w:p w14:paraId="53E8F85A">
            <w:pPr>
              <w:keepNext w:val="0"/>
              <w:keepLines w:val="0"/>
              <w:suppressLineNumbers w:val="0"/>
              <w:spacing w:before="195" w:beforeAutospacing="0" w:after="0" w:afterAutospacing="0" w:line="449" w:lineRule="exact"/>
              <w:ind w:left="4027" w:right="0"/>
              <w:rPr>
                <w:rFonts w:hint="default"/>
                <w:color w:val="auto"/>
              </w:rPr>
            </w:pPr>
            <w:r>
              <w:rPr>
                <w:rFonts w:hint="default"/>
                <w:color w:val="auto"/>
                <w:position w:val="-9"/>
              </w:rPr>
              <w:pict>
                <v:shape id="_x0000_i1041" o:spt="75" type="#_x0000_t75" style="height:22.45pt;width:31.5pt;" filled="f" o:preferrelative="t" stroked="f" coordsize="21600,21600">
                  <v:path/>
                  <v:fill on="f" focussize="0,0"/>
                  <v:stroke on="f"/>
                  <v:imagedata r:id="rId24" o:title=""/>
                  <o:lock v:ext="edit" aspectratio="f"/>
                  <w10:wrap type="none"/>
                  <w10:anchorlock/>
                </v:shape>
              </w:pict>
            </w:r>
          </w:p>
          <w:p w14:paraId="30D2A62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式中：V 总——事故缓冲设施总有效容积，m3；</w:t>
            </w:r>
          </w:p>
          <w:p w14:paraId="624677A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V1——收集系统范围内发生事故的物料量，m3；</w:t>
            </w:r>
          </w:p>
          <w:p w14:paraId="3F5736E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V2——发生事故的储罐、装置或铁路、汽车装卸区的消防水量，m3；</w:t>
            </w:r>
          </w:p>
          <w:p w14:paraId="1BA78C10">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Q 消——发生事故的储罐、装置或铁路、汽车装卸区同时使用的消防设施给水流量，m3/h；</w:t>
            </w:r>
          </w:p>
          <w:p w14:paraId="36A069A9">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t 消——消防设施对应的设计消防历时，h；</w:t>
            </w:r>
          </w:p>
          <w:p w14:paraId="57D28E53">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V3——发生事故时可以转输到其他储存或处理设施的物料量，m3</w:t>
            </w:r>
          </w:p>
          <w:p w14:paraId="764DA145">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（V1+V2-V3）max——对收集系统范围内不同罐组或装置分别计算 V1+V2-V3，取其中最大值。</w:t>
            </w:r>
          </w:p>
          <w:p w14:paraId="1FC529B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V4——发生事故时仍必须进入该收集系统的生产废水量，m3；</w:t>
            </w:r>
          </w:p>
          <w:p w14:paraId="12392A2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V5——发生事故时可能进入该收集系统的降雨量，m3；</w:t>
            </w:r>
          </w:p>
          <w:p w14:paraId="1CD4616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q——降雨强度，按平均日降雨量，mm；</w:t>
            </w:r>
          </w:p>
          <w:p w14:paraId="0028085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eastAsia"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qn——年平均降雨量，mm；</w:t>
            </w:r>
          </w:p>
          <w:p w14:paraId="2D5CEB21">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n——年平均降雨日数；</w:t>
            </w:r>
          </w:p>
          <w:p w14:paraId="17B9E096">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f——必须进入事故废水收集系统的雨水汇水面积，hm2；</w:t>
            </w:r>
          </w:p>
          <w:p w14:paraId="039EDE5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对收集系统范围内不同装置分别计算，确定本项目事故水量如下：</w:t>
            </w:r>
          </w:p>
          <w:p w14:paraId="68D754F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A.最大物料泄漏量（V1）：本项目设置收集池，发生事故时，可容纳泄漏物质的量。</w:t>
            </w:r>
          </w:p>
          <w:p w14:paraId="530C016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B.消防水量（V2）：根据企业提供的资料，消防用水量按</w:t>
            </w:r>
            <w:r>
              <w:rPr>
                <w:rFonts w:hint="eastAsia" w:eastAsia="宋体" w:cs="Times New Roman"/>
                <w:color w:val="auto"/>
                <w:sz w:val="24"/>
                <w:szCs w:val="24"/>
                <w:highlight w:val="none"/>
                <w:u w:val="none" w:color="auto"/>
                <w:lang w:val="en-US" w:eastAsia="zh-CN" w:bidi="zh-CN"/>
              </w:rPr>
              <w:t>6</w:t>
            </w:r>
            <w:r>
              <w:rPr>
                <w:rFonts w:hint="default" w:ascii="Times New Roman" w:hAnsi="Times New Roman" w:eastAsia="宋体" w:cs="Times New Roman"/>
                <w:color w:val="auto"/>
                <w:sz w:val="24"/>
                <w:szCs w:val="24"/>
                <w:highlight w:val="none"/>
                <w:u w:val="none" w:color="auto"/>
                <w:lang w:val="en-US" w:eastAsia="zh-CN" w:bidi="zh-CN"/>
              </w:rPr>
              <w:t>L/s 计，火灾延续供水时间按</w:t>
            </w:r>
            <w:r>
              <w:rPr>
                <w:rFonts w:hint="eastAsia" w:eastAsia="宋体" w:cs="Times New Roman"/>
                <w:color w:val="auto"/>
                <w:sz w:val="24"/>
                <w:szCs w:val="24"/>
                <w:highlight w:val="none"/>
                <w:u w:val="none" w:color="auto"/>
                <w:lang w:val="en-US" w:eastAsia="zh-CN" w:bidi="zh-CN"/>
              </w:rPr>
              <w:t>2</w:t>
            </w:r>
            <w:r>
              <w:rPr>
                <w:rFonts w:hint="default" w:ascii="Times New Roman" w:hAnsi="Times New Roman" w:eastAsia="宋体" w:cs="Times New Roman"/>
                <w:color w:val="auto"/>
                <w:sz w:val="24"/>
                <w:szCs w:val="24"/>
                <w:highlight w:val="none"/>
                <w:u w:val="none" w:color="auto"/>
                <w:lang w:val="en-US" w:eastAsia="zh-CN" w:bidi="zh-CN"/>
              </w:rPr>
              <w:t>小时计，总消防用水量</w:t>
            </w:r>
            <w:r>
              <w:rPr>
                <w:rFonts w:hint="eastAsia" w:eastAsia="宋体" w:cs="Times New Roman"/>
                <w:color w:val="auto"/>
                <w:sz w:val="24"/>
                <w:szCs w:val="24"/>
                <w:highlight w:val="none"/>
                <w:u w:val="none" w:color="auto"/>
                <w:lang w:val="en-US" w:eastAsia="zh-CN" w:bidi="zh-CN"/>
              </w:rPr>
              <w:t>43.2</w:t>
            </w:r>
            <w:r>
              <w:rPr>
                <w:rFonts w:hint="default" w:ascii="Times New Roman" w:hAnsi="Times New Roman" w:eastAsia="宋体" w:cs="Times New Roman"/>
                <w:color w:val="auto"/>
                <w:sz w:val="24"/>
                <w:szCs w:val="24"/>
                <w:highlight w:val="none"/>
                <w:u w:val="none" w:color="auto"/>
                <w:lang w:val="en-US" w:eastAsia="zh-CN" w:bidi="zh-CN"/>
              </w:rPr>
              <w:t>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w:t>
            </w:r>
          </w:p>
          <w:p w14:paraId="39DD40C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C.转输量（V3）：本项目设置密闭库房，转输量 V3 取0m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w:t>
            </w:r>
          </w:p>
          <w:p w14:paraId="50CAFFF8">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D.生产废水量（V4）：本项目仅无生产废水，V4取 0m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w:t>
            </w:r>
          </w:p>
          <w:p w14:paraId="1B7AC1FD">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E.污染雨水量（V5）：本项目采用封闭车间，V5污染雨水量为0m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w:t>
            </w:r>
          </w:p>
          <w:p w14:paraId="6B8F54DF">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本项目事故状态下最大事故污水产生量为</w:t>
            </w:r>
            <w:r>
              <w:rPr>
                <w:rFonts w:hint="eastAsia" w:eastAsia="宋体" w:cs="Times New Roman"/>
                <w:color w:val="auto"/>
                <w:sz w:val="24"/>
                <w:szCs w:val="24"/>
                <w:highlight w:val="none"/>
                <w:u w:val="none" w:color="auto"/>
                <w:lang w:val="en-US" w:eastAsia="zh-CN" w:bidi="zh-CN"/>
              </w:rPr>
              <w:t>43.2</w:t>
            </w:r>
            <w:r>
              <w:rPr>
                <w:rFonts w:hint="default" w:ascii="Times New Roman" w:hAnsi="Times New Roman" w:eastAsia="宋体" w:cs="Times New Roman"/>
                <w:color w:val="auto"/>
                <w:sz w:val="24"/>
                <w:szCs w:val="24"/>
                <w:highlight w:val="none"/>
                <w:u w:val="none" w:color="auto"/>
                <w:lang w:val="en-US" w:eastAsia="zh-CN" w:bidi="zh-CN"/>
              </w:rPr>
              <w:t>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 xml:space="preserve"> 。本项目设置</w:t>
            </w:r>
            <w:r>
              <w:rPr>
                <w:rFonts w:hint="eastAsia" w:eastAsia="宋体" w:cs="Times New Roman"/>
                <w:color w:val="auto"/>
                <w:sz w:val="24"/>
                <w:szCs w:val="24"/>
                <w:highlight w:val="none"/>
                <w:u w:val="none" w:color="auto"/>
                <w:lang w:val="en-US" w:eastAsia="zh-CN" w:bidi="zh-CN"/>
              </w:rPr>
              <w:t>50</w:t>
            </w:r>
            <w:r>
              <w:rPr>
                <w:rFonts w:hint="default" w:ascii="Times New Roman" w:hAnsi="Times New Roman" w:eastAsia="宋体" w:cs="Times New Roman"/>
                <w:color w:val="auto"/>
                <w:sz w:val="24"/>
                <w:szCs w:val="24"/>
                <w:highlight w:val="none"/>
                <w:u w:val="none" w:color="auto"/>
                <w:lang w:val="en-US" w:eastAsia="zh-CN" w:bidi="zh-CN"/>
              </w:rPr>
              <w:t>m</w:t>
            </w:r>
            <w:r>
              <w:rPr>
                <w:rFonts w:hint="default" w:ascii="Times New Roman" w:hAnsi="Times New Roman" w:eastAsia="宋体" w:cs="Times New Roman"/>
                <w:color w:val="auto"/>
                <w:sz w:val="24"/>
                <w:szCs w:val="24"/>
                <w:highlight w:val="none"/>
                <w:u w:val="none" w:color="auto"/>
                <w:vertAlign w:val="superscript"/>
                <w:lang w:val="en-US" w:eastAsia="zh-CN" w:bidi="zh-CN"/>
              </w:rPr>
              <w:t>3</w:t>
            </w:r>
            <w:r>
              <w:rPr>
                <w:rFonts w:hint="default" w:ascii="Times New Roman" w:hAnsi="Times New Roman" w:eastAsia="宋体" w:cs="Times New Roman"/>
                <w:color w:val="auto"/>
                <w:sz w:val="24"/>
                <w:szCs w:val="24"/>
                <w:highlight w:val="none"/>
                <w:u w:val="none" w:color="auto"/>
                <w:lang w:val="en-US" w:eastAsia="zh-CN" w:bidi="zh-CN"/>
              </w:rPr>
              <w:t>的事故水池，可以满足需求。</w:t>
            </w:r>
          </w:p>
          <w:p w14:paraId="0508971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u w:val="none" w:color="auto"/>
                <w:lang w:val="zh-CN" w:bidi="zh-CN"/>
              </w:rPr>
            </w:pPr>
            <w:r>
              <w:rPr>
                <w:rFonts w:hint="eastAsia" w:ascii="Times New Roman" w:hAnsi="Times New Roman" w:eastAsia="宋体" w:cs="Times New Roman"/>
                <w:b/>
                <w:bCs/>
                <w:color w:val="auto"/>
                <w:sz w:val="24"/>
                <w:szCs w:val="24"/>
                <w:highlight w:val="none"/>
                <w:u w:val="none" w:color="auto"/>
                <w:lang w:val="en-US" w:eastAsia="zh-CN" w:bidi="zh-CN"/>
              </w:rPr>
              <w:t xml:space="preserve">6.6 </w:t>
            </w:r>
            <w:r>
              <w:rPr>
                <w:rFonts w:hint="default" w:ascii="Times New Roman" w:hAnsi="Times New Roman" w:eastAsia="宋体" w:cs="Times New Roman"/>
                <w:b/>
                <w:bCs/>
                <w:color w:val="auto"/>
                <w:sz w:val="24"/>
                <w:szCs w:val="24"/>
                <w:highlight w:val="none"/>
                <w:u w:val="none" w:color="auto"/>
                <w:lang w:val="en-US" w:eastAsia="zh-CN" w:bidi="zh-CN"/>
              </w:rPr>
              <w:t xml:space="preserve">环境风险应急预案 </w:t>
            </w:r>
          </w:p>
          <w:p w14:paraId="159D791E">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sz w:val="24"/>
                <w:szCs w:val="24"/>
                <w:highlight w:val="none"/>
                <w:u w:val="none" w:color="auto"/>
                <w:lang w:val="en-US" w:eastAsia="zh-CN" w:bidi="zh-CN"/>
              </w:rPr>
            </w:pPr>
            <w:r>
              <w:rPr>
                <w:rFonts w:hint="default" w:ascii="Times New Roman" w:hAnsi="Times New Roman" w:eastAsia="宋体" w:cs="Times New Roman"/>
                <w:color w:val="auto"/>
                <w:sz w:val="24"/>
                <w:szCs w:val="24"/>
                <w:highlight w:val="none"/>
                <w:u w:val="none" w:color="auto"/>
                <w:lang w:val="en-US" w:eastAsia="zh-CN" w:bidi="zh-CN"/>
              </w:rPr>
              <w:t>根据《辽宁省突发环境事件应急预案备案行业名录》（试行）（2020年4月22日），本项目为报废汽车回收拆解，属于序号53废弃资源综合利用业（废汽车），应当编制环境应急预案并到相关生态环境部门进行备案。企业应健全企业突发环境事件应对工作机制，包括编制突发环境事件应急预案、制定突发环境事件应急预案培训演练制度、定期开展培训演练等。发生突发环境事件时，企业立即启动相应突发环境事件应急预案，并按突发环境事件应急预案要求向生态环境等部门报告。</w:t>
            </w:r>
          </w:p>
          <w:p w14:paraId="58364C2A">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0" w:firstLineChars="200"/>
              <w:jc w:val="both"/>
              <w:textAlignment w:val="auto"/>
              <w:rPr>
                <w:rFonts w:hint="default"/>
                <w:color w:val="auto"/>
                <w:sz w:val="24"/>
                <w:szCs w:val="24"/>
                <w:highlight w:val="none"/>
                <w:lang w:val="en-US" w:eastAsia="zh-CN"/>
              </w:rPr>
            </w:pPr>
            <w:r>
              <w:rPr>
                <w:rFonts w:hint="default" w:ascii="Times New Roman" w:hAnsi="Times New Roman" w:eastAsia="宋体" w:cs="Times New Roman"/>
                <w:color w:val="auto"/>
                <w:sz w:val="24"/>
                <w:szCs w:val="24"/>
                <w:highlight w:val="none"/>
                <w:u w:val="none" w:color="auto"/>
                <w:lang w:val="zh-CN" w:eastAsia="zh-CN" w:bidi="zh-CN"/>
              </w:rPr>
              <w:t>本</w:t>
            </w:r>
            <w:r>
              <w:rPr>
                <w:rFonts w:hint="eastAsia" w:ascii="Times New Roman" w:hAnsi="Times New Roman" w:eastAsia="宋体" w:cs="Times New Roman"/>
                <w:color w:val="auto"/>
                <w:sz w:val="24"/>
                <w:szCs w:val="24"/>
                <w:highlight w:val="none"/>
                <w:u w:val="none" w:color="auto"/>
                <w:lang w:val="zh-CN" w:eastAsia="zh-CN" w:bidi="zh-CN"/>
              </w:rPr>
              <w:t>厂</w:t>
            </w:r>
            <w:r>
              <w:rPr>
                <w:rFonts w:hint="default" w:ascii="Times New Roman" w:hAnsi="Times New Roman" w:eastAsia="宋体" w:cs="Times New Roman"/>
                <w:color w:val="auto"/>
                <w:sz w:val="24"/>
                <w:szCs w:val="24"/>
                <w:highlight w:val="none"/>
                <w:u w:val="none" w:color="auto"/>
                <w:lang w:val="zh-CN" w:eastAsia="zh-CN" w:bidi="zh-CN"/>
              </w:rPr>
              <w:t>事故应急预案体系，负责发生事故后所产生的环境问题，主要控制对周边环境的污染，保证人民健康和财产的安全。同时与</w:t>
            </w:r>
            <w:r>
              <w:rPr>
                <w:rFonts w:hint="eastAsia" w:ascii="Times New Roman" w:hAnsi="Times New Roman" w:eastAsia="宋体" w:cs="Times New Roman"/>
                <w:color w:val="auto"/>
                <w:sz w:val="24"/>
                <w:szCs w:val="24"/>
                <w:highlight w:val="none"/>
                <w:u w:val="none" w:color="auto"/>
                <w:lang w:val="zh-CN" w:eastAsia="zh-CN" w:bidi="zh-CN"/>
              </w:rPr>
              <w:t>园区风险防控措施</w:t>
            </w:r>
            <w:r>
              <w:rPr>
                <w:rFonts w:hint="default" w:ascii="Times New Roman" w:hAnsi="Times New Roman" w:eastAsia="宋体" w:cs="Times New Roman"/>
                <w:color w:val="auto"/>
                <w:sz w:val="24"/>
                <w:szCs w:val="24"/>
                <w:highlight w:val="none"/>
                <w:u w:val="none" w:color="auto"/>
                <w:lang w:val="zh-CN" w:eastAsia="zh-CN" w:bidi="zh-CN"/>
              </w:rPr>
              <w:t>相互衔接，发生环境事件时，能及时配合相关主管部门对事件进行处理，保证安全生产。</w:t>
            </w:r>
          </w:p>
          <w:p w14:paraId="2F75DC27">
            <w:pPr>
              <w:keepNext w:val="0"/>
              <w:keepLines w:val="0"/>
              <w:pageBreakBefore w:val="0"/>
              <w:widowControl w:val="0"/>
              <w:suppressLineNumbers w:val="0"/>
              <w:kinsoku/>
              <w:wordWrap/>
              <w:overflowPunct/>
              <w:topLinePunct w:val="0"/>
              <w:autoSpaceDE w:val="0"/>
              <w:autoSpaceDN w:val="0"/>
              <w:bidi w:val="0"/>
              <w:adjustRightInd/>
              <w:snapToGrid/>
              <w:spacing w:before="0" w:beforeAutospacing="0" w:after="0" w:afterAutospacing="0" w:line="360" w:lineRule="auto"/>
              <w:ind w:left="0" w:right="0" w:firstLine="482" w:firstLineChars="200"/>
              <w:jc w:val="both"/>
              <w:textAlignment w:val="auto"/>
              <w:rPr>
                <w:rFonts w:hint="default" w:ascii="Times New Roman" w:hAnsi="Times New Roman" w:eastAsia="宋体" w:cs="Times New Roman"/>
                <w:b/>
                <w:bCs/>
                <w:color w:val="auto"/>
                <w:sz w:val="24"/>
                <w:szCs w:val="24"/>
                <w:highlight w:val="none"/>
                <w:u w:val="none" w:color="auto"/>
                <w:lang w:val="en-US" w:eastAsia="zh-CN" w:bidi="zh-CN"/>
              </w:rPr>
            </w:pPr>
            <w:r>
              <w:rPr>
                <w:rFonts w:hint="eastAsia" w:ascii="Times New Roman" w:hAnsi="Times New Roman" w:eastAsia="宋体" w:cs="Times New Roman"/>
                <w:b/>
                <w:bCs/>
                <w:color w:val="auto"/>
                <w:sz w:val="24"/>
                <w:szCs w:val="24"/>
                <w:highlight w:val="none"/>
                <w:u w:val="none" w:color="auto"/>
                <w:lang w:val="en-US" w:eastAsia="zh-CN" w:bidi="zh-CN"/>
              </w:rPr>
              <w:t xml:space="preserve">6.7 </w:t>
            </w:r>
            <w:r>
              <w:rPr>
                <w:rFonts w:hint="default" w:ascii="Times New Roman" w:hAnsi="Times New Roman" w:eastAsia="宋体" w:cs="Times New Roman"/>
                <w:b/>
                <w:bCs/>
                <w:color w:val="auto"/>
                <w:sz w:val="24"/>
                <w:szCs w:val="24"/>
                <w:highlight w:val="none"/>
                <w:u w:val="none" w:color="auto"/>
                <w:lang w:val="en-US" w:eastAsia="zh-CN" w:bidi="zh-CN"/>
              </w:rPr>
              <w:t xml:space="preserve">风险评价结论及建议 </w:t>
            </w:r>
          </w:p>
          <w:p w14:paraId="4E64A556">
            <w:pPr>
              <w:pStyle w:val="73"/>
              <w:keepNext w:val="0"/>
              <w:keepLines w:val="0"/>
              <w:pageBreakBefore w:val="0"/>
              <w:widowControl w:val="0"/>
              <w:suppressLineNumbers w:val="0"/>
              <w:kinsoku/>
              <w:wordWrap/>
              <w:overflowPunct/>
              <w:topLinePunct w:val="0"/>
              <w:bidi w:val="0"/>
              <w:adjustRightInd/>
              <w:snapToGrid/>
              <w:spacing w:before="0" w:beforeAutospacing="0" w:after="0" w:afterAutospacing="0" w:line="360" w:lineRule="auto"/>
              <w:ind w:left="0" w:right="0" w:firstLine="480"/>
              <w:jc w:val="both"/>
              <w:textAlignment w:val="auto"/>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eastAsia="宋体" w:cs="Times New Roman"/>
                <w:color w:val="auto"/>
                <w:sz w:val="24"/>
                <w:szCs w:val="24"/>
                <w:highlight w:val="none"/>
                <w:u w:val="none" w:color="auto"/>
                <w:lang w:val="en-US" w:eastAsia="zh-CN" w:bidi="zh-CN"/>
              </w:rPr>
              <w:t>根据项目环境风险评价分析，本项目环境风险潜势为 I，危险级别为轻度危害。主要的风险来自泄漏和火灾爆炸事故。本环评要求企业必须加强安全管理，严格落实环评报告提出的风险防范措施和应急措施。经采取环评报告提出的风险防范措施和应急预案后，项目建成后全厂的环境风险在可控制和承受的范围之内。</w:t>
            </w:r>
          </w:p>
          <w:p w14:paraId="6BCB687D">
            <w:pPr>
              <w:keepNext w:val="0"/>
              <w:keepLines w:val="0"/>
              <w:suppressLineNumbers w:val="0"/>
              <w:adjustRightInd w:val="0"/>
              <w:snapToGrid w:val="0"/>
              <w:spacing w:before="0" w:beforeAutospacing="0" w:after="0" w:afterAutospacing="0" w:line="360" w:lineRule="auto"/>
              <w:ind w:left="0" w:right="105" w:rightChars="50" w:firstLine="482" w:firstLineChars="200"/>
              <w:rPr>
                <w:rFonts w:hint="default" w:ascii="Times New Roman" w:hAnsi="Times New Roman" w:cs="Times New Roman"/>
                <w:b/>
                <w:color w:val="auto"/>
                <w:kern w:val="0"/>
                <w:sz w:val="24"/>
                <w:highlight w:val="none"/>
              </w:rPr>
            </w:pPr>
            <w:r>
              <w:rPr>
                <w:rFonts w:hint="eastAsia" w:ascii="Times New Roman" w:hAnsi="Times New Roman" w:cs="Times New Roman"/>
                <w:b/>
                <w:color w:val="auto"/>
                <w:kern w:val="0"/>
                <w:sz w:val="24"/>
                <w:highlight w:val="none"/>
                <w:lang w:val="en-US" w:eastAsia="zh-CN"/>
              </w:rPr>
              <w:t>7</w:t>
            </w:r>
            <w:r>
              <w:rPr>
                <w:rFonts w:hint="eastAsia" w:cs="Times New Roman"/>
                <w:b/>
                <w:color w:val="auto"/>
                <w:kern w:val="0"/>
                <w:sz w:val="24"/>
                <w:highlight w:val="none"/>
                <w:lang w:val="en-US" w:eastAsia="zh-CN"/>
              </w:rPr>
              <w:t xml:space="preserve"> </w:t>
            </w:r>
            <w:r>
              <w:rPr>
                <w:rFonts w:hint="default" w:ascii="Times New Roman" w:hAnsi="Times New Roman" w:cs="Times New Roman"/>
                <w:b/>
                <w:color w:val="auto"/>
                <w:kern w:val="0"/>
                <w:sz w:val="24"/>
                <w:highlight w:val="none"/>
              </w:rPr>
              <w:t>生态环境影响</w:t>
            </w:r>
          </w:p>
          <w:p w14:paraId="43BB6A55">
            <w:pPr>
              <w:pStyle w:val="88"/>
              <w:keepNext w:val="0"/>
              <w:keepLines w:val="0"/>
              <w:suppressLineNumbers w:val="0"/>
              <w:spacing w:before="0" w:beforeAutospacing="0" w:after="0" w:afterAutospacing="0" w:line="360" w:lineRule="auto"/>
              <w:ind w:left="0" w:right="0" w:firstLine="480"/>
              <w:rPr>
                <w:rFonts w:hint="eastAsia" w:ascii="Times New Roman" w:hAnsi="Times New Roman" w:eastAsia="宋体" w:cs="Times New Roman"/>
                <w:color w:val="auto"/>
                <w:kern w:val="0"/>
                <w:sz w:val="24"/>
                <w:szCs w:val="24"/>
                <w:highlight w:val="none"/>
                <w:lang w:val="en-US" w:eastAsia="zh-CN" w:bidi="ar-SA"/>
              </w:rPr>
            </w:pPr>
            <w:r>
              <w:rPr>
                <w:rFonts w:hint="eastAsia" w:ascii="Times New Roman" w:hAnsi="Times New Roman" w:eastAsia="宋体" w:cs="Times New Roman"/>
                <w:color w:val="auto"/>
                <w:kern w:val="0"/>
                <w:sz w:val="24"/>
                <w:szCs w:val="24"/>
                <w:highlight w:val="none"/>
                <w:lang w:val="en-US" w:eastAsia="zh-CN" w:bidi="ar-SA"/>
              </w:rPr>
              <w:t>本项目用地范围内不含有生态环境保护目标。</w:t>
            </w:r>
          </w:p>
          <w:p w14:paraId="222C6AF1">
            <w:pPr>
              <w:keepNext w:val="0"/>
              <w:keepLines w:val="0"/>
              <w:suppressLineNumbers w:val="0"/>
              <w:adjustRightInd w:val="0"/>
              <w:snapToGrid w:val="0"/>
              <w:spacing w:before="0" w:beforeAutospacing="0" w:after="0" w:afterAutospacing="0" w:line="360" w:lineRule="auto"/>
              <w:ind w:left="0" w:right="105" w:rightChars="50" w:firstLine="482" w:firstLineChars="200"/>
              <w:rPr>
                <w:rFonts w:hint="eastAsia" w:ascii="Times New Roman" w:hAnsi="Times New Roman" w:eastAsia="宋体" w:cs="Times New Roman"/>
                <w:b/>
                <w:bCs/>
                <w:color w:val="auto"/>
                <w:kern w:val="0"/>
                <w:sz w:val="24"/>
                <w:szCs w:val="24"/>
                <w:highlight w:val="none"/>
                <w:lang w:val="en-US" w:eastAsia="zh-CN" w:bidi="ar-SA"/>
              </w:rPr>
            </w:pPr>
            <w:r>
              <w:rPr>
                <w:rFonts w:hint="eastAsia" w:ascii="Times New Roman" w:hAnsi="Times New Roman" w:eastAsia="宋体" w:cs="Times New Roman"/>
                <w:b/>
                <w:bCs/>
                <w:color w:val="auto"/>
                <w:kern w:val="0"/>
                <w:sz w:val="24"/>
                <w:szCs w:val="24"/>
                <w:highlight w:val="none"/>
                <w:lang w:val="en-US" w:eastAsia="zh-CN" w:bidi="ar-SA"/>
              </w:rPr>
              <w:t>8</w:t>
            </w:r>
            <w:r>
              <w:rPr>
                <w:rFonts w:hint="eastAsia" w:cs="Times New Roman"/>
                <w:b/>
                <w:bCs/>
                <w:color w:val="auto"/>
                <w:kern w:val="0"/>
                <w:sz w:val="24"/>
                <w:szCs w:val="24"/>
                <w:highlight w:val="none"/>
                <w:lang w:val="en-US" w:eastAsia="zh-CN" w:bidi="ar-SA"/>
              </w:rPr>
              <w:t xml:space="preserve"> </w:t>
            </w:r>
            <w:r>
              <w:rPr>
                <w:rFonts w:hint="eastAsia" w:ascii="Times New Roman" w:hAnsi="Times New Roman" w:eastAsia="宋体" w:cs="Times New Roman"/>
                <w:b/>
                <w:bCs/>
                <w:color w:val="auto"/>
                <w:kern w:val="0"/>
                <w:sz w:val="24"/>
                <w:szCs w:val="24"/>
                <w:highlight w:val="none"/>
                <w:lang w:val="en-US" w:eastAsia="zh-CN" w:bidi="ar-SA"/>
              </w:rPr>
              <w:t>电磁辐射</w:t>
            </w:r>
          </w:p>
          <w:p w14:paraId="58A42982">
            <w:pPr>
              <w:keepNext w:val="0"/>
              <w:keepLines w:val="0"/>
              <w:suppressLineNumbers w:val="0"/>
              <w:tabs>
                <w:tab w:val="left" w:pos="4425"/>
              </w:tabs>
              <w:adjustRightInd w:val="0"/>
              <w:snapToGrid w:val="0"/>
              <w:spacing w:before="0" w:beforeAutospacing="0" w:after="0" w:afterAutospacing="0" w:line="360" w:lineRule="auto"/>
              <w:ind w:left="0" w:right="0" w:firstLine="480" w:firstLineChars="200"/>
              <w:rPr>
                <w:rFonts w:hint="eastAsia" w:ascii="Times New Roman" w:hAnsi="Times New Roman" w:eastAsia="宋体" w:cs="Times New Roman"/>
                <w:color w:val="auto"/>
                <w:kern w:val="2"/>
                <w:sz w:val="24"/>
                <w:szCs w:val="24"/>
                <w:highlight w:val="none"/>
                <w:lang w:val="en-US" w:eastAsia="zh-CN" w:bidi="ar-SA"/>
              </w:rPr>
            </w:pPr>
            <w:r>
              <w:rPr>
                <w:rFonts w:hint="default" w:ascii="Times New Roman" w:hAnsi="Times New Roman" w:cs="Times New Roman"/>
                <w:color w:val="auto"/>
                <w:kern w:val="0"/>
                <w:sz w:val="24"/>
                <w:highlight w:val="none"/>
              </w:rPr>
              <w:t>本项目不涉及电磁辐射。</w:t>
            </w:r>
          </w:p>
          <w:p w14:paraId="1C9D3374">
            <w:pPr>
              <w:pStyle w:val="73"/>
              <w:keepNext w:val="0"/>
              <w:keepLines w:val="0"/>
              <w:suppressLineNumbers w:val="0"/>
              <w:spacing w:before="0" w:beforeAutospacing="0" w:after="0" w:afterAutospacing="0" w:line="360" w:lineRule="auto"/>
              <w:ind w:left="0" w:right="0" w:firstLine="482"/>
              <w:rPr>
                <w:rFonts w:hint="default" w:ascii="Times New Roman" w:hAnsi="Times New Roman" w:eastAsia="宋体" w:cs="Times New Roman"/>
                <w:b/>
                <w:bCs/>
                <w:color w:val="auto"/>
                <w:kern w:val="2"/>
                <w:sz w:val="24"/>
                <w:szCs w:val="24"/>
                <w:highlight w:val="none"/>
                <w:lang w:val="en-US" w:eastAsia="zh-CN" w:bidi="ar-SA"/>
              </w:rPr>
            </w:pPr>
            <w:r>
              <w:rPr>
                <w:rFonts w:hint="eastAsia" w:ascii="Times New Roman" w:hAnsi="Times New Roman" w:eastAsia="宋体" w:cs="Times New Roman"/>
                <w:b/>
                <w:bCs/>
                <w:color w:val="auto"/>
                <w:kern w:val="2"/>
                <w:sz w:val="24"/>
                <w:szCs w:val="24"/>
                <w:highlight w:val="none"/>
                <w:lang w:val="en-US" w:eastAsia="zh-CN" w:bidi="ar-SA"/>
              </w:rPr>
              <w:t>9</w:t>
            </w:r>
            <w:r>
              <w:rPr>
                <w:rFonts w:hint="eastAsia" w:cs="Times New Roman"/>
                <w:b/>
                <w:bCs/>
                <w:color w:val="auto"/>
                <w:kern w:val="2"/>
                <w:sz w:val="24"/>
                <w:szCs w:val="24"/>
                <w:highlight w:val="none"/>
                <w:lang w:val="en-US" w:eastAsia="zh-CN" w:bidi="ar-SA"/>
              </w:rPr>
              <w:t xml:space="preserve"> </w:t>
            </w:r>
            <w:r>
              <w:rPr>
                <w:rFonts w:hint="eastAsia" w:ascii="Times New Roman" w:hAnsi="Times New Roman" w:eastAsia="宋体" w:cs="Times New Roman"/>
                <w:b/>
                <w:bCs/>
                <w:color w:val="auto"/>
                <w:kern w:val="2"/>
                <w:sz w:val="24"/>
                <w:szCs w:val="24"/>
                <w:highlight w:val="none"/>
                <w:lang w:val="en-US" w:eastAsia="zh-CN" w:bidi="ar-SA"/>
              </w:rPr>
              <w:t>环保投资</w:t>
            </w:r>
          </w:p>
          <w:p w14:paraId="4DF9228D">
            <w:pPr>
              <w:pStyle w:val="73"/>
              <w:keepNext w:val="0"/>
              <w:keepLines w:val="0"/>
              <w:suppressLineNumbers w:val="0"/>
              <w:spacing w:before="0" w:beforeAutospacing="0" w:after="0" w:afterAutospacing="0" w:line="360" w:lineRule="auto"/>
              <w:ind w:left="0" w:right="0" w:firstLine="482"/>
              <w:rPr>
                <w:rFonts w:hint="eastAsia" w:ascii="Times New Roman" w:hAnsi="Times New Roman" w:eastAsia="宋体" w:cs="Times New Roman"/>
                <w:color w:val="auto"/>
                <w:kern w:val="2"/>
                <w:sz w:val="24"/>
                <w:szCs w:val="24"/>
                <w:highlight w:val="none"/>
                <w:lang w:val="en-US" w:eastAsia="zh-CN" w:bidi="ar-SA"/>
              </w:rPr>
            </w:pPr>
            <w:r>
              <w:rPr>
                <w:rFonts w:hint="eastAsia" w:ascii="Times New Roman" w:hAnsi="Times New Roman" w:eastAsia="宋体" w:cs="Times New Roman"/>
                <w:color w:val="auto"/>
                <w:kern w:val="2"/>
                <w:sz w:val="24"/>
                <w:szCs w:val="24"/>
                <w:highlight w:val="none"/>
                <w:lang w:val="en-US" w:eastAsia="zh-CN" w:bidi="ar-SA"/>
              </w:rPr>
              <w:t>本项目总投资</w:t>
            </w:r>
            <w:r>
              <w:rPr>
                <w:rFonts w:hint="eastAsia" w:cs="Times New Roman"/>
                <w:color w:val="auto"/>
                <w:kern w:val="2"/>
                <w:sz w:val="24"/>
                <w:szCs w:val="24"/>
                <w:highlight w:val="none"/>
                <w:lang w:val="en-US" w:eastAsia="zh-CN" w:bidi="ar-SA"/>
              </w:rPr>
              <w:t>1000万</w:t>
            </w:r>
            <w:r>
              <w:rPr>
                <w:rFonts w:hint="eastAsia" w:ascii="Times New Roman" w:hAnsi="Times New Roman" w:eastAsia="宋体" w:cs="Times New Roman"/>
                <w:color w:val="auto"/>
                <w:kern w:val="2"/>
                <w:sz w:val="24"/>
                <w:szCs w:val="24"/>
                <w:highlight w:val="none"/>
                <w:lang w:val="en-US" w:eastAsia="zh-CN" w:bidi="ar-SA"/>
              </w:rPr>
              <w:t>元，环保投资为</w:t>
            </w:r>
            <w:r>
              <w:rPr>
                <w:rFonts w:hint="eastAsia" w:cs="Times New Roman"/>
                <w:color w:val="auto"/>
                <w:kern w:val="2"/>
                <w:sz w:val="24"/>
                <w:szCs w:val="24"/>
                <w:highlight w:val="none"/>
                <w:lang w:val="en-US" w:eastAsia="zh-CN" w:bidi="ar-SA"/>
              </w:rPr>
              <w:t>94</w:t>
            </w:r>
            <w:r>
              <w:rPr>
                <w:rFonts w:hint="eastAsia" w:ascii="Times New Roman" w:hAnsi="Times New Roman" w:eastAsia="宋体" w:cs="Times New Roman"/>
                <w:color w:val="auto"/>
                <w:kern w:val="2"/>
                <w:sz w:val="24"/>
                <w:szCs w:val="24"/>
                <w:highlight w:val="none"/>
                <w:lang w:val="en-US" w:eastAsia="zh-CN" w:bidi="ar-SA"/>
              </w:rPr>
              <w:t>万元，占总投资的</w:t>
            </w:r>
            <w:r>
              <w:rPr>
                <w:rFonts w:hint="eastAsia" w:cs="Times New Roman"/>
                <w:color w:val="auto"/>
                <w:kern w:val="2"/>
                <w:sz w:val="24"/>
                <w:szCs w:val="24"/>
                <w:highlight w:val="none"/>
                <w:lang w:val="en-US" w:eastAsia="zh-CN" w:bidi="ar-SA"/>
              </w:rPr>
              <w:t>9.4</w:t>
            </w:r>
            <w:r>
              <w:rPr>
                <w:rFonts w:hint="eastAsia" w:ascii="Times New Roman" w:hAnsi="Times New Roman" w:eastAsia="宋体" w:cs="Times New Roman"/>
                <w:color w:val="auto"/>
                <w:kern w:val="2"/>
                <w:sz w:val="24"/>
                <w:szCs w:val="24"/>
                <w:highlight w:val="none"/>
                <w:lang w:val="en-US" w:eastAsia="zh-CN" w:bidi="ar-SA"/>
              </w:rPr>
              <w:t>%。</w:t>
            </w:r>
          </w:p>
          <w:p w14:paraId="252055D8">
            <w:pPr>
              <w:pStyle w:val="73"/>
              <w:keepNext w:val="0"/>
              <w:keepLines w:val="0"/>
              <w:suppressLineNumbers w:val="0"/>
              <w:spacing w:before="0" w:beforeAutospacing="0" w:after="0" w:afterAutospacing="0" w:line="360" w:lineRule="auto"/>
              <w:ind w:left="0" w:leftChars="0" w:right="0"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eastAsia" w:ascii="Times New Roman" w:hAnsi="Times New Roman" w:eastAsia="宋体" w:cs="Times New Roman"/>
                <w:b/>
                <w:bCs/>
                <w:color w:val="auto"/>
                <w:kern w:val="2"/>
                <w:sz w:val="21"/>
                <w:szCs w:val="21"/>
                <w:highlight w:val="none"/>
                <w:lang w:val="en-US" w:eastAsia="zh-CN" w:bidi="ar-SA"/>
              </w:rPr>
              <w:t>表4-</w:t>
            </w:r>
            <w:r>
              <w:rPr>
                <w:rFonts w:hint="eastAsia" w:cs="Times New Roman"/>
                <w:b/>
                <w:bCs/>
                <w:color w:val="auto"/>
                <w:kern w:val="2"/>
                <w:sz w:val="21"/>
                <w:szCs w:val="21"/>
                <w:highlight w:val="none"/>
                <w:lang w:val="en-US" w:eastAsia="zh-CN" w:bidi="ar-SA"/>
              </w:rPr>
              <w:t xml:space="preserve">29 </w:t>
            </w:r>
            <w:r>
              <w:rPr>
                <w:rFonts w:hint="eastAsia" w:ascii="Times New Roman" w:hAnsi="Times New Roman" w:eastAsia="宋体" w:cs="Times New Roman"/>
                <w:b/>
                <w:bCs/>
                <w:color w:val="auto"/>
                <w:kern w:val="2"/>
                <w:sz w:val="21"/>
                <w:szCs w:val="21"/>
                <w:highlight w:val="none"/>
                <w:lang w:val="en-US" w:eastAsia="zh-CN" w:bidi="ar-SA"/>
              </w:rPr>
              <w:t xml:space="preserve"> 环保投资一览表</w:t>
            </w:r>
          </w:p>
          <w:tbl>
            <w:tblPr>
              <w:tblStyle w:val="27"/>
              <w:tblW w:w="4999"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725"/>
              <w:gridCol w:w="1335"/>
              <w:gridCol w:w="6031"/>
              <w:gridCol w:w="1023"/>
            </w:tblGrid>
            <w:tr w14:paraId="7C7FD39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98" w:type="pct"/>
                  <w:tcBorders>
                    <w:tl2br w:val="nil"/>
                    <w:tr2bl w:val="nil"/>
                  </w:tcBorders>
                  <w:noWrap w:val="0"/>
                  <w:vAlign w:val="center"/>
                </w:tcPr>
                <w:p w14:paraId="6A20CC18">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序号</w:t>
                  </w:r>
                </w:p>
              </w:tc>
              <w:tc>
                <w:tcPr>
                  <w:tcW w:w="732" w:type="pct"/>
                  <w:tcBorders>
                    <w:tl2br w:val="nil"/>
                    <w:tr2bl w:val="nil"/>
                  </w:tcBorders>
                  <w:noWrap w:val="0"/>
                  <w:vAlign w:val="center"/>
                </w:tcPr>
                <w:p w14:paraId="5527F49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项目</w:t>
                  </w:r>
                </w:p>
              </w:tc>
              <w:tc>
                <w:tcPr>
                  <w:tcW w:w="3307" w:type="pct"/>
                  <w:tcBorders>
                    <w:tl2br w:val="nil"/>
                    <w:tr2bl w:val="nil"/>
                  </w:tcBorders>
                  <w:noWrap w:val="0"/>
                  <w:vAlign w:val="center"/>
                </w:tcPr>
                <w:p w14:paraId="1C850E0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主要措施</w:t>
                  </w:r>
                </w:p>
              </w:tc>
              <w:tc>
                <w:tcPr>
                  <w:tcW w:w="561" w:type="pct"/>
                  <w:tcBorders>
                    <w:tl2br w:val="nil"/>
                    <w:tr2bl w:val="nil"/>
                  </w:tcBorders>
                  <w:noWrap w:val="0"/>
                  <w:vAlign w:val="center"/>
                </w:tcPr>
                <w:p w14:paraId="6B3D32A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投资额</w:t>
                  </w:r>
                </w:p>
              </w:tc>
            </w:tr>
            <w:tr w14:paraId="3267016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398" w:type="pct"/>
                  <w:vMerge w:val="restart"/>
                  <w:tcBorders>
                    <w:tl2br w:val="nil"/>
                    <w:tr2bl w:val="nil"/>
                  </w:tcBorders>
                  <w:noWrap w:val="0"/>
                  <w:vAlign w:val="center"/>
                </w:tcPr>
                <w:p w14:paraId="6E8C7F6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1</w:t>
                  </w:r>
                </w:p>
              </w:tc>
              <w:tc>
                <w:tcPr>
                  <w:tcW w:w="732" w:type="pct"/>
                  <w:vMerge w:val="restart"/>
                  <w:tcBorders>
                    <w:tl2br w:val="nil"/>
                    <w:tr2bl w:val="nil"/>
                  </w:tcBorders>
                  <w:noWrap w:val="0"/>
                  <w:vAlign w:val="center"/>
                </w:tcPr>
                <w:p w14:paraId="4037046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废气治理</w:t>
                  </w:r>
                </w:p>
              </w:tc>
              <w:tc>
                <w:tcPr>
                  <w:tcW w:w="3307" w:type="pct"/>
                  <w:tcBorders>
                    <w:tl2br w:val="nil"/>
                    <w:tr2bl w:val="nil"/>
                  </w:tcBorders>
                  <w:shd w:val="clear" w:color="auto" w:fill="auto"/>
                  <w:noWrap w:val="0"/>
                  <w:vAlign w:val="center"/>
                </w:tcPr>
                <w:p w14:paraId="0CB2E39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宋体"/>
                      <w:color w:val="auto"/>
                      <w:kern w:val="2"/>
                      <w:sz w:val="21"/>
                      <w:szCs w:val="21"/>
                      <w:highlight w:val="none"/>
                      <w:lang w:val="en-US" w:eastAsia="zh-CN" w:bidi="ar-SA"/>
                    </w:rPr>
                  </w:pPr>
                  <w:r>
                    <w:rPr>
                      <w:rFonts w:hint="default"/>
                      <w:color w:val="auto"/>
                      <w:spacing w:val="8"/>
                      <w:sz w:val="21"/>
                      <w:szCs w:val="21"/>
                      <w:highlight w:val="none"/>
                    </w:rPr>
                    <w:t>集气罩</w:t>
                  </w:r>
                  <w:r>
                    <w:rPr>
                      <w:rFonts w:hint="default" w:ascii="Times New Roman" w:hAnsi="Times New Roman" w:eastAsia="Times New Roman" w:cs="Times New Roman"/>
                      <w:color w:val="auto"/>
                      <w:spacing w:val="8"/>
                      <w:sz w:val="21"/>
                      <w:szCs w:val="21"/>
                      <w:highlight w:val="none"/>
                    </w:rPr>
                    <w:t>+</w:t>
                  </w:r>
                  <w:r>
                    <w:rPr>
                      <w:rFonts w:hint="default"/>
                      <w:color w:val="auto"/>
                      <w:spacing w:val="8"/>
                      <w:sz w:val="21"/>
                      <w:szCs w:val="21"/>
                      <w:highlight w:val="none"/>
                    </w:rPr>
                    <w:t>二级活性炭吸附箱</w:t>
                  </w:r>
                  <w:r>
                    <w:rPr>
                      <w:rFonts w:hint="default" w:ascii="Times New Roman" w:hAnsi="Times New Roman" w:eastAsia="Times New Roman" w:cs="Times New Roman"/>
                      <w:color w:val="auto"/>
                      <w:spacing w:val="8"/>
                      <w:sz w:val="21"/>
                      <w:szCs w:val="21"/>
                      <w:highlight w:val="none"/>
                    </w:rPr>
                    <w:t>+1</w:t>
                  </w:r>
                  <w:r>
                    <w:rPr>
                      <w:rFonts w:hint="default"/>
                      <w:color w:val="auto"/>
                      <w:spacing w:val="8"/>
                      <w:sz w:val="21"/>
                      <w:szCs w:val="21"/>
                      <w:highlight w:val="none"/>
                    </w:rPr>
                    <w:t>根</w:t>
                  </w:r>
                  <w:r>
                    <w:rPr>
                      <w:rFonts w:hint="eastAsia" w:cs="Times New Roman"/>
                      <w:color w:val="auto"/>
                      <w:spacing w:val="4"/>
                      <w:sz w:val="21"/>
                      <w:szCs w:val="21"/>
                      <w:highlight w:val="none"/>
                      <w:lang w:val="en-US" w:eastAsia="zh-CN"/>
                    </w:rPr>
                    <w:t>24m</w:t>
                  </w:r>
                  <w:r>
                    <w:rPr>
                      <w:rFonts w:hint="default" w:ascii="Times New Roman" w:hAnsi="Times New Roman" w:eastAsia="Times New Roman" w:cs="Times New Roman"/>
                      <w:color w:val="auto"/>
                      <w:spacing w:val="23"/>
                      <w:w w:val="101"/>
                      <w:sz w:val="21"/>
                      <w:szCs w:val="21"/>
                      <w:highlight w:val="none"/>
                    </w:rPr>
                    <w:t xml:space="preserve"> </w:t>
                  </w:r>
                  <w:r>
                    <w:rPr>
                      <w:rFonts w:hint="default"/>
                      <w:color w:val="auto"/>
                      <w:spacing w:val="4"/>
                      <w:sz w:val="21"/>
                      <w:szCs w:val="21"/>
                      <w:highlight w:val="none"/>
                    </w:rPr>
                    <w:t>高排气筒</w:t>
                  </w:r>
                  <w:r>
                    <w:rPr>
                      <w:rFonts w:hint="default" w:ascii="Times New Roman" w:hAnsi="Times New Roman" w:eastAsia="Times New Roman" w:cs="Times New Roman"/>
                      <w:color w:val="auto"/>
                      <w:sz w:val="21"/>
                      <w:szCs w:val="21"/>
                      <w:highlight w:val="none"/>
                    </w:rPr>
                    <w:t>DA</w:t>
                  </w:r>
                  <w:r>
                    <w:rPr>
                      <w:rFonts w:hint="default" w:ascii="Times New Roman" w:hAnsi="Times New Roman" w:eastAsia="Times New Roman" w:cs="Times New Roman"/>
                      <w:color w:val="auto"/>
                      <w:spacing w:val="4"/>
                      <w:sz w:val="21"/>
                      <w:szCs w:val="21"/>
                      <w:highlight w:val="none"/>
                    </w:rPr>
                    <w:t>001</w:t>
                  </w:r>
                </w:p>
              </w:tc>
              <w:tc>
                <w:tcPr>
                  <w:tcW w:w="561" w:type="pct"/>
                  <w:tcBorders>
                    <w:tl2br w:val="nil"/>
                    <w:tr2bl w:val="nil"/>
                  </w:tcBorders>
                  <w:shd w:val="clear" w:color="auto" w:fill="auto"/>
                  <w:noWrap w:val="0"/>
                  <w:vAlign w:val="center"/>
                </w:tcPr>
                <w:p w14:paraId="6524D5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15</w:t>
                  </w:r>
                </w:p>
              </w:tc>
            </w:tr>
            <w:tr w14:paraId="057E819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398" w:type="pct"/>
                  <w:vMerge w:val="continue"/>
                  <w:tcBorders>
                    <w:tl2br w:val="nil"/>
                    <w:tr2bl w:val="nil"/>
                  </w:tcBorders>
                  <w:noWrap w:val="0"/>
                  <w:vAlign w:val="center"/>
                </w:tcPr>
                <w:p w14:paraId="00CBB8A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c>
                <w:tcPr>
                  <w:tcW w:w="732" w:type="pct"/>
                  <w:vMerge w:val="continue"/>
                  <w:tcBorders>
                    <w:tl2br w:val="nil"/>
                    <w:tr2bl w:val="nil"/>
                  </w:tcBorders>
                  <w:noWrap w:val="0"/>
                  <w:vAlign w:val="center"/>
                </w:tcPr>
                <w:p w14:paraId="002E0A1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c>
                <w:tcPr>
                  <w:tcW w:w="3307" w:type="pct"/>
                  <w:tcBorders>
                    <w:tl2br w:val="nil"/>
                    <w:tr2bl w:val="nil"/>
                  </w:tcBorders>
                  <w:shd w:val="clear" w:color="auto" w:fill="auto"/>
                  <w:noWrap w:val="0"/>
                  <w:vAlign w:val="center"/>
                </w:tcPr>
                <w:p w14:paraId="30CBA01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color w:val="auto"/>
                      <w:spacing w:val="4"/>
                      <w:kern w:val="2"/>
                      <w:sz w:val="21"/>
                      <w:szCs w:val="21"/>
                      <w:highlight w:val="none"/>
                      <w:lang w:val="en-US" w:eastAsia="zh-CN" w:bidi="ar-SA"/>
                    </w:rPr>
                  </w:pPr>
                  <w:r>
                    <w:rPr>
                      <w:rFonts w:hint="default"/>
                      <w:color w:val="auto"/>
                      <w:spacing w:val="8"/>
                      <w:sz w:val="21"/>
                      <w:szCs w:val="21"/>
                      <w:highlight w:val="none"/>
                    </w:rPr>
                    <w:t>集气罩</w:t>
                  </w:r>
                  <w:r>
                    <w:rPr>
                      <w:rFonts w:hint="default" w:ascii="Times New Roman" w:hAnsi="Times New Roman" w:eastAsia="Times New Roman" w:cs="Times New Roman"/>
                      <w:color w:val="auto"/>
                      <w:spacing w:val="8"/>
                      <w:sz w:val="21"/>
                      <w:szCs w:val="21"/>
                      <w:highlight w:val="none"/>
                    </w:rPr>
                    <w:t>+</w:t>
                  </w:r>
                  <w:r>
                    <w:rPr>
                      <w:rFonts w:hint="eastAsia" w:ascii="Times New Roman" w:hAnsi="Times New Roman" w:eastAsia="宋体" w:cs="Times New Roman"/>
                      <w:color w:val="auto"/>
                      <w:spacing w:val="8"/>
                      <w:sz w:val="21"/>
                      <w:szCs w:val="21"/>
                      <w:highlight w:val="none"/>
                      <w:lang w:val="en-US" w:eastAsia="zh-CN"/>
                    </w:rPr>
                    <w:t>布袋除尘器</w:t>
                  </w:r>
                  <w:r>
                    <w:rPr>
                      <w:rFonts w:hint="default" w:ascii="Times New Roman" w:hAnsi="Times New Roman" w:eastAsia="Times New Roman" w:cs="Times New Roman"/>
                      <w:color w:val="auto"/>
                      <w:spacing w:val="8"/>
                      <w:sz w:val="21"/>
                      <w:szCs w:val="21"/>
                      <w:highlight w:val="none"/>
                    </w:rPr>
                    <w:t>+1</w:t>
                  </w:r>
                  <w:r>
                    <w:rPr>
                      <w:rFonts w:hint="default"/>
                      <w:color w:val="auto"/>
                      <w:spacing w:val="8"/>
                      <w:sz w:val="21"/>
                      <w:szCs w:val="21"/>
                      <w:highlight w:val="none"/>
                    </w:rPr>
                    <w:t>根</w:t>
                  </w:r>
                  <w:r>
                    <w:rPr>
                      <w:rFonts w:hint="eastAsia" w:cs="Times New Roman"/>
                      <w:color w:val="auto"/>
                      <w:spacing w:val="4"/>
                      <w:sz w:val="21"/>
                      <w:szCs w:val="21"/>
                      <w:highlight w:val="none"/>
                      <w:lang w:val="en-US" w:eastAsia="zh-CN"/>
                    </w:rPr>
                    <w:t>24m</w:t>
                  </w:r>
                  <w:r>
                    <w:rPr>
                      <w:rFonts w:hint="default"/>
                      <w:color w:val="auto"/>
                      <w:spacing w:val="4"/>
                      <w:sz w:val="21"/>
                      <w:szCs w:val="21"/>
                      <w:highlight w:val="none"/>
                    </w:rPr>
                    <w:t>高排气筒</w:t>
                  </w:r>
                  <w:r>
                    <w:rPr>
                      <w:rFonts w:hint="default" w:ascii="Times New Roman" w:hAnsi="Times New Roman" w:eastAsia="Times New Roman" w:cs="Times New Roman"/>
                      <w:color w:val="auto"/>
                      <w:sz w:val="21"/>
                      <w:szCs w:val="21"/>
                      <w:highlight w:val="none"/>
                    </w:rPr>
                    <w:t>DA</w:t>
                  </w:r>
                  <w:r>
                    <w:rPr>
                      <w:rFonts w:hint="default" w:ascii="Times New Roman" w:hAnsi="Times New Roman" w:eastAsia="Times New Roman" w:cs="Times New Roman"/>
                      <w:color w:val="auto"/>
                      <w:spacing w:val="4"/>
                      <w:sz w:val="21"/>
                      <w:szCs w:val="21"/>
                      <w:highlight w:val="none"/>
                    </w:rPr>
                    <w:t>00</w:t>
                  </w:r>
                  <w:r>
                    <w:rPr>
                      <w:rFonts w:hint="eastAsia" w:eastAsia="宋体" w:cs="Times New Roman"/>
                      <w:color w:val="auto"/>
                      <w:spacing w:val="4"/>
                      <w:sz w:val="21"/>
                      <w:szCs w:val="21"/>
                      <w:highlight w:val="none"/>
                      <w:lang w:val="en-US" w:eastAsia="zh-CN"/>
                    </w:rPr>
                    <w:t>2</w:t>
                  </w:r>
                </w:p>
              </w:tc>
              <w:tc>
                <w:tcPr>
                  <w:tcW w:w="561" w:type="pct"/>
                  <w:tcBorders>
                    <w:tl2br w:val="nil"/>
                    <w:tr2bl w:val="nil"/>
                  </w:tcBorders>
                  <w:shd w:val="clear" w:color="auto" w:fill="auto"/>
                  <w:noWrap w:val="0"/>
                  <w:vAlign w:val="center"/>
                </w:tcPr>
                <w:p w14:paraId="62ACAF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15</w:t>
                  </w:r>
                </w:p>
              </w:tc>
            </w:tr>
            <w:tr w14:paraId="35B60A4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398" w:type="pct"/>
                  <w:vMerge w:val="continue"/>
                  <w:tcBorders>
                    <w:tl2br w:val="nil"/>
                    <w:tr2bl w:val="nil"/>
                  </w:tcBorders>
                  <w:noWrap w:val="0"/>
                  <w:vAlign w:val="center"/>
                </w:tcPr>
                <w:p w14:paraId="5E56CD7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c>
                <w:tcPr>
                  <w:tcW w:w="732" w:type="pct"/>
                  <w:vMerge w:val="continue"/>
                  <w:tcBorders>
                    <w:tl2br w:val="nil"/>
                    <w:tr2bl w:val="nil"/>
                  </w:tcBorders>
                  <w:noWrap w:val="0"/>
                  <w:vAlign w:val="center"/>
                </w:tcPr>
                <w:p w14:paraId="28117D7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p>
              </w:tc>
              <w:tc>
                <w:tcPr>
                  <w:tcW w:w="3307" w:type="pct"/>
                  <w:tcBorders>
                    <w:tl2br w:val="nil"/>
                    <w:tr2bl w:val="nil"/>
                  </w:tcBorders>
                  <w:shd w:val="clear" w:color="auto" w:fill="auto"/>
                  <w:noWrap w:val="0"/>
                  <w:vAlign w:val="center"/>
                </w:tcPr>
                <w:p w14:paraId="08B8D62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color w:val="auto"/>
                      <w:spacing w:val="8"/>
                      <w:sz w:val="21"/>
                      <w:szCs w:val="21"/>
                      <w:highlight w:val="none"/>
                    </w:rPr>
                  </w:pPr>
                  <w:r>
                    <w:rPr>
                      <w:rFonts w:hint="default"/>
                      <w:color w:val="auto"/>
                      <w:spacing w:val="8"/>
                      <w:sz w:val="21"/>
                      <w:szCs w:val="21"/>
                      <w:highlight w:val="none"/>
                    </w:rPr>
                    <w:t>集气罩</w:t>
                  </w:r>
                  <w:r>
                    <w:rPr>
                      <w:rFonts w:hint="default" w:ascii="Times New Roman" w:hAnsi="Times New Roman" w:eastAsia="Times New Roman" w:cs="Times New Roman"/>
                      <w:color w:val="auto"/>
                      <w:spacing w:val="8"/>
                      <w:sz w:val="21"/>
                      <w:szCs w:val="21"/>
                      <w:highlight w:val="none"/>
                    </w:rPr>
                    <w:t>+</w:t>
                  </w:r>
                  <w:r>
                    <w:rPr>
                      <w:rFonts w:hint="eastAsia" w:ascii="Times New Roman" w:hAnsi="Times New Roman" w:eastAsia="宋体" w:cs="Times New Roman"/>
                      <w:color w:val="auto"/>
                      <w:spacing w:val="8"/>
                      <w:sz w:val="21"/>
                      <w:szCs w:val="21"/>
                      <w:highlight w:val="none"/>
                      <w:lang w:val="en-US" w:eastAsia="zh-CN"/>
                    </w:rPr>
                    <w:t>布袋除尘器</w:t>
                  </w:r>
                  <w:r>
                    <w:rPr>
                      <w:rFonts w:hint="default" w:ascii="Times New Roman" w:hAnsi="Times New Roman" w:eastAsia="Times New Roman" w:cs="Times New Roman"/>
                      <w:color w:val="auto"/>
                      <w:spacing w:val="8"/>
                      <w:sz w:val="21"/>
                      <w:szCs w:val="21"/>
                      <w:highlight w:val="none"/>
                    </w:rPr>
                    <w:t>+1</w:t>
                  </w:r>
                  <w:r>
                    <w:rPr>
                      <w:rFonts w:hint="default"/>
                      <w:color w:val="auto"/>
                      <w:spacing w:val="8"/>
                      <w:sz w:val="21"/>
                      <w:szCs w:val="21"/>
                      <w:highlight w:val="none"/>
                    </w:rPr>
                    <w:t>根</w:t>
                  </w:r>
                  <w:r>
                    <w:rPr>
                      <w:rFonts w:hint="eastAsia" w:cs="Times New Roman"/>
                      <w:color w:val="auto"/>
                      <w:spacing w:val="4"/>
                      <w:sz w:val="21"/>
                      <w:szCs w:val="21"/>
                      <w:highlight w:val="none"/>
                      <w:lang w:val="en-US" w:eastAsia="zh-CN"/>
                    </w:rPr>
                    <w:t>24m</w:t>
                  </w:r>
                  <w:r>
                    <w:rPr>
                      <w:rFonts w:hint="default"/>
                      <w:color w:val="auto"/>
                      <w:spacing w:val="4"/>
                      <w:sz w:val="21"/>
                      <w:szCs w:val="21"/>
                      <w:highlight w:val="none"/>
                    </w:rPr>
                    <w:t>高排气筒</w:t>
                  </w:r>
                  <w:r>
                    <w:rPr>
                      <w:rFonts w:hint="default" w:ascii="Times New Roman" w:hAnsi="Times New Roman" w:eastAsia="Times New Roman" w:cs="Times New Roman"/>
                      <w:color w:val="auto"/>
                      <w:sz w:val="21"/>
                      <w:szCs w:val="21"/>
                      <w:highlight w:val="none"/>
                    </w:rPr>
                    <w:t>DA</w:t>
                  </w:r>
                  <w:r>
                    <w:rPr>
                      <w:rFonts w:hint="default" w:ascii="Times New Roman" w:hAnsi="Times New Roman" w:eastAsia="Times New Roman" w:cs="Times New Roman"/>
                      <w:color w:val="auto"/>
                      <w:spacing w:val="4"/>
                      <w:sz w:val="21"/>
                      <w:szCs w:val="21"/>
                      <w:highlight w:val="none"/>
                    </w:rPr>
                    <w:t>00</w:t>
                  </w:r>
                  <w:r>
                    <w:rPr>
                      <w:rFonts w:hint="eastAsia" w:eastAsia="宋体" w:cs="Times New Roman"/>
                      <w:color w:val="auto"/>
                      <w:spacing w:val="4"/>
                      <w:sz w:val="21"/>
                      <w:szCs w:val="21"/>
                      <w:highlight w:val="none"/>
                      <w:lang w:val="en-US" w:eastAsia="zh-CN"/>
                    </w:rPr>
                    <w:t>3</w:t>
                  </w:r>
                </w:p>
              </w:tc>
              <w:tc>
                <w:tcPr>
                  <w:tcW w:w="561" w:type="pct"/>
                  <w:tcBorders>
                    <w:tl2br w:val="nil"/>
                    <w:tr2bl w:val="nil"/>
                  </w:tcBorders>
                  <w:shd w:val="clear" w:color="auto" w:fill="auto"/>
                  <w:noWrap w:val="0"/>
                  <w:vAlign w:val="center"/>
                </w:tcPr>
                <w:p w14:paraId="474988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r>
            <w:tr w14:paraId="04A72C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398" w:type="pct"/>
                  <w:vMerge w:val="continue"/>
                  <w:tcBorders>
                    <w:tl2br w:val="nil"/>
                    <w:tr2bl w:val="nil"/>
                  </w:tcBorders>
                  <w:noWrap w:val="0"/>
                  <w:vAlign w:val="center"/>
                </w:tcPr>
                <w:p w14:paraId="42CD974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p>
              </w:tc>
              <w:tc>
                <w:tcPr>
                  <w:tcW w:w="732" w:type="pct"/>
                  <w:vMerge w:val="continue"/>
                  <w:tcBorders>
                    <w:tl2br w:val="nil"/>
                    <w:tr2bl w:val="nil"/>
                  </w:tcBorders>
                  <w:noWrap w:val="0"/>
                  <w:vAlign w:val="center"/>
                </w:tcPr>
                <w:p w14:paraId="26808E9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p>
              </w:tc>
              <w:tc>
                <w:tcPr>
                  <w:tcW w:w="3307" w:type="pct"/>
                  <w:tcBorders>
                    <w:tl2br w:val="nil"/>
                    <w:tr2bl w:val="nil"/>
                  </w:tcBorders>
                  <w:shd w:val="clear" w:color="auto" w:fill="auto"/>
                  <w:noWrap w:val="0"/>
                  <w:vAlign w:val="center"/>
                </w:tcPr>
                <w:p w14:paraId="73194932">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宋体"/>
                      <w:color w:val="auto"/>
                      <w:kern w:val="2"/>
                      <w:sz w:val="21"/>
                      <w:szCs w:val="21"/>
                      <w:highlight w:val="none"/>
                      <w:lang w:val="en-US" w:eastAsia="zh-CN" w:bidi="ar-SA"/>
                    </w:rPr>
                  </w:pPr>
                  <w:r>
                    <w:rPr>
                      <w:rFonts w:hint="default"/>
                      <w:color w:val="auto"/>
                      <w:spacing w:val="-5"/>
                      <w:sz w:val="21"/>
                      <w:szCs w:val="21"/>
                      <w:highlight w:val="none"/>
                    </w:rPr>
                    <w:t>油烟净化器</w:t>
                  </w:r>
                  <w:r>
                    <w:rPr>
                      <w:rFonts w:hint="default" w:ascii="Times New Roman" w:hAnsi="Times New Roman" w:eastAsia="Times New Roman" w:cs="Times New Roman"/>
                      <w:color w:val="auto"/>
                      <w:spacing w:val="-5"/>
                      <w:sz w:val="21"/>
                      <w:szCs w:val="21"/>
                      <w:highlight w:val="none"/>
                    </w:rPr>
                    <w:t>+</w:t>
                  </w:r>
                  <w:r>
                    <w:rPr>
                      <w:rFonts w:hint="eastAsia" w:ascii="Times New Roman" w:hAnsi="Times New Roman" w:eastAsia="宋体" w:cs="Times New Roman"/>
                      <w:color w:val="auto"/>
                      <w:spacing w:val="-5"/>
                      <w:sz w:val="21"/>
                      <w:szCs w:val="21"/>
                      <w:highlight w:val="none"/>
                      <w:lang w:val="en-US" w:eastAsia="zh-CN"/>
                    </w:rPr>
                    <w:t>油烟</w:t>
                  </w:r>
                  <w:r>
                    <w:rPr>
                      <w:rFonts w:hint="default"/>
                      <w:color w:val="auto"/>
                      <w:spacing w:val="-5"/>
                      <w:sz w:val="21"/>
                      <w:szCs w:val="21"/>
                      <w:highlight w:val="none"/>
                    </w:rPr>
                    <w:t>排气筒</w:t>
                  </w:r>
                </w:p>
              </w:tc>
              <w:tc>
                <w:tcPr>
                  <w:tcW w:w="561" w:type="pct"/>
                  <w:tcBorders>
                    <w:tl2br w:val="nil"/>
                    <w:tr2bl w:val="nil"/>
                  </w:tcBorders>
                  <w:shd w:val="clear" w:color="auto" w:fill="auto"/>
                  <w:noWrap w:val="0"/>
                  <w:vAlign w:val="center"/>
                </w:tcPr>
                <w:p w14:paraId="133316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jc w:val="center"/>
                    <w:textAlignment w:val="auto"/>
                    <w:rPr>
                      <w:rFonts w:hint="default" w:ascii="Times New Roman" w:hAnsi="Times New Roman" w:eastAsia="Times New Roman" w:cs="Times New Roman"/>
                      <w:color w:val="auto"/>
                      <w:kern w:val="2"/>
                      <w:sz w:val="21"/>
                      <w:szCs w:val="21"/>
                      <w:highlight w:val="none"/>
                      <w:lang w:val="en-US" w:eastAsia="zh-CN" w:bidi="ar-SA"/>
                    </w:rPr>
                  </w:pPr>
                  <w:r>
                    <w:rPr>
                      <w:rFonts w:hint="default" w:ascii="Times New Roman" w:hAnsi="Times New Roman" w:eastAsia="Times New Roman" w:cs="Times New Roman"/>
                      <w:color w:val="auto"/>
                      <w:sz w:val="21"/>
                      <w:szCs w:val="21"/>
                      <w:highlight w:val="none"/>
                    </w:rPr>
                    <w:t>1</w:t>
                  </w:r>
                </w:p>
              </w:tc>
            </w:tr>
            <w:tr w14:paraId="3958EB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52" w:hRule="atLeast"/>
              </w:trPr>
              <w:tc>
                <w:tcPr>
                  <w:tcW w:w="398" w:type="pct"/>
                  <w:vMerge w:val="continue"/>
                  <w:tcBorders>
                    <w:tl2br w:val="nil"/>
                    <w:tr2bl w:val="nil"/>
                  </w:tcBorders>
                  <w:noWrap w:val="0"/>
                  <w:vAlign w:val="center"/>
                </w:tcPr>
                <w:p w14:paraId="1A63B42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p>
              </w:tc>
              <w:tc>
                <w:tcPr>
                  <w:tcW w:w="732" w:type="pct"/>
                  <w:vMerge w:val="continue"/>
                  <w:tcBorders>
                    <w:tl2br w:val="nil"/>
                    <w:tr2bl w:val="nil"/>
                  </w:tcBorders>
                  <w:noWrap w:val="0"/>
                  <w:vAlign w:val="center"/>
                </w:tcPr>
                <w:p w14:paraId="64ED2D8D">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olor w:val="auto"/>
                      <w:sz w:val="21"/>
                      <w:szCs w:val="21"/>
                      <w:highlight w:val="none"/>
                    </w:rPr>
                  </w:pPr>
                </w:p>
              </w:tc>
              <w:tc>
                <w:tcPr>
                  <w:tcW w:w="3307" w:type="pct"/>
                  <w:tcBorders>
                    <w:tl2br w:val="nil"/>
                    <w:tr2bl w:val="nil"/>
                  </w:tcBorders>
                  <w:noWrap w:val="0"/>
                  <w:vAlign w:val="center"/>
                </w:tcPr>
                <w:p w14:paraId="3CE0B31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车间密闭处理</w:t>
                  </w:r>
                </w:p>
              </w:tc>
              <w:tc>
                <w:tcPr>
                  <w:tcW w:w="561" w:type="pct"/>
                  <w:tcBorders>
                    <w:tl2br w:val="nil"/>
                    <w:tr2bl w:val="nil"/>
                  </w:tcBorders>
                  <w:noWrap w:val="0"/>
                  <w:vAlign w:val="center"/>
                </w:tcPr>
                <w:p w14:paraId="70F1D65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w:t>
                  </w:r>
                </w:p>
              </w:tc>
            </w:tr>
            <w:tr w14:paraId="73700E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98" w:type="pct"/>
                  <w:tcBorders>
                    <w:tl2br w:val="nil"/>
                    <w:tr2bl w:val="nil"/>
                  </w:tcBorders>
                  <w:noWrap w:val="0"/>
                  <w:vAlign w:val="center"/>
                </w:tcPr>
                <w:p w14:paraId="2D48316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2</w:t>
                  </w:r>
                </w:p>
              </w:tc>
              <w:tc>
                <w:tcPr>
                  <w:tcW w:w="732" w:type="pct"/>
                  <w:tcBorders>
                    <w:tl2br w:val="nil"/>
                    <w:tr2bl w:val="nil"/>
                  </w:tcBorders>
                  <w:noWrap w:val="0"/>
                  <w:vAlign w:val="center"/>
                </w:tcPr>
                <w:p w14:paraId="3E4DD424">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废水治理</w:t>
                  </w:r>
                </w:p>
              </w:tc>
              <w:tc>
                <w:tcPr>
                  <w:tcW w:w="3307" w:type="pct"/>
                  <w:tcBorders>
                    <w:tl2br w:val="nil"/>
                    <w:tr2bl w:val="nil"/>
                  </w:tcBorders>
                  <w:noWrap w:val="0"/>
                  <w:vAlign w:val="center"/>
                </w:tcPr>
                <w:p w14:paraId="3C28CD4F">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一座初期雨水池（50</w:t>
                  </w:r>
                  <w:r>
                    <w:rPr>
                      <w:rFonts w:hint="eastAsia"/>
                      <w:color w:val="auto"/>
                      <w:sz w:val="21"/>
                      <w:szCs w:val="21"/>
                      <w:highlight w:val="none"/>
                      <w:lang w:val="en-US" w:eastAsia="zh-CN"/>
                    </w:rPr>
                    <w:t>m</w:t>
                  </w:r>
                  <w:r>
                    <w:rPr>
                      <w:rFonts w:hint="eastAsia"/>
                      <w:color w:val="auto"/>
                      <w:sz w:val="21"/>
                      <w:szCs w:val="21"/>
                      <w:highlight w:val="none"/>
                      <w:vertAlign w:val="superscript"/>
                      <w:lang w:val="en-US" w:eastAsia="zh-CN"/>
                    </w:rPr>
                    <w:t>3</w:t>
                  </w:r>
                  <w:r>
                    <w:rPr>
                      <w:rFonts w:hint="eastAsia"/>
                      <w:color w:val="auto"/>
                      <w:sz w:val="21"/>
                      <w:szCs w:val="21"/>
                      <w:highlight w:val="none"/>
                      <w:vertAlign w:val="baseline"/>
                      <w:lang w:val="en-US" w:eastAsia="zh-CN"/>
                    </w:rPr>
                    <w:t>）</w:t>
                  </w:r>
                  <w:r>
                    <w:rPr>
                      <w:rFonts w:hint="eastAsia" w:cs="Times New Roman"/>
                      <w:color w:val="auto"/>
                      <w:kern w:val="2"/>
                      <w:sz w:val="21"/>
                      <w:szCs w:val="21"/>
                      <w:highlight w:val="none"/>
                      <w:vertAlign w:val="baseline"/>
                      <w:lang w:val="en-US" w:eastAsia="zh-CN" w:bidi="ar-SA"/>
                    </w:rPr>
                    <w:t>，一座隔油池（5</w:t>
                  </w:r>
                  <w:r>
                    <w:rPr>
                      <w:rFonts w:hint="eastAsia"/>
                      <w:color w:val="auto"/>
                      <w:sz w:val="21"/>
                      <w:szCs w:val="21"/>
                      <w:highlight w:val="none"/>
                      <w:lang w:val="en-US" w:eastAsia="zh-CN"/>
                    </w:rPr>
                    <w:t>m</w:t>
                  </w:r>
                  <w:r>
                    <w:rPr>
                      <w:rFonts w:hint="eastAsia"/>
                      <w:color w:val="auto"/>
                      <w:sz w:val="21"/>
                      <w:szCs w:val="21"/>
                      <w:highlight w:val="none"/>
                      <w:vertAlign w:val="superscript"/>
                      <w:lang w:val="en-US" w:eastAsia="zh-CN"/>
                    </w:rPr>
                    <w:t>3</w:t>
                  </w:r>
                  <w:r>
                    <w:rPr>
                      <w:rFonts w:hint="eastAsia"/>
                      <w:color w:val="auto"/>
                      <w:sz w:val="21"/>
                      <w:szCs w:val="21"/>
                      <w:highlight w:val="none"/>
                      <w:vertAlign w:val="baseline"/>
                      <w:lang w:val="en-US" w:eastAsia="zh-CN"/>
                    </w:rPr>
                    <w:t>）</w:t>
                  </w:r>
                  <w:r>
                    <w:rPr>
                      <w:rFonts w:hint="eastAsia"/>
                      <w:color w:val="auto"/>
                      <w:sz w:val="21"/>
                      <w:szCs w:val="21"/>
                      <w:highlight w:val="none"/>
                      <w:lang w:val="en-US" w:eastAsia="zh-CN"/>
                    </w:rPr>
                    <w:t>，</w:t>
                  </w:r>
                  <w:r>
                    <w:rPr>
                      <w:rFonts w:hint="eastAsia" w:cs="Times New Roman"/>
                      <w:color w:val="auto"/>
                      <w:kern w:val="2"/>
                      <w:sz w:val="21"/>
                      <w:szCs w:val="21"/>
                      <w:highlight w:val="none"/>
                      <w:vertAlign w:val="baseline"/>
                      <w:lang w:val="en-US" w:eastAsia="zh-CN" w:bidi="ar-SA"/>
                    </w:rPr>
                    <w:t>一座一体化污水处理设施（3m</w:t>
                  </w:r>
                  <w:r>
                    <w:rPr>
                      <w:rFonts w:hint="eastAsia" w:cs="Times New Roman"/>
                      <w:color w:val="auto"/>
                      <w:kern w:val="2"/>
                      <w:sz w:val="21"/>
                      <w:szCs w:val="21"/>
                      <w:highlight w:val="none"/>
                      <w:vertAlign w:val="superscript"/>
                      <w:lang w:val="en-US" w:eastAsia="zh-CN" w:bidi="ar-SA"/>
                    </w:rPr>
                    <w:t>3</w:t>
                  </w:r>
                  <w:r>
                    <w:rPr>
                      <w:rFonts w:hint="eastAsia" w:cs="Times New Roman"/>
                      <w:color w:val="auto"/>
                      <w:kern w:val="2"/>
                      <w:sz w:val="21"/>
                      <w:szCs w:val="21"/>
                      <w:highlight w:val="none"/>
                      <w:vertAlign w:val="baseline"/>
                      <w:lang w:val="en-US" w:eastAsia="zh-CN" w:bidi="ar-SA"/>
                    </w:rPr>
                    <w:t>/h）及其配套管网</w:t>
                  </w:r>
                </w:p>
              </w:tc>
              <w:tc>
                <w:tcPr>
                  <w:tcW w:w="561" w:type="pct"/>
                  <w:tcBorders>
                    <w:tl2br w:val="nil"/>
                    <w:tr2bl w:val="nil"/>
                  </w:tcBorders>
                  <w:noWrap w:val="0"/>
                  <w:vAlign w:val="center"/>
                </w:tcPr>
                <w:p w14:paraId="0645666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15</w:t>
                  </w:r>
                </w:p>
              </w:tc>
            </w:tr>
            <w:tr w14:paraId="26FA58E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98" w:type="pct"/>
                  <w:tcBorders>
                    <w:tl2br w:val="nil"/>
                    <w:tr2bl w:val="nil"/>
                  </w:tcBorders>
                  <w:noWrap w:val="0"/>
                  <w:vAlign w:val="center"/>
                </w:tcPr>
                <w:p w14:paraId="53E20C30">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3</w:t>
                  </w:r>
                </w:p>
              </w:tc>
              <w:tc>
                <w:tcPr>
                  <w:tcW w:w="732" w:type="pct"/>
                  <w:tcBorders>
                    <w:tl2br w:val="nil"/>
                    <w:tr2bl w:val="nil"/>
                  </w:tcBorders>
                  <w:noWrap w:val="0"/>
                  <w:vAlign w:val="center"/>
                </w:tcPr>
                <w:p w14:paraId="7DCAE9F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噪声</w:t>
                  </w:r>
                </w:p>
              </w:tc>
              <w:tc>
                <w:tcPr>
                  <w:tcW w:w="3307" w:type="pct"/>
                  <w:tcBorders>
                    <w:tl2br w:val="nil"/>
                    <w:tr2bl w:val="nil"/>
                  </w:tcBorders>
                  <w:noWrap w:val="0"/>
                  <w:vAlign w:val="center"/>
                </w:tcPr>
                <w:p w14:paraId="7574C223">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color w:val="auto"/>
                      <w:spacing w:val="9"/>
                      <w:sz w:val="21"/>
                      <w:szCs w:val="21"/>
                      <w:highlight w:val="none"/>
                    </w:rPr>
                    <w:t>设备基础减振措施、</w:t>
                  </w:r>
                  <w:r>
                    <w:rPr>
                      <w:rFonts w:hint="eastAsia"/>
                      <w:color w:val="auto"/>
                      <w:spacing w:val="9"/>
                      <w:sz w:val="21"/>
                      <w:szCs w:val="21"/>
                      <w:highlight w:val="none"/>
                      <w:lang w:val="en-US" w:eastAsia="zh-CN"/>
                    </w:rPr>
                    <w:t>隔声罩、</w:t>
                  </w:r>
                  <w:r>
                    <w:rPr>
                      <w:rFonts w:hint="default"/>
                      <w:color w:val="auto"/>
                      <w:spacing w:val="9"/>
                      <w:sz w:val="21"/>
                      <w:szCs w:val="21"/>
                      <w:highlight w:val="none"/>
                    </w:rPr>
                    <w:t>隔音</w:t>
                  </w:r>
                  <w:r>
                    <w:rPr>
                      <w:rFonts w:hint="eastAsia"/>
                      <w:color w:val="auto"/>
                      <w:spacing w:val="9"/>
                      <w:sz w:val="21"/>
                      <w:szCs w:val="21"/>
                      <w:highlight w:val="none"/>
                      <w:lang w:val="en-US" w:eastAsia="zh-CN"/>
                    </w:rPr>
                    <w:t>降噪</w:t>
                  </w:r>
                  <w:r>
                    <w:rPr>
                      <w:rFonts w:hint="default"/>
                      <w:color w:val="auto"/>
                      <w:spacing w:val="9"/>
                      <w:sz w:val="21"/>
                      <w:szCs w:val="21"/>
                      <w:highlight w:val="none"/>
                    </w:rPr>
                    <w:t>措施</w:t>
                  </w:r>
                </w:p>
              </w:tc>
              <w:tc>
                <w:tcPr>
                  <w:tcW w:w="561" w:type="pct"/>
                  <w:tcBorders>
                    <w:tl2br w:val="nil"/>
                    <w:tr2bl w:val="nil"/>
                  </w:tcBorders>
                  <w:noWrap w:val="0"/>
                  <w:vAlign w:val="center"/>
                </w:tcPr>
                <w:p w14:paraId="2123EF69">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2</w:t>
                  </w:r>
                </w:p>
              </w:tc>
            </w:tr>
            <w:tr w14:paraId="2051083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98" w:type="pct"/>
                  <w:tcBorders>
                    <w:tl2br w:val="nil"/>
                    <w:tr2bl w:val="nil"/>
                  </w:tcBorders>
                  <w:noWrap w:val="0"/>
                  <w:vAlign w:val="center"/>
                </w:tcPr>
                <w:p w14:paraId="19459B3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4</w:t>
                  </w:r>
                </w:p>
              </w:tc>
              <w:tc>
                <w:tcPr>
                  <w:tcW w:w="732" w:type="pct"/>
                  <w:tcBorders>
                    <w:tl2br w:val="nil"/>
                    <w:tr2bl w:val="nil"/>
                  </w:tcBorders>
                  <w:noWrap w:val="0"/>
                  <w:vAlign w:val="center"/>
                </w:tcPr>
                <w:p w14:paraId="62DBC6C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固废</w:t>
                  </w:r>
                </w:p>
              </w:tc>
              <w:tc>
                <w:tcPr>
                  <w:tcW w:w="3307" w:type="pct"/>
                  <w:tcBorders>
                    <w:tl2br w:val="nil"/>
                    <w:tr2bl w:val="nil"/>
                  </w:tcBorders>
                  <w:noWrap w:val="0"/>
                  <w:vAlign w:val="center"/>
                </w:tcPr>
                <w:p w14:paraId="7EE5481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危险废物贮存库、一般固体废物贮存库</w:t>
                  </w:r>
                </w:p>
              </w:tc>
              <w:tc>
                <w:tcPr>
                  <w:tcW w:w="561" w:type="pct"/>
                  <w:tcBorders>
                    <w:tl2br w:val="nil"/>
                    <w:tr2bl w:val="nil"/>
                  </w:tcBorders>
                  <w:noWrap w:val="0"/>
                  <w:vAlign w:val="center"/>
                </w:tcPr>
                <w:p w14:paraId="49BB5D3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15</w:t>
                  </w:r>
                </w:p>
              </w:tc>
            </w:tr>
            <w:tr w14:paraId="3BD818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98" w:type="pct"/>
                  <w:tcBorders>
                    <w:tl2br w:val="nil"/>
                    <w:tr2bl w:val="nil"/>
                  </w:tcBorders>
                  <w:noWrap w:val="0"/>
                  <w:vAlign w:val="center"/>
                </w:tcPr>
                <w:p w14:paraId="7502C01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5</w:t>
                  </w:r>
                </w:p>
              </w:tc>
              <w:tc>
                <w:tcPr>
                  <w:tcW w:w="732" w:type="pct"/>
                  <w:tcBorders>
                    <w:tl2br w:val="nil"/>
                    <w:tr2bl w:val="nil"/>
                  </w:tcBorders>
                  <w:noWrap w:val="0"/>
                  <w:vAlign w:val="center"/>
                </w:tcPr>
                <w:p w14:paraId="5657BC9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环境风险</w:t>
                  </w:r>
                </w:p>
              </w:tc>
              <w:tc>
                <w:tcPr>
                  <w:tcW w:w="3307" w:type="pct"/>
                  <w:tcBorders>
                    <w:tl2br w:val="nil"/>
                    <w:tr2bl w:val="nil"/>
                  </w:tcBorders>
                  <w:noWrap w:val="0"/>
                  <w:vAlign w:val="center"/>
                </w:tcPr>
                <w:p w14:paraId="6D4470F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一座</w:t>
                  </w:r>
                  <w:r>
                    <w:rPr>
                      <w:rFonts w:hint="eastAsia"/>
                      <w:color w:val="auto"/>
                      <w:sz w:val="21"/>
                      <w:szCs w:val="21"/>
                      <w:highlight w:val="none"/>
                      <w:lang w:val="en-US" w:eastAsia="zh-CN"/>
                    </w:rPr>
                    <w:t>事故水池（50m</w:t>
                  </w:r>
                  <w:r>
                    <w:rPr>
                      <w:rFonts w:hint="eastAsia"/>
                      <w:color w:val="auto"/>
                      <w:sz w:val="21"/>
                      <w:szCs w:val="21"/>
                      <w:highlight w:val="none"/>
                      <w:vertAlign w:val="superscript"/>
                      <w:lang w:val="en-US" w:eastAsia="zh-CN"/>
                    </w:rPr>
                    <w:t>3）</w:t>
                  </w:r>
                  <w:r>
                    <w:rPr>
                      <w:rFonts w:hint="eastAsia"/>
                      <w:color w:val="auto"/>
                      <w:sz w:val="21"/>
                      <w:szCs w:val="21"/>
                      <w:highlight w:val="none"/>
                      <w:lang w:val="en-US" w:eastAsia="zh-CN"/>
                    </w:rPr>
                    <w:t>及配套管网，环境风险应急物资</w:t>
                  </w:r>
                </w:p>
              </w:tc>
              <w:tc>
                <w:tcPr>
                  <w:tcW w:w="561" w:type="pct"/>
                  <w:tcBorders>
                    <w:tl2br w:val="nil"/>
                    <w:tr2bl w:val="nil"/>
                  </w:tcBorders>
                  <w:noWrap w:val="0"/>
                  <w:vAlign w:val="center"/>
                </w:tcPr>
                <w:p w14:paraId="7902330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10</w:t>
                  </w:r>
                </w:p>
              </w:tc>
            </w:tr>
            <w:tr w14:paraId="224D50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398" w:type="pct"/>
                  <w:tcBorders>
                    <w:tl2br w:val="nil"/>
                    <w:tr2bl w:val="nil"/>
                  </w:tcBorders>
                  <w:noWrap w:val="0"/>
                  <w:vAlign w:val="center"/>
                </w:tcPr>
                <w:p w14:paraId="0214C1B5">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6</w:t>
                  </w:r>
                </w:p>
              </w:tc>
              <w:tc>
                <w:tcPr>
                  <w:tcW w:w="732" w:type="pct"/>
                  <w:tcBorders>
                    <w:tl2br w:val="nil"/>
                    <w:tr2bl w:val="nil"/>
                  </w:tcBorders>
                  <w:noWrap w:val="0"/>
                  <w:vAlign w:val="center"/>
                </w:tcPr>
                <w:p w14:paraId="00E86D4B">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地下水</w:t>
                  </w:r>
                </w:p>
              </w:tc>
              <w:tc>
                <w:tcPr>
                  <w:tcW w:w="3307" w:type="pct"/>
                  <w:tcBorders>
                    <w:tl2br w:val="nil"/>
                    <w:tr2bl w:val="nil"/>
                  </w:tcBorders>
                  <w:noWrap w:val="0"/>
                  <w:vAlign w:val="center"/>
                </w:tcPr>
                <w:p w14:paraId="349EBCC1">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厂区分区防渗</w:t>
                  </w:r>
                </w:p>
              </w:tc>
              <w:tc>
                <w:tcPr>
                  <w:tcW w:w="561" w:type="pct"/>
                  <w:tcBorders>
                    <w:tl2br w:val="nil"/>
                    <w:tr2bl w:val="nil"/>
                  </w:tcBorders>
                  <w:noWrap w:val="0"/>
                  <w:vAlign w:val="center"/>
                </w:tcPr>
                <w:p w14:paraId="3225930A">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5</w:t>
                  </w:r>
                </w:p>
              </w:tc>
            </w:tr>
            <w:tr w14:paraId="4B10C9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4438" w:type="pct"/>
                  <w:gridSpan w:val="3"/>
                  <w:tcBorders>
                    <w:tl2br w:val="nil"/>
                    <w:tr2bl w:val="nil"/>
                  </w:tcBorders>
                  <w:noWrap w:val="0"/>
                  <w:vAlign w:val="center"/>
                </w:tcPr>
                <w:p w14:paraId="473526E7">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eastAsia="宋体" w:cs="Times New Roman"/>
                      <w:color w:val="auto"/>
                      <w:kern w:val="2"/>
                      <w:sz w:val="21"/>
                      <w:szCs w:val="21"/>
                      <w:highlight w:val="none"/>
                      <w:vertAlign w:val="baseline"/>
                      <w:lang w:val="en-US" w:eastAsia="zh-CN" w:bidi="ar-SA"/>
                    </w:rPr>
                    <w:t>合计</w:t>
                  </w:r>
                </w:p>
              </w:tc>
              <w:tc>
                <w:tcPr>
                  <w:tcW w:w="561" w:type="pct"/>
                  <w:tcBorders>
                    <w:tl2br w:val="nil"/>
                    <w:tr2bl w:val="nil"/>
                  </w:tcBorders>
                  <w:noWrap w:val="0"/>
                  <w:vAlign w:val="center"/>
                </w:tcPr>
                <w:p w14:paraId="02077A3C">
                  <w:pPr>
                    <w:pStyle w:val="73"/>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cs="Times New Roman"/>
                      <w:color w:val="auto"/>
                      <w:kern w:val="2"/>
                      <w:sz w:val="21"/>
                      <w:szCs w:val="21"/>
                      <w:highlight w:val="none"/>
                      <w:vertAlign w:val="baseline"/>
                      <w:lang w:val="en-US" w:eastAsia="zh-CN" w:bidi="ar-SA"/>
                    </w:rPr>
                    <w:t>94</w:t>
                  </w:r>
                </w:p>
              </w:tc>
            </w:tr>
          </w:tbl>
          <w:p w14:paraId="41CB199E">
            <w:pPr>
              <w:pStyle w:val="9"/>
              <w:keepNext w:val="0"/>
              <w:keepLines w:val="0"/>
              <w:suppressLineNumbers w:val="0"/>
              <w:spacing w:beforeAutospacing="0" w:afterAutospacing="0"/>
              <w:ind w:left="0"/>
              <w:rPr>
                <w:rFonts w:hint="default" w:ascii="Times New Roman" w:hAnsi="Times New Roman" w:eastAsia="宋体" w:cs="Times New Roman"/>
                <w:color w:val="auto"/>
                <w:kern w:val="2"/>
                <w:sz w:val="24"/>
                <w:szCs w:val="24"/>
                <w:highlight w:val="none"/>
                <w:lang w:val="en-US" w:eastAsia="zh-CN" w:bidi="ar-SA"/>
              </w:rPr>
            </w:pPr>
          </w:p>
          <w:p w14:paraId="5CAC531E">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79A25C83">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3095E110">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684840D2">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43BF1FCD">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3D2A9379">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07CC7A4D">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29FDD81D">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75785C1B">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048B9E4F">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62F7EC2E">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7E304A5D">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1D4AFEE0">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68CE7313">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3BF95F5C">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404FE243">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0C3FE767">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19CD6244">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25DDF8D4">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175A5B9A">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72A1CBFA">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4A2A3514">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6D8FA84C">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37FB314D">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03A9F875">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1B032F2B">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6DAD7248">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70939762">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74665202">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335D6717">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p w14:paraId="480339D4">
            <w:pPr>
              <w:keepNext w:val="0"/>
              <w:keepLines w:val="0"/>
              <w:suppressLineNumbers w:val="0"/>
              <w:spacing w:before="0" w:beforeAutospacing="0" w:after="0" w:afterAutospacing="0"/>
              <w:ind w:left="0" w:right="0"/>
              <w:rPr>
                <w:rFonts w:hint="default" w:ascii="Times New Roman" w:hAnsi="Times New Roman" w:eastAsia="宋体" w:cs="Times New Roman"/>
                <w:color w:val="auto"/>
                <w:kern w:val="2"/>
                <w:sz w:val="24"/>
                <w:szCs w:val="24"/>
                <w:highlight w:val="none"/>
                <w:lang w:val="en-US" w:eastAsia="zh-CN" w:bidi="ar-SA"/>
              </w:rPr>
            </w:pPr>
          </w:p>
        </w:tc>
      </w:tr>
    </w:tbl>
    <w:p w14:paraId="569D89C3">
      <w:pPr>
        <w:adjustRightInd w:val="0"/>
        <w:snapToGrid w:val="0"/>
        <w:spacing w:line="360" w:lineRule="auto"/>
        <w:rPr>
          <w:b/>
          <w:color w:val="auto"/>
          <w:kern w:val="0"/>
          <w:sz w:val="28"/>
          <w:szCs w:val="28"/>
          <w:highlight w:val="none"/>
        </w:rPr>
        <w:sectPr>
          <w:pgSz w:w="11907" w:h="16840"/>
          <w:pgMar w:top="1440" w:right="1080" w:bottom="1440" w:left="1080" w:header="851" w:footer="1134" w:gutter="0"/>
          <w:pgBorders>
            <w:top w:val="none" w:sz="0" w:space="0"/>
            <w:left w:val="none" w:sz="0" w:space="0"/>
            <w:bottom w:val="none" w:sz="0" w:space="0"/>
            <w:right w:val="none" w:sz="0" w:space="0"/>
          </w:pgBorders>
          <w:pgNumType w:fmt="decimal"/>
          <w:cols w:space="720" w:num="1"/>
          <w:docGrid w:linePitch="312" w:charSpace="0"/>
        </w:sectPr>
      </w:pPr>
    </w:p>
    <w:p w14:paraId="65984339">
      <w:pPr>
        <w:pStyle w:val="22"/>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hint="eastAsia" w:ascii="黑体" w:hAnsi="黑体" w:eastAsia="黑体" w:cs="黑体"/>
          <w:snapToGrid w:val="0"/>
          <w:color w:val="auto"/>
          <w:sz w:val="30"/>
          <w:szCs w:val="30"/>
          <w:highlight w:val="none"/>
        </w:rPr>
      </w:pPr>
      <w:r>
        <w:rPr>
          <w:rFonts w:hint="eastAsia" w:ascii="黑体" w:hAnsi="黑体" w:eastAsia="黑体" w:cs="黑体"/>
          <w:snapToGrid w:val="0"/>
          <w:color w:val="auto"/>
          <w:sz w:val="30"/>
          <w:szCs w:val="30"/>
          <w:highlight w:val="none"/>
        </w:rPr>
        <w:t>五、</w:t>
      </w:r>
      <w:bookmarkStart w:id="5" w:name="_Hlk54167917"/>
      <w:r>
        <w:rPr>
          <w:rFonts w:hint="eastAsia" w:ascii="黑体" w:hAnsi="黑体" w:eastAsia="黑体" w:cs="黑体"/>
          <w:snapToGrid w:val="0"/>
          <w:color w:val="auto"/>
          <w:sz w:val="30"/>
          <w:szCs w:val="30"/>
          <w:highlight w:val="none"/>
        </w:rPr>
        <w:t>环境保护措施监督检查清单</w:t>
      </w:r>
      <w:bookmarkEnd w:id="5"/>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006"/>
        <w:gridCol w:w="1512"/>
        <w:gridCol w:w="1365"/>
        <w:gridCol w:w="2941"/>
        <w:gridCol w:w="3138"/>
      </w:tblGrid>
      <w:tr w14:paraId="6526B8E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tcBorders>
              <w:tl2br w:val="single" w:color="auto" w:sz="4" w:space="0"/>
            </w:tcBorders>
            <w:noWrap w:val="0"/>
            <w:vAlign w:val="center"/>
          </w:tcPr>
          <w:p w14:paraId="447AF2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10" w:firstLineChars="100"/>
              <w:jc w:val="both"/>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内容</w:t>
            </w:r>
          </w:p>
          <w:p w14:paraId="5561729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both"/>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要素</w:t>
            </w:r>
          </w:p>
        </w:tc>
        <w:tc>
          <w:tcPr>
            <w:tcW w:w="1512" w:type="dxa"/>
            <w:noWrap w:val="0"/>
            <w:vAlign w:val="center"/>
          </w:tcPr>
          <w:p w14:paraId="6974BFF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排放口</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编号、名称</w:t>
            </w:r>
            <w:r>
              <w:rPr>
                <w:rFonts w:hint="eastAsia" w:ascii="Times New Roman" w:hAnsi="Times New Roman" w:cs="Times New Roman"/>
                <w:color w:val="auto"/>
                <w:szCs w:val="21"/>
                <w:highlight w:val="none"/>
                <w:lang w:eastAsia="zh-CN"/>
              </w:rPr>
              <w:t>）</w:t>
            </w:r>
            <w:r>
              <w:rPr>
                <w:rFonts w:hint="default" w:ascii="Times New Roman" w:hAnsi="Times New Roman" w:cs="Times New Roman"/>
                <w:color w:val="auto"/>
                <w:szCs w:val="21"/>
                <w:highlight w:val="none"/>
              </w:rPr>
              <w:t>/污染源</w:t>
            </w:r>
          </w:p>
        </w:tc>
        <w:tc>
          <w:tcPr>
            <w:tcW w:w="1365" w:type="dxa"/>
            <w:noWrap w:val="0"/>
            <w:vAlign w:val="center"/>
          </w:tcPr>
          <w:p w14:paraId="1C4F50A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污染物项目</w:t>
            </w:r>
          </w:p>
        </w:tc>
        <w:tc>
          <w:tcPr>
            <w:tcW w:w="2941" w:type="dxa"/>
            <w:noWrap w:val="0"/>
            <w:vAlign w:val="center"/>
          </w:tcPr>
          <w:p w14:paraId="1774B03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环境保护措施</w:t>
            </w:r>
          </w:p>
        </w:tc>
        <w:tc>
          <w:tcPr>
            <w:tcW w:w="3138" w:type="dxa"/>
            <w:noWrap w:val="0"/>
            <w:vAlign w:val="center"/>
          </w:tcPr>
          <w:p w14:paraId="0787C0C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执行标准</w:t>
            </w:r>
          </w:p>
        </w:tc>
      </w:tr>
      <w:tr w14:paraId="06750C9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restart"/>
            <w:noWrap w:val="0"/>
            <w:vAlign w:val="center"/>
          </w:tcPr>
          <w:p w14:paraId="360ACC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大气环境</w:t>
            </w:r>
          </w:p>
        </w:tc>
        <w:tc>
          <w:tcPr>
            <w:tcW w:w="1512" w:type="dxa"/>
            <w:noWrap w:val="0"/>
            <w:vAlign w:val="center"/>
          </w:tcPr>
          <w:p w14:paraId="47CBCF0F">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DA001</w:t>
            </w:r>
          </w:p>
        </w:tc>
        <w:tc>
          <w:tcPr>
            <w:tcW w:w="1365" w:type="dxa"/>
            <w:noWrap w:val="0"/>
            <w:vAlign w:val="center"/>
          </w:tcPr>
          <w:p w14:paraId="4E88534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非甲烷总烃</w:t>
            </w:r>
          </w:p>
        </w:tc>
        <w:tc>
          <w:tcPr>
            <w:tcW w:w="2941" w:type="dxa"/>
            <w:noWrap w:val="0"/>
            <w:vAlign w:val="center"/>
          </w:tcPr>
          <w:p w14:paraId="4133745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二级活性炭吸附装置</w:t>
            </w:r>
          </w:p>
        </w:tc>
        <w:tc>
          <w:tcPr>
            <w:tcW w:w="3138" w:type="dxa"/>
            <w:noWrap w:val="0"/>
            <w:vAlign w:val="center"/>
          </w:tcPr>
          <w:p w14:paraId="4B20149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《大气污染物综合排放标准》（GB16297- 1996）中表2</w:t>
            </w:r>
          </w:p>
        </w:tc>
      </w:tr>
      <w:tr w14:paraId="4D54EC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continue"/>
            <w:noWrap w:val="0"/>
            <w:vAlign w:val="center"/>
          </w:tcPr>
          <w:p w14:paraId="1D57E34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1512" w:type="dxa"/>
            <w:noWrap w:val="0"/>
            <w:vAlign w:val="center"/>
          </w:tcPr>
          <w:p w14:paraId="3C1B2800">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DA002</w:t>
            </w:r>
          </w:p>
        </w:tc>
        <w:tc>
          <w:tcPr>
            <w:tcW w:w="1365" w:type="dxa"/>
            <w:noWrap w:val="0"/>
            <w:vAlign w:val="center"/>
          </w:tcPr>
          <w:p w14:paraId="7BFD80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lang w:val="en-US" w:eastAsia="zh-CN"/>
              </w:rPr>
            </w:pPr>
            <w:r>
              <w:rPr>
                <w:rFonts w:hint="eastAsia" w:cs="Times New Roman"/>
                <w:color w:val="auto"/>
                <w:szCs w:val="21"/>
                <w:highlight w:val="none"/>
                <w:lang w:val="en-US" w:eastAsia="zh-CN"/>
              </w:rPr>
              <w:t>颗粒物</w:t>
            </w:r>
          </w:p>
        </w:tc>
        <w:tc>
          <w:tcPr>
            <w:tcW w:w="2941" w:type="dxa"/>
            <w:noWrap w:val="0"/>
            <w:vAlign w:val="center"/>
          </w:tcPr>
          <w:p w14:paraId="029C134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布袋除尘器</w:t>
            </w:r>
          </w:p>
        </w:tc>
        <w:tc>
          <w:tcPr>
            <w:tcW w:w="3138" w:type="dxa"/>
            <w:noWrap w:val="0"/>
            <w:vAlign w:val="center"/>
          </w:tcPr>
          <w:p w14:paraId="401ACB6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《大气污染物综合排放标准》（GB16297- 1996）中表 2 、</w:t>
            </w:r>
          </w:p>
        </w:tc>
      </w:tr>
      <w:tr w14:paraId="431DC3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continue"/>
            <w:noWrap w:val="0"/>
            <w:vAlign w:val="center"/>
          </w:tcPr>
          <w:p w14:paraId="0989C20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1512" w:type="dxa"/>
            <w:noWrap w:val="0"/>
            <w:vAlign w:val="center"/>
          </w:tcPr>
          <w:p w14:paraId="412DDB83">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DA003</w:t>
            </w:r>
          </w:p>
        </w:tc>
        <w:tc>
          <w:tcPr>
            <w:tcW w:w="1365" w:type="dxa"/>
            <w:shd w:val="clear" w:color="auto" w:fill="auto"/>
            <w:noWrap w:val="0"/>
            <w:vAlign w:val="center"/>
          </w:tcPr>
          <w:p w14:paraId="321E5F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颗粒物</w:t>
            </w:r>
          </w:p>
        </w:tc>
        <w:tc>
          <w:tcPr>
            <w:tcW w:w="2941" w:type="dxa"/>
            <w:shd w:val="clear" w:color="auto" w:fill="auto"/>
            <w:noWrap w:val="0"/>
            <w:vAlign w:val="center"/>
          </w:tcPr>
          <w:p w14:paraId="24AA9B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布袋除尘器</w:t>
            </w:r>
          </w:p>
        </w:tc>
        <w:tc>
          <w:tcPr>
            <w:tcW w:w="3138" w:type="dxa"/>
            <w:shd w:val="clear" w:color="auto" w:fill="auto"/>
            <w:noWrap w:val="0"/>
            <w:vAlign w:val="center"/>
          </w:tcPr>
          <w:p w14:paraId="2330025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《大气污染物综合排放标准》（GB16297- 1996）中表 2 、</w:t>
            </w:r>
          </w:p>
        </w:tc>
      </w:tr>
      <w:tr w14:paraId="6D83CFF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6" w:type="dxa"/>
            <w:vMerge w:val="continue"/>
            <w:noWrap w:val="0"/>
            <w:vAlign w:val="center"/>
          </w:tcPr>
          <w:p w14:paraId="04614F3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1512" w:type="dxa"/>
            <w:noWrap w:val="0"/>
            <w:vAlign w:val="center"/>
          </w:tcPr>
          <w:p w14:paraId="1D9B92AC">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食堂</w:t>
            </w:r>
          </w:p>
        </w:tc>
        <w:tc>
          <w:tcPr>
            <w:tcW w:w="1365" w:type="dxa"/>
            <w:noWrap w:val="0"/>
            <w:vAlign w:val="center"/>
          </w:tcPr>
          <w:p w14:paraId="295A0940">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油烟</w:t>
            </w:r>
          </w:p>
        </w:tc>
        <w:tc>
          <w:tcPr>
            <w:tcW w:w="2941" w:type="dxa"/>
            <w:noWrap w:val="0"/>
            <w:vAlign w:val="center"/>
          </w:tcPr>
          <w:p w14:paraId="77FDF045">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油烟净化装置</w:t>
            </w:r>
          </w:p>
        </w:tc>
        <w:tc>
          <w:tcPr>
            <w:tcW w:w="3138" w:type="dxa"/>
            <w:noWrap w:val="0"/>
            <w:vAlign w:val="center"/>
          </w:tcPr>
          <w:p w14:paraId="45D7AE1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《饮食业油烟排放标准》（GB18483-2001）</w:t>
            </w:r>
          </w:p>
        </w:tc>
      </w:tr>
      <w:tr w14:paraId="73A639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1006" w:type="dxa"/>
            <w:vMerge w:val="continue"/>
            <w:noWrap w:val="0"/>
            <w:vAlign w:val="center"/>
          </w:tcPr>
          <w:p w14:paraId="0A59C0B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1512" w:type="dxa"/>
            <w:vMerge w:val="restart"/>
            <w:noWrap w:val="0"/>
            <w:vAlign w:val="center"/>
          </w:tcPr>
          <w:p w14:paraId="00B76F49">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无组织废气</w:t>
            </w:r>
          </w:p>
        </w:tc>
        <w:tc>
          <w:tcPr>
            <w:tcW w:w="1365" w:type="dxa"/>
            <w:noWrap w:val="0"/>
            <w:vAlign w:val="center"/>
          </w:tcPr>
          <w:p w14:paraId="44971149">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szCs w:val="21"/>
                <w:highlight w:val="none"/>
                <w:lang w:val="en-US" w:eastAsia="zh-CN"/>
              </w:rPr>
              <w:t>非甲烷总烃</w:t>
            </w:r>
          </w:p>
        </w:tc>
        <w:tc>
          <w:tcPr>
            <w:tcW w:w="2941" w:type="dxa"/>
            <w:vMerge w:val="restart"/>
            <w:noWrap w:val="0"/>
            <w:vAlign w:val="center"/>
          </w:tcPr>
          <w:p w14:paraId="79733DBB">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cs="Times New Roman"/>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封闭</w:t>
            </w:r>
            <w:r>
              <w:rPr>
                <w:rFonts w:hint="default" w:ascii="Times New Roman" w:hAnsi="Times New Roman" w:eastAsia="宋体" w:cs="Times New Roman"/>
                <w:b w:val="0"/>
                <w:bCs w:val="0"/>
                <w:color w:val="auto"/>
                <w:kern w:val="2"/>
                <w:sz w:val="21"/>
                <w:szCs w:val="21"/>
                <w:highlight w:val="none"/>
                <w:lang w:val="en-US" w:eastAsia="zh-CN" w:bidi="ar-SA"/>
              </w:rPr>
              <w:t>车间，加强废气收集</w:t>
            </w:r>
            <w:r>
              <w:rPr>
                <w:rFonts w:hint="eastAsia" w:cs="Times New Roman"/>
                <w:b w:val="0"/>
                <w:bCs w:val="0"/>
                <w:color w:val="auto"/>
                <w:kern w:val="2"/>
                <w:sz w:val="21"/>
                <w:szCs w:val="21"/>
                <w:highlight w:val="none"/>
                <w:lang w:val="en-US" w:eastAsia="zh-CN" w:bidi="ar-SA"/>
              </w:rPr>
              <w:t>。定期清扫积尘</w:t>
            </w:r>
          </w:p>
        </w:tc>
        <w:tc>
          <w:tcPr>
            <w:tcW w:w="3138" w:type="dxa"/>
            <w:vMerge w:val="restart"/>
            <w:noWrap w:val="0"/>
            <w:vAlign w:val="center"/>
          </w:tcPr>
          <w:p w14:paraId="46474153">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车间外无组织非甲烷总烃执行《挥发性有机物无组织排放控制标准》（GB37822 —2019）中的标准限值要求；厂界无组织非甲烷总烃</w:t>
            </w:r>
            <w:r>
              <w:rPr>
                <w:rFonts w:hint="eastAsia" w:cs="Times New Roman"/>
                <w:color w:val="auto"/>
                <w:kern w:val="2"/>
                <w:sz w:val="21"/>
                <w:szCs w:val="21"/>
                <w:highlight w:val="none"/>
                <w:lang w:val="en-US" w:eastAsia="zh-CN" w:bidi="ar-SA"/>
              </w:rPr>
              <w:t>和颗粒物执行</w:t>
            </w:r>
            <w:r>
              <w:rPr>
                <w:rFonts w:hint="eastAsia" w:ascii="Times New Roman" w:hAnsi="Times New Roman" w:eastAsia="宋体" w:cs="Times New Roman"/>
                <w:color w:val="auto"/>
                <w:szCs w:val="21"/>
                <w:highlight w:val="none"/>
                <w:lang w:val="en-US" w:eastAsia="zh-CN"/>
              </w:rPr>
              <w:t>《大气污染物综合排放标准》（GB16297- 1996）</w:t>
            </w:r>
            <w:r>
              <w:rPr>
                <w:rFonts w:hint="eastAsia" w:ascii="Times New Roman" w:hAnsi="Times New Roman" w:eastAsia="宋体" w:cs="Times New Roman"/>
                <w:color w:val="auto"/>
                <w:kern w:val="2"/>
                <w:sz w:val="21"/>
                <w:szCs w:val="21"/>
                <w:highlight w:val="none"/>
                <w:lang w:val="en-US" w:eastAsia="zh-CN" w:bidi="ar-SA"/>
              </w:rPr>
              <w:t>中的标准限值要求</w:t>
            </w:r>
          </w:p>
        </w:tc>
      </w:tr>
      <w:tr w14:paraId="765DCF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continue"/>
            <w:noWrap w:val="0"/>
            <w:vAlign w:val="center"/>
          </w:tcPr>
          <w:p w14:paraId="685F470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1512" w:type="dxa"/>
            <w:vMerge w:val="continue"/>
            <w:noWrap w:val="0"/>
            <w:vAlign w:val="center"/>
          </w:tcPr>
          <w:p w14:paraId="353E48F8">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cs="Times New Roman"/>
                <w:color w:val="auto"/>
                <w:kern w:val="2"/>
                <w:sz w:val="21"/>
                <w:szCs w:val="21"/>
                <w:highlight w:val="none"/>
                <w:lang w:val="en-US" w:eastAsia="zh-CN" w:bidi="ar-SA"/>
              </w:rPr>
            </w:pPr>
          </w:p>
        </w:tc>
        <w:tc>
          <w:tcPr>
            <w:tcW w:w="1365" w:type="dxa"/>
            <w:noWrap w:val="0"/>
            <w:vAlign w:val="center"/>
          </w:tcPr>
          <w:p w14:paraId="6B20B757">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cs="Times New Roman"/>
                <w:color w:val="auto"/>
                <w:kern w:val="2"/>
                <w:sz w:val="21"/>
                <w:szCs w:val="21"/>
                <w:highlight w:val="none"/>
                <w:lang w:val="en-US" w:eastAsia="zh-CN" w:bidi="ar-SA"/>
              </w:rPr>
            </w:pPr>
            <w:r>
              <w:rPr>
                <w:rFonts w:hint="eastAsia" w:ascii="Times New Roman" w:hAnsi="Times New Roman" w:cs="Times New Roman"/>
                <w:color w:val="auto"/>
                <w:kern w:val="2"/>
                <w:sz w:val="21"/>
                <w:szCs w:val="21"/>
                <w:highlight w:val="none"/>
                <w:lang w:val="en-US" w:eastAsia="zh-CN" w:bidi="ar-SA"/>
              </w:rPr>
              <w:t>颗粒物</w:t>
            </w:r>
          </w:p>
        </w:tc>
        <w:tc>
          <w:tcPr>
            <w:tcW w:w="2941" w:type="dxa"/>
            <w:vMerge w:val="continue"/>
            <w:noWrap w:val="0"/>
            <w:vAlign w:val="center"/>
          </w:tcPr>
          <w:p w14:paraId="1F60A919">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cs="Times New Roman"/>
                <w:color w:val="auto"/>
                <w:kern w:val="2"/>
                <w:sz w:val="21"/>
                <w:szCs w:val="21"/>
                <w:highlight w:val="none"/>
                <w:lang w:val="en-US" w:eastAsia="zh-CN" w:bidi="ar-SA"/>
              </w:rPr>
            </w:pPr>
          </w:p>
        </w:tc>
        <w:tc>
          <w:tcPr>
            <w:tcW w:w="3138" w:type="dxa"/>
            <w:vMerge w:val="continue"/>
            <w:noWrap w:val="0"/>
            <w:vAlign w:val="center"/>
          </w:tcPr>
          <w:p w14:paraId="46701F9B">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2"/>
                <w:sz w:val="21"/>
                <w:szCs w:val="21"/>
                <w:highlight w:val="none"/>
                <w:lang w:val="en-US" w:eastAsia="zh-CN" w:bidi="ar-SA"/>
              </w:rPr>
            </w:pPr>
          </w:p>
        </w:tc>
      </w:tr>
      <w:tr w14:paraId="26077B0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1006" w:type="dxa"/>
            <w:vMerge w:val="restart"/>
            <w:noWrap w:val="0"/>
            <w:vAlign w:val="center"/>
          </w:tcPr>
          <w:p w14:paraId="4B15D55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地表水环境</w:t>
            </w:r>
          </w:p>
        </w:tc>
        <w:tc>
          <w:tcPr>
            <w:tcW w:w="1512" w:type="dxa"/>
            <w:noWrap w:val="0"/>
            <w:vAlign w:val="center"/>
          </w:tcPr>
          <w:p w14:paraId="3105D30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生活污水</w:t>
            </w:r>
          </w:p>
        </w:tc>
        <w:tc>
          <w:tcPr>
            <w:tcW w:w="1365" w:type="dxa"/>
            <w:vMerge w:val="restart"/>
            <w:noWrap w:val="0"/>
            <w:vAlign w:val="center"/>
          </w:tcPr>
          <w:p w14:paraId="11150C7A">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pH值、化学需氧量、氨氮、悬浮物、五日生化需氧量、</w:t>
            </w:r>
            <w:r>
              <w:rPr>
                <w:rFonts w:hint="eastAsia" w:cs="Times New Roman"/>
                <w:color w:val="auto"/>
                <w:kern w:val="2"/>
                <w:sz w:val="21"/>
                <w:szCs w:val="21"/>
                <w:highlight w:val="none"/>
                <w:lang w:val="en-US" w:eastAsia="zh-CN" w:bidi="ar-SA"/>
              </w:rPr>
              <w:t>总磷</w:t>
            </w:r>
            <w:r>
              <w:rPr>
                <w:rFonts w:hint="eastAsia" w:ascii="Times New Roman" w:hAnsi="Times New Roman" w:eastAsia="宋体" w:cs="Times New Roman"/>
                <w:color w:val="auto"/>
                <w:kern w:val="2"/>
                <w:sz w:val="21"/>
                <w:szCs w:val="21"/>
                <w:highlight w:val="none"/>
                <w:lang w:val="en-US" w:eastAsia="zh-CN" w:bidi="ar-SA"/>
              </w:rPr>
              <w:t>（以P计）、总氮、动植物油</w:t>
            </w:r>
            <w:r>
              <w:rPr>
                <w:rFonts w:hint="default" w:ascii="Times New Roman" w:hAnsi="Times New Roman" w:eastAsia="宋体" w:cs="Times New Roman"/>
                <w:color w:val="auto"/>
                <w:kern w:val="2"/>
                <w:sz w:val="21"/>
                <w:szCs w:val="21"/>
                <w:highlight w:val="none"/>
                <w:lang w:val="en-US" w:eastAsia="zh-CN" w:bidi="ar-SA"/>
              </w:rPr>
              <w:t>、石油类</w:t>
            </w:r>
          </w:p>
        </w:tc>
        <w:tc>
          <w:tcPr>
            <w:tcW w:w="2941" w:type="dxa"/>
            <w:vMerge w:val="restart"/>
            <w:noWrap w:val="0"/>
            <w:vAlign w:val="center"/>
          </w:tcPr>
          <w:p w14:paraId="3CA1B491">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bidi="ar"/>
              </w:rPr>
              <w:t>食堂废水经隔油池处理后，与生活污水一同</w:t>
            </w:r>
            <w:r>
              <w:rPr>
                <w:rFonts w:hint="default" w:ascii="Times New Roman" w:hAnsi="Times New Roman" w:eastAsia="宋体" w:cs="Times New Roman"/>
                <w:color w:val="auto"/>
                <w:sz w:val="21"/>
                <w:szCs w:val="21"/>
                <w:highlight w:val="none"/>
                <w:lang w:bidi="ar"/>
              </w:rPr>
              <w:t>经化粪池处理后排入园区污水管网</w:t>
            </w:r>
            <w:r>
              <w:rPr>
                <w:rFonts w:hint="eastAsia" w:cs="Times New Roman"/>
                <w:color w:val="auto"/>
                <w:sz w:val="21"/>
                <w:szCs w:val="21"/>
                <w:highlight w:val="none"/>
                <w:lang w:eastAsia="zh-CN" w:bidi="ar"/>
              </w:rPr>
              <w:t>，</w:t>
            </w:r>
            <w:r>
              <w:rPr>
                <w:rFonts w:hint="eastAsia" w:cs="宋体"/>
                <w:color w:val="auto"/>
                <w:kern w:val="2"/>
                <w:sz w:val="21"/>
                <w:szCs w:val="21"/>
                <w:highlight w:val="none"/>
                <w:lang w:val="en-US" w:eastAsia="zh-CN" w:bidi="ar-SA"/>
              </w:rPr>
              <w:t>由市政污水管网排入阜新市北控水务有限公司污水处理厂集中处理后排放</w:t>
            </w:r>
          </w:p>
        </w:tc>
        <w:tc>
          <w:tcPr>
            <w:tcW w:w="3138" w:type="dxa"/>
            <w:vMerge w:val="restart"/>
            <w:noWrap w:val="0"/>
            <w:vAlign w:val="center"/>
          </w:tcPr>
          <w:p w14:paraId="268CC73D">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CODcr、BOD</w:t>
            </w:r>
            <w:r>
              <w:rPr>
                <w:rFonts w:hint="eastAsia" w:ascii="Times New Roman" w:hAnsi="Times New Roman" w:eastAsia="宋体" w:cs="Times New Roman"/>
                <w:color w:val="auto"/>
                <w:kern w:val="2"/>
                <w:sz w:val="21"/>
                <w:szCs w:val="21"/>
                <w:highlight w:val="none"/>
                <w:vertAlign w:val="subscript"/>
                <w:lang w:val="en-US" w:eastAsia="zh-CN" w:bidi="ar-SA"/>
              </w:rPr>
              <w:t>5</w:t>
            </w:r>
            <w:r>
              <w:rPr>
                <w:rFonts w:hint="eastAsia" w:ascii="Times New Roman" w:hAnsi="Times New Roman" w:eastAsia="宋体" w:cs="Times New Roman"/>
                <w:color w:val="auto"/>
                <w:kern w:val="2"/>
                <w:sz w:val="21"/>
                <w:szCs w:val="21"/>
                <w:highlight w:val="none"/>
                <w:lang w:val="en-US" w:eastAsia="zh-CN" w:bidi="ar-SA"/>
              </w:rPr>
              <w:t>、SS、氨氮、总氮、</w:t>
            </w:r>
            <w:r>
              <w:rPr>
                <w:rFonts w:hint="eastAsia" w:cs="Times New Roman"/>
                <w:color w:val="auto"/>
                <w:kern w:val="2"/>
                <w:sz w:val="21"/>
                <w:szCs w:val="21"/>
                <w:highlight w:val="none"/>
                <w:lang w:val="en-US" w:eastAsia="zh-CN" w:bidi="ar-SA"/>
              </w:rPr>
              <w:t>总磷</w:t>
            </w:r>
            <w:r>
              <w:rPr>
                <w:rFonts w:hint="eastAsia" w:ascii="Times New Roman" w:hAnsi="Times New Roman" w:eastAsia="宋体" w:cs="Times New Roman"/>
                <w:color w:val="auto"/>
                <w:kern w:val="2"/>
                <w:sz w:val="21"/>
                <w:szCs w:val="21"/>
                <w:highlight w:val="none"/>
                <w:lang w:val="en-US" w:eastAsia="zh-CN" w:bidi="ar-SA"/>
              </w:rPr>
              <w:t>（以P计）</w:t>
            </w:r>
            <w:r>
              <w:rPr>
                <w:rFonts w:hint="eastAsia" w:cs="Times New Roman"/>
                <w:color w:val="auto"/>
                <w:kern w:val="2"/>
                <w:sz w:val="21"/>
                <w:szCs w:val="21"/>
                <w:highlight w:val="none"/>
                <w:lang w:val="en-US" w:eastAsia="zh-CN" w:bidi="ar-SA"/>
              </w:rPr>
              <w:t>、石油类</w:t>
            </w:r>
            <w:r>
              <w:rPr>
                <w:rFonts w:hint="eastAsia" w:ascii="Times New Roman" w:hAnsi="Times New Roman" w:eastAsia="宋体" w:cs="Times New Roman"/>
                <w:color w:val="auto"/>
                <w:kern w:val="2"/>
                <w:sz w:val="21"/>
                <w:szCs w:val="21"/>
                <w:highlight w:val="none"/>
                <w:lang w:val="en-US" w:eastAsia="zh-CN" w:bidi="ar-SA"/>
              </w:rPr>
              <w:t>排放执行《辽宁省污水综合排放标准》（DB21/1627-2008）；</w:t>
            </w:r>
          </w:p>
          <w:p w14:paraId="69E98AF4">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pH、动植物油排放执行《污水综合排放标准》（GB8978-1996）</w:t>
            </w:r>
          </w:p>
        </w:tc>
      </w:tr>
      <w:tr w14:paraId="7D5801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continue"/>
            <w:noWrap w:val="0"/>
            <w:vAlign w:val="center"/>
          </w:tcPr>
          <w:p w14:paraId="1239A5C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highlight w:val="none"/>
              </w:rPr>
            </w:pPr>
          </w:p>
        </w:tc>
        <w:tc>
          <w:tcPr>
            <w:tcW w:w="1512" w:type="dxa"/>
            <w:noWrap w:val="0"/>
            <w:vAlign w:val="center"/>
          </w:tcPr>
          <w:p w14:paraId="7EF8BC1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食堂废水</w:t>
            </w:r>
          </w:p>
        </w:tc>
        <w:tc>
          <w:tcPr>
            <w:tcW w:w="1365" w:type="dxa"/>
            <w:vMerge w:val="continue"/>
            <w:noWrap w:val="0"/>
            <w:vAlign w:val="center"/>
          </w:tcPr>
          <w:p w14:paraId="30B02E00">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941" w:type="dxa"/>
            <w:vMerge w:val="continue"/>
            <w:noWrap w:val="0"/>
            <w:vAlign w:val="center"/>
          </w:tcPr>
          <w:p w14:paraId="197AAD56">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3138" w:type="dxa"/>
            <w:vMerge w:val="continue"/>
            <w:noWrap w:val="0"/>
            <w:vAlign w:val="center"/>
          </w:tcPr>
          <w:p w14:paraId="457C599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r>
      <w:tr w14:paraId="46EB60A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continue"/>
            <w:noWrap w:val="0"/>
            <w:vAlign w:val="center"/>
          </w:tcPr>
          <w:p w14:paraId="5B21E7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highlight w:val="none"/>
              </w:rPr>
            </w:pPr>
          </w:p>
        </w:tc>
        <w:tc>
          <w:tcPr>
            <w:tcW w:w="1512" w:type="dxa"/>
            <w:noWrap w:val="0"/>
            <w:vAlign w:val="center"/>
          </w:tcPr>
          <w:p w14:paraId="4F2AF5E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cs="Times New Roman"/>
                <w:color w:val="auto"/>
                <w:szCs w:val="21"/>
                <w:highlight w:val="none"/>
                <w:lang w:val="en-US" w:eastAsia="zh-CN"/>
              </w:rPr>
            </w:pPr>
            <w:r>
              <w:rPr>
                <w:rFonts w:hint="eastAsia" w:cs="Times New Roman"/>
                <w:color w:val="auto"/>
                <w:szCs w:val="21"/>
                <w:highlight w:val="none"/>
                <w:lang w:val="en-US" w:eastAsia="zh-CN"/>
              </w:rPr>
              <w:t>地面清洗废水</w:t>
            </w:r>
          </w:p>
        </w:tc>
        <w:tc>
          <w:tcPr>
            <w:tcW w:w="1365" w:type="dxa"/>
            <w:vMerge w:val="continue"/>
            <w:noWrap w:val="0"/>
            <w:vAlign w:val="center"/>
          </w:tcPr>
          <w:p w14:paraId="34BDDE99">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p>
        </w:tc>
        <w:tc>
          <w:tcPr>
            <w:tcW w:w="2941" w:type="dxa"/>
            <w:vMerge w:val="restart"/>
            <w:noWrap w:val="0"/>
            <w:vAlign w:val="center"/>
          </w:tcPr>
          <w:p w14:paraId="0FD1BB53">
            <w:pPr>
              <w:keepNext w:val="0"/>
              <w:keepLines w:val="0"/>
              <w:pageBreakBefore w:val="0"/>
              <w:widowControl w:val="0"/>
              <w:suppressLineNumbers w:val="0"/>
              <w:kinsoku/>
              <w:wordWrap/>
              <w:overflowPunct/>
              <w:topLinePunct w:val="0"/>
              <w:autoSpaceDE/>
              <w:autoSpaceDN/>
              <w:bidi w:val="0"/>
              <w:adjustRightInd w:val="0"/>
              <w:spacing w:before="0" w:beforeAutospacing="0" w:after="0" w:afterAutospacing="0" w:line="240" w:lineRule="auto"/>
              <w:ind w:left="0" w:right="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地面清洗废水与初期雨水</w:t>
            </w:r>
            <w:r>
              <w:rPr>
                <w:rFonts w:hint="default" w:ascii="Times New Roman" w:hAnsi="Times New Roman" w:eastAsia="宋体" w:cs="Times New Roman"/>
                <w:color w:val="auto"/>
                <w:sz w:val="21"/>
                <w:szCs w:val="21"/>
                <w:highlight w:val="none"/>
                <w:lang w:bidi="ar"/>
              </w:rPr>
              <w:t>经厂区污水处理设施“</w:t>
            </w:r>
            <w:r>
              <w:rPr>
                <w:rFonts w:hint="default" w:ascii="Times New Roman" w:hAnsi="Times New Roman" w:eastAsia="宋体" w:cs="Times New Roman"/>
                <w:color w:val="auto"/>
                <w:sz w:val="21"/>
                <w:szCs w:val="21"/>
                <w:highlight w:val="none"/>
              </w:rPr>
              <w:t>均质+隔油+絮凝+沉淀</w:t>
            </w:r>
            <w:r>
              <w:rPr>
                <w:rFonts w:hint="default" w:ascii="Times New Roman" w:hAnsi="Times New Roman" w:eastAsia="宋体" w:cs="Times New Roman"/>
                <w:color w:val="auto"/>
                <w:sz w:val="21"/>
                <w:szCs w:val="21"/>
                <w:highlight w:val="none"/>
                <w:lang w:bidi="ar"/>
              </w:rPr>
              <w:t>”处理后排入园区污水管网</w:t>
            </w:r>
            <w:r>
              <w:rPr>
                <w:rFonts w:hint="eastAsia" w:cs="Times New Roman"/>
                <w:color w:val="auto"/>
                <w:sz w:val="21"/>
                <w:szCs w:val="21"/>
                <w:highlight w:val="none"/>
                <w:lang w:eastAsia="zh-CN" w:bidi="ar"/>
              </w:rPr>
              <w:t>，</w:t>
            </w:r>
            <w:r>
              <w:rPr>
                <w:rFonts w:hint="eastAsia" w:cs="宋体"/>
                <w:color w:val="auto"/>
                <w:kern w:val="2"/>
                <w:sz w:val="21"/>
                <w:szCs w:val="21"/>
                <w:highlight w:val="none"/>
                <w:lang w:val="en-US" w:eastAsia="zh-CN" w:bidi="ar-SA"/>
              </w:rPr>
              <w:t>由市政污水管网排入阜新市北控水务有限公司污水处理厂集中处理后排放</w:t>
            </w:r>
          </w:p>
        </w:tc>
        <w:tc>
          <w:tcPr>
            <w:tcW w:w="3138" w:type="dxa"/>
            <w:vMerge w:val="continue"/>
            <w:noWrap w:val="0"/>
            <w:vAlign w:val="center"/>
          </w:tcPr>
          <w:p w14:paraId="042883D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r>
      <w:tr w14:paraId="4742637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vMerge w:val="continue"/>
            <w:noWrap w:val="0"/>
            <w:vAlign w:val="center"/>
          </w:tcPr>
          <w:p w14:paraId="74F6C3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highlight w:val="none"/>
              </w:rPr>
            </w:pPr>
          </w:p>
        </w:tc>
        <w:tc>
          <w:tcPr>
            <w:tcW w:w="1512" w:type="dxa"/>
            <w:noWrap w:val="0"/>
            <w:vAlign w:val="center"/>
          </w:tcPr>
          <w:p w14:paraId="29B1385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cs="Times New Roman"/>
                <w:color w:val="auto"/>
                <w:szCs w:val="21"/>
                <w:highlight w:val="none"/>
                <w:lang w:val="en-US" w:eastAsia="zh-CN"/>
              </w:rPr>
            </w:pPr>
            <w:r>
              <w:rPr>
                <w:rFonts w:hint="eastAsia" w:cs="Times New Roman"/>
                <w:color w:val="auto"/>
                <w:szCs w:val="21"/>
                <w:highlight w:val="none"/>
                <w:lang w:val="en-US" w:eastAsia="zh-CN"/>
              </w:rPr>
              <w:t>初期雨水</w:t>
            </w:r>
          </w:p>
        </w:tc>
        <w:tc>
          <w:tcPr>
            <w:tcW w:w="1365" w:type="dxa"/>
            <w:vMerge w:val="continue"/>
            <w:noWrap w:val="0"/>
            <w:vAlign w:val="center"/>
          </w:tcPr>
          <w:p w14:paraId="53E7208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2941" w:type="dxa"/>
            <w:vMerge w:val="continue"/>
            <w:noWrap w:val="0"/>
            <w:vAlign w:val="center"/>
          </w:tcPr>
          <w:p w14:paraId="585593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c>
          <w:tcPr>
            <w:tcW w:w="3138" w:type="dxa"/>
            <w:vMerge w:val="continue"/>
            <w:noWrap w:val="0"/>
            <w:vAlign w:val="center"/>
          </w:tcPr>
          <w:p w14:paraId="4C296D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p>
        </w:tc>
      </w:tr>
      <w:tr w14:paraId="0855DE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noWrap w:val="0"/>
            <w:vAlign w:val="center"/>
          </w:tcPr>
          <w:p w14:paraId="637A95C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声环境</w:t>
            </w:r>
          </w:p>
        </w:tc>
        <w:tc>
          <w:tcPr>
            <w:tcW w:w="1512" w:type="dxa"/>
            <w:noWrap w:val="0"/>
            <w:vAlign w:val="center"/>
          </w:tcPr>
          <w:p w14:paraId="55A8C31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cs="Times New Roman"/>
                <w:color w:val="auto"/>
                <w:szCs w:val="21"/>
                <w:highlight w:val="none"/>
                <w:lang w:val="en-US" w:eastAsia="zh-CN"/>
              </w:rPr>
              <w:t>设备噪声</w:t>
            </w:r>
          </w:p>
        </w:tc>
        <w:tc>
          <w:tcPr>
            <w:tcW w:w="1365" w:type="dxa"/>
            <w:noWrap w:val="0"/>
            <w:vAlign w:val="center"/>
          </w:tcPr>
          <w:p w14:paraId="1F04308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噪声</w:t>
            </w:r>
          </w:p>
        </w:tc>
        <w:tc>
          <w:tcPr>
            <w:tcW w:w="2941" w:type="dxa"/>
            <w:noWrap w:val="0"/>
            <w:vAlign w:val="center"/>
          </w:tcPr>
          <w:p w14:paraId="3B7F335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eastAsia" w:ascii="Times New Roman" w:hAnsi="Times New Roman" w:eastAsia="宋体" w:cs="Times New Roman"/>
                <w:color w:val="auto"/>
                <w:kern w:val="2"/>
                <w:sz w:val="21"/>
                <w:szCs w:val="21"/>
                <w:highlight w:val="none"/>
                <w:lang w:val="en-US" w:eastAsia="zh-CN" w:bidi="ar-SA"/>
              </w:rPr>
              <w:t>选用低噪声设备、基础减振，风机设置隔声罩、厂房隔声等降噪措施</w:t>
            </w:r>
          </w:p>
        </w:tc>
        <w:tc>
          <w:tcPr>
            <w:tcW w:w="3138" w:type="dxa"/>
            <w:noWrap w:val="0"/>
            <w:vAlign w:val="center"/>
          </w:tcPr>
          <w:p w14:paraId="62DDB09C">
            <w:pPr>
              <w:pStyle w:val="73"/>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firstLine="0" w:firstLineChars="0"/>
              <w:jc w:val="both"/>
              <w:textAlignment w:val="auto"/>
              <w:rPr>
                <w:rFonts w:hint="default"/>
                <w:color w:val="auto"/>
                <w:sz w:val="21"/>
                <w:szCs w:val="21"/>
                <w:highlight w:val="none"/>
                <w:lang w:eastAsia="zh-CN"/>
              </w:rPr>
            </w:pPr>
            <w:r>
              <w:rPr>
                <w:rFonts w:hint="default"/>
                <w:color w:val="auto"/>
                <w:spacing w:val="7"/>
                <w:sz w:val="21"/>
                <w:szCs w:val="21"/>
                <w:highlight w:val="none"/>
                <w:lang w:eastAsia="zh-CN"/>
              </w:rPr>
              <w:t>《工业企业厂界</w:t>
            </w:r>
            <w:r>
              <w:rPr>
                <w:rFonts w:hint="default"/>
                <w:color w:val="auto"/>
                <w:spacing w:val="8"/>
                <w:sz w:val="21"/>
                <w:szCs w:val="21"/>
                <w:highlight w:val="none"/>
                <w:lang w:eastAsia="zh-CN"/>
              </w:rPr>
              <w:t>环境噪声排放标</w:t>
            </w:r>
            <w:r>
              <w:rPr>
                <w:rFonts w:hint="default"/>
                <w:color w:val="auto"/>
                <w:spacing w:val="-1"/>
                <w:sz w:val="21"/>
                <w:szCs w:val="21"/>
                <w:highlight w:val="none"/>
                <w:lang w:eastAsia="zh-CN"/>
              </w:rPr>
              <w:t>准》</w:t>
            </w:r>
            <w:r>
              <w:rPr>
                <w:rFonts w:hint="default"/>
                <w:color w:val="auto"/>
                <w:spacing w:val="4"/>
                <w:sz w:val="21"/>
                <w:szCs w:val="21"/>
                <w:highlight w:val="none"/>
                <w:lang w:eastAsia="zh-CN"/>
              </w:rPr>
              <w:t>（</w:t>
            </w:r>
            <w:r>
              <w:rPr>
                <w:rFonts w:hint="default" w:ascii="Times New Roman" w:hAnsi="Times New Roman" w:eastAsia="Times New Roman" w:cs="Times New Roman"/>
                <w:color w:val="auto"/>
                <w:sz w:val="21"/>
                <w:szCs w:val="21"/>
                <w:highlight w:val="none"/>
                <w:lang w:eastAsia="zh-CN"/>
              </w:rPr>
              <w:t>GB</w:t>
            </w:r>
            <w:r>
              <w:rPr>
                <w:rFonts w:hint="default" w:ascii="Times New Roman" w:hAnsi="Times New Roman" w:eastAsia="Times New Roman" w:cs="Times New Roman"/>
                <w:color w:val="auto"/>
                <w:spacing w:val="4"/>
                <w:sz w:val="21"/>
                <w:szCs w:val="21"/>
                <w:highlight w:val="none"/>
                <w:lang w:eastAsia="zh-CN"/>
              </w:rPr>
              <w:t>12348-2008</w:t>
            </w:r>
            <w:r>
              <w:rPr>
                <w:rFonts w:hint="eastAsia" w:eastAsia="Times New Roman" w:cs="Times New Roman"/>
                <w:color w:val="auto"/>
                <w:spacing w:val="4"/>
                <w:sz w:val="21"/>
                <w:szCs w:val="21"/>
                <w:highlight w:val="none"/>
                <w:lang w:eastAsia="zh-CN"/>
              </w:rPr>
              <w:t>）</w:t>
            </w:r>
            <w:r>
              <w:rPr>
                <w:rFonts w:hint="eastAsia" w:eastAsia="Times New Roman" w:cs="Times New Roman"/>
                <w:color w:val="auto"/>
                <w:spacing w:val="-4"/>
                <w:sz w:val="21"/>
                <w:szCs w:val="21"/>
                <w:highlight w:val="none"/>
                <w:lang w:val="en-US" w:eastAsia="zh-CN"/>
              </w:rPr>
              <w:t>3</w:t>
            </w:r>
            <w:r>
              <w:rPr>
                <w:rFonts w:hint="default"/>
                <w:color w:val="auto"/>
                <w:spacing w:val="-4"/>
                <w:sz w:val="21"/>
                <w:szCs w:val="21"/>
                <w:highlight w:val="none"/>
                <w:lang w:eastAsia="zh-CN"/>
              </w:rPr>
              <w:t>类标准</w:t>
            </w:r>
          </w:p>
        </w:tc>
      </w:tr>
      <w:tr w14:paraId="37AD44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6" w:type="dxa"/>
            <w:noWrap w:val="0"/>
            <w:vAlign w:val="center"/>
          </w:tcPr>
          <w:p w14:paraId="7F3B91F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电磁辐射</w:t>
            </w:r>
          </w:p>
        </w:tc>
        <w:tc>
          <w:tcPr>
            <w:tcW w:w="1512" w:type="dxa"/>
            <w:noWrap w:val="0"/>
            <w:vAlign w:val="center"/>
          </w:tcPr>
          <w:p w14:paraId="1E786BB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w:t>
            </w:r>
          </w:p>
        </w:tc>
        <w:tc>
          <w:tcPr>
            <w:tcW w:w="1365" w:type="dxa"/>
            <w:noWrap w:val="0"/>
            <w:vAlign w:val="center"/>
          </w:tcPr>
          <w:p w14:paraId="2DDD9C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w:t>
            </w:r>
          </w:p>
        </w:tc>
        <w:tc>
          <w:tcPr>
            <w:tcW w:w="2941" w:type="dxa"/>
            <w:noWrap w:val="0"/>
            <w:vAlign w:val="center"/>
          </w:tcPr>
          <w:p w14:paraId="17D45A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w:t>
            </w:r>
          </w:p>
        </w:tc>
        <w:tc>
          <w:tcPr>
            <w:tcW w:w="3138" w:type="dxa"/>
            <w:noWrap w:val="0"/>
            <w:vAlign w:val="center"/>
          </w:tcPr>
          <w:p w14:paraId="708EAB2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w:t>
            </w:r>
          </w:p>
        </w:tc>
      </w:tr>
      <w:tr w14:paraId="11CD19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noWrap w:val="0"/>
            <w:vAlign w:val="center"/>
          </w:tcPr>
          <w:p w14:paraId="4CBB4D4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固体废物</w:t>
            </w:r>
          </w:p>
        </w:tc>
        <w:tc>
          <w:tcPr>
            <w:tcW w:w="8956" w:type="dxa"/>
            <w:gridSpan w:val="4"/>
            <w:noWrap w:val="0"/>
            <w:vAlign w:val="center"/>
          </w:tcPr>
          <w:p w14:paraId="21ADF3A8">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 xml:space="preserve">（1）一般工业固废 </w:t>
            </w:r>
          </w:p>
          <w:p w14:paraId="46AECC02">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①除尘灰</w:t>
            </w:r>
            <w:r>
              <w:rPr>
                <w:rFonts w:hint="eastAsia" w:cs="Times New Roman"/>
                <w:color w:val="auto"/>
                <w:sz w:val="21"/>
                <w:szCs w:val="21"/>
                <w:highlight w:val="none"/>
                <w:lang w:val="en-US" w:eastAsia="zh-CN"/>
              </w:rPr>
              <w:t>和废布袋</w:t>
            </w:r>
            <w:r>
              <w:rPr>
                <w:rFonts w:hint="default" w:ascii="Times New Roman" w:hAnsi="Times New Roman" w:eastAsia="宋体" w:cs="Times New Roman"/>
                <w:color w:val="auto"/>
                <w:sz w:val="21"/>
                <w:szCs w:val="21"/>
                <w:highlight w:val="none"/>
                <w:lang w:val="en-US" w:eastAsia="zh-CN"/>
              </w:rPr>
              <w:t>收集后交由具有相应处理能力或经营范围的单位利用和处置</w:t>
            </w:r>
            <w:r>
              <w:rPr>
                <w:rFonts w:hint="eastAsia" w:cs="Times New Roman"/>
                <w:color w:val="auto"/>
                <w:sz w:val="21"/>
                <w:szCs w:val="21"/>
                <w:highlight w:val="none"/>
                <w:lang w:val="en-US" w:eastAsia="zh-CN"/>
              </w:rPr>
              <w:t>；</w:t>
            </w:r>
          </w:p>
          <w:p w14:paraId="5CCD0583">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②废弃车用电子零部件交由有废弃电器电子产品处理资格企业处理</w:t>
            </w:r>
            <w:r>
              <w:rPr>
                <w:rFonts w:hint="eastAsia" w:cs="Times New Roman"/>
                <w:color w:val="auto"/>
                <w:sz w:val="21"/>
                <w:szCs w:val="21"/>
                <w:highlight w:val="none"/>
                <w:lang w:val="en-US" w:eastAsia="zh-CN"/>
              </w:rPr>
              <w:t>；</w:t>
            </w:r>
          </w:p>
          <w:p w14:paraId="1CC7B0FA">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③废安全气囊交由具有相应处理能力或经营范围的单位利用和处置</w:t>
            </w:r>
            <w:r>
              <w:rPr>
                <w:rFonts w:hint="eastAsia" w:cs="Times New Roman"/>
                <w:color w:val="auto"/>
                <w:sz w:val="21"/>
                <w:szCs w:val="21"/>
                <w:highlight w:val="none"/>
                <w:lang w:val="en-US" w:eastAsia="zh-CN"/>
              </w:rPr>
              <w:t>；</w:t>
            </w:r>
          </w:p>
          <w:p w14:paraId="59076BB5">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④废尼龙布（含废海绵、废皮革）交由具有相应处理能力或经营范围的单位利用和处置</w:t>
            </w:r>
            <w:r>
              <w:rPr>
                <w:rFonts w:hint="eastAsia" w:cs="Times New Roman"/>
                <w:color w:val="auto"/>
                <w:sz w:val="21"/>
                <w:szCs w:val="21"/>
                <w:highlight w:val="none"/>
                <w:lang w:val="en-US" w:eastAsia="zh-CN"/>
              </w:rPr>
              <w:t>；</w:t>
            </w:r>
          </w:p>
          <w:p w14:paraId="3EF7669E">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⑤废液化气罐交由具有相应资质的单位利用和处置</w:t>
            </w:r>
          </w:p>
          <w:p w14:paraId="48D96B80">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⑥其它不可利用物交由具有相应处理能力或经营范围的单位利用和处置</w:t>
            </w:r>
          </w:p>
          <w:p w14:paraId="0C8AD7A8">
            <w:pPr>
              <w:keepNext w:val="0"/>
              <w:keepLines w:val="0"/>
              <w:pageBreakBefore w:val="0"/>
              <w:widowControl w:val="0"/>
              <w:numPr>
                <w:ilvl w:val="0"/>
                <w:numId w:val="0"/>
              </w:numPr>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rightChars="0" w:firstLine="420" w:firstLineChars="200"/>
              <w:jc w:val="both"/>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（2）危险废物</w:t>
            </w:r>
          </w:p>
          <w:p w14:paraId="45C78CB9">
            <w:pPr>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ascii="Times New Roman" w:hAnsi="Times New Roman" w:eastAsia="宋体" w:cs="Times New Roman"/>
                <w:color w:val="auto"/>
                <w:sz w:val="21"/>
                <w:szCs w:val="21"/>
                <w:highlight w:val="none"/>
                <w:u w:val="none" w:color="auto"/>
                <w:lang w:bidi="zh-CN"/>
              </w:rPr>
            </w:pPr>
            <w:r>
              <w:rPr>
                <w:rFonts w:hint="default" w:ascii="Times New Roman" w:hAnsi="Times New Roman" w:eastAsia="宋体" w:cs="Times New Roman"/>
                <w:color w:val="auto"/>
                <w:sz w:val="21"/>
                <w:szCs w:val="21"/>
                <w:highlight w:val="none"/>
                <w:lang w:val="en-US" w:eastAsia="zh-CN"/>
              </w:rPr>
              <w:t>项目</w:t>
            </w:r>
            <w:r>
              <w:rPr>
                <w:rFonts w:hint="eastAsia"/>
                <w:color w:val="auto"/>
              </w:rPr>
              <w:t>含有机溶剂废物</w:t>
            </w:r>
            <w:r>
              <w:rPr>
                <w:rFonts w:hint="eastAsia"/>
                <w:color w:val="auto"/>
                <w:lang w:val="en-US" w:eastAsia="zh-CN"/>
              </w:rPr>
              <w:t>、</w:t>
            </w:r>
            <w:r>
              <w:rPr>
                <w:rFonts w:hint="eastAsia"/>
                <w:color w:val="auto"/>
              </w:rPr>
              <w:t>废矿物油与含油废物</w:t>
            </w:r>
            <w:r>
              <w:rPr>
                <w:rFonts w:hint="eastAsia"/>
                <w:color w:val="auto"/>
                <w:lang w:val="en-US" w:eastAsia="zh-CN"/>
              </w:rPr>
              <w:t>、</w:t>
            </w:r>
            <w:r>
              <w:rPr>
                <w:rFonts w:hint="eastAsia"/>
                <w:color w:val="auto"/>
              </w:rPr>
              <w:t>废铅蓄电池</w:t>
            </w:r>
            <w:r>
              <w:rPr>
                <w:rFonts w:hint="eastAsia"/>
                <w:color w:val="auto"/>
                <w:lang w:val="en-US" w:eastAsia="zh-CN"/>
              </w:rPr>
              <w:t>、</w:t>
            </w:r>
            <w:r>
              <w:rPr>
                <w:rFonts w:hint="default" w:ascii="Times New Roman" w:hAnsi="Times New Roman" w:eastAsia="宋体" w:cs="Times New Roman"/>
                <w:color w:val="auto"/>
                <w:sz w:val="21"/>
                <w:szCs w:val="21"/>
                <w:highlight w:val="none"/>
                <w:lang w:val="en-US" w:eastAsia="zh-CN"/>
              </w:rPr>
              <w:t>废动力电池</w:t>
            </w:r>
            <w:r>
              <w:rPr>
                <w:rFonts w:hint="eastAsia" w:ascii="Times New Roman" w:hAnsi="Times New Roman" w:eastAsia="宋体" w:cs="Times New Roman"/>
                <w:color w:val="auto"/>
                <w:sz w:val="21"/>
                <w:szCs w:val="21"/>
                <w:highlight w:val="none"/>
                <w:lang w:val="en-US" w:eastAsia="zh-CN"/>
              </w:rPr>
              <w:t>、</w:t>
            </w:r>
            <w:r>
              <w:rPr>
                <w:rFonts w:hint="eastAsia"/>
                <w:color w:val="auto"/>
              </w:rPr>
              <w:t>废电路板及元器件</w:t>
            </w:r>
            <w:r>
              <w:rPr>
                <w:rFonts w:hint="eastAsia"/>
                <w:color w:val="auto"/>
                <w:lang w:val="en-US" w:eastAsia="zh-CN"/>
              </w:rPr>
              <w:t>、</w:t>
            </w:r>
            <w:r>
              <w:rPr>
                <w:rFonts w:hint="eastAsia"/>
                <w:color w:val="auto"/>
              </w:rPr>
              <w:t>废尾气催化剂</w:t>
            </w:r>
            <w:r>
              <w:rPr>
                <w:rFonts w:hint="eastAsia"/>
                <w:color w:val="auto"/>
                <w:lang w:val="en-US" w:eastAsia="zh-CN"/>
              </w:rPr>
              <w:t>、</w:t>
            </w:r>
            <w:r>
              <w:rPr>
                <w:rFonts w:hint="eastAsia"/>
                <w:color w:val="auto"/>
              </w:rPr>
              <w:t>废机油滤清器</w:t>
            </w:r>
            <w:r>
              <w:rPr>
                <w:rFonts w:hint="eastAsia"/>
                <w:color w:val="auto"/>
                <w:lang w:val="en-US" w:eastAsia="zh-CN"/>
              </w:rPr>
              <w:t>、</w:t>
            </w:r>
            <w:r>
              <w:rPr>
                <w:rFonts w:hint="eastAsia"/>
                <w:color w:val="auto"/>
              </w:rPr>
              <w:t>废油箱</w:t>
            </w:r>
            <w:r>
              <w:rPr>
                <w:rFonts w:hint="eastAsia"/>
                <w:color w:val="auto"/>
                <w:lang w:val="en-US" w:eastAsia="zh-CN"/>
              </w:rPr>
              <w:t>、</w:t>
            </w:r>
            <w:r>
              <w:rPr>
                <w:rFonts w:hint="eastAsia"/>
                <w:color w:val="auto"/>
              </w:rPr>
              <w:t>含油手套抹布</w:t>
            </w:r>
            <w:r>
              <w:rPr>
                <w:rFonts w:hint="eastAsia"/>
                <w:color w:val="auto"/>
                <w:lang w:val="en-US" w:eastAsia="zh-CN"/>
              </w:rPr>
              <w:t>、</w:t>
            </w:r>
            <w:r>
              <w:rPr>
                <w:rFonts w:hint="eastAsia"/>
                <w:color w:val="auto"/>
              </w:rPr>
              <w:t>废活性炭</w:t>
            </w:r>
            <w:r>
              <w:rPr>
                <w:rFonts w:hint="eastAsia"/>
                <w:color w:val="auto"/>
                <w:lang w:val="en-US" w:eastAsia="zh-CN"/>
              </w:rPr>
              <w:t>、</w:t>
            </w:r>
            <w:r>
              <w:rPr>
                <w:rFonts w:hint="eastAsia"/>
                <w:color w:val="auto"/>
              </w:rPr>
              <w:t>污水处理设施污泥</w:t>
            </w:r>
            <w:r>
              <w:rPr>
                <w:rFonts w:hint="eastAsia"/>
                <w:color w:val="auto"/>
                <w:lang w:val="en-US" w:eastAsia="zh-CN"/>
              </w:rPr>
              <w:t>暂存于危废贮存库（125m</w:t>
            </w:r>
            <w:r>
              <w:rPr>
                <w:rFonts w:hint="eastAsia"/>
                <w:color w:val="auto"/>
                <w:vertAlign w:val="superscript"/>
                <w:lang w:val="en-US" w:eastAsia="zh-CN"/>
              </w:rPr>
              <w:t>2</w:t>
            </w:r>
            <w:r>
              <w:rPr>
                <w:rFonts w:hint="eastAsia"/>
                <w:color w:val="auto"/>
                <w:lang w:val="en-US" w:eastAsia="zh-CN"/>
              </w:rPr>
              <w:t>），</w:t>
            </w:r>
            <w:r>
              <w:rPr>
                <w:rFonts w:hint="default" w:ascii="Times New Roman" w:hAnsi="Times New Roman" w:eastAsia="宋体" w:cs="Times New Roman"/>
                <w:color w:val="auto"/>
                <w:sz w:val="21"/>
                <w:szCs w:val="21"/>
                <w:highlight w:val="none"/>
                <w:u w:val="none" w:color="auto"/>
                <w:lang w:val="en-US" w:eastAsia="zh-CN" w:bidi="zh-CN"/>
              </w:rPr>
              <w:t>定期交有资质单位进行处理。</w:t>
            </w:r>
          </w:p>
          <w:p w14:paraId="66A3CDBF">
            <w:pPr>
              <w:pStyle w:val="6"/>
              <w:keepNext w:val="0"/>
              <w:keepLines w:val="0"/>
              <w:pageBreakBefore w:val="0"/>
              <w:widowControl w:val="0"/>
              <w:suppressLineNumbers w:val="0"/>
              <w:kinsoku/>
              <w:wordWrap/>
              <w:overflowPunct w:val="0"/>
              <w:topLinePunct w:val="0"/>
              <w:autoSpaceDE w:val="0"/>
              <w:autoSpaceDN w:val="0"/>
              <w:bidi w:val="0"/>
              <w:adjustRightInd/>
              <w:snapToGrid/>
              <w:spacing w:before="0" w:beforeAutospacing="0" w:after="0" w:afterAutospacing="0" w:line="360" w:lineRule="auto"/>
              <w:ind w:left="0" w:leftChars="0" w:right="0" w:firstLine="420" w:firstLineChars="200"/>
              <w:jc w:val="both"/>
              <w:textAlignment w:val="auto"/>
              <w:rPr>
                <w:rFonts w:hint="default" w:eastAsia="宋体" w:cs="Times New Roman"/>
                <w:color w:val="auto"/>
                <w:szCs w:val="21"/>
                <w:highlight w:val="none"/>
                <w:lang w:val="en-US" w:eastAsia="zh-CN"/>
              </w:rPr>
            </w:pPr>
            <w:r>
              <w:rPr>
                <w:rFonts w:hint="default" w:ascii="Times New Roman" w:hAnsi="Times New Roman" w:eastAsia="宋体" w:cs="Times New Roman"/>
                <w:color w:val="auto"/>
                <w:sz w:val="21"/>
                <w:szCs w:val="21"/>
                <w:highlight w:val="none"/>
                <w:lang w:val="zh-CN" w:eastAsia="zh-CN" w:bidi="ar-SA"/>
              </w:rPr>
              <w:t>（</w:t>
            </w:r>
            <w:r>
              <w:rPr>
                <w:rFonts w:hint="default" w:ascii="Times New Roman" w:hAnsi="Times New Roman" w:eastAsia="宋体" w:cs="Times New Roman"/>
                <w:color w:val="auto"/>
                <w:sz w:val="21"/>
                <w:szCs w:val="21"/>
                <w:highlight w:val="none"/>
                <w:lang w:val="en-US" w:eastAsia="zh-CN" w:bidi="ar-SA"/>
              </w:rPr>
              <w:t>3</w:t>
            </w:r>
            <w:r>
              <w:rPr>
                <w:rFonts w:hint="default" w:ascii="Times New Roman" w:hAnsi="Times New Roman" w:eastAsia="宋体" w:cs="Times New Roman"/>
                <w:color w:val="auto"/>
                <w:sz w:val="21"/>
                <w:szCs w:val="21"/>
                <w:highlight w:val="none"/>
                <w:lang w:val="zh-CN" w:eastAsia="zh-CN" w:bidi="ar-SA"/>
              </w:rPr>
              <w:t>）</w:t>
            </w:r>
            <w:r>
              <w:rPr>
                <w:rFonts w:hint="eastAsia" w:cs="Times New Roman"/>
                <w:color w:val="auto"/>
                <w:sz w:val="21"/>
                <w:szCs w:val="21"/>
                <w:highlight w:val="none"/>
                <w:lang w:val="en-US" w:eastAsia="zh-CN" w:bidi="ar-SA"/>
              </w:rPr>
              <w:t>食堂废水经隔油池（5m</w:t>
            </w:r>
            <w:r>
              <w:rPr>
                <w:rFonts w:hint="eastAsia" w:cs="Times New Roman"/>
                <w:color w:val="auto"/>
                <w:sz w:val="21"/>
                <w:szCs w:val="21"/>
                <w:highlight w:val="none"/>
                <w:vertAlign w:val="superscript"/>
                <w:lang w:val="en-US" w:eastAsia="zh-CN" w:bidi="ar-SA"/>
              </w:rPr>
              <w:t>3</w:t>
            </w:r>
            <w:r>
              <w:rPr>
                <w:rFonts w:hint="eastAsia" w:cs="Times New Roman"/>
                <w:color w:val="auto"/>
                <w:sz w:val="21"/>
                <w:szCs w:val="21"/>
                <w:highlight w:val="none"/>
                <w:lang w:val="en-US" w:eastAsia="zh-CN" w:bidi="ar-SA"/>
              </w:rPr>
              <w:t>）处理后产生的隔油渣和</w:t>
            </w:r>
            <w:r>
              <w:rPr>
                <w:rFonts w:hint="default" w:ascii="Times New Roman" w:hAnsi="Times New Roman" w:eastAsia="宋体" w:cs="Times New Roman"/>
                <w:color w:val="auto"/>
                <w:sz w:val="21"/>
                <w:szCs w:val="21"/>
                <w:highlight w:val="none"/>
                <w:lang w:val="zh-CN" w:eastAsia="zh-CN" w:bidi="ar-SA"/>
              </w:rPr>
              <w:t>生活垃圾</w:t>
            </w:r>
            <w:r>
              <w:rPr>
                <w:rFonts w:hint="eastAsia" w:cs="Times New Roman"/>
                <w:color w:val="auto"/>
                <w:sz w:val="21"/>
                <w:szCs w:val="21"/>
                <w:highlight w:val="none"/>
                <w:lang w:val="en-US" w:eastAsia="zh-CN" w:bidi="ar-SA"/>
              </w:rPr>
              <w:t>集中</w:t>
            </w:r>
            <w:r>
              <w:rPr>
                <w:rFonts w:hint="default" w:ascii="Times New Roman" w:hAnsi="Times New Roman" w:eastAsia="宋体" w:cs="Times New Roman"/>
                <w:color w:val="auto"/>
                <w:sz w:val="21"/>
                <w:szCs w:val="21"/>
                <w:highlight w:val="none"/>
                <w:lang w:val="en-US" w:eastAsia="zh-CN"/>
              </w:rPr>
              <w:t>收集后委托环卫部门定期清运。</w:t>
            </w:r>
          </w:p>
        </w:tc>
      </w:tr>
      <w:tr w14:paraId="1C66D89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noWrap w:val="0"/>
            <w:vAlign w:val="center"/>
          </w:tcPr>
          <w:p w14:paraId="481ED69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土壤及地下水污染防治措施</w:t>
            </w:r>
          </w:p>
        </w:tc>
        <w:tc>
          <w:tcPr>
            <w:tcW w:w="8956" w:type="dxa"/>
            <w:gridSpan w:val="4"/>
            <w:noWrap w:val="0"/>
            <w:vAlign w:val="center"/>
          </w:tcPr>
          <w:p w14:paraId="697A6E08">
            <w:pPr>
              <w:pStyle w:val="73"/>
              <w:keepNext w:val="0"/>
              <w:keepLines w:val="0"/>
              <w:pageBreakBefore w:val="0"/>
              <w:widowControl w:val="0"/>
              <w:suppressLineNumbers w:val="0"/>
              <w:kinsoku w:val="0"/>
              <w:wordWrap/>
              <w:overflowPunct w:val="0"/>
              <w:topLinePunct w:val="0"/>
              <w:autoSpaceDE w:val="0"/>
              <w:autoSpaceDN w:val="0"/>
              <w:bidi w:val="0"/>
              <w:adjustRightInd/>
              <w:snapToGrid/>
              <w:spacing w:before="0" w:beforeAutospacing="0" w:after="0" w:afterAutospacing="0" w:line="360" w:lineRule="auto"/>
              <w:ind w:left="0" w:right="0" w:firstLine="420" w:firstLineChars="200"/>
              <w:jc w:val="both"/>
              <w:textAlignment w:val="auto"/>
              <w:rPr>
                <w:rFonts w:hint="eastAsia" w:eastAsia="宋体"/>
                <w:color w:val="auto"/>
                <w:szCs w:val="21"/>
                <w:highlight w:val="none"/>
                <w:lang w:val="en-US" w:eastAsia="zh-CN"/>
              </w:rPr>
            </w:pPr>
            <w:r>
              <w:rPr>
                <w:rFonts w:hint="default" w:ascii="Times New Roman" w:hAnsi="Times New Roman" w:eastAsia="宋体" w:cs="Times New Roman"/>
                <w:color w:val="auto"/>
                <w:sz w:val="21"/>
                <w:szCs w:val="21"/>
                <w:highlight w:val="none"/>
              </w:rPr>
              <w:t>厂区进行分区防渗处理，</w:t>
            </w:r>
            <w:r>
              <w:rPr>
                <w:rFonts w:hint="eastAsia" w:ascii="Times New Roman" w:hAnsi="Times New Roman" w:eastAsia="宋体" w:cs="Times New Roman"/>
                <w:color w:val="auto"/>
                <w:sz w:val="21"/>
                <w:szCs w:val="21"/>
                <w:highlight w:val="none"/>
                <w:lang w:eastAsia="zh-CN"/>
              </w:rPr>
              <w:t>五大总成储存区、产品储存区、切割区、固废暂存区</w:t>
            </w:r>
            <w:r>
              <w:rPr>
                <w:rFonts w:hint="default" w:ascii="Times New Roman" w:hAnsi="Times New Roman" w:eastAsia="宋体" w:cs="Times New Roman"/>
                <w:color w:val="auto"/>
                <w:sz w:val="21"/>
                <w:szCs w:val="21"/>
                <w:highlight w:val="none"/>
              </w:rPr>
              <w:t>及</w:t>
            </w:r>
            <w:r>
              <w:rPr>
                <w:rFonts w:hint="eastAsia" w:ascii="Times New Roman" w:hAnsi="Times New Roman" w:eastAsia="宋体" w:cs="Times New Roman"/>
                <w:color w:val="auto"/>
                <w:sz w:val="21"/>
                <w:szCs w:val="21"/>
                <w:highlight w:val="none"/>
                <w:lang w:eastAsia="zh-CN"/>
              </w:rPr>
              <w:t>报废汽车暂存场</w:t>
            </w:r>
            <w:r>
              <w:rPr>
                <w:rFonts w:hint="default" w:ascii="Times New Roman" w:hAnsi="Times New Roman" w:eastAsia="宋体" w:cs="Times New Roman"/>
                <w:color w:val="auto"/>
                <w:sz w:val="21"/>
                <w:szCs w:val="21"/>
                <w:highlight w:val="none"/>
              </w:rPr>
              <w:t>进行一般防渗（防渗技术要求为等效黏土防渗层Mb≥</w:t>
            </w:r>
            <w:r>
              <w:rPr>
                <w:rFonts w:hint="eastAsia" w:ascii="Times New Roman" w:hAnsi="Times New Roman" w:eastAsia="宋体" w:cs="Times New Roman"/>
                <w:color w:val="auto"/>
                <w:sz w:val="21"/>
                <w:szCs w:val="21"/>
                <w:highlight w:val="none"/>
                <w:lang w:val="en-US" w:eastAsia="zh-CN"/>
              </w:rPr>
              <w:t>1.5</w:t>
            </w:r>
            <w:r>
              <w:rPr>
                <w:rFonts w:hint="default" w:ascii="Times New Roman" w:hAnsi="Times New Roman" w:eastAsia="宋体" w:cs="Times New Roman"/>
                <w:color w:val="auto"/>
                <w:sz w:val="21"/>
                <w:szCs w:val="21"/>
                <w:highlight w:val="none"/>
              </w:rPr>
              <w:t>m，K≤1×10</w:t>
            </w:r>
            <w:r>
              <w:rPr>
                <w:rFonts w:hint="default" w:ascii="Times New Roman" w:hAnsi="Times New Roman" w:eastAsia="宋体" w:cs="Times New Roman"/>
                <w:color w:val="auto"/>
                <w:sz w:val="21"/>
                <w:szCs w:val="21"/>
                <w:highlight w:val="none"/>
                <w:vertAlign w:val="superscript"/>
              </w:rPr>
              <w:t>-7</w:t>
            </w:r>
            <w:r>
              <w:rPr>
                <w:rFonts w:hint="default" w:ascii="Times New Roman" w:hAnsi="Times New Roman" w:eastAsia="宋体" w:cs="Times New Roman"/>
                <w:color w:val="auto"/>
                <w:sz w:val="21"/>
                <w:szCs w:val="21"/>
                <w:highlight w:val="none"/>
              </w:rPr>
              <w:t>cm/s；或参照GB18598执行），</w:t>
            </w:r>
            <w:r>
              <w:rPr>
                <w:rFonts w:hint="default" w:ascii="Times New Roman" w:hAnsi="Times New Roman" w:eastAsia="宋体" w:cs="Times New Roman"/>
                <w:color w:val="auto"/>
                <w:sz w:val="21"/>
                <w:szCs w:val="21"/>
                <w:highlight w:val="none"/>
                <w:lang w:eastAsia="zh-CN"/>
              </w:rPr>
              <w:t>危废贮存库</w:t>
            </w:r>
            <w:r>
              <w:rPr>
                <w:rFonts w:hint="default" w:ascii="Times New Roman" w:hAnsi="Times New Roman" w:eastAsia="宋体" w:cs="Times New Roman"/>
                <w:color w:val="auto"/>
                <w:sz w:val="21"/>
                <w:szCs w:val="21"/>
                <w:highlight w:val="none"/>
              </w:rPr>
              <w:t>、</w:t>
            </w:r>
            <w:r>
              <w:rPr>
                <w:rFonts w:hint="eastAsia" w:ascii="Times New Roman" w:hAnsi="Times New Roman" w:eastAsia="宋体" w:cs="Times New Roman"/>
                <w:color w:val="auto"/>
                <w:sz w:val="21"/>
                <w:szCs w:val="21"/>
                <w:highlight w:val="none"/>
                <w:lang w:eastAsia="zh-CN"/>
              </w:rPr>
              <w:t>汽车</w:t>
            </w:r>
            <w:r>
              <w:rPr>
                <w:rFonts w:hint="default" w:ascii="Times New Roman" w:hAnsi="Times New Roman" w:eastAsia="宋体" w:cs="Times New Roman"/>
                <w:color w:val="auto"/>
                <w:sz w:val="21"/>
                <w:szCs w:val="21"/>
                <w:highlight w:val="none"/>
              </w:rPr>
              <w:t>拆解</w:t>
            </w:r>
            <w:r>
              <w:rPr>
                <w:rFonts w:hint="default" w:ascii="Times New Roman" w:hAnsi="Times New Roman" w:eastAsia="宋体" w:cs="Times New Roman"/>
                <w:color w:val="auto"/>
                <w:sz w:val="21"/>
                <w:szCs w:val="21"/>
                <w:highlight w:val="none"/>
                <w:lang w:eastAsia="zh-CN"/>
              </w:rPr>
              <w:t>区、污水处理设施、</w:t>
            </w:r>
            <w:r>
              <w:rPr>
                <w:rFonts w:hint="default" w:ascii="Times New Roman" w:hAnsi="Times New Roman" w:eastAsia="宋体" w:cs="Times New Roman"/>
                <w:color w:val="auto"/>
                <w:sz w:val="21"/>
                <w:szCs w:val="21"/>
                <w:highlight w:val="none"/>
              </w:rPr>
              <w:t>初期雨水收集池</w:t>
            </w:r>
            <w:r>
              <w:rPr>
                <w:rFonts w:hint="eastAsia" w:ascii="Times New Roman" w:hAnsi="Times New Roman" w:eastAsia="宋体" w:cs="Times New Roman"/>
                <w:color w:val="auto"/>
                <w:sz w:val="21"/>
                <w:szCs w:val="21"/>
                <w:highlight w:val="none"/>
                <w:lang w:eastAsia="zh-CN"/>
              </w:rPr>
              <w:t>、事故池</w:t>
            </w:r>
            <w:r>
              <w:rPr>
                <w:rFonts w:hint="default" w:ascii="Times New Roman" w:hAnsi="Times New Roman" w:eastAsia="宋体" w:cs="Times New Roman"/>
                <w:color w:val="auto"/>
                <w:sz w:val="21"/>
                <w:szCs w:val="21"/>
                <w:highlight w:val="none"/>
              </w:rPr>
              <w:t>进行重点防渗（防渗技术要求为等效黏土防渗层Mb≥6.0m，K≤1×10</w:t>
            </w:r>
            <w:r>
              <w:rPr>
                <w:rFonts w:hint="default" w:ascii="Times New Roman" w:hAnsi="Times New Roman" w:eastAsia="宋体" w:cs="Times New Roman"/>
                <w:color w:val="auto"/>
                <w:sz w:val="21"/>
                <w:szCs w:val="21"/>
                <w:highlight w:val="none"/>
                <w:vertAlign w:val="superscript"/>
              </w:rPr>
              <w:t>-7</w:t>
            </w:r>
            <w:r>
              <w:rPr>
                <w:rFonts w:hint="default" w:ascii="Times New Roman" w:hAnsi="Times New Roman" w:eastAsia="宋体" w:cs="Times New Roman"/>
                <w:color w:val="auto"/>
                <w:sz w:val="21"/>
                <w:szCs w:val="21"/>
                <w:highlight w:val="none"/>
              </w:rPr>
              <w:t>cm/s；或参照GB18598执行</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其中危废贮存库防渗技术要求为</w:t>
            </w:r>
            <w:r>
              <w:rPr>
                <w:rFonts w:hint="default" w:ascii="Times New Roman" w:hAnsi="Times New Roman" w:eastAsia="宋体" w:cs="Times New Roman"/>
                <w:color w:val="auto"/>
                <w:sz w:val="21"/>
                <w:szCs w:val="21"/>
                <w:highlight w:val="none"/>
                <w:lang w:val="en-US" w:eastAsia="zh-CN"/>
              </w:rPr>
              <w:t>人工材料的渗透系数小于</w:t>
            </w:r>
            <w:r>
              <w:rPr>
                <w:rFonts w:hint="default" w:ascii="Times New Roman" w:hAnsi="Times New Roman" w:eastAsia="宋体" w:cs="Times New Roman"/>
                <w:color w:val="auto"/>
                <w:sz w:val="21"/>
                <w:szCs w:val="21"/>
                <w:highlight w:val="none"/>
              </w:rPr>
              <w:t>1.0×10</w:t>
            </w:r>
            <w:r>
              <w:rPr>
                <w:rFonts w:hint="default" w:ascii="Times New Roman" w:hAnsi="Times New Roman" w:eastAsia="宋体" w:cs="Times New Roman"/>
                <w:color w:val="auto"/>
                <w:sz w:val="21"/>
                <w:szCs w:val="21"/>
                <w:highlight w:val="none"/>
                <w:vertAlign w:val="superscript"/>
              </w:rPr>
              <w:t>-</w:t>
            </w:r>
            <w:r>
              <w:rPr>
                <w:rFonts w:hint="default" w:ascii="Times New Roman" w:hAnsi="Times New Roman" w:eastAsia="宋体" w:cs="Times New Roman"/>
                <w:color w:val="auto"/>
                <w:sz w:val="21"/>
                <w:szCs w:val="21"/>
                <w:highlight w:val="none"/>
                <w:vertAlign w:val="superscript"/>
                <w:lang w:val="en-US" w:eastAsia="zh-CN"/>
              </w:rPr>
              <w:t>10</w:t>
            </w:r>
            <w:r>
              <w:rPr>
                <w:rFonts w:hint="default" w:ascii="Times New Roman" w:hAnsi="Times New Roman" w:eastAsia="宋体" w:cs="Times New Roman"/>
                <w:color w:val="auto"/>
                <w:sz w:val="21"/>
                <w:szCs w:val="21"/>
                <w:highlight w:val="none"/>
              </w:rPr>
              <w:t>cm/s）</w:t>
            </w:r>
            <w:r>
              <w:rPr>
                <w:rFonts w:hint="eastAsia" w:ascii="Times New Roman" w:hAnsi="Times New Roman" w:eastAsia="宋体" w:cs="Times New Roman"/>
                <w:color w:val="auto"/>
                <w:sz w:val="21"/>
                <w:szCs w:val="21"/>
                <w:highlight w:val="none"/>
                <w:lang w:eastAsia="zh-CN"/>
              </w:rPr>
              <w:t>。</w:t>
            </w:r>
          </w:p>
        </w:tc>
      </w:tr>
      <w:tr w14:paraId="653E0B1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1006" w:type="dxa"/>
            <w:noWrap w:val="0"/>
            <w:vAlign w:val="center"/>
          </w:tcPr>
          <w:p w14:paraId="596401C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生态保护措施</w:t>
            </w:r>
          </w:p>
        </w:tc>
        <w:tc>
          <w:tcPr>
            <w:tcW w:w="8956" w:type="dxa"/>
            <w:gridSpan w:val="4"/>
            <w:noWrap w:val="0"/>
            <w:vAlign w:val="center"/>
          </w:tcPr>
          <w:p w14:paraId="29F74F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Times New Roman" w:hAnsi="Times New Roman" w:cs="Times New Roman"/>
                <w:color w:val="auto"/>
                <w:szCs w:val="21"/>
                <w:highlight w:val="none"/>
              </w:rPr>
            </w:pPr>
            <w:r>
              <w:rPr>
                <w:rFonts w:hint="eastAsia" w:ascii="Times New Roman" w:hAnsi="Times New Roman" w:cs="Times New Roman"/>
                <w:color w:val="auto"/>
                <w:szCs w:val="21"/>
                <w:highlight w:val="none"/>
              </w:rPr>
              <w:t>/</w:t>
            </w:r>
          </w:p>
        </w:tc>
      </w:tr>
      <w:tr w14:paraId="74EB27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571" w:hRule="atLeast"/>
          <w:jc w:val="center"/>
        </w:trPr>
        <w:tc>
          <w:tcPr>
            <w:tcW w:w="1006" w:type="dxa"/>
            <w:noWrap w:val="0"/>
            <w:vAlign w:val="center"/>
          </w:tcPr>
          <w:p w14:paraId="78911EF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pacing w:val="-8"/>
                <w:szCs w:val="21"/>
                <w:highlight w:val="none"/>
              </w:rPr>
            </w:pPr>
            <w:r>
              <w:rPr>
                <w:rFonts w:hint="default" w:ascii="Times New Roman" w:hAnsi="Times New Roman" w:cs="Times New Roman"/>
                <w:color w:val="auto"/>
                <w:spacing w:val="-8"/>
                <w:szCs w:val="21"/>
                <w:highlight w:val="none"/>
              </w:rPr>
              <w:t>环境风险防范措施</w:t>
            </w:r>
          </w:p>
        </w:tc>
        <w:tc>
          <w:tcPr>
            <w:tcW w:w="8956" w:type="dxa"/>
            <w:gridSpan w:val="4"/>
            <w:noWrap w:val="0"/>
            <w:vAlign w:val="center"/>
          </w:tcPr>
          <w:p w14:paraId="0B1DCCC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针对废油液、废铅蓄电池可能因储存不当</w:t>
            </w:r>
            <w:r>
              <w:rPr>
                <w:rFonts w:hint="eastAsia" w:cs="Times New Roman"/>
                <w:bCs/>
                <w:color w:val="auto"/>
                <w:kern w:val="0"/>
                <w:sz w:val="21"/>
                <w:szCs w:val="21"/>
                <w:highlight w:val="none"/>
                <w:lang w:val="en-US" w:eastAsia="zh-CN" w:bidi="ar-SA"/>
              </w:rPr>
              <w:t>泄漏</w:t>
            </w:r>
            <w:r>
              <w:rPr>
                <w:rFonts w:hint="default" w:ascii="Times New Roman" w:hAnsi="Times New Roman" w:eastAsia="宋体" w:cs="Times New Roman"/>
                <w:bCs/>
                <w:color w:val="auto"/>
                <w:kern w:val="0"/>
                <w:sz w:val="21"/>
                <w:szCs w:val="21"/>
                <w:highlight w:val="none"/>
                <w:lang w:val="en-US" w:eastAsia="zh-CN" w:bidi="ar-SA"/>
              </w:rPr>
              <w:t xml:space="preserve">引发的火灾本问题项目应采取如下风险防范措施： </w:t>
            </w:r>
          </w:p>
          <w:p w14:paraId="2F6B893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（1）建设方应配备符合生产或储存需要的管理人员和技术人员，有健全的安全管理制度。 </w:t>
            </w:r>
          </w:p>
          <w:p w14:paraId="048EB50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（2）各类废油液必须存放在单独密封存放于满足要求的专用容器内。 </w:t>
            </w:r>
          </w:p>
          <w:p w14:paraId="5CA7FF9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（3）危废间远离火种热源、保持通风。 </w:t>
            </w:r>
          </w:p>
          <w:p w14:paraId="0504B2A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（3）设置</w:t>
            </w:r>
            <w:r>
              <w:rPr>
                <w:rFonts w:hint="eastAsia" w:cs="Times New Roman"/>
                <w:bCs/>
                <w:color w:val="auto"/>
                <w:kern w:val="0"/>
                <w:sz w:val="21"/>
                <w:szCs w:val="21"/>
                <w:highlight w:val="none"/>
                <w:lang w:val="en-US" w:eastAsia="zh-CN" w:bidi="ar-SA"/>
              </w:rPr>
              <w:t>泄漏</w:t>
            </w:r>
            <w:r>
              <w:rPr>
                <w:rFonts w:hint="default" w:ascii="Times New Roman" w:hAnsi="Times New Roman" w:eastAsia="宋体" w:cs="Times New Roman"/>
                <w:bCs/>
                <w:color w:val="auto"/>
                <w:kern w:val="0"/>
                <w:sz w:val="21"/>
                <w:szCs w:val="21"/>
                <w:highlight w:val="none"/>
                <w:lang w:val="en-US" w:eastAsia="zh-CN" w:bidi="ar-SA"/>
              </w:rPr>
              <w:t xml:space="preserve">液体引流槽，事故池相连。 </w:t>
            </w:r>
          </w:p>
          <w:p w14:paraId="3865000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（4）对接触人员必须采取个人防护措施。 </w:t>
            </w:r>
          </w:p>
          <w:p w14:paraId="1D77524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（5）废油液必须储存在危废间内，不得擅自倾倒。 </w:t>
            </w:r>
          </w:p>
          <w:p w14:paraId="49DB105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（6）杜绝设施的“跑、冒、滴、漏”。加强车间内通风</w:t>
            </w:r>
            <w:r>
              <w:rPr>
                <w:rFonts w:hint="eastAsia" w:cs="Times New Roman"/>
                <w:bCs/>
                <w:color w:val="auto"/>
                <w:kern w:val="0"/>
                <w:sz w:val="21"/>
                <w:szCs w:val="21"/>
                <w:highlight w:val="none"/>
                <w:lang w:val="en-US" w:eastAsia="zh-CN" w:bidi="ar-SA"/>
              </w:rPr>
              <w:t>消毒</w:t>
            </w:r>
            <w:r>
              <w:rPr>
                <w:rFonts w:hint="default" w:ascii="Times New Roman" w:hAnsi="Times New Roman" w:eastAsia="宋体" w:cs="Times New Roman"/>
                <w:bCs/>
                <w:color w:val="auto"/>
                <w:kern w:val="0"/>
                <w:sz w:val="21"/>
                <w:szCs w:val="21"/>
                <w:highlight w:val="none"/>
                <w:lang w:val="en-US" w:eastAsia="zh-CN" w:bidi="ar-SA"/>
              </w:rPr>
              <w:t xml:space="preserve">，并设置冲洗设施，确保生产环境的卫生。 </w:t>
            </w:r>
          </w:p>
          <w:p w14:paraId="2095E58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（7）车间及危废间内严禁明火，保持通风。 </w:t>
            </w:r>
          </w:p>
          <w:p w14:paraId="179F66C7">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（8）车间设置灭火器，危废间内设干粉灭火器等应急措施。 </w:t>
            </w:r>
          </w:p>
          <w:p w14:paraId="5B8C703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ascii="Times New Roman" w:hAnsi="Times New Roman" w:eastAsia="宋体" w:cs="Times New Roman"/>
                <w:bCs/>
                <w:color w:val="auto"/>
                <w:kern w:val="0"/>
                <w:sz w:val="21"/>
                <w:szCs w:val="21"/>
                <w:highlight w:val="none"/>
                <w:lang w:val="en-US" w:eastAsia="zh-CN" w:bidi="ar-SA"/>
              </w:rPr>
            </w:pPr>
            <w:r>
              <w:rPr>
                <w:rFonts w:hint="default" w:ascii="Times New Roman" w:hAnsi="Times New Roman" w:eastAsia="宋体" w:cs="Times New Roman"/>
                <w:bCs/>
                <w:color w:val="auto"/>
                <w:kern w:val="0"/>
                <w:sz w:val="21"/>
                <w:szCs w:val="21"/>
                <w:highlight w:val="none"/>
                <w:lang w:val="en-US" w:eastAsia="zh-CN" w:bidi="ar-SA"/>
              </w:rPr>
              <w:t xml:space="preserve">（9）建立完善的安全生产规章制度和操作流程，严格按操作规程生产。 </w:t>
            </w:r>
          </w:p>
          <w:p w14:paraId="41F4C923">
            <w:pPr>
              <w:pStyle w:val="70"/>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firstLine="420" w:firstLineChars="200"/>
              <w:jc w:val="left"/>
              <w:textAlignment w:val="auto"/>
              <w:rPr>
                <w:rFonts w:hint="default" w:hAnsi="Times New Roman"/>
                <w:color w:val="auto"/>
                <w:highlight w:val="none"/>
                <w:lang w:eastAsia="zh-CN"/>
              </w:rPr>
            </w:pPr>
            <w:r>
              <w:rPr>
                <w:rFonts w:hint="default" w:ascii="Times New Roman" w:hAnsi="Times New Roman" w:eastAsia="宋体" w:cs="Times New Roman"/>
                <w:bCs/>
                <w:color w:val="auto"/>
                <w:kern w:val="0"/>
                <w:sz w:val="21"/>
                <w:szCs w:val="21"/>
                <w:highlight w:val="none"/>
                <w:lang w:val="en-US" w:eastAsia="zh-CN" w:bidi="ar-SA"/>
              </w:rPr>
              <w:t>（10）加强环保设施运行管理，确保其正常、高效</w:t>
            </w:r>
            <w:r>
              <w:rPr>
                <w:rFonts w:hint="eastAsia" w:ascii="Times New Roman" w:eastAsia="宋体" w:cs="Times New Roman"/>
                <w:bCs/>
                <w:color w:val="auto"/>
                <w:kern w:val="0"/>
                <w:sz w:val="21"/>
                <w:szCs w:val="21"/>
                <w:highlight w:val="none"/>
                <w:lang w:val="en-US" w:eastAsia="zh-CN" w:bidi="ar-SA"/>
              </w:rPr>
              <w:t>地</w:t>
            </w:r>
            <w:r>
              <w:rPr>
                <w:rFonts w:hint="default" w:ascii="Times New Roman" w:hAnsi="Times New Roman" w:eastAsia="宋体" w:cs="Times New Roman"/>
                <w:bCs/>
                <w:color w:val="auto"/>
                <w:kern w:val="0"/>
                <w:sz w:val="21"/>
                <w:szCs w:val="21"/>
                <w:highlight w:val="none"/>
                <w:lang w:val="en-US" w:eastAsia="zh-CN" w:bidi="ar-SA"/>
              </w:rPr>
              <w:t>运转。</w:t>
            </w:r>
          </w:p>
        </w:tc>
      </w:tr>
      <w:tr w14:paraId="05A743B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006" w:type="dxa"/>
            <w:noWrap w:val="0"/>
            <w:vAlign w:val="center"/>
          </w:tcPr>
          <w:p w14:paraId="0E621D29">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default" w:ascii="Times New Roman" w:hAnsi="Times New Roman" w:cs="Times New Roman"/>
                <w:color w:val="auto"/>
                <w:spacing w:val="-8"/>
                <w:kern w:val="2"/>
                <w:sz w:val="21"/>
                <w:szCs w:val="21"/>
                <w:highlight w:val="none"/>
                <w:lang w:val="en-US" w:eastAsia="zh-CN" w:bidi="ar-SA"/>
              </w:rPr>
            </w:pPr>
            <w:r>
              <w:rPr>
                <w:rFonts w:hint="default" w:ascii="Times New Roman" w:hAnsi="Times New Roman" w:cs="Times New Roman"/>
                <w:color w:val="auto"/>
                <w:spacing w:val="-8"/>
                <w:szCs w:val="21"/>
                <w:highlight w:val="none"/>
              </w:rPr>
              <w:t>其他环境管理要求</w:t>
            </w:r>
          </w:p>
        </w:tc>
        <w:tc>
          <w:tcPr>
            <w:tcW w:w="8956" w:type="dxa"/>
            <w:gridSpan w:val="4"/>
            <w:noWrap w:val="0"/>
            <w:vAlign w:val="center"/>
          </w:tcPr>
          <w:p w14:paraId="2C327CC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lang w:val="en-US" w:eastAsia="zh-CN"/>
              </w:rPr>
              <w:t>1、</w:t>
            </w:r>
            <w:r>
              <w:rPr>
                <w:rFonts w:hint="eastAsia" w:ascii="Times New Roman" w:hAnsi="Times New Roman" w:cs="Times New Roman"/>
                <w:b/>
                <w:bCs/>
                <w:color w:val="auto"/>
                <w:highlight w:val="none"/>
              </w:rPr>
              <w:t>排污许可</w:t>
            </w:r>
            <w:r>
              <w:rPr>
                <w:rFonts w:hint="eastAsia" w:ascii="Times New Roman" w:hAnsi="Times New Roman" w:cs="Times New Roman"/>
                <w:b/>
                <w:bCs/>
                <w:color w:val="auto"/>
                <w:highlight w:val="none"/>
                <w:lang w:val="en-US" w:eastAsia="zh-CN"/>
              </w:rPr>
              <w:t>证</w:t>
            </w:r>
            <w:r>
              <w:rPr>
                <w:rFonts w:hint="eastAsia" w:ascii="Times New Roman" w:hAnsi="Times New Roman" w:cs="Times New Roman"/>
                <w:b/>
                <w:bCs/>
                <w:color w:val="auto"/>
                <w:highlight w:val="none"/>
              </w:rPr>
              <w:t>申请</w:t>
            </w:r>
          </w:p>
          <w:p w14:paraId="0096668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rPr>
              <w:t>建设单位必须按期持证排污、按证排污，不得无证排污，及时申领排污许可证，对申请材料的真实性、准确性和完整性承担法律责任，承诺按照排污许可证的规定排污并严格执行</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落实污染物排放控制措施和其他各项环境管理要求，确保污染物排放种类、浓度和排放量等达到许可要求</w:t>
            </w:r>
            <w:r>
              <w:rPr>
                <w:rFonts w:hint="eastAsia" w:ascii="Times New Roman" w:hAnsi="Times New Roman" w:cs="Times New Roman"/>
                <w:color w:val="auto"/>
                <w:highlight w:val="none"/>
                <w:lang w:eastAsia="zh-CN"/>
              </w:rPr>
              <w:t>；</w:t>
            </w:r>
            <w:r>
              <w:rPr>
                <w:rFonts w:hint="eastAsia" w:ascii="Times New Roman" w:hAnsi="Times New Roman" w:cs="Times New Roman"/>
                <w:color w:val="auto"/>
                <w:highlight w:val="none"/>
              </w:rPr>
              <w:t>明确单位负责人和相关人员环境保护责任，不断提高污染治理和环境管理水平，自觉接受监督检查</w:t>
            </w:r>
            <w:r>
              <w:rPr>
                <w:rFonts w:hint="eastAsia" w:ascii="Times New Roman" w:hAnsi="Times New Roman" w:cs="Times New Roman"/>
                <w:color w:val="auto"/>
                <w:highlight w:val="none"/>
                <w:lang w:eastAsia="zh-CN"/>
              </w:rPr>
              <w:t>。</w:t>
            </w:r>
          </w:p>
          <w:p w14:paraId="48D018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rFonts w:hint="eastAsia" w:ascii="Times New Roman" w:hAnsi="Times New Roman" w:cs="Times New Roman"/>
                <w:b/>
                <w:bCs/>
                <w:color w:val="auto"/>
                <w:highlight w:val="none"/>
              </w:rPr>
            </w:pPr>
            <w:r>
              <w:rPr>
                <w:rFonts w:hint="eastAsia" w:ascii="Times New Roman" w:hAnsi="Times New Roman" w:cs="Times New Roman"/>
                <w:b/>
                <w:bCs/>
                <w:color w:val="auto"/>
                <w:highlight w:val="none"/>
                <w:lang w:val="en-US" w:eastAsia="zh-CN"/>
              </w:rPr>
              <w:t>2、</w:t>
            </w:r>
            <w:r>
              <w:rPr>
                <w:rFonts w:hint="eastAsia" w:ascii="Times New Roman" w:hAnsi="Times New Roman" w:cs="Times New Roman"/>
                <w:b/>
                <w:bCs/>
                <w:color w:val="auto"/>
                <w:highlight w:val="none"/>
              </w:rPr>
              <w:t>环境管理</w:t>
            </w:r>
          </w:p>
          <w:p w14:paraId="19FD98F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val="en-US" w:eastAsia="zh-CN"/>
              </w:rPr>
              <w:t>①</w:t>
            </w:r>
            <w:r>
              <w:rPr>
                <w:rFonts w:hint="eastAsia" w:ascii="Times New Roman" w:hAnsi="Times New Roman" w:cs="Times New Roman"/>
                <w:color w:val="auto"/>
                <w:highlight w:val="none"/>
              </w:rPr>
              <w:t>做好环保设施管理和维修监督工作，建立并管理好环保设施的档案，保证环保设施按照设计要求运行，杜绝擅自拆除和闲置不用环保设施的现象发生</w:t>
            </w:r>
            <w:r>
              <w:rPr>
                <w:rFonts w:hint="eastAsia" w:ascii="Times New Roman" w:hAnsi="Times New Roman" w:cs="Times New Roman"/>
                <w:color w:val="auto"/>
                <w:highlight w:val="none"/>
                <w:lang w:eastAsia="zh-CN"/>
              </w:rPr>
              <w:t>；</w:t>
            </w:r>
          </w:p>
          <w:p w14:paraId="0CB3D8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Times New Roman" w:hAnsi="Times New Roman" w:cs="Times New Roman"/>
                <w:color w:val="auto"/>
                <w:highlight w:val="none"/>
              </w:rPr>
            </w:pPr>
            <w:r>
              <w:rPr>
                <w:rFonts w:hint="eastAsia" w:ascii="Times New Roman" w:hAnsi="Times New Roman" w:cs="Times New Roman"/>
                <w:color w:val="auto"/>
                <w:highlight w:val="none"/>
              </w:rPr>
              <w:t>②确保全厂各类污染物稳定达标排放，并落实好污染源日常监测计划。</w:t>
            </w:r>
          </w:p>
          <w:p w14:paraId="1F2E73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2" w:firstLineChars="200"/>
              <w:jc w:val="left"/>
              <w:textAlignment w:val="auto"/>
              <w:rPr>
                <w:rFonts w:hint="eastAsia"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3、排污口规范化管理要求</w:t>
            </w:r>
          </w:p>
          <w:p w14:paraId="28A406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根据国家环保总局环发</w:t>
            </w:r>
            <w:r>
              <w:rPr>
                <w:rFonts w:hint="eastAsia" w:ascii="Times New Roman" w:hAnsi="Times New Roman" w:eastAsia="宋体" w:cs="Times New Roman"/>
                <w:color w:val="auto"/>
                <w:highlight w:val="none"/>
                <w:lang w:eastAsia="zh-CN"/>
              </w:rPr>
              <w:t>〔1999〕24号</w:t>
            </w:r>
            <w:r>
              <w:rPr>
                <w:rFonts w:hint="eastAsia" w:ascii="Times New Roman" w:hAnsi="Times New Roman" w:eastAsia="宋体" w:cs="Times New Roman"/>
                <w:color w:val="auto"/>
                <w:highlight w:val="none"/>
              </w:rPr>
              <w:t>文件的规定，一切新建、扩建、改建的排污单位必须在建设污染治理设施的同时建设规范化排污口，本项目涉及废气排放口、噪声排放源、一般固体废物、危险废物等，具体要求如下</w:t>
            </w:r>
          </w:p>
          <w:p w14:paraId="3ADD53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1</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废气排放口排气筒</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烟囱</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应设置便于采样、监测的采样口和采样监测平台。有净化设施的，应在其进出口分别设置采样口及采样监测平台。采样孔、点数目和位置应按《固定污染源排气中颗粒物测定与气态污染物采样方法》</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GB/T16157-1996</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和《污染源监测技术规范》的规定设置。采样口位置无法满足规定要求的，必须报环保部门认可。</w:t>
            </w:r>
          </w:p>
          <w:p w14:paraId="1BCB82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2</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排污口管理</w:t>
            </w:r>
          </w:p>
          <w:p w14:paraId="0FCF3F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建设单位应在各个排污口处竖立标志牌，并如实填写《中华人民共和国规范化排污口标记登记证》，由环保部门签发。环保主管部门和建设单位可分别按以下内容建立排污口管理的专门档案</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排污口性质和编号</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位置</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排放主要污染物种类、数量、浓度</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排放去向</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达标情况</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治理设施运行情况及整改意见。</w:t>
            </w:r>
          </w:p>
          <w:p w14:paraId="5686BC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3</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环境保护图形标志</w:t>
            </w:r>
          </w:p>
          <w:p w14:paraId="6D6226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在项目的废气排放源、固体废物贮存处置场、污水排放口应设置环境保护图形标志，图形符号分为提示图形和警告图形符号两种，废气、废水、噪声分别按 GB15562.1-1995、GB15562.2-1995，危险废物按照《危险废物识别标志设置技术规范》</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HJ1276-2022</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rPr>
              <w:t>执行。</w:t>
            </w:r>
          </w:p>
          <w:p w14:paraId="42C6634D">
            <w:pPr>
              <w:pStyle w:val="44"/>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表5-1  环境保护图形标志形状及颜色表</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2174"/>
              <w:gridCol w:w="2175"/>
              <w:gridCol w:w="2179"/>
              <w:gridCol w:w="2179"/>
            </w:tblGrid>
            <w:tr w14:paraId="502334B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90" w:hRule="atLeast"/>
              </w:trPr>
              <w:tc>
                <w:tcPr>
                  <w:tcW w:w="1249" w:type="pct"/>
                  <w:tcBorders>
                    <w:tl2br w:val="nil"/>
                    <w:tr2bl w:val="nil"/>
                  </w:tcBorders>
                  <w:noWrap w:val="0"/>
                  <w:vAlign w:val="center"/>
                </w:tcPr>
                <w:p w14:paraId="6286B33C">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标志名称</w:t>
                  </w:r>
                </w:p>
              </w:tc>
              <w:tc>
                <w:tcPr>
                  <w:tcW w:w="1249" w:type="pct"/>
                  <w:tcBorders>
                    <w:tl2br w:val="nil"/>
                    <w:tr2bl w:val="nil"/>
                  </w:tcBorders>
                  <w:noWrap w:val="0"/>
                  <w:vAlign w:val="center"/>
                </w:tcPr>
                <w:p w14:paraId="24AD295D">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形状</w:t>
                  </w:r>
                </w:p>
              </w:tc>
              <w:tc>
                <w:tcPr>
                  <w:tcW w:w="1250" w:type="pct"/>
                  <w:tcBorders>
                    <w:tl2br w:val="nil"/>
                    <w:tr2bl w:val="nil"/>
                  </w:tcBorders>
                  <w:noWrap w:val="0"/>
                  <w:vAlign w:val="center"/>
                </w:tcPr>
                <w:p w14:paraId="2F540ABA">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背景颜色</w:t>
                  </w:r>
                </w:p>
              </w:tc>
              <w:tc>
                <w:tcPr>
                  <w:tcW w:w="1250" w:type="pct"/>
                  <w:tcBorders>
                    <w:tl2br w:val="nil"/>
                    <w:tr2bl w:val="nil"/>
                  </w:tcBorders>
                  <w:noWrap w:val="0"/>
                  <w:vAlign w:val="center"/>
                </w:tcPr>
                <w:p w14:paraId="16C09206">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图形颜色</w:t>
                  </w:r>
                </w:p>
              </w:tc>
            </w:tr>
            <w:tr w14:paraId="42E715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49" w:type="pct"/>
                  <w:tcBorders>
                    <w:tl2br w:val="nil"/>
                    <w:tr2bl w:val="nil"/>
                  </w:tcBorders>
                  <w:noWrap w:val="0"/>
                  <w:vAlign w:val="center"/>
                </w:tcPr>
                <w:p w14:paraId="3407C6E6">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警告标准</w:t>
                  </w:r>
                </w:p>
              </w:tc>
              <w:tc>
                <w:tcPr>
                  <w:tcW w:w="1249" w:type="pct"/>
                  <w:tcBorders>
                    <w:tl2br w:val="nil"/>
                    <w:tr2bl w:val="nil"/>
                  </w:tcBorders>
                  <w:noWrap w:val="0"/>
                  <w:vAlign w:val="center"/>
                </w:tcPr>
                <w:p w14:paraId="6564766D">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三角形边框</w:t>
                  </w:r>
                </w:p>
              </w:tc>
              <w:tc>
                <w:tcPr>
                  <w:tcW w:w="1250" w:type="pct"/>
                  <w:tcBorders>
                    <w:tl2br w:val="nil"/>
                    <w:tr2bl w:val="nil"/>
                  </w:tcBorders>
                  <w:noWrap w:val="0"/>
                  <w:vAlign w:val="center"/>
                </w:tcPr>
                <w:p w14:paraId="50CD8666">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黄色</w:t>
                  </w:r>
                </w:p>
              </w:tc>
              <w:tc>
                <w:tcPr>
                  <w:tcW w:w="1250" w:type="pct"/>
                  <w:tcBorders>
                    <w:tl2br w:val="nil"/>
                    <w:tr2bl w:val="nil"/>
                  </w:tcBorders>
                  <w:noWrap w:val="0"/>
                  <w:vAlign w:val="center"/>
                </w:tcPr>
                <w:p w14:paraId="6AA61663">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黑色</w:t>
                  </w:r>
                </w:p>
              </w:tc>
            </w:tr>
            <w:tr w14:paraId="7ACA19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1249" w:type="pct"/>
                  <w:tcBorders>
                    <w:tl2br w:val="nil"/>
                    <w:tr2bl w:val="nil"/>
                  </w:tcBorders>
                  <w:noWrap w:val="0"/>
                  <w:vAlign w:val="center"/>
                </w:tcPr>
                <w:p w14:paraId="2DB9134B">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提示标志</w:t>
                  </w:r>
                </w:p>
              </w:tc>
              <w:tc>
                <w:tcPr>
                  <w:tcW w:w="1249" w:type="pct"/>
                  <w:tcBorders>
                    <w:tl2br w:val="nil"/>
                    <w:tr2bl w:val="nil"/>
                  </w:tcBorders>
                  <w:noWrap w:val="0"/>
                  <w:vAlign w:val="center"/>
                </w:tcPr>
                <w:p w14:paraId="34AD6D6C">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正方形边框</w:t>
                  </w:r>
                </w:p>
              </w:tc>
              <w:tc>
                <w:tcPr>
                  <w:tcW w:w="1250" w:type="pct"/>
                  <w:tcBorders>
                    <w:tl2br w:val="nil"/>
                    <w:tr2bl w:val="nil"/>
                  </w:tcBorders>
                  <w:noWrap w:val="0"/>
                  <w:vAlign w:val="center"/>
                </w:tcPr>
                <w:p w14:paraId="3838C277">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绿色</w:t>
                  </w:r>
                </w:p>
              </w:tc>
              <w:tc>
                <w:tcPr>
                  <w:tcW w:w="1250" w:type="pct"/>
                  <w:tcBorders>
                    <w:tl2br w:val="nil"/>
                    <w:tr2bl w:val="nil"/>
                  </w:tcBorders>
                  <w:noWrap w:val="0"/>
                  <w:vAlign w:val="center"/>
                </w:tcPr>
                <w:p w14:paraId="03C1B4E9">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白色</w:t>
                  </w:r>
                </w:p>
              </w:tc>
            </w:tr>
          </w:tbl>
          <w:p w14:paraId="4DB5C423">
            <w:pPr>
              <w:pStyle w:val="44"/>
              <w:keepNext w:val="0"/>
              <w:keepLines w:val="0"/>
              <w:suppressLineNumbers w:val="0"/>
              <w:spacing w:before="0" w:beforeAutospacing="0" w:after="0" w:afterAutospacing="0" w:line="240" w:lineRule="auto"/>
              <w:ind w:left="0" w:leftChars="0" w:right="0" w:firstLine="0" w:firstLineChars="0"/>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表5-2  环境保护图形符号一览表</w:t>
            </w:r>
          </w:p>
          <w:tbl>
            <w:tblPr>
              <w:tblStyle w:val="27"/>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47"/>
              <w:gridCol w:w="1739"/>
              <w:gridCol w:w="1781"/>
              <w:gridCol w:w="1440"/>
              <w:gridCol w:w="2500"/>
            </w:tblGrid>
            <w:tr w14:paraId="30B2B3E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15" w:type="pct"/>
                  <w:tcBorders>
                    <w:tl2br w:val="nil"/>
                    <w:tr2bl w:val="nil"/>
                  </w:tcBorders>
                  <w:noWrap w:val="0"/>
                  <w:vAlign w:val="center"/>
                </w:tcPr>
                <w:p w14:paraId="3ED9F320">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序号</w:t>
                  </w:r>
                </w:p>
              </w:tc>
              <w:tc>
                <w:tcPr>
                  <w:tcW w:w="998" w:type="pct"/>
                  <w:tcBorders>
                    <w:tl2br w:val="nil"/>
                    <w:tr2bl w:val="nil"/>
                  </w:tcBorders>
                  <w:noWrap w:val="0"/>
                  <w:vAlign w:val="center"/>
                </w:tcPr>
                <w:p w14:paraId="19F86E3E">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提示图形符号</w:t>
                  </w:r>
                </w:p>
              </w:tc>
              <w:tc>
                <w:tcPr>
                  <w:tcW w:w="1022" w:type="pct"/>
                  <w:tcBorders>
                    <w:tl2br w:val="nil"/>
                    <w:tr2bl w:val="nil"/>
                  </w:tcBorders>
                  <w:noWrap w:val="0"/>
                  <w:vAlign w:val="center"/>
                </w:tcPr>
                <w:p w14:paraId="27EB3300">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警告图形符号</w:t>
                  </w:r>
                </w:p>
              </w:tc>
              <w:tc>
                <w:tcPr>
                  <w:tcW w:w="827" w:type="pct"/>
                  <w:tcBorders>
                    <w:tl2br w:val="nil"/>
                    <w:tr2bl w:val="nil"/>
                  </w:tcBorders>
                  <w:noWrap w:val="0"/>
                  <w:vAlign w:val="center"/>
                </w:tcPr>
                <w:p w14:paraId="4937A101">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名称</w:t>
                  </w:r>
                </w:p>
              </w:tc>
              <w:tc>
                <w:tcPr>
                  <w:tcW w:w="1435" w:type="pct"/>
                  <w:tcBorders>
                    <w:tl2br w:val="nil"/>
                    <w:tr2bl w:val="nil"/>
                  </w:tcBorders>
                  <w:noWrap w:val="0"/>
                  <w:vAlign w:val="center"/>
                </w:tcPr>
                <w:p w14:paraId="045317DF">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功能</w:t>
                  </w:r>
                </w:p>
              </w:tc>
            </w:tr>
            <w:tr w14:paraId="05C626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15" w:type="pct"/>
                  <w:tcBorders>
                    <w:tl2br w:val="nil"/>
                    <w:tr2bl w:val="nil"/>
                  </w:tcBorders>
                  <w:noWrap w:val="0"/>
                  <w:vAlign w:val="center"/>
                </w:tcPr>
                <w:p w14:paraId="41228CAD">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1</w:t>
                  </w:r>
                </w:p>
              </w:tc>
              <w:tc>
                <w:tcPr>
                  <w:tcW w:w="998" w:type="pct"/>
                  <w:tcBorders>
                    <w:tl2br w:val="nil"/>
                    <w:tr2bl w:val="nil"/>
                  </w:tcBorders>
                  <w:noWrap w:val="0"/>
                  <w:vAlign w:val="center"/>
                </w:tcPr>
                <w:p w14:paraId="1D047C1F">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rPr>
                  </w:pPr>
                  <w:r>
                    <w:rPr>
                      <w:rFonts w:hint="default" w:cs="Times New Roman"/>
                      <w:color w:val="auto"/>
                      <w:highlight w:val="none"/>
                    </w:rPr>
                    <w:pict>
                      <v:shape id="_x0000_i1042" o:spt="75" type="#_x0000_t75" style="height:56.7pt;width:55.9pt;" filled="f" o:preferrelative="t" stroked="f" coordsize="21600,21600">
                        <v:path/>
                        <v:fill on="f" focussize="0,0"/>
                        <v:stroke on="f"/>
                        <v:imagedata r:id="rId25" o:title=""/>
                        <o:lock v:ext="edit" aspectratio="t"/>
                        <w10:wrap type="none"/>
                        <w10:anchorlock/>
                      </v:shape>
                    </w:pict>
                  </w:r>
                </w:p>
              </w:tc>
              <w:tc>
                <w:tcPr>
                  <w:tcW w:w="1022" w:type="pct"/>
                  <w:tcBorders>
                    <w:tl2br w:val="nil"/>
                    <w:tr2bl w:val="nil"/>
                  </w:tcBorders>
                  <w:noWrap w:val="0"/>
                  <w:vAlign w:val="center"/>
                </w:tcPr>
                <w:p w14:paraId="734A72C8">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rPr>
                  </w:pPr>
                  <w:r>
                    <w:rPr>
                      <w:rFonts w:hint="default" w:cs="Times New Roman"/>
                      <w:color w:val="auto"/>
                      <w:highlight w:val="none"/>
                    </w:rPr>
                    <w:pict>
                      <v:shape id="_x0000_i1043" o:spt="75" type="#_x0000_t75" style="height:56.7pt;width:60.1pt;" filled="f" o:preferrelative="t" stroked="f" coordsize="21600,21600">
                        <v:path/>
                        <v:fill on="f" focussize="0,0"/>
                        <v:stroke on="f"/>
                        <v:imagedata r:id="rId26" o:title=""/>
                        <o:lock v:ext="edit" aspectratio="t"/>
                        <w10:wrap type="none"/>
                        <w10:anchorlock/>
                      </v:shape>
                    </w:pict>
                  </w:r>
                </w:p>
              </w:tc>
              <w:tc>
                <w:tcPr>
                  <w:tcW w:w="827" w:type="pct"/>
                  <w:tcBorders>
                    <w:tl2br w:val="nil"/>
                    <w:tr2bl w:val="nil"/>
                  </w:tcBorders>
                  <w:noWrap w:val="0"/>
                  <w:vAlign w:val="center"/>
                </w:tcPr>
                <w:p w14:paraId="5F2D7E5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废气排放口</w:t>
                  </w:r>
                </w:p>
              </w:tc>
              <w:tc>
                <w:tcPr>
                  <w:tcW w:w="1435" w:type="pct"/>
                  <w:tcBorders>
                    <w:tl2br w:val="nil"/>
                    <w:tr2bl w:val="nil"/>
                  </w:tcBorders>
                  <w:noWrap w:val="0"/>
                  <w:vAlign w:val="center"/>
                </w:tcPr>
                <w:p w14:paraId="20D022D0">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表示废气向大气排放</w:t>
                  </w:r>
                </w:p>
              </w:tc>
            </w:tr>
            <w:tr w14:paraId="44D4B55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15" w:type="pct"/>
                  <w:tcBorders>
                    <w:tl2br w:val="nil"/>
                    <w:tr2bl w:val="nil"/>
                  </w:tcBorders>
                  <w:noWrap w:val="0"/>
                  <w:vAlign w:val="center"/>
                </w:tcPr>
                <w:p w14:paraId="0A473BF2">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2</w:t>
                  </w:r>
                </w:p>
              </w:tc>
              <w:tc>
                <w:tcPr>
                  <w:tcW w:w="998" w:type="pct"/>
                  <w:tcBorders>
                    <w:tl2br w:val="nil"/>
                    <w:tr2bl w:val="nil"/>
                  </w:tcBorders>
                  <w:noWrap w:val="0"/>
                  <w:vAlign w:val="center"/>
                </w:tcPr>
                <w:p w14:paraId="02AC16E1">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rPr>
                  </w:pPr>
                  <w:r>
                    <w:rPr>
                      <w:rFonts w:hint="default" w:cs="Times New Roman"/>
                      <w:color w:val="auto"/>
                      <w:highlight w:val="none"/>
                    </w:rPr>
                    <w:pict>
                      <v:shape id="_x0000_i1044" o:spt="75" type="#_x0000_t75" style="height:56.7pt;width:56.7pt;" filled="f" o:preferrelative="t" stroked="f" coordsize="21600,21600">
                        <v:path/>
                        <v:fill on="f" focussize="0,0"/>
                        <v:stroke on="f"/>
                        <v:imagedata r:id="rId27" o:title=""/>
                        <o:lock v:ext="edit" aspectratio="t"/>
                        <w10:wrap type="none"/>
                        <w10:anchorlock/>
                      </v:shape>
                    </w:pict>
                  </w:r>
                </w:p>
              </w:tc>
              <w:tc>
                <w:tcPr>
                  <w:tcW w:w="1022" w:type="pct"/>
                  <w:tcBorders>
                    <w:tl2br w:val="nil"/>
                    <w:tr2bl w:val="nil"/>
                  </w:tcBorders>
                  <w:noWrap w:val="0"/>
                  <w:vAlign w:val="center"/>
                </w:tcPr>
                <w:p w14:paraId="4B285FFF">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rPr>
                  </w:pPr>
                  <w:r>
                    <w:rPr>
                      <w:rFonts w:hint="default" w:cs="Times New Roman"/>
                      <w:color w:val="auto"/>
                      <w:highlight w:val="none"/>
                    </w:rPr>
                    <w:pict>
                      <v:shape id="_x0000_i1045" o:spt="75" type="#_x0000_t75" style="height:56.7pt;width:60pt;" filled="f" o:preferrelative="t" stroked="f" coordsize="21600,21600">
                        <v:path/>
                        <v:fill on="f" focussize="0,0"/>
                        <v:stroke on="f"/>
                        <v:imagedata r:id="rId28" cropleft="1542f" croptop="1295f" cropright="1028f" o:title=""/>
                        <o:lock v:ext="edit" aspectratio="t"/>
                        <w10:wrap type="none"/>
                        <w10:anchorlock/>
                      </v:shape>
                    </w:pict>
                  </w:r>
                </w:p>
              </w:tc>
              <w:tc>
                <w:tcPr>
                  <w:tcW w:w="827" w:type="pct"/>
                  <w:tcBorders>
                    <w:tl2br w:val="nil"/>
                    <w:tr2bl w:val="nil"/>
                  </w:tcBorders>
                  <w:noWrap w:val="0"/>
                  <w:vAlign w:val="center"/>
                </w:tcPr>
                <w:p w14:paraId="78092CA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一般固体废物</w:t>
                  </w:r>
                </w:p>
              </w:tc>
              <w:tc>
                <w:tcPr>
                  <w:tcW w:w="1435" w:type="pct"/>
                  <w:tcBorders>
                    <w:tl2br w:val="nil"/>
                    <w:tr2bl w:val="nil"/>
                  </w:tcBorders>
                  <w:noWrap w:val="0"/>
                  <w:vAlign w:val="center"/>
                </w:tcPr>
                <w:p w14:paraId="322EF89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表示一般固体废物贮存场所</w:t>
                  </w:r>
                </w:p>
              </w:tc>
            </w:tr>
            <w:tr w14:paraId="3C76FA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15" w:type="pct"/>
                  <w:tcBorders>
                    <w:tl2br w:val="nil"/>
                    <w:tr2bl w:val="nil"/>
                  </w:tcBorders>
                  <w:noWrap w:val="0"/>
                  <w:vAlign w:val="center"/>
                </w:tcPr>
                <w:p w14:paraId="74ABB457">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3</w:t>
                  </w:r>
                </w:p>
              </w:tc>
              <w:tc>
                <w:tcPr>
                  <w:tcW w:w="998" w:type="pct"/>
                  <w:tcBorders>
                    <w:tl2br w:val="nil"/>
                    <w:tr2bl w:val="nil"/>
                  </w:tcBorders>
                  <w:noWrap w:val="0"/>
                  <w:vAlign w:val="center"/>
                </w:tcPr>
                <w:p w14:paraId="7E27AED3">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s="Times New Roman"/>
                      <w:color w:val="auto"/>
                      <w:highlight w:val="none"/>
                    </w:rPr>
                  </w:pPr>
                  <w:r>
                    <w:rPr>
                      <w:rFonts w:hint="default" w:cs="Times New Roman"/>
                      <w:color w:val="auto"/>
                      <w:highlight w:val="none"/>
                    </w:rPr>
                    <w:pict>
                      <v:shape id="_x0000_i1046" o:spt="75" type="#_x0000_t75" style="height:56.7pt;width:56.7pt;" filled="f" o:preferrelative="t" stroked="f" coordsize="21600,21600">
                        <v:path/>
                        <v:fill on="f" focussize="0,0"/>
                        <v:stroke on="f"/>
                        <v:imagedata r:id="rId29" o:title=""/>
                        <o:lock v:ext="edit" aspectratio="t"/>
                        <w10:wrap type="none"/>
                        <w10:anchorlock/>
                      </v:shape>
                    </w:pict>
                  </w:r>
                </w:p>
              </w:tc>
              <w:tc>
                <w:tcPr>
                  <w:tcW w:w="1022" w:type="pct"/>
                  <w:tcBorders>
                    <w:tl2br w:val="nil"/>
                    <w:tr2bl w:val="nil"/>
                  </w:tcBorders>
                  <w:noWrap w:val="0"/>
                  <w:vAlign w:val="center"/>
                </w:tcPr>
                <w:p w14:paraId="5CBAA179">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s="Times New Roman"/>
                      <w:color w:val="auto"/>
                      <w:highlight w:val="none"/>
                    </w:rPr>
                  </w:pPr>
                  <w:r>
                    <w:rPr>
                      <w:rFonts w:hint="default" w:cs="Times New Roman"/>
                      <w:color w:val="auto"/>
                      <w:highlight w:val="none"/>
                    </w:rPr>
                    <w:pict>
                      <v:shape id="_x0000_i1047" o:spt="75" type="#_x0000_t75" style="height:56.7pt;width:65.6pt;" filled="f" o:preferrelative="t" stroked="f" coordsize="21600,21600">
                        <v:path/>
                        <v:fill on="f" focussize="0,0"/>
                        <v:stroke on="f"/>
                        <v:imagedata r:id="rId30" o:title=""/>
                        <o:lock v:ext="edit" aspectratio="t"/>
                        <w10:wrap type="none"/>
                        <w10:anchorlock/>
                      </v:shape>
                    </w:pict>
                  </w:r>
                </w:p>
              </w:tc>
              <w:tc>
                <w:tcPr>
                  <w:tcW w:w="827" w:type="pct"/>
                  <w:tcBorders>
                    <w:tl2br w:val="nil"/>
                    <w:tr2bl w:val="nil"/>
                  </w:tcBorders>
                  <w:noWrap w:val="0"/>
                  <w:vAlign w:val="center"/>
                </w:tcPr>
                <w:p w14:paraId="3EF599D7">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废水排放口</w:t>
                  </w:r>
                </w:p>
              </w:tc>
              <w:tc>
                <w:tcPr>
                  <w:tcW w:w="1435" w:type="pct"/>
                  <w:tcBorders>
                    <w:tl2br w:val="nil"/>
                    <w:tr2bl w:val="nil"/>
                  </w:tcBorders>
                  <w:noWrap w:val="0"/>
                  <w:vAlign w:val="center"/>
                </w:tcPr>
                <w:p w14:paraId="63217778">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表示污水向水体排放</w:t>
                  </w:r>
                </w:p>
              </w:tc>
            </w:tr>
            <w:tr w14:paraId="6708FC6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715" w:type="pct"/>
                  <w:tcBorders>
                    <w:tl2br w:val="nil"/>
                    <w:tr2bl w:val="nil"/>
                  </w:tcBorders>
                  <w:noWrap w:val="0"/>
                  <w:vAlign w:val="center"/>
                </w:tcPr>
                <w:p w14:paraId="0FCF307E">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bidi="ar-SA"/>
                    </w:rPr>
                  </w:pPr>
                  <w:r>
                    <w:rPr>
                      <w:rFonts w:hint="eastAsia" w:ascii="Times New Roman" w:hAnsi="Times New Roman" w:eastAsia="宋体" w:cs="Times New Roman"/>
                      <w:color w:val="auto"/>
                      <w:sz w:val="21"/>
                      <w:szCs w:val="21"/>
                      <w:highlight w:val="none"/>
                      <w:vertAlign w:val="baseline"/>
                      <w:lang w:val="en-US" w:eastAsia="zh-CN"/>
                    </w:rPr>
                    <w:t>4</w:t>
                  </w:r>
                </w:p>
              </w:tc>
              <w:tc>
                <w:tcPr>
                  <w:tcW w:w="2021" w:type="pct"/>
                  <w:gridSpan w:val="2"/>
                  <w:tcBorders>
                    <w:tl2br w:val="nil"/>
                    <w:tr2bl w:val="nil"/>
                  </w:tcBorders>
                  <w:noWrap w:val="0"/>
                  <w:vAlign w:val="center"/>
                </w:tcPr>
                <w:p w14:paraId="130A36A4">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rPr>
                  </w:pPr>
                  <w:r>
                    <w:rPr>
                      <w:rFonts w:hint="default" w:cs="Times New Roman"/>
                      <w:color w:val="auto"/>
                      <w:highlight w:val="none"/>
                    </w:rPr>
                    <w:pict>
                      <v:shape id="_x0000_i1048" o:spt="75" type="#_x0000_t75" style="height:56.7pt;width:89.3pt;" filled="f" o:preferrelative="t" stroked="f" coordsize="21600,21600">
                        <v:path/>
                        <v:fill on="f" focussize="0,0"/>
                        <v:stroke on="f"/>
                        <v:imagedata r:id="rId31" o:title=""/>
                        <o:lock v:ext="edit" aspectratio="t"/>
                        <w10:wrap type="none"/>
                        <w10:anchorlock/>
                      </v:shape>
                    </w:pict>
                  </w:r>
                </w:p>
              </w:tc>
              <w:tc>
                <w:tcPr>
                  <w:tcW w:w="827" w:type="pct"/>
                  <w:tcBorders>
                    <w:tl2br w:val="nil"/>
                    <w:tr2bl w:val="nil"/>
                  </w:tcBorders>
                  <w:noWrap w:val="0"/>
                  <w:vAlign w:val="center"/>
                </w:tcPr>
                <w:p w14:paraId="14C85D41">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危险废物</w:t>
                  </w:r>
                </w:p>
              </w:tc>
              <w:tc>
                <w:tcPr>
                  <w:tcW w:w="1435" w:type="pct"/>
                  <w:tcBorders>
                    <w:tl2br w:val="nil"/>
                    <w:tr2bl w:val="nil"/>
                  </w:tcBorders>
                  <w:noWrap w:val="0"/>
                  <w:vAlign w:val="center"/>
                </w:tcPr>
                <w:p w14:paraId="3E8684B2">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表示危险废物贮存场所</w:t>
                  </w:r>
                </w:p>
              </w:tc>
            </w:tr>
            <w:tr w14:paraId="6BC23D8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164" w:hRule="atLeast"/>
              </w:trPr>
              <w:tc>
                <w:tcPr>
                  <w:tcW w:w="715" w:type="pct"/>
                  <w:tcBorders>
                    <w:tl2br w:val="nil"/>
                    <w:tr2bl w:val="nil"/>
                  </w:tcBorders>
                  <w:noWrap w:val="0"/>
                  <w:vAlign w:val="center"/>
                </w:tcPr>
                <w:p w14:paraId="104F9283">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5</w:t>
                  </w:r>
                </w:p>
              </w:tc>
              <w:tc>
                <w:tcPr>
                  <w:tcW w:w="998" w:type="pct"/>
                  <w:tcBorders>
                    <w:tl2br w:val="nil"/>
                    <w:tr2bl w:val="nil"/>
                  </w:tcBorders>
                  <w:noWrap w:val="0"/>
                  <w:vAlign w:val="center"/>
                </w:tcPr>
                <w:p w14:paraId="65C2DB21">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eastAsia" w:ascii="Times New Roman" w:hAnsi="Times New Roman" w:eastAsia="宋体" w:cs="Times New Roman"/>
                      <w:color w:val="auto"/>
                      <w:sz w:val="21"/>
                      <w:szCs w:val="21"/>
                      <w:highlight w:val="none"/>
                      <w:vertAlign w:val="baseline"/>
                    </w:rPr>
                  </w:pPr>
                  <w:r>
                    <w:rPr>
                      <w:rFonts w:hint="default" w:cs="Times New Roman"/>
                      <w:color w:val="auto"/>
                      <w:highlight w:val="none"/>
                    </w:rPr>
                    <w:pict>
                      <v:shape id="_x0000_i1049" o:spt="75" type="#_x0000_t75" style="height:56.7pt;width:56.7pt;" filled="f" o:preferrelative="t" stroked="f" coordsize="21600,21600">
                        <v:path/>
                        <v:fill on="f" focussize="0,0"/>
                        <v:stroke on="f"/>
                        <v:imagedata r:id="rId32" o:title=""/>
                        <o:lock v:ext="edit" aspectratio="t"/>
                        <w10:wrap type="none"/>
                        <w10:anchorlock/>
                      </v:shape>
                    </w:pict>
                  </w:r>
                </w:p>
              </w:tc>
              <w:tc>
                <w:tcPr>
                  <w:tcW w:w="1022" w:type="pct"/>
                  <w:tcBorders>
                    <w:tl2br w:val="nil"/>
                    <w:tr2bl w:val="nil"/>
                  </w:tcBorders>
                  <w:noWrap w:val="0"/>
                  <w:vAlign w:val="center"/>
                </w:tcPr>
                <w:p w14:paraId="5404CCE3">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cs="Times New Roman"/>
                      <w:color w:val="auto"/>
                      <w:highlight w:val="none"/>
                    </w:rPr>
                  </w:pPr>
                  <w:r>
                    <w:rPr>
                      <w:rFonts w:hint="default" w:cs="Times New Roman"/>
                      <w:color w:val="auto"/>
                      <w:highlight w:val="none"/>
                    </w:rPr>
                    <w:pict>
                      <v:shape id="_x0000_i1050" o:spt="75" type="#_x0000_t75" style="height:56.7pt;width:60.1pt;" filled="f" o:preferrelative="t" stroked="f" coordsize="21600,21600">
                        <v:path/>
                        <v:fill on="f" focussize="0,0"/>
                        <v:stroke on="f"/>
                        <v:imagedata r:id="rId33" cropright="2219f" o:title=""/>
                        <o:lock v:ext="edit" aspectratio="t"/>
                        <w10:wrap type="none"/>
                        <w10:anchorlock/>
                      </v:shape>
                    </w:pict>
                  </w:r>
                </w:p>
              </w:tc>
              <w:tc>
                <w:tcPr>
                  <w:tcW w:w="827" w:type="pct"/>
                  <w:tcBorders>
                    <w:tl2br w:val="nil"/>
                    <w:tr2bl w:val="nil"/>
                  </w:tcBorders>
                  <w:noWrap w:val="0"/>
                  <w:vAlign w:val="center"/>
                </w:tcPr>
                <w:p w14:paraId="05442D77">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噪声</w:t>
                  </w:r>
                </w:p>
              </w:tc>
              <w:tc>
                <w:tcPr>
                  <w:tcW w:w="1435" w:type="pct"/>
                  <w:tcBorders>
                    <w:tl2br w:val="nil"/>
                    <w:tr2bl w:val="nil"/>
                  </w:tcBorders>
                  <w:noWrap w:val="0"/>
                  <w:vAlign w:val="center"/>
                </w:tcPr>
                <w:p w14:paraId="678D3711">
                  <w:pPr>
                    <w:pStyle w:val="44"/>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firstLine="0" w:firstLineChars="0"/>
                    <w:jc w:val="center"/>
                    <w:textAlignment w:val="auto"/>
                    <w:rPr>
                      <w:rFonts w:hint="default" w:ascii="Times New Roman" w:hAnsi="Times New Roman" w:eastAsia="宋体" w:cs="Times New Roman"/>
                      <w:color w:val="auto"/>
                      <w:sz w:val="21"/>
                      <w:szCs w:val="21"/>
                      <w:highlight w:val="none"/>
                      <w:vertAlign w:val="baseline"/>
                      <w:lang w:val="en-US" w:eastAsia="zh-CN"/>
                    </w:rPr>
                  </w:pPr>
                  <w:r>
                    <w:rPr>
                      <w:rFonts w:hint="eastAsia" w:ascii="Times New Roman" w:hAnsi="Times New Roman" w:eastAsia="宋体" w:cs="Times New Roman"/>
                      <w:color w:val="auto"/>
                      <w:sz w:val="21"/>
                      <w:szCs w:val="21"/>
                      <w:highlight w:val="none"/>
                      <w:vertAlign w:val="baseline"/>
                      <w:lang w:val="en-US" w:eastAsia="zh-CN"/>
                    </w:rPr>
                    <w:t>表示噪声向外环境排放</w:t>
                  </w:r>
                </w:p>
              </w:tc>
            </w:tr>
          </w:tbl>
          <w:p w14:paraId="59CB88F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Times New Roman" w:hAnsi="Times New Roman" w:eastAsia="宋体" w:cs="Times New Roman"/>
                <w:color w:val="auto"/>
                <w:highlight w:val="none"/>
                <w:lang w:eastAsia="zh-CN"/>
              </w:rPr>
            </w:pPr>
          </w:p>
          <w:p w14:paraId="1899DEB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eastAsia" w:ascii="Times New Roman" w:hAnsi="Times New Roman" w:eastAsia="宋体" w:cs="Times New Roman"/>
                <w:color w:val="auto"/>
                <w:kern w:val="2"/>
                <w:sz w:val="21"/>
                <w:szCs w:val="21"/>
                <w:highlight w:val="none"/>
                <w:u w:val="none" w:color="auto"/>
                <w:lang w:val="en-US" w:eastAsia="zh-CN" w:bidi="zh-CN"/>
              </w:rPr>
            </w:pPr>
            <w:r>
              <w:rPr>
                <w:rFonts w:hint="eastAsia" w:ascii="Times New Roman" w:hAnsi="Times New Roman" w:eastAsia="宋体" w:cs="Times New Roman"/>
                <w:color w:val="auto"/>
                <w:kern w:val="2"/>
                <w:sz w:val="21"/>
                <w:szCs w:val="21"/>
                <w:highlight w:val="none"/>
                <w:u w:val="none" w:color="auto"/>
                <w:lang w:val="en-US" w:eastAsia="zh-CN" w:bidi="zh-CN"/>
              </w:rPr>
              <w:t>（4）标志牌的设置按照国家环保总局制定的《环境保护图形标志实施细则（试行）</w:t>
            </w:r>
            <w:r>
              <w:rPr>
                <w:rFonts w:hint="eastAsia" w:cs="Times New Roman"/>
                <w:color w:val="auto"/>
                <w:kern w:val="2"/>
                <w:sz w:val="21"/>
                <w:szCs w:val="21"/>
                <w:highlight w:val="none"/>
                <w:u w:val="none" w:color="auto"/>
                <w:lang w:val="en-US" w:eastAsia="zh-CN" w:bidi="zh-CN"/>
              </w:rPr>
              <w:t>》和《</w:t>
            </w:r>
            <w:r>
              <w:rPr>
                <w:rFonts w:hint="eastAsia" w:ascii="Times New Roman" w:hAnsi="Times New Roman" w:eastAsia="宋体" w:cs="Times New Roman"/>
                <w:color w:val="auto"/>
                <w:kern w:val="2"/>
                <w:sz w:val="21"/>
                <w:szCs w:val="21"/>
                <w:highlight w:val="none"/>
                <w:u w:val="none" w:color="auto"/>
                <w:lang w:val="en-US" w:eastAsia="zh-CN" w:bidi="zh-CN"/>
              </w:rPr>
              <w:t>危险废物识别标志设置技术规范》的规定，设置与排污口相应的图形标志牌，并保证环保标志明显。标志牌必须保持清晰、完整当发现有损坏或颜色有变化，应及时修复或更换。检查时间一年两次</w:t>
            </w:r>
          </w:p>
          <w:p w14:paraId="76F20C0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right="0" w:rightChars="0" w:firstLine="422" w:firstLineChars="200"/>
              <w:jc w:val="left"/>
              <w:textAlignment w:val="auto"/>
              <w:rPr>
                <w:rFonts w:hint="default" w:ascii="Times New Roman" w:hAnsi="Times New Roman" w:cs="Times New Roman"/>
                <w:b/>
                <w:bCs/>
                <w:color w:val="auto"/>
                <w:sz w:val="21"/>
                <w:szCs w:val="21"/>
                <w:highlight w:val="none"/>
              </w:rPr>
            </w:pPr>
            <w:r>
              <w:rPr>
                <w:rFonts w:hint="eastAsia" w:ascii="Times New Roman" w:hAnsi="Times New Roman" w:cs="Times New Roman"/>
                <w:b/>
                <w:bCs/>
                <w:color w:val="auto"/>
                <w:sz w:val="21"/>
                <w:szCs w:val="21"/>
                <w:highlight w:val="none"/>
                <w:lang w:val="en-US" w:eastAsia="zh-CN"/>
              </w:rPr>
              <w:t>4、</w:t>
            </w:r>
            <w:r>
              <w:rPr>
                <w:rFonts w:hint="eastAsia" w:ascii="Times New Roman" w:hAnsi="Times New Roman" w:cs="Times New Roman"/>
                <w:b/>
                <w:bCs/>
                <w:color w:val="auto"/>
                <w:sz w:val="21"/>
                <w:szCs w:val="21"/>
                <w:highlight w:val="none"/>
              </w:rPr>
              <w:t>验收三同时</w:t>
            </w:r>
          </w:p>
          <w:p w14:paraId="3625C6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20" w:firstLineChars="200"/>
              <w:jc w:val="both"/>
              <w:textAlignment w:val="auto"/>
              <w:rPr>
                <w:rFonts w:hint="default" w:ascii="Times New Roman" w:hAnsi="Times New Roman" w:eastAsia="宋体" w:cs="Times New Roman"/>
                <w:color w:val="auto"/>
                <w:kern w:val="2"/>
                <w:sz w:val="21"/>
                <w:szCs w:val="21"/>
                <w:highlight w:val="none"/>
                <w:u w:val="none" w:color="auto"/>
                <w:lang w:val="en-US" w:eastAsia="zh-CN" w:bidi="zh-CN"/>
              </w:rPr>
            </w:pPr>
            <w:r>
              <w:rPr>
                <w:rFonts w:hint="default" w:ascii="Times New Roman" w:hAnsi="Times New Roman" w:eastAsia="宋体" w:cs="Times New Roman"/>
                <w:color w:val="auto"/>
                <w:kern w:val="2"/>
                <w:sz w:val="21"/>
                <w:szCs w:val="21"/>
                <w:highlight w:val="none"/>
                <w:u w:val="none" w:color="auto"/>
                <w:lang w:val="en-US" w:eastAsia="zh-CN" w:bidi="zh-CN"/>
              </w:rPr>
              <w:t>项目建设应严格执行配套建设的环境保护设施与主体工程同时设计、同时施工、同时投入使用等建设项目环境管理的规定。根据《建设项目环境保护管理条例》</w:t>
            </w:r>
            <w:r>
              <w:rPr>
                <w:rFonts w:hint="eastAsia" w:ascii="Times New Roman" w:hAnsi="Times New Roman" w:eastAsia="宋体" w:cs="Times New Roman"/>
                <w:color w:val="auto"/>
                <w:kern w:val="2"/>
                <w:sz w:val="21"/>
                <w:szCs w:val="21"/>
                <w:highlight w:val="none"/>
                <w:u w:val="none" w:color="auto"/>
                <w:lang w:val="en-US" w:eastAsia="zh-CN" w:bidi="zh-CN"/>
              </w:rPr>
              <w:t>（</w:t>
            </w:r>
            <w:r>
              <w:rPr>
                <w:rFonts w:hint="default" w:ascii="Times New Roman" w:hAnsi="Times New Roman" w:eastAsia="宋体" w:cs="Times New Roman"/>
                <w:color w:val="auto"/>
                <w:kern w:val="2"/>
                <w:sz w:val="21"/>
                <w:szCs w:val="21"/>
                <w:highlight w:val="none"/>
                <w:u w:val="none" w:color="auto"/>
                <w:lang w:val="en-US" w:eastAsia="zh-CN" w:bidi="zh-CN"/>
              </w:rPr>
              <w:t>国务院令2017[682]号</w:t>
            </w:r>
            <w:r>
              <w:rPr>
                <w:rFonts w:hint="eastAsia" w:ascii="Times New Roman" w:hAnsi="Times New Roman" w:eastAsia="宋体" w:cs="Times New Roman"/>
                <w:color w:val="auto"/>
                <w:kern w:val="2"/>
                <w:sz w:val="21"/>
                <w:szCs w:val="21"/>
                <w:highlight w:val="none"/>
                <w:u w:val="none" w:color="auto"/>
                <w:lang w:val="en-US" w:eastAsia="zh-CN" w:bidi="zh-CN"/>
              </w:rPr>
              <w:t>）</w:t>
            </w:r>
            <w:r>
              <w:rPr>
                <w:rFonts w:hint="default" w:ascii="Times New Roman" w:hAnsi="Times New Roman" w:eastAsia="宋体" w:cs="Times New Roman"/>
                <w:color w:val="auto"/>
                <w:kern w:val="2"/>
                <w:sz w:val="21"/>
                <w:szCs w:val="21"/>
                <w:highlight w:val="none"/>
                <w:u w:val="none" w:color="auto"/>
                <w:lang w:val="en-US" w:eastAsia="zh-CN" w:bidi="zh-CN"/>
              </w:rPr>
              <w:t>、《建设项目竣工环境保护验收暂行办法》</w:t>
            </w:r>
            <w:r>
              <w:rPr>
                <w:rFonts w:hint="eastAsia" w:ascii="Times New Roman" w:hAnsi="Times New Roman" w:eastAsia="宋体" w:cs="Times New Roman"/>
                <w:color w:val="auto"/>
                <w:kern w:val="2"/>
                <w:sz w:val="21"/>
                <w:szCs w:val="21"/>
                <w:highlight w:val="none"/>
                <w:u w:val="none" w:color="auto"/>
                <w:lang w:val="en-US" w:eastAsia="zh-CN" w:bidi="zh-CN"/>
              </w:rPr>
              <w:t>（</w:t>
            </w:r>
            <w:r>
              <w:rPr>
                <w:rFonts w:hint="default" w:ascii="Times New Roman" w:hAnsi="Times New Roman" w:eastAsia="宋体" w:cs="Times New Roman"/>
                <w:color w:val="auto"/>
                <w:kern w:val="2"/>
                <w:sz w:val="21"/>
                <w:szCs w:val="21"/>
                <w:highlight w:val="none"/>
                <w:u w:val="none" w:color="auto"/>
                <w:lang w:val="en-US" w:eastAsia="zh-CN" w:bidi="zh-CN"/>
              </w:rPr>
              <w:t>国环规环评</w:t>
            </w:r>
            <w:r>
              <w:rPr>
                <w:rFonts w:hint="eastAsia" w:ascii="Times New Roman" w:hAnsi="Times New Roman" w:eastAsia="宋体" w:cs="Times New Roman"/>
                <w:color w:val="auto"/>
                <w:kern w:val="2"/>
                <w:sz w:val="21"/>
                <w:szCs w:val="21"/>
                <w:highlight w:val="none"/>
                <w:u w:val="none" w:color="auto"/>
                <w:lang w:val="en-US" w:eastAsia="zh-CN" w:bidi="zh-CN"/>
              </w:rPr>
              <w:t>〔2017〕4号）</w:t>
            </w:r>
            <w:r>
              <w:rPr>
                <w:rFonts w:hint="default" w:ascii="Times New Roman" w:hAnsi="Times New Roman" w:eastAsia="宋体" w:cs="Times New Roman"/>
                <w:color w:val="auto"/>
                <w:kern w:val="2"/>
                <w:sz w:val="21"/>
                <w:szCs w:val="21"/>
                <w:highlight w:val="none"/>
                <w:u w:val="none" w:color="auto"/>
                <w:lang w:val="en-US" w:eastAsia="zh-CN" w:bidi="zh-CN"/>
              </w:rPr>
              <w:t>、《建设项目竣工环境保护验收技术指南污染影响类》</w:t>
            </w:r>
            <w:r>
              <w:rPr>
                <w:rFonts w:hint="eastAsia" w:ascii="Times New Roman" w:hAnsi="Times New Roman" w:eastAsia="宋体" w:cs="Times New Roman"/>
                <w:color w:val="auto"/>
                <w:kern w:val="2"/>
                <w:sz w:val="21"/>
                <w:szCs w:val="21"/>
                <w:highlight w:val="none"/>
                <w:u w:val="none" w:color="auto"/>
                <w:lang w:val="en-US" w:eastAsia="zh-CN" w:bidi="zh-CN"/>
              </w:rPr>
              <w:t>（</w:t>
            </w:r>
            <w:r>
              <w:rPr>
                <w:rFonts w:hint="default" w:ascii="Times New Roman" w:hAnsi="Times New Roman" w:eastAsia="宋体" w:cs="Times New Roman"/>
                <w:color w:val="auto"/>
                <w:kern w:val="2"/>
                <w:sz w:val="21"/>
                <w:szCs w:val="21"/>
                <w:highlight w:val="none"/>
                <w:u w:val="none" w:color="auto"/>
                <w:lang w:val="en-US" w:eastAsia="zh-CN" w:bidi="zh-CN"/>
              </w:rPr>
              <w:t>公告2018年第9号</w:t>
            </w:r>
            <w:r>
              <w:rPr>
                <w:rFonts w:hint="eastAsia" w:ascii="Times New Roman" w:hAnsi="Times New Roman" w:eastAsia="宋体" w:cs="Times New Roman"/>
                <w:color w:val="auto"/>
                <w:kern w:val="2"/>
                <w:sz w:val="21"/>
                <w:szCs w:val="21"/>
                <w:highlight w:val="none"/>
                <w:u w:val="none" w:color="auto"/>
                <w:lang w:val="en-US" w:eastAsia="zh-CN" w:bidi="zh-CN"/>
              </w:rPr>
              <w:t>）</w:t>
            </w:r>
            <w:r>
              <w:rPr>
                <w:rFonts w:hint="default" w:ascii="Times New Roman" w:hAnsi="Times New Roman" w:eastAsia="宋体" w:cs="Times New Roman"/>
                <w:color w:val="auto"/>
                <w:kern w:val="2"/>
                <w:sz w:val="21"/>
                <w:szCs w:val="21"/>
                <w:highlight w:val="none"/>
                <w:u w:val="none" w:color="auto"/>
                <w:lang w:val="en-US" w:eastAsia="zh-CN" w:bidi="zh-CN"/>
              </w:rPr>
              <w:t>等文件要求，建设项目竣工后，建设单位应当按照规定的标准和程序，对配套建设的环境保护设施进行自主验收，编制验收监测报告。经验收合格后，项目方可正式投入使用。</w:t>
            </w:r>
          </w:p>
          <w:p w14:paraId="617DE2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u w:val="none" w:color="auto"/>
                <w:lang w:val="en-US" w:eastAsia="zh-CN" w:bidi="zh-CN"/>
              </w:rPr>
            </w:pPr>
          </w:p>
          <w:p w14:paraId="2CCDA2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jc w:val="both"/>
              <w:textAlignment w:val="auto"/>
              <w:rPr>
                <w:rFonts w:hint="default" w:ascii="Times New Roman" w:hAnsi="Times New Roman" w:eastAsia="宋体" w:cs="Times New Roman"/>
                <w:color w:val="auto"/>
                <w:kern w:val="2"/>
                <w:sz w:val="24"/>
                <w:szCs w:val="24"/>
                <w:highlight w:val="none"/>
                <w:u w:val="none" w:color="auto"/>
                <w:lang w:val="en-US" w:eastAsia="zh-CN" w:bidi="zh-CN"/>
              </w:rPr>
            </w:pPr>
          </w:p>
          <w:p w14:paraId="01148190">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6DC87C3E">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24A614B4">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48E54DC2">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579F807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50FBB0E3">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1A3F59DD">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2CCCCCFF">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7FCAB9CA">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23DC4E95">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11E87628">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3035BB47">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default" w:ascii="Times New Roman" w:hAnsi="Times New Roman" w:cs="Times New Roman"/>
                <w:b w:val="0"/>
                <w:bCs w:val="0"/>
                <w:color w:val="auto"/>
                <w:highlight w:val="none"/>
              </w:rPr>
            </w:pPr>
          </w:p>
          <w:p w14:paraId="7C59EF96">
            <w:pPr>
              <w:keepNext w:val="0"/>
              <w:keepLines w:val="0"/>
              <w:pageBreakBefore w:val="0"/>
              <w:widowControl w:val="0"/>
              <w:numPr>
                <w:ilvl w:val="0"/>
                <w:numId w:val="0"/>
              </w:numPr>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420" w:firstLineChars="200"/>
              <w:jc w:val="left"/>
              <w:textAlignment w:val="auto"/>
              <w:rPr>
                <w:rFonts w:hint="eastAsia" w:ascii="Times New Roman" w:hAnsi="Times New Roman" w:cs="Times New Roman"/>
                <w:b w:val="0"/>
                <w:bCs w:val="0"/>
                <w:color w:val="auto"/>
                <w:highlight w:val="none"/>
                <w:lang w:val="en-US" w:eastAsia="zh-CN"/>
              </w:rPr>
            </w:pPr>
          </w:p>
        </w:tc>
      </w:tr>
    </w:tbl>
    <w:p w14:paraId="39FCDA7C">
      <w:pPr>
        <w:pStyle w:val="22"/>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ascii="Times New Roman" w:hAnsi="Times New Roman"/>
          <w:snapToGrid w:val="0"/>
          <w:color w:val="auto"/>
          <w:sz w:val="30"/>
          <w:szCs w:val="30"/>
          <w:highlight w:val="none"/>
        </w:rPr>
      </w:pPr>
      <w:r>
        <w:rPr>
          <w:rFonts w:ascii="Times New Roman" w:hAnsi="Times New Roman"/>
          <w:snapToGrid w:val="0"/>
          <w:color w:val="auto"/>
          <w:highlight w:val="none"/>
        </w:rPr>
        <w:br w:type="page"/>
      </w:r>
      <w:r>
        <w:rPr>
          <w:rFonts w:ascii="黑体" w:hAnsi="黑体" w:eastAsia="黑体" w:cs="黑体"/>
          <w:snapToGrid w:val="0"/>
          <w:color w:val="auto"/>
          <w:sz w:val="30"/>
          <w:szCs w:val="30"/>
          <w:highlight w:val="none"/>
        </w:rPr>
        <w:t>六、结论</w:t>
      </w:r>
    </w:p>
    <w:tbl>
      <w:tblPr>
        <w:tblStyle w:val="26"/>
        <w:tblW w:w="5000"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0B6AB7F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3378" w:hRule="atLeast"/>
          <w:jc w:val="center"/>
        </w:trPr>
        <w:tc>
          <w:tcPr>
            <w:tcW w:w="5000" w:type="pct"/>
            <w:noWrap w:val="0"/>
            <w:vAlign w:val="center"/>
          </w:tcPr>
          <w:p w14:paraId="79658488">
            <w:pPr>
              <w:keepNext w:val="0"/>
              <w:keepLines w:val="0"/>
              <w:suppressLineNumbers w:val="0"/>
              <w:adjustRightInd w:val="0"/>
              <w:snapToGrid w:val="0"/>
              <w:spacing w:before="0" w:beforeAutospacing="0" w:after="0" w:afterAutospacing="0" w:line="360" w:lineRule="auto"/>
              <w:ind w:left="0" w:right="0" w:firstLine="480" w:firstLineChars="200"/>
              <w:jc w:val="left"/>
              <w:rPr>
                <w:rFonts w:hint="default" w:ascii="Times New Roman" w:hAnsi="Times New Roman" w:cs="Times New Roman"/>
                <w:color w:val="auto"/>
                <w:sz w:val="24"/>
                <w:highlight w:val="none"/>
              </w:rPr>
            </w:pPr>
            <w:r>
              <w:rPr>
                <w:rFonts w:hint="eastAsia" w:ascii="Times New Roman" w:hAnsi="Times New Roman" w:cs="Times New Roman"/>
                <w:color w:val="auto"/>
                <w:sz w:val="24"/>
                <w:highlight w:val="none"/>
              </w:rPr>
              <w:t>综上所述，项目建设符合国家及地方相关产业政策的要求</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rPr>
              <w:t>项目建设符合当地土地利用总体规划</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rPr>
              <w:t>项目采取较为完善的污染防治措施后，可确保达标排放，项目的建设不会对周边环境产生明显的污染影响。在认真落实各项环保措施的条件下</w:t>
            </w:r>
            <w:r>
              <w:rPr>
                <w:rFonts w:hint="eastAsia"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rPr>
              <w:t>从环境保护角度分析，项目建设可行。</w:t>
            </w:r>
          </w:p>
        </w:tc>
      </w:tr>
    </w:tbl>
    <w:p w14:paraId="0D2C5FBC">
      <w:pPr>
        <w:rPr>
          <w:color w:val="auto"/>
          <w:highlight w:val="none"/>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p>
    <w:p w14:paraId="228FE9D7">
      <w:pPr>
        <w:bidi w:val="0"/>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附表</w:t>
      </w:r>
    </w:p>
    <w:p w14:paraId="69DFAA14">
      <w:pPr>
        <w:pStyle w:val="22"/>
        <w:adjustRightInd w:val="0"/>
        <w:snapToGrid w:val="0"/>
        <w:spacing w:before="0" w:beforeAutospacing="0" w:after="0" w:afterAutospacing="0" w:line="240" w:lineRule="auto"/>
        <w:jc w:val="center"/>
        <w:outlineLvl w:val="9"/>
        <w:rPr>
          <w:rFonts w:hint="default" w:ascii="Times New Roman" w:hAnsi="Times New Roman" w:eastAsia="方正小标宋_GBK"/>
          <w:snapToGrid w:val="0"/>
          <w:color w:val="auto"/>
          <w:sz w:val="38"/>
          <w:szCs w:val="38"/>
          <w:highlight w:val="none"/>
          <w:lang w:val="en-US" w:eastAsia="zh-CN"/>
        </w:rPr>
      </w:pPr>
      <w:r>
        <w:rPr>
          <w:rFonts w:ascii="Times New Roman" w:hAnsi="Times New Roman" w:eastAsia="方正小标宋_GBK"/>
          <w:snapToGrid w:val="0"/>
          <w:color w:val="auto"/>
          <w:sz w:val="38"/>
          <w:szCs w:val="38"/>
          <w:highlight w:val="none"/>
        </w:rPr>
        <w:t>建设项目污染物排放量汇总表</w:t>
      </w:r>
      <w:r>
        <w:rPr>
          <w:rFonts w:hint="eastAsia" w:ascii="Times New Roman" w:hAnsi="Times New Roman" w:eastAsia="方正小标宋_GBK"/>
          <w:snapToGrid w:val="0"/>
          <w:color w:val="auto"/>
          <w:sz w:val="38"/>
          <w:szCs w:val="38"/>
          <w:highlight w:val="none"/>
          <w:lang w:val="en-US" w:eastAsia="zh-CN"/>
        </w:rPr>
        <w:t xml:space="preserve">    t/a</w:t>
      </w:r>
    </w:p>
    <w:tbl>
      <w:tblPr>
        <w:tblStyle w:val="26"/>
        <w:tblW w:w="5000"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299"/>
        <w:gridCol w:w="2212"/>
        <w:gridCol w:w="1572"/>
        <w:gridCol w:w="1309"/>
        <w:gridCol w:w="1818"/>
        <w:gridCol w:w="1666"/>
        <w:gridCol w:w="1666"/>
        <w:gridCol w:w="1868"/>
        <w:gridCol w:w="1324"/>
      </w:tblGrid>
      <w:tr w14:paraId="6E9ACC7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tcBorders>
              <w:tl2br w:val="single" w:color="auto" w:sz="4" w:space="0"/>
            </w:tcBorders>
            <w:noWrap w:val="0"/>
            <w:tcMar>
              <w:left w:w="28" w:type="dxa"/>
              <w:right w:w="28" w:type="dxa"/>
            </w:tcMar>
            <w:vAlign w:val="center"/>
          </w:tcPr>
          <w:p w14:paraId="74790BC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jc w:val="right"/>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项目</w:t>
            </w:r>
          </w:p>
          <w:p w14:paraId="021CD42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jc w:val="left"/>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分类</w:t>
            </w:r>
          </w:p>
        </w:tc>
        <w:tc>
          <w:tcPr>
            <w:tcW w:w="2212" w:type="dxa"/>
            <w:noWrap w:val="0"/>
            <w:tcMar>
              <w:left w:w="28" w:type="dxa"/>
              <w:right w:w="28" w:type="dxa"/>
            </w:tcMar>
            <w:vAlign w:val="center"/>
          </w:tcPr>
          <w:p w14:paraId="405C736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污染物名称</w:t>
            </w:r>
          </w:p>
        </w:tc>
        <w:tc>
          <w:tcPr>
            <w:tcW w:w="1572" w:type="dxa"/>
            <w:noWrap w:val="0"/>
            <w:tcMar>
              <w:left w:w="28" w:type="dxa"/>
              <w:right w:w="28" w:type="dxa"/>
            </w:tcMar>
            <w:vAlign w:val="center"/>
          </w:tcPr>
          <w:p w14:paraId="3C071A5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现有工程</w:t>
            </w:r>
          </w:p>
          <w:p w14:paraId="7F53306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排放量（固体废物产生量）</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1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kern w:val="2"/>
                <w:sz w:val="24"/>
                <w:szCs w:val="24"/>
                <w:highlight w:val="none"/>
              </w:rPr>
              <w:t>①</w:t>
            </w:r>
            <w:r>
              <w:rPr>
                <w:rFonts w:hint="default" w:ascii="Times New Roman" w:hAnsi="Times New Roman" w:cs="Times New Roman"/>
                <w:snapToGrid w:val="0"/>
                <w:color w:val="auto"/>
                <w:spacing w:val="-6"/>
                <w:kern w:val="21"/>
                <w:sz w:val="24"/>
                <w:szCs w:val="24"/>
                <w:highlight w:val="none"/>
              </w:rPr>
              <w:fldChar w:fldCharType="end"/>
            </w:r>
          </w:p>
        </w:tc>
        <w:tc>
          <w:tcPr>
            <w:tcW w:w="1309" w:type="dxa"/>
            <w:noWrap w:val="0"/>
            <w:tcMar>
              <w:left w:w="28" w:type="dxa"/>
              <w:right w:w="28" w:type="dxa"/>
            </w:tcMar>
            <w:vAlign w:val="center"/>
          </w:tcPr>
          <w:p w14:paraId="2620EC3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现有工程</w:t>
            </w:r>
          </w:p>
          <w:p w14:paraId="03B5D46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许可排放量</w:t>
            </w:r>
          </w:p>
          <w:p w14:paraId="79CD1F7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2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snapToGrid w:val="0"/>
                <w:color w:val="auto"/>
                <w:spacing w:val="-6"/>
                <w:kern w:val="21"/>
                <w:sz w:val="24"/>
                <w:szCs w:val="24"/>
                <w:highlight w:val="none"/>
              </w:rPr>
              <w:t>②</w:t>
            </w:r>
            <w:r>
              <w:rPr>
                <w:rFonts w:hint="default" w:ascii="Times New Roman" w:hAnsi="Times New Roman" w:cs="Times New Roman"/>
                <w:snapToGrid w:val="0"/>
                <w:color w:val="auto"/>
                <w:spacing w:val="-6"/>
                <w:kern w:val="21"/>
                <w:sz w:val="24"/>
                <w:szCs w:val="24"/>
                <w:highlight w:val="none"/>
              </w:rPr>
              <w:fldChar w:fldCharType="end"/>
            </w:r>
          </w:p>
        </w:tc>
        <w:tc>
          <w:tcPr>
            <w:tcW w:w="1818" w:type="dxa"/>
            <w:noWrap w:val="0"/>
            <w:tcMar>
              <w:left w:w="28" w:type="dxa"/>
              <w:right w:w="28" w:type="dxa"/>
            </w:tcMar>
            <w:vAlign w:val="center"/>
          </w:tcPr>
          <w:p w14:paraId="1499CEE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在建工程</w:t>
            </w:r>
          </w:p>
          <w:p w14:paraId="284584E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排放量（固体废物产生量）</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3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kern w:val="2"/>
                <w:sz w:val="24"/>
                <w:szCs w:val="24"/>
                <w:highlight w:val="none"/>
              </w:rPr>
              <w:t>③</w:t>
            </w:r>
            <w:r>
              <w:rPr>
                <w:rFonts w:hint="default" w:ascii="Times New Roman" w:hAnsi="Times New Roman" w:cs="Times New Roman"/>
                <w:snapToGrid w:val="0"/>
                <w:color w:val="auto"/>
                <w:spacing w:val="-6"/>
                <w:kern w:val="21"/>
                <w:sz w:val="24"/>
                <w:szCs w:val="24"/>
                <w:highlight w:val="none"/>
              </w:rPr>
              <w:fldChar w:fldCharType="end"/>
            </w:r>
          </w:p>
        </w:tc>
        <w:tc>
          <w:tcPr>
            <w:tcW w:w="1666" w:type="dxa"/>
            <w:noWrap w:val="0"/>
            <w:tcMar>
              <w:left w:w="28" w:type="dxa"/>
              <w:right w:w="28" w:type="dxa"/>
            </w:tcMar>
            <w:vAlign w:val="center"/>
          </w:tcPr>
          <w:p w14:paraId="448377C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本项目</w:t>
            </w:r>
          </w:p>
          <w:p w14:paraId="15B95B1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排放量（固体废物产生量）</w:t>
            </w: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4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kern w:val="2"/>
                <w:sz w:val="24"/>
                <w:szCs w:val="24"/>
                <w:highlight w:val="none"/>
              </w:rPr>
              <w:t>④</w:t>
            </w:r>
            <w:r>
              <w:rPr>
                <w:rFonts w:hint="default" w:ascii="Times New Roman" w:hAnsi="Times New Roman" w:cs="Times New Roman"/>
                <w:snapToGrid w:val="0"/>
                <w:color w:val="auto"/>
                <w:spacing w:val="-6"/>
                <w:kern w:val="21"/>
                <w:sz w:val="24"/>
                <w:szCs w:val="24"/>
                <w:highlight w:val="none"/>
              </w:rPr>
              <w:fldChar w:fldCharType="end"/>
            </w:r>
          </w:p>
        </w:tc>
        <w:tc>
          <w:tcPr>
            <w:tcW w:w="1666" w:type="dxa"/>
            <w:noWrap w:val="0"/>
            <w:tcMar>
              <w:left w:w="28" w:type="dxa"/>
              <w:right w:w="28" w:type="dxa"/>
            </w:tcMar>
            <w:vAlign w:val="center"/>
          </w:tcPr>
          <w:p w14:paraId="4D3BF8A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16"/>
                <w:kern w:val="21"/>
                <w:sz w:val="24"/>
                <w:szCs w:val="24"/>
                <w:highlight w:val="none"/>
              </w:rPr>
            </w:pPr>
            <w:r>
              <w:rPr>
                <w:rFonts w:hint="default" w:ascii="Times New Roman" w:hAnsi="Times New Roman" w:cs="Times New Roman"/>
                <w:snapToGrid w:val="0"/>
                <w:color w:val="auto"/>
                <w:spacing w:val="-16"/>
                <w:kern w:val="21"/>
                <w:sz w:val="24"/>
                <w:szCs w:val="24"/>
                <w:highlight w:val="none"/>
              </w:rPr>
              <w:t>以新带老削减量</w:t>
            </w:r>
          </w:p>
          <w:p w14:paraId="4294433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16"/>
                <w:kern w:val="21"/>
                <w:sz w:val="24"/>
                <w:szCs w:val="24"/>
                <w:highlight w:val="none"/>
              </w:rPr>
            </w:pPr>
            <w:r>
              <w:rPr>
                <w:rFonts w:hint="default" w:ascii="Times New Roman" w:hAnsi="Times New Roman" w:cs="Times New Roman"/>
                <w:snapToGrid w:val="0"/>
                <w:color w:val="auto"/>
                <w:spacing w:val="-16"/>
                <w:kern w:val="21"/>
                <w:sz w:val="24"/>
                <w:szCs w:val="24"/>
                <w:highlight w:val="none"/>
              </w:rPr>
              <w:t>（新建项目不填）</w:t>
            </w:r>
            <w:r>
              <w:rPr>
                <w:rFonts w:hint="default" w:ascii="Times New Roman" w:hAnsi="Times New Roman" w:cs="Times New Roman"/>
                <w:snapToGrid w:val="0"/>
                <w:color w:val="auto"/>
                <w:spacing w:val="-16"/>
                <w:kern w:val="21"/>
                <w:sz w:val="24"/>
                <w:szCs w:val="24"/>
                <w:highlight w:val="none"/>
              </w:rPr>
              <w:fldChar w:fldCharType="begin"/>
            </w:r>
            <w:r>
              <w:rPr>
                <w:rFonts w:hint="default" w:ascii="Times New Roman" w:hAnsi="Times New Roman" w:cs="Times New Roman"/>
                <w:snapToGrid w:val="0"/>
                <w:color w:val="auto"/>
                <w:spacing w:val="-16"/>
                <w:kern w:val="21"/>
                <w:sz w:val="24"/>
                <w:szCs w:val="24"/>
                <w:highlight w:val="none"/>
              </w:rPr>
              <w:instrText xml:space="preserve"> = 5 \* GB3 \* MERGEFORMAT </w:instrText>
            </w:r>
            <w:r>
              <w:rPr>
                <w:rFonts w:hint="default" w:ascii="Times New Roman" w:hAnsi="Times New Roman" w:cs="Times New Roman"/>
                <w:snapToGrid w:val="0"/>
                <w:color w:val="auto"/>
                <w:spacing w:val="-16"/>
                <w:kern w:val="21"/>
                <w:sz w:val="24"/>
                <w:szCs w:val="24"/>
                <w:highlight w:val="none"/>
              </w:rPr>
              <w:fldChar w:fldCharType="separate"/>
            </w:r>
            <w:r>
              <w:rPr>
                <w:rFonts w:hint="default" w:ascii="Times New Roman" w:hAnsi="Times New Roman" w:cs="Times New Roman"/>
                <w:color w:val="auto"/>
                <w:kern w:val="2"/>
                <w:sz w:val="24"/>
                <w:szCs w:val="24"/>
                <w:highlight w:val="none"/>
              </w:rPr>
              <w:t>⑤</w:t>
            </w:r>
            <w:r>
              <w:rPr>
                <w:rFonts w:hint="default" w:ascii="Times New Roman" w:hAnsi="Times New Roman" w:cs="Times New Roman"/>
                <w:snapToGrid w:val="0"/>
                <w:color w:val="auto"/>
                <w:spacing w:val="-16"/>
                <w:kern w:val="21"/>
                <w:sz w:val="24"/>
                <w:szCs w:val="24"/>
                <w:highlight w:val="none"/>
              </w:rPr>
              <w:fldChar w:fldCharType="end"/>
            </w:r>
          </w:p>
        </w:tc>
        <w:tc>
          <w:tcPr>
            <w:tcW w:w="1868" w:type="dxa"/>
            <w:noWrap w:val="0"/>
            <w:tcMar>
              <w:left w:w="28" w:type="dxa"/>
              <w:right w:w="28" w:type="dxa"/>
            </w:tcMar>
            <w:vAlign w:val="center"/>
          </w:tcPr>
          <w:p w14:paraId="1A48A29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16"/>
                <w:kern w:val="21"/>
                <w:sz w:val="24"/>
                <w:szCs w:val="24"/>
                <w:highlight w:val="none"/>
              </w:rPr>
            </w:pPr>
            <w:r>
              <w:rPr>
                <w:rFonts w:hint="default" w:ascii="Times New Roman" w:hAnsi="Times New Roman" w:cs="Times New Roman"/>
                <w:snapToGrid w:val="0"/>
                <w:color w:val="auto"/>
                <w:spacing w:val="-16"/>
                <w:kern w:val="21"/>
                <w:sz w:val="24"/>
                <w:szCs w:val="24"/>
                <w:highlight w:val="none"/>
              </w:rPr>
              <w:t>本项目建成后</w:t>
            </w:r>
          </w:p>
          <w:p w14:paraId="62D789F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16"/>
                <w:kern w:val="21"/>
                <w:sz w:val="24"/>
                <w:szCs w:val="24"/>
                <w:highlight w:val="none"/>
              </w:rPr>
            </w:pPr>
            <w:r>
              <w:rPr>
                <w:rFonts w:hint="default" w:ascii="Times New Roman" w:hAnsi="Times New Roman" w:cs="Times New Roman"/>
                <w:snapToGrid w:val="0"/>
                <w:color w:val="auto"/>
                <w:spacing w:val="-16"/>
                <w:kern w:val="21"/>
                <w:sz w:val="24"/>
                <w:szCs w:val="24"/>
                <w:highlight w:val="none"/>
              </w:rPr>
              <w:t>全厂排放量（固体废物产生量）</w:t>
            </w:r>
            <w:r>
              <w:rPr>
                <w:rFonts w:hint="default" w:ascii="Times New Roman" w:hAnsi="Times New Roman" w:cs="Times New Roman"/>
                <w:snapToGrid w:val="0"/>
                <w:color w:val="auto"/>
                <w:spacing w:val="-16"/>
                <w:kern w:val="21"/>
                <w:sz w:val="24"/>
                <w:szCs w:val="24"/>
                <w:highlight w:val="none"/>
              </w:rPr>
              <w:fldChar w:fldCharType="begin"/>
            </w:r>
            <w:r>
              <w:rPr>
                <w:rFonts w:hint="default" w:ascii="Times New Roman" w:hAnsi="Times New Roman" w:cs="Times New Roman"/>
                <w:snapToGrid w:val="0"/>
                <w:color w:val="auto"/>
                <w:spacing w:val="-16"/>
                <w:kern w:val="21"/>
                <w:sz w:val="24"/>
                <w:szCs w:val="24"/>
                <w:highlight w:val="none"/>
              </w:rPr>
              <w:instrText xml:space="preserve"> = 6 \* GB3 \* MERGEFORMAT </w:instrText>
            </w:r>
            <w:r>
              <w:rPr>
                <w:rFonts w:hint="default" w:ascii="Times New Roman" w:hAnsi="Times New Roman" w:cs="Times New Roman"/>
                <w:snapToGrid w:val="0"/>
                <w:color w:val="auto"/>
                <w:spacing w:val="-16"/>
                <w:kern w:val="21"/>
                <w:sz w:val="24"/>
                <w:szCs w:val="24"/>
                <w:highlight w:val="none"/>
              </w:rPr>
              <w:fldChar w:fldCharType="separate"/>
            </w:r>
            <w:r>
              <w:rPr>
                <w:rFonts w:hint="default" w:ascii="Times New Roman" w:hAnsi="Times New Roman" w:cs="Times New Roman"/>
                <w:color w:val="auto"/>
                <w:kern w:val="2"/>
                <w:sz w:val="24"/>
                <w:szCs w:val="24"/>
                <w:highlight w:val="none"/>
              </w:rPr>
              <w:t>⑥</w:t>
            </w:r>
            <w:r>
              <w:rPr>
                <w:rFonts w:hint="default" w:ascii="Times New Roman" w:hAnsi="Times New Roman" w:cs="Times New Roman"/>
                <w:snapToGrid w:val="0"/>
                <w:color w:val="auto"/>
                <w:spacing w:val="-16"/>
                <w:kern w:val="21"/>
                <w:sz w:val="24"/>
                <w:szCs w:val="24"/>
                <w:highlight w:val="none"/>
              </w:rPr>
              <w:fldChar w:fldCharType="end"/>
            </w:r>
          </w:p>
        </w:tc>
        <w:tc>
          <w:tcPr>
            <w:tcW w:w="1324" w:type="dxa"/>
            <w:noWrap w:val="0"/>
            <w:tcMar>
              <w:left w:w="28" w:type="dxa"/>
              <w:right w:w="28" w:type="dxa"/>
            </w:tcMar>
            <w:vAlign w:val="center"/>
          </w:tcPr>
          <w:p w14:paraId="2D8CF9E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t>变化量</w:t>
            </w:r>
          </w:p>
          <w:p w14:paraId="469D7BA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spacing w:val="-6"/>
                <w:kern w:val="21"/>
                <w:sz w:val="24"/>
                <w:szCs w:val="24"/>
                <w:highlight w:val="none"/>
              </w:rPr>
            </w:pPr>
            <w:r>
              <w:rPr>
                <w:rFonts w:hint="default" w:ascii="Times New Roman" w:hAnsi="Times New Roman" w:cs="Times New Roman"/>
                <w:snapToGrid w:val="0"/>
                <w:color w:val="auto"/>
                <w:spacing w:val="-6"/>
                <w:kern w:val="21"/>
                <w:sz w:val="24"/>
                <w:szCs w:val="24"/>
                <w:highlight w:val="none"/>
              </w:rPr>
              <w:fldChar w:fldCharType="begin"/>
            </w:r>
            <w:r>
              <w:rPr>
                <w:rFonts w:hint="default" w:ascii="Times New Roman" w:hAnsi="Times New Roman" w:cs="Times New Roman"/>
                <w:snapToGrid w:val="0"/>
                <w:color w:val="auto"/>
                <w:spacing w:val="-6"/>
                <w:kern w:val="21"/>
                <w:sz w:val="24"/>
                <w:szCs w:val="24"/>
                <w:highlight w:val="none"/>
              </w:rPr>
              <w:instrText xml:space="preserve"> = 7 \* GB3 \* MERGEFORMAT </w:instrText>
            </w:r>
            <w:r>
              <w:rPr>
                <w:rFonts w:hint="default" w:ascii="Times New Roman" w:hAnsi="Times New Roman" w:cs="Times New Roman"/>
                <w:snapToGrid w:val="0"/>
                <w:color w:val="auto"/>
                <w:spacing w:val="-6"/>
                <w:kern w:val="21"/>
                <w:sz w:val="24"/>
                <w:szCs w:val="24"/>
                <w:highlight w:val="none"/>
              </w:rPr>
              <w:fldChar w:fldCharType="separate"/>
            </w:r>
            <w:r>
              <w:rPr>
                <w:rFonts w:hint="default" w:ascii="Times New Roman" w:hAnsi="Times New Roman" w:cs="Times New Roman"/>
                <w:color w:val="auto"/>
                <w:kern w:val="2"/>
                <w:sz w:val="24"/>
                <w:szCs w:val="24"/>
                <w:highlight w:val="none"/>
              </w:rPr>
              <w:t>⑦</w:t>
            </w:r>
            <w:r>
              <w:rPr>
                <w:rFonts w:hint="default" w:ascii="Times New Roman" w:hAnsi="Times New Roman" w:cs="Times New Roman"/>
                <w:snapToGrid w:val="0"/>
                <w:color w:val="auto"/>
                <w:spacing w:val="-6"/>
                <w:kern w:val="21"/>
                <w:sz w:val="24"/>
                <w:szCs w:val="24"/>
                <w:highlight w:val="none"/>
              </w:rPr>
              <w:fldChar w:fldCharType="end"/>
            </w:r>
          </w:p>
        </w:tc>
      </w:tr>
      <w:tr w14:paraId="1936C3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restart"/>
            <w:noWrap w:val="0"/>
            <w:vAlign w:val="center"/>
          </w:tcPr>
          <w:p w14:paraId="1F77088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cs="Times New Roman"/>
                <w:snapToGrid w:val="0"/>
                <w:color w:val="auto"/>
                <w:kern w:val="21"/>
                <w:sz w:val="24"/>
                <w:szCs w:val="24"/>
                <w:highlight w:val="none"/>
              </w:rPr>
            </w:pPr>
            <w:r>
              <w:rPr>
                <w:rFonts w:hint="default" w:ascii="Times New Roman" w:hAnsi="Times New Roman" w:cs="Times New Roman"/>
                <w:snapToGrid w:val="0"/>
                <w:color w:val="auto"/>
                <w:kern w:val="21"/>
                <w:sz w:val="24"/>
                <w:szCs w:val="24"/>
                <w:highlight w:val="none"/>
              </w:rPr>
              <w:t>废气</w:t>
            </w:r>
          </w:p>
        </w:tc>
        <w:tc>
          <w:tcPr>
            <w:tcW w:w="2212" w:type="dxa"/>
            <w:noWrap w:val="0"/>
            <w:vAlign w:val="center"/>
          </w:tcPr>
          <w:p w14:paraId="1375EE7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kern w:val="21"/>
                <w:sz w:val="24"/>
                <w:szCs w:val="24"/>
                <w:highlight w:val="none"/>
                <w:lang w:val="en-US" w:eastAsia="zh-CN"/>
              </w:rPr>
            </w:pPr>
            <w:r>
              <w:rPr>
                <w:rFonts w:hint="eastAsia" w:ascii="Times New Roman" w:cs="Times New Roman"/>
                <w:snapToGrid w:val="0"/>
                <w:color w:val="auto"/>
                <w:kern w:val="21"/>
                <w:sz w:val="24"/>
                <w:szCs w:val="24"/>
                <w:highlight w:val="none"/>
                <w:lang w:val="en-US" w:eastAsia="zh-CN"/>
              </w:rPr>
              <w:t>颗粒物</w:t>
            </w:r>
          </w:p>
        </w:tc>
        <w:tc>
          <w:tcPr>
            <w:tcW w:w="1572" w:type="dxa"/>
            <w:noWrap w:val="0"/>
            <w:vAlign w:val="center"/>
          </w:tcPr>
          <w:p w14:paraId="2431745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p>
        </w:tc>
        <w:tc>
          <w:tcPr>
            <w:tcW w:w="1309" w:type="dxa"/>
            <w:noWrap w:val="0"/>
            <w:vAlign w:val="center"/>
          </w:tcPr>
          <w:p w14:paraId="1EE3E33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eastAsia" w:ascii="Times New Roman" w:hAnsi="Times New Roman" w:eastAsia="宋体" w:cs="Times New Roman"/>
                <w:snapToGrid w:val="0"/>
                <w:color w:val="auto"/>
                <w:kern w:val="21"/>
                <w:sz w:val="24"/>
                <w:szCs w:val="24"/>
                <w:highlight w:val="none"/>
                <w:lang w:val="en-US" w:eastAsia="zh-CN"/>
              </w:rPr>
            </w:pPr>
            <w:r>
              <w:rPr>
                <w:rFonts w:hint="eastAsia" w:ascii="Times New Roman" w:cs="Times New Roman"/>
                <w:snapToGrid w:val="0"/>
                <w:color w:val="auto"/>
                <w:kern w:val="21"/>
                <w:sz w:val="24"/>
                <w:szCs w:val="24"/>
                <w:highlight w:val="none"/>
                <w:lang w:val="en-US" w:eastAsia="zh-CN"/>
              </w:rPr>
              <w:t>/</w:t>
            </w:r>
          </w:p>
        </w:tc>
        <w:tc>
          <w:tcPr>
            <w:tcW w:w="1818" w:type="dxa"/>
            <w:noWrap w:val="0"/>
            <w:vAlign w:val="center"/>
          </w:tcPr>
          <w:p w14:paraId="72F858D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w:t>
            </w:r>
          </w:p>
        </w:tc>
        <w:tc>
          <w:tcPr>
            <w:tcW w:w="1666" w:type="dxa"/>
            <w:noWrap w:val="0"/>
            <w:vAlign w:val="center"/>
          </w:tcPr>
          <w:p w14:paraId="58ED3F6F">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eastAsia" w:cs="Times New Roman"/>
                <w:color w:val="auto"/>
                <w:kern w:val="2"/>
                <w:sz w:val="24"/>
                <w:szCs w:val="24"/>
                <w:highlight w:val="none"/>
                <w:vertAlign w:val="baseline"/>
                <w:lang w:val="en-US" w:eastAsia="zh-CN" w:bidi="ar-SA"/>
              </w:rPr>
              <w:t>0.0588</w:t>
            </w:r>
          </w:p>
        </w:tc>
        <w:tc>
          <w:tcPr>
            <w:tcW w:w="1666" w:type="dxa"/>
            <w:shd w:val="clear" w:color="auto" w:fill="auto"/>
            <w:noWrap w:val="0"/>
            <w:vAlign w:val="center"/>
          </w:tcPr>
          <w:p w14:paraId="78892E0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868" w:type="dxa"/>
            <w:shd w:val="clear" w:color="auto" w:fill="auto"/>
            <w:noWrap w:val="0"/>
            <w:vAlign w:val="center"/>
          </w:tcPr>
          <w:p w14:paraId="39D0794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eastAsia" w:cs="Times New Roman"/>
                <w:color w:val="auto"/>
                <w:kern w:val="2"/>
                <w:sz w:val="24"/>
                <w:szCs w:val="24"/>
                <w:highlight w:val="none"/>
                <w:vertAlign w:val="baseline"/>
                <w:lang w:val="en-US" w:eastAsia="zh-CN" w:bidi="ar-SA"/>
              </w:rPr>
              <w:t>0.0588</w:t>
            </w:r>
          </w:p>
        </w:tc>
        <w:tc>
          <w:tcPr>
            <w:tcW w:w="1324" w:type="dxa"/>
            <w:shd w:val="clear" w:color="auto" w:fill="auto"/>
            <w:noWrap w:val="0"/>
            <w:vAlign w:val="center"/>
          </w:tcPr>
          <w:p w14:paraId="29AF5009">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eastAsia" w:cs="Times New Roman"/>
                <w:color w:val="auto"/>
                <w:kern w:val="2"/>
                <w:sz w:val="24"/>
                <w:szCs w:val="24"/>
                <w:highlight w:val="none"/>
                <w:vertAlign w:val="baseline"/>
                <w:lang w:val="en-US" w:eastAsia="zh-CN" w:bidi="ar-SA"/>
              </w:rPr>
              <w:t>+0.0588</w:t>
            </w:r>
          </w:p>
        </w:tc>
      </w:tr>
      <w:tr w14:paraId="0976051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0220F51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ascii="Times New Roman" w:hAnsi="Times New Roman" w:cs="Times New Roman"/>
                <w:color w:val="auto"/>
                <w:sz w:val="24"/>
                <w:szCs w:val="24"/>
                <w:highlight w:val="none"/>
              </w:rPr>
            </w:pPr>
          </w:p>
        </w:tc>
        <w:tc>
          <w:tcPr>
            <w:tcW w:w="2212" w:type="dxa"/>
            <w:noWrap w:val="0"/>
            <w:vAlign w:val="center"/>
          </w:tcPr>
          <w:p w14:paraId="48F8558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jc w:val="center"/>
              <w:textAlignment w:val="auto"/>
              <w:rPr>
                <w:rFonts w:hint="default" w:ascii="Times New Roman" w:hAnsi="Times New Roman" w:eastAsia="宋体" w:cs="Times New Roman"/>
                <w:snapToGrid w:val="0"/>
                <w:color w:val="auto"/>
                <w:kern w:val="21"/>
                <w:sz w:val="24"/>
                <w:szCs w:val="24"/>
                <w:highlight w:val="none"/>
                <w:lang w:val="en-US" w:eastAsia="zh-CN"/>
              </w:rPr>
            </w:pPr>
            <w:r>
              <w:rPr>
                <w:rFonts w:hint="eastAsia" w:cs="Times New Roman"/>
                <w:snapToGrid w:val="0"/>
                <w:color w:val="auto"/>
                <w:kern w:val="21"/>
                <w:sz w:val="24"/>
                <w:szCs w:val="24"/>
                <w:highlight w:val="none"/>
                <w:lang w:val="en-US" w:eastAsia="zh-CN"/>
              </w:rPr>
              <w:t>非甲烷总烃</w:t>
            </w:r>
          </w:p>
        </w:tc>
        <w:tc>
          <w:tcPr>
            <w:tcW w:w="1572" w:type="dxa"/>
            <w:shd w:val="clear" w:color="auto" w:fill="auto"/>
            <w:noWrap w:val="0"/>
            <w:vAlign w:val="center"/>
          </w:tcPr>
          <w:p w14:paraId="4865805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58A8C08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38BCD6A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0BF58040">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eastAsia" w:cs="Times New Roman"/>
                <w:color w:val="auto"/>
                <w:kern w:val="2"/>
                <w:sz w:val="24"/>
                <w:szCs w:val="24"/>
                <w:highlight w:val="none"/>
                <w:vertAlign w:val="baseline"/>
                <w:lang w:val="en-US" w:eastAsia="zh-CN" w:bidi="ar-SA"/>
              </w:rPr>
              <w:t>0.058</w:t>
            </w:r>
          </w:p>
        </w:tc>
        <w:tc>
          <w:tcPr>
            <w:tcW w:w="1666" w:type="dxa"/>
            <w:shd w:val="clear" w:color="auto" w:fill="auto"/>
            <w:noWrap w:val="0"/>
            <w:vAlign w:val="center"/>
          </w:tcPr>
          <w:p w14:paraId="33FDC3E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868" w:type="dxa"/>
            <w:shd w:val="clear" w:color="auto" w:fill="auto"/>
            <w:noWrap w:val="0"/>
            <w:vAlign w:val="center"/>
          </w:tcPr>
          <w:p w14:paraId="4652D00A">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eastAsia" w:cs="Times New Roman"/>
                <w:color w:val="auto"/>
                <w:kern w:val="2"/>
                <w:sz w:val="24"/>
                <w:szCs w:val="24"/>
                <w:highlight w:val="none"/>
                <w:vertAlign w:val="baseline"/>
                <w:lang w:val="en-US" w:eastAsia="zh-CN" w:bidi="ar-SA"/>
              </w:rPr>
              <w:t>0.058</w:t>
            </w:r>
          </w:p>
        </w:tc>
        <w:tc>
          <w:tcPr>
            <w:tcW w:w="1324" w:type="dxa"/>
            <w:shd w:val="clear" w:color="auto" w:fill="auto"/>
            <w:noWrap w:val="0"/>
            <w:vAlign w:val="center"/>
          </w:tcPr>
          <w:p w14:paraId="7A6F89F2">
            <w:pPr>
              <w:keepNext w:val="0"/>
              <w:keepLines w:val="0"/>
              <w:pageBreakBefore w:val="0"/>
              <w:widowControl/>
              <w:numPr>
                <w:ilvl w:val="0"/>
                <w:numId w:val="0"/>
              </w:numPr>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4"/>
                <w:szCs w:val="24"/>
                <w:highlight w:val="none"/>
                <w:vertAlign w:val="baseline"/>
                <w:lang w:val="en-US" w:eastAsia="zh-CN" w:bidi="ar-SA"/>
              </w:rPr>
            </w:pPr>
            <w:r>
              <w:rPr>
                <w:rFonts w:hint="eastAsia" w:cs="Times New Roman"/>
                <w:color w:val="auto"/>
                <w:kern w:val="2"/>
                <w:sz w:val="24"/>
                <w:szCs w:val="24"/>
                <w:highlight w:val="none"/>
                <w:vertAlign w:val="baseline"/>
                <w:lang w:val="en-US" w:eastAsia="zh-CN" w:bidi="ar-SA"/>
              </w:rPr>
              <w:t>+0.058</w:t>
            </w:r>
          </w:p>
        </w:tc>
      </w:tr>
      <w:tr w14:paraId="5415DEE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restart"/>
            <w:noWrap w:val="0"/>
            <w:vAlign w:val="center"/>
          </w:tcPr>
          <w:p w14:paraId="4A853DF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废水</w:t>
            </w:r>
          </w:p>
        </w:tc>
        <w:tc>
          <w:tcPr>
            <w:tcW w:w="2212" w:type="dxa"/>
            <w:noWrap w:val="0"/>
            <w:vAlign w:val="center"/>
          </w:tcPr>
          <w:p w14:paraId="1E8D95B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CODcr</w:t>
            </w:r>
          </w:p>
        </w:tc>
        <w:tc>
          <w:tcPr>
            <w:tcW w:w="1572" w:type="dxa"/>
            <w:shd w:val="clear" w:color="auto" w:fill="auto"/>
            <w:noWrap w:val="0"/>
            <w:vAlign w:val="center"/>
          </w:tcPr>
          <w:p w14:paraId="70F037F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3CE1C85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0FFDBCA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76D2DB6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0.11935</w:t>
            </w:r>
          </w:p>
        </w:tc>
        <w:tc>
          <w:tcPr>
            <w:tcW w:w="1666" w:type="dxa"/>
            <w:shd w:val="clear" w:color="auto" w:fill="auto"/>
            <w:noWrap w:val="0"/>
            <w:vAlign w:val="center"/>
          </w:tcPr>
          <w:p w14:paraId="55215EA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w:t>
            </w:r>
          </w:p>
        </w:tc>
        <w:tc>
          <w:tcPr>
            <w:tcW w:w="1868" w:type="dxa"/>
            <w:shd w:val="clear" w:color="auto" w:fill="auto"/>
            <w:noWrap w:val="0"/>
            <w:vAlign w:val="center"/>
          </w:tcPr>
          <w:p w14:paraId="03970FC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0.11935</w:t>
            </w:r>
          </w:p>
        </w:tc>
        <w:tc>
          <w:tcPr>
            <w:tcW w:w="1324" w:type="dxa"/>
            <w:shd w:val="clear" w:color="auto" w:fill="auto"/>
            <w:noWrap w:val="0"/>
            <w:vAlign w:val="center"/>
          </w:tcPr>
          <w:p w14:paraId="1813D78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+0.11935</w:t>
            </w:r>
          </w:p>
        </w:tc>
      </w:tr>
      <w:tr w14:paraId="7D25D08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4FC73C0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hAnsi="Times New Roman" w:cs="Times New Roman"/>
                <w:color w:val="auto"/>
                <w:sz w:val="24"/>
                <w:szCs w:val="24"/>
                <w:highlight w:val="none"/>
              </w:rPr>
            </w:pPr>
          </w:p>
        </w:tc>
        <w:tc>
          <w:tcPr>
            <w:tcW w:w="2212" w:type="dxa"/>
            <w:noWrap w:val="0"/>
            <w:vAlign w:val="center"/>
          </w:tcPr>
          <w:p w14:paraId="2B42759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总磷</w:t>
            </w:r>
          </w:p>
        </w:tc>
        <w:tc>
          <w:tcPr>
            <w:tcW w:w="1572" w:type="dxa"/>
            <w:shd w:val="clear" w:color="auto" w:fill="auto"/>
            <w:noWrap w:val="0"/>
            <w:vAlign w:val="center"/>
          </w:tcPr>
          <w:p w14:paraId="192E5B5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1E2BC77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795EDC9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451397D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0.000675</w:t>
            </w:r>
          </w:p>
        </w:tc>
        <w:tc>
          <w:tcPr>
            <w:tcW w:w="1666" w:type="dxa"/>
            <w:shd w:val="clear" w:color="auto" w:fill="auto"/>
            <w:noWrap w:val="0"/>
            <w:vAlign w:val="center"/>
          </w:tcPr>
          <w:p w14:paraId="2B0FD79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default" w:ascii="Times New Roman" w:hAnsi="Times New Roman" w:eastAsia="宋体" w:cs="Times New Roman"/>
                <w:color w:val="auto"/>
                <w:kern w:val="2"/>
                <w:sz w:val="24"/>
                <w:szCs w:val="24"/>
                <w:highlight w:val="none"/>
                <w:lang w:val="en-US" w:eastAsia="zh-CN" w:bidi="ar-SA"/>
              </w:rPr>
            </w:pPr>
            <w:r>
              <w:rPr>
                <w:rFonts w:hint="eastAsia" w:cs="Times New Roman"/>
                <w:color w:val="auto"/>
                <w:kern w:val="2"/>
                <w:sz w:val="24"/>
                <w:szCs w:val="24"/>
                <w:highlight w:val="none"/>
                <w:lang w:val="en-US" w:eastAsia="zh-CN" w:bidi="ar-SA"/>
              </w:rPr>
              <w:t>/</w:t>
            </w:r>
          </w:p>
        </w:tc>
        <w:tc>
          <w:tcPr>
            <w:tcW w:w="1868" w:type="dxa"/>
            <w:shd w:val="clear" w:color="auto" w:fill="auto"/>
            <w:noWrap w:val="0"/>
            <w:vAlign w:val="center"/>
          </w:tcPr>
          <w:p w14:paraId="4C21FEB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0.000675</w:t>
            </w:r>
          </w:p>
        </w:tc>
        <w:tc>
          <w:tcPr>
            <w:tcW w:w="1324" w:type="dxa"/>
            <w:shd w:val="clear" w:color="auto" w:fill="auto"/>
            <w:noWrap w:val="0"/>
            <w:vAlign w:val="center"/>
          </w:tcPr>
          <w:p w14:paraId="2CC4D7E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+0.000675</w:t>
            </w:r>
          </w:p>
        </w:tc>
      </w:tr>
      <w:tr w14:paraId="5C39B7C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8" w:hRule="atLeast"/>
        </w:trPr>
        <w:tc>
          <w:tcPr>
            <w:tcW w:w="1299" w:type="dxa"/>
            <w:vMerge w:val="restart"/>
            <w:noWrap w:val="0"/>
            <w:vAlign w:val="center"/>
          </w:tcPr>
          <w:p w14:paraId="4642A65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r>
              <w:rPr>
                <w:rFonts w:hint="default" w:ascii="Times New Roman" w:hAnsi="Times New Roman" w:eastAsia="宋体" w:cs="Times New Roman"/>
                <w:snapToGrid w:val="0"/>
                <w:color w:val="auto"/>
                <w:spacing w:val="-6"/>
                <w:kern w:val="21"/>
                <w:sz w:val="24"/>
                <w:szCs w:val="24"/>
                <w:highlight w:val="none"/>
              </w:rPr>
              <w:t>一般工业固体废物</w:t>
            </w:r>
          </w:p>
        </w:tc>
        <w:tc>
          <w:tcPr>
            <w:tcW w:w="2212" w:type="dxa"/>
            <w:shd w:val="clear" w:color="auto" w:fill="auto"/>
            <w:noWrap w:val="0"/>
            <w:vAlign w:val="center"/>
          </w:tcPr>
          <w:p w14:paraId="6D02C1EC">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废弃车用电子零部件</w:t>
            </w:r>
          </w:p>
        </w:tc>
        <w:tc>
          <w:tcPr>
            <w:tcW w:w="1572" w:type="dxa"/>
            <w:shd w:val="clear" w:color="auto" w:fill="auto"/>
            <w:noWrap w:val="0"/>
            <w:vAlign w:val="center"/>
          </w:tcPr>
          <w:p w14:paraId="573CBB0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1CDEB783">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036948D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299D506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93.25</w:t>
            </w:r>
          </w:p>
        </w:tc>
        <w:tc>
          <w:tcPr>
            <w:tcW w:w="1666" w:type="dxa"/>
            <w:shd w:val="clear" w:color="auto" w:fill="auto"/>
            <w:noWrap w:val="0"/>
            <w:vAlign w:val="center"/>
          </w:tcPr>
          <w:p w14:paraId="1605F5F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4EDF5D3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93.25</w:t>
            </w:r>
          </w:p>
        </w:tc>
        <w:tc>
          <w:tcPr>
            <w:tcW w:w="1324" w:type="dxa"/>
            <w:shd w:val="clear" w:color="auto" w:fill="auto"/>
            <w:noWrap w:val="0"/>
            <w:vAlign w:val="center"/>
          </w:tcPr>
          <w:p w14:paraId="25700D4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+93.25</w:t>
            </w:r>
          </w:p>
        </w:tc>
      </w:tr>
      <w:tr w14:paraId="4D80C7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0146212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p>
        </w:tc>
        <w:tc>
          <w:tcPr>
            <w:tcW w:w="2212" w:type="dxa"/>
            <w:shd w:val="clear" w:color="auto" w:fill="auto"/>
            <w:noWrap w:val="0"/>
            <w:vAlign w:val="center"/>
          </w:tcPr>
          <w:p w14:paraId="350B059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废安全气囊</w:t>
            </w:r>
          </w:p>
        </w:tc>
        <w:tc>
          <w:tcPr>
            <w:tcW w:w="1572" w:type="dxa"/>
            <w:shd w:val="clear" w:color="auto" w:fill="auto"/>
            <w:noWrap w:val="0"/>
            <w:vAlign w:val="center"/>
          </w:tcPr>
          <w:p w14:paraId="264E7134">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249926E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1E3DFDB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19D90233">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16</w:t>
            </w:r>
          </w:p>
        </w:tc>
        <w:tc>
          <w:tcPr>
            <w:tcW w:w="1666" w:type="dxa"/>
            <w:shd w:val="clear" w:color="auto" w:fill="auto"/>
            <w:noWrap w:val="0"/>
            <w:vAlign w:val="center"/>
          </w:tcPr>
          <w:p w14:paraId="6D2E9ED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0281656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16</w:t>
            </w:r>
          </w:p>
        </w:tc>
        <w:tc>
          <w:tcPr>
            <w:tcW w:w="1324" w:type="dxa"/>
            <w:shd w:val="clear" w:color="auto" w:fill="auto"/>
            <w:noWrap w:val="0"/>
            <w:vAlign w:val="center"/>
          </w:tcPr>
          <w:p w14:paraId="28E6F97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+16</w:t>
            </w:r>
          </w:p>
        </w:tc>
      </w:tr>
      <w:tr w14:paraId="445216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58DD349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p>
        </w:tc>
        <w:tc>
          <w:tcPr>
            <w:tcW w:w="2212" w:type="dxa"/>
            <w:shd w:val="clear" w:color="auto" w:fill="auto"/>
            <w:noWrap w:val="0"/>
            <w:vAlign w:val="center"/>
          </w:tcPr>
          <w:p w14:paraId="50A3272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废尼龙布、废海绵、废皮革</w:t>
            </w:r>
          </w:p>
        </w:tc>
        <w:tc>
          <w:tcPr>
            <w:tcW w:w="1572" w:type="dxa"/>
            <w:shd w:val="clear" w:color="auto" w:fill="auto"/>
            <w:noWrap w:val="0"/>
            <w:vAlign w:val="center"/>
          </w:tcPr>
          <w:p w14:paraId="6FA531B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4855F9E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18F1BC0B">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752DB6F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525.5</w:t>
            </w:r>
          </w:p>
        </w:tc>
        <w:tc>
          <w:tcPr>
            <w:tcW w:w="1666" w:type="dxa"/>
            <w:shd w:val="clear" w:color="auto" w:fill="auto"/>
            <w:noWrap w:val="0"/>
            <w:vAlign w:val="center"/>
          </w:tcPr>
          <w:p w14:paraId="35E54CA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498ADAA3">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525.5</w:t>
            </w:r>
          </w:p>
        </w:tc>
        <w:tc>
          <w:tcPr>
            <w:tcW w:w="1324" w:type="dxa"/>
            <w:shd w:val="clear" w:color="auto" w:fill="auto"/>
            <w:noWrap w:val="0"/>
            <w:vAlign w:val="center"/>
          </w:tcPr>
          <w:p w14:paraId="0105311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+525.5</w:t>
            </w:r>
          </w:p>
        </w:tc>
      </w:tr>
      <w:tr w14:paraId="74EA37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62BB167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p>
        </w:tc>
        <w:tc>
          <w:tcPr>
            <w:tcW w:w="2212" w:type="dxa"/>
            <w:shd w:val="clear" w:color="auto" w:fill="auto"/>
            <w:noWrap w:val="0"/>
            <w:vAlign w:val="center"/>
          </w:tcPr>
          <w:p w14:paraId="3C629FD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废液化气罐</w:t>
            </w:r>
          </w:p>
        </w:tc>
        <w:tc>
          <w:tcPr>
            <w:tcW w:w="1572" w:type="dxa"/>
            <w:shd w:val="clear" w:color="auto" w:fill="auto"/>
            <w:noWrap w:val="0"/>
            <w:vAlign w:val="center"/>
          </w:tcPr>
          <w:p w14:paraId="1B5C846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09972EB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2AB41C3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72EB348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49.5</w:t>
            </w:r>
          </w:p>
        </w:tc>
        <w:tc>
          <w:tcPr>
            <w:tcW w:w="1666" w:type="dxa"/>
            <w:shd w:val="clear" w:color="auto" w:fill="auto"/>
            <w:noWrap w:val="0"/>
            <w:vAlign w:val="center"/>
          </w:tcPr>
          <w:p w14:paraId="0FBBA9B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722514B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49.5</w:t>
            </w:r>
          </w:p>
        </w:tc>
        <w:tc>
          <w:tcPr>
            <w:tcW w:w="1324" w:type="dxa"/>
            <w:shd w:val="clear" w:color="auto" w:fill="auto"/>
            <w:noWrap w:val="0"/>
            <w:vAlign w:val="center"/>
          </w:tcPr>
          <w:p w14:paraId="26009CF3">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+49.5</w:t>
            </w:r>
          </w:p>
        </w:tc>
      </w:tr>
      <w:tr w14:paraId="511A43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7637A9C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p>
        </w:tc>
        <w:tc>
          <w:tcPr>
            <w:tcW w:w="2212" w:type="dxa"/>
            <w:shd w:val="clear" w:color="auto" w:fill="auto"/>
            <w:noWrap w:val="0"/>
            <w:vAlign w:val="center"/>
          </w:tcPr>
          <w:p w14:paraId="3401A035">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其他不可利用物</w:t>
            </w:r>
          </w:p>
        </w:tc>
        <w:tc>
          <w:tcPr>
            <w:tcW w:w="1572" w:type="dxa"/>
            <w:shd w:val="clear" w:color="auto" w:fill="auto"/>
            <w:noWrap w:val="0"/>
            <w:vAlign w:val="center"/>
          </w:tcPr>
          <w:p w14:paraId="417B29E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6768A05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4CB183F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5D82EB8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11</w:t>
            </w:r>
          </w:p>
        </w:tc>
        <w:tc>
          <w:tcPr>
            <w:tcW w:w="1666" w:type="dxa"/>
            <w:shd w:val="clear" w:color="auto" w:fill="auto"/>
            <w:noWrap w:val="0"/>
            <w:vAlign w:val="center"/>
          </w:tcPr>
          <w:p w14:paraId="1CD01EE3">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567A4EF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11</w:t>
            </w:r>
          </w:p>
        </w:tc>
        <w:tc>
          <w:tcPr>
            <w:tcW w:w="1324" w:type="dxa"/>
            <w:shd w:val="clear" w:color="auto" w:fill="auto"/>
            <w:noWrap w:val="0"/>
            <w:vAlign w:val="center"/>
          </w:tcPr>
          <w:p w14:paraId="1D00AE5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+11</w:t>
            </w:r>
          </w:p>
        </w:tc>
      </w:tr>
      <w:tr w14:paraId="66F3358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1C3C78A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hAnsi="Times New Roman" w:cs="Times New Roman"/>
                <w:color w:val="auto"/>
                <w:sz w:val="24"/>
                <w:szCs w:val="24"/>
                <w:highlight w:val="none"/>
              </w:rPr>
            </w:pPr>
          </w:p>
        </w:tc>
        <w:tc>
          <w:tcPr>
            <w:tcW w:w="2212" w:type="dxa"/>
            <w:shd w:val="clear" w:color="auto" w:fill="auto"/>
            <w:noWrap w:val="0"/>
            <w:vAlign w:val="center"/>
          </w:tcPr>
          <w:p w14:paraId="1458A17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除尘灰</w:t>
            </w:r>
          </w:p>
        </w:tc>
        <w:tc>
          <w:tcPr>
            <w:tcW w:w="1572" w:type="dxa"/>
            <w:shd w:val="clear" w:color="auto" w:fill="auto"/>
            <w:noWrap w:val="0"/>
            <w:vAlign w:val="center"/>
          </w:tcPr>
          <w:p w14:paraId="7C20F81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21A1F7A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26238F8E">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637C666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0.073</w:t>
            </w:r>
          </w:p>
        </w:tc>
        <w:tc>
          <w:tcPr>
            <w:tcW w:w="1666" w:type="dxa"/>
            <w:shd w:val="clear" w:color="auto" w:fill="auto"/>
            <w:noWrap w:val="0"/>
            <w:vAlign w:val="center"/>
          </w:tcPr>
          <w:p w14:paraId="104A57A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23F03C8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0.073</w:t>
            </w:r>
          </w:p>
        </w:tc>
        <w:tc>
          <w:tcPr>
            <w:tcW w:w="1324" w:type="dxa"/>
            <w:shd w:val="clear" w:color="auto" w:fill="auto"/>
            <w:noWrap w:val="0"/>
            <w:vAlign w:val="center"/>
          </w:tcPr>
          <w:p w14:paraId="0ACED50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+0.073</w:t>
            </w:r>
          </w:p>
        </w:tc>
      </w:tr>
      <w:tr w14:paraId="5AE2E03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1237AE8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eastAsia" w:ascii="Times New Roman" w:hAnsi="Times New Roman" w:eastAsia="宋体" w:cs="Times New Roman"/>
                <w:snapToGrid w:val="0"/>
                <w:color w:val="auto"/>
                <w:spacing w:val="-6"/>
                <w:kern w:val="21"/>
                <w:sz w:val="24"/>
                <w:szCs w:val="24"/>
                <w:highlight w:val="none"/>
              </w:rPr>
            </w:pPr>
          </w:p>
        </w:tc>
        <w:tc>
          <w:tcPr>
            <w:tcW w:w="2212" w:type="dxa"/>
            <w:noWrap w:val="0"/>
            <w:vAlign w:val="center"/>
          </w:tcPr>
          <w:p w14:paraId="64E351D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废布袋</w:t>
            </w:r>
          </w:p>
        </w:tc>
        <w:tc>
          <w:tcPr>
            <w:tcW w:w="1572" w:type="dxa"/>
            <w:shd w:val="clear" w:color="auto" w:fill="auto"/>
            <w:noWrap w:val="0"/>
            <w:vAlign w:val="center"/>
          </w:tcPr>
          <w:p w14:paraId="0F1BFC5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0C6A66A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5767A8C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7D41555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0.01</w:t>
            </w:r>
          </w:p>
        </w:tc>
        <w:tc>
          <w:tcPr>
            <w:tcW w:w="1666" w:type="dxa"/>
            <w:shd w:val="clear" w:color="auto" w:fill="auto"/>
            <w:noWrap w:val="0"/>
            <w:vAlign w:val="center"/>
          </w:tcPr>
          <w:p w14:paraId="531CA7E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3D08753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0.01</w:t>
            </w:r>
          </w:p>
        </w:tc>
        <w:tc>
          <w:tcPr>
            <w:tcW w:w="1324" w:type="dxa"/>
            <w:shd w:val="clear" w:color="auto" w:fill="auto"/>
            <w:noWrap w:val="0"/>
            <w:vAlign w:val="center"/>
          </w:tcPr>
          <w:p w14:paraId="2BB5CF9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+0.01</w:t>
            </w:r>
          </w:p>
        </w:tc>
      </w:tr>
      <w:tr w14:paraId="4ECE89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restart"/>
            <w:noWrap w:val="0"/>
            <w:vAlign w:val="center"/>
          </w:tcPr>
          <w:p w14:paraId="772554A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color w:val="auto"/>
                <w:sz w:val="24"/>
                <w:szCs w:val="24"/>
              </w:rPr>
            </w:pPr>
            <w:r>
              <w:rPr>
                <w:rFonts w:hint="default" w:ascii="Times New Roman" w:hAnsi="Times New Roman" w:eastAsia="宋体" w:cs="Times New Roman"/>
                <w:snapToGrid w:val="0"/>
                <w:color w:val="auto"/>
                <w:spacing w:val="-6"/>
                <w:kern w:val="21"/>
                <w:sz w:val="24"/>
                <w:szCs w:val="24"/>
                <w:highlight w:val="none"/>
              </w:rPr>
              <w:t>危险废物</w:t>
            </w:r>
          </w:p>
        </w:tc>
        <w:tc>
          <w:tcPr>
            <w:tcW w:w="2212" w:type="dxa"/>
            <w:shd w:val="clear" w:color="auto" w:fill="auto"/>
            <w:noWrap w:val="0"/>
            <w:vAlign w:val="center"/>
          </w:tcPr>
          <w:p w14:paraId="4AFBAD5E">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eastAsia"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sz w:val="24"/>
                <w:szCs w:val="24"/>
                <w:highlight w:val="none"/>
                <w:lang w:val="en-US" w:eastAsia="zh-CN"/>
              </w:rPr>
              <w:t>含有机溶剂废物</w:t>
            </w:r>
          </w:p>
        </w:tc>
        <w:tc>
          <w:tcPr>
            <w:tcW w:w="1572" w:type="dxa"/>
            <w:shd w:val="clear" w:color="auto" w:fill="auto"/>
            <w:noWrap w:val="0"/>
            <w:vAlign w:val="center"/>
          </w:tcPr>
          <w:p w14:paraId="5049513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712C18D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27DDC16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5E64D88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bidi="ar-SA"/>
              </w:rPr>
              <w:t>30.3</w:t>
            </w:r>
          </w:p>
        </w:tc>
        <w:tc>
          <w:tcPr>
            <w:tcW w:w="1666" w:type="dxa"/>
            <w:shd w:val="clear" w:color="auto" w:fill="auto"/>
            <w:noWrap w:val="0"/>
            <w:vAlign w:val="center"/>
          </w:tcPr>
          <w:p w14:paraId="5542FFE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028414F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bidi="ar-SA"/>
              </w:rPr>
              <w:t>30.3</w:t>
            </w:r>
          </w:p>
        </w:tc>
        <w:tc>
          <w:tcPr>
            <w:tcW w:w="1324" w:type="dxa"/>
            <w:shd w:val="clear" w:color="auto" w:fill="auto"/>
            <w:noWrap w:val="0"/>
            <w:vAlign w:val="center"/>
          </w:tcPr>
          <w:p w14:paraId="0339D17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bidi="ar-SA"/>
              </w:rPr>
              <w:t>+30.3</w:t>
            </w:r>
          </w:p>
        </w:tc>
      </w:tr>
      <w:tr w14:paraId="4AE8BC6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2D53EEE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rPr>
            </w:pPr>
          </w:p>
        </w:tc>
        <w:tc>
          <w:tcPr>
            <w:tcW w:w="2212" w:type="dxa"/>
            <w:shd w:val="clear" w:color="auto" w:fill="auto"/>
            <w:noWrap w:val="0"/>
            <w:vAlign w:val="center"/>
          </w:tcPr>
          <w:p w14:paraId="790FD5D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both"/>
              <w:rPr>
                <w:rFonts w:hint="default" w:ascii="Times New Roman" w:hAnsi="Times New Roman" w:eastAsia="宋体" w:cs="Times New Roman"/>
                <w:color w:val="auto"/>
                <w:kern w:val="2"/>
                <w:sz w:val="24"/>
                <w:szCs w:val="24"/>
                <w:highlight w:val="none"/>
                <w:lang w:val="en-US" w:eastAsia="zh-CN" w:bidi="ar"/>
              </w:rPr>
            </w:pPr>
            <w:r>
              <w:rPr>
                <w:rFonts w:hint="eastAsia" w:ascii="Times New Roman" w:hAnsi="Times New Roman" w:eastAsia="宋体" w:cs="Times New Roman"/>
                <w:color w:val="auto"/>
                <w:kern w:val="2"/>
                <w:sz w:val="24"/>
                <w:szCs w:val="24"/>
                <w:highlight w:val="none"/>
                <w:lang w:val="en-US" w:eastAsia="zh-CN" w:bidi="ar"/>
              </w:rPr>
              <w:t>废矿物油与含油废物</w:t>
            </w:r>
          </w:p>
        </w:tc>
        <w:tc>
          <w:tcPr>
            <w:tcW w:w="1572" w:type="dxa"/>
            <w:shd w:val="clear" w:color="auto" w:fill="auto"/>
            <w:noWrap w:val="0"/>
            <w:vAlign w:val="center"/>
          </w:tcPr>
          <w:p w14:paraId="2D26C18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3A9B960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5316A1B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2A67C3E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103.45</w:t>
            </w:r>
          </w:p>
        </w:tc>
        <w:tc>
          <w:tcPr>
            <w:tcW w:w="1666" w:type="dxa"/>
            <w:shd w:val="clear" w:color="auto" w:fill="auto"/>
            <w:noWrap w:val="0"/>
            <w:vAlign w:val="center"/>
          </w:tcPr>
          <w:p w14:paraId="3B2F7A2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09D0E67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103.45</w:t>
            </w:r>
          </w:p>
        </w:tc>
        <w:tc>
          <w:tcPr>
            <w:tcW w:w="1324" w:type="dxa"/>
            <w:shd w:val="clear" w:color="auto" w:fill="auto"/>
            <w:noWrap w:val="0"/>
            <w:vAlign w:val="center"/>
          </w:tcPr>
          <w:p w14:paraId="02AFCF6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default"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+103.45</w:t>
            </w:r>
          </w:p>
        </w:tc>
      </w:tr>
      <w:tr w14:paraId="4C2419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72ECD3F6">
            <w:pPr>
              <w:pStyle w:val="5"/>
              <w:suppressLineNumbers w:val="0"/>
              <w:spacing w:beforeAutospacing="0" w:afterAutospacing="0"/>
              <w:ind w:left="0" w:right="0"/>
              <w:rPr>
                <w:rFonts w:hint="default"/>
                <w:color w:val="auto"/>
                <w:sz w:val="24"/>
                <w:szCs w:val="24"/>
              </w:rPr>
            </w:pPr>
          </w:p>
        </w:tc>
        <w:tc>
          <w:tcPr>
            <w:tcW w:w="2212" w:type="dxa"/>
            <w:shd w:val="clear" w:color="auto" w:fill="auto"/>
            <w:noWrap w:val="0"/>
            <w:vAlign w:val="center"/>
          </w:tcPr>
          <w:p w14:paraId="068DDFA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污水处理设施污泥</w:t>
            </w:r>
          </w:p>
        </w:tc>
        <w:tc>
          <w:tcPr>
            <w:tcW w:w="1572" w:type="dxa"/>
            <w:shd w:val="clear" w:color="auto" w:fill="auto"/>
            <w:noWrap w:val="0"/>
            <w:vAlign w:val="center"/>
          </w:tcPr>
          <w:p w14:paraId="0D61A2A5">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0006D25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5DB2A5E9">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477ABBB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2</w:t>
            </w:r>
          </w:p>
        </w:tc>
        <w:tc>
          <w:tcPr>
            <w:tcW w:w="1666" w:type="dxa"/>
            <w:shd w:val="clear" w:color="auto" w:fill="auto"/>
            <w:noWrap w:val="0"/>
            <w:vAlign w:val="center"/>
          </w:tcPr>
          <w:p w14:paraId="22034EC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4327D64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2</w:t>
            </w:r>
          </w:p>
        </w:tc>
        <w:tc>
          <w:tcPr>
            <w:tcW w:w="1324" w:type="dxa"/>
            <w:shd w:val="clear" w:color="auto" w:fill="auto"/>
            <w:noWrap w:val="0"/>
            <w:vAlign w:val="center"/>
          </w:tcPr>
          <w:p w14:paraId="373E57B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+2</w:t>
            </w:r>
          </w:p>
        </w:tc>
      </w:tr>
      <w:tr w14:paraId="1C4160A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7B3F421C">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3B87324D">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废铅蓄电池</w:t>
            </w:r>
          </w:p>
        </w:tc>
        <w:tc>
          <w:tcPr>
            <w:tcW w:w="1572" w:type="dxa"/>
            <w:shd w:val="clear" w:color="auto" w:fill="auto"/>
            <w:noWrap w:val="0"/>
            <w:vAlign w:val="center"/>
          </w:tcPr>
          <w:p w14:paraId="7A80D07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23E3F35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697CC82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7240333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453.5</w:t>
            </w:r>
          </w:p>
        </w:tc>
        <w:tc>
          <w:tcPr>
            <w:tcW w:w="1666" w:type="dxa"/>
            <w:shd w:val="clear" w:color="auto" w:fill="auto"/>
            <w:noWrap w:val="0"/>
            <w:vAlign w:val="center"/>
          </w:tcPr>
          <w:p w14:paraId="2AC2309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7203206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453.5</w:t>
            </w:r>
          </w:p>
        </w:tc>
        <w:tc>
          <w:tcPr>
            <w:tcW w:w="1324" w:type="dxa"/>
            <w:shd w:val="clear" w:color="auto" w:fill="auto"/>
            <w:noWrap w:val="0"/>
            <w:vAlign w:val="center"/>
          </w:tcPr>
          <w:p w14:paraId="2308230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+453.5</w:t>
            </w:r>
          </w:p>
        </w:tc>
      </w:tr>
      <w:tr w14:paraId="0B6653E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07F8F3FB">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1FF0FBB1">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0"/>
                <w:sz w:val="24"/>
                <w:szCs w:val="24"/>
                <w:highlight w:val="none"/>
                <w:lang w:val="en-US" w:eastAsia="zh-CN" w:bidi="ar-SA"/>
              </w:rPr>
            </w:pPr>
            <w:r>
              <w:rPr>
                <w:rFonts w:hint="default" w:ascii="Times New Roman" w:hAnsi="Times New Roman" w:eastAsia="宋体" w:cs="Times New Roman"/>
                <w:color w:val="auto"/>
                <w:kern w:val="2"/>
                <w:sz w:val="24"/>
                <w:szCs w:val="24"/>
                <w:highlight w:val="none"/>
                <w:lang w:val="en-US" w:eastAsia="zh-CN" w:bidi="ar"/>
              </w:rPr>
              <w:t>废动力电池</w:t>
            </w:r>
          </w:p>
        </w:tc>
        <w:tc>
          <w:tcPr>
            <w:tcW w:w="1572" w:type="dxa"/>
            <w:shd w:val="clear" w:color="auto" w:fill="auto"/>
            <w:noWrap w:val="0"/>
            <w:vAlign w:val="center"/>
          </w:tcPr>
          <w:p w14:paraId="652CFE8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050B76E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1BF60A5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shd w:val="clear" w:color="auto" w:fill="auto"/>
            <w:noWrap w:val="0"/>
            <w:vAlign w:val="center"/>
          </w:tcPr>
          <w:p w14:paraId="0FB39B3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512.5</w:t>
            </w:r>
          </w:p>
        </w:tc>
        <w:tc>
          <w:tcPr>
            <w:tcW w:w="1666" w:type="dxa"/>
            <w:shd w:val="clear" w:color="auto" w:fill="auto"/>
            <w:noWrap w:val="0"/>
            <w:vAlign w:val="center"/>
          </w:tcPr>
          <w:p w14:paraId="5E98EED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670D021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512.5</w:t>
            </w:r>
          </w:p>
        </w:tc>
        <w:tc>
          <w:tcPr>
            <w:tcW w:w="1324" w:type="dxa"/>
            <w:shd w:val="clear" w:color="auto" w:fill="auto"/>
            <w:noWrap w:val="0"/>
            <w:vAlign w:val="center"/>
          </w:tcPr>
          <w:p w14:paraId="5EEF2253">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+512.5</w:t>
            </w:r>
          </w:p>
        </w:tc>
      </w:tr>
      <w:tr w14:paraId="05BF85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43E0A0D3">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6A094250">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废电路板及元器件</w:t>
            </w:r>
          </w:p>
        </w:tc>
        <w:tc>
          <w:tcPr>
            <w:tcW w:w="1572" w:type="dxa"/>
            <w:shd w:val="clear" w:color="auto" w:fill="auto"/>
            <w:noWrap w:val="0"/>
            <w:vAlign w:val="center"/>
          </w:tcPr>
          <w:p w14:paraId="767C2FBC">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686EE3E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578EB2D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5933A5D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30.3</w:t>
            </w:r>
          </w:p>
        </w:tc>
        <w:tc>
          <w:tcPr>
            <w:tcW w:w="1666" w:type="dxa"/>
            <w:shd w:val="clear" w:color="auto" w:fill="auto"/>
            <w:noWrap w:val="0"/>
            <w:vAlign w:val="center"/>
          </w:tcPr>
          <w:p w14:paraId="6C608E9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2AADD7B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30.3</w:t>
            </w:r>
          </w:p>
        </w:tc>
        <w:tc>
          <w:tcPr>
            <w:tcW w:w="1324" w:type="dxa"/>
            <w:shd w:val="clear" w:color="auto" w:fill="auto"/>
            <w:noWrap w:val="0"/>
            <w:vAlign w:val="center"/>
          </w:tcPr>
          <w:p w14:paraId="59CE7C9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+30.3</w:t>
            </w:r>
          </w:p>
        </w:tc>
      </w:tr>
      <w:tr w14:paraId="6555CBE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18D3030A">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4DA2011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废尾气催化剂</w:t>
            </w:r>
          </w:p>
        </w:tc>
        <w:tc>
          <w:tcPr>
            <w:tcW w:w="1572" w:type="dxa"/>
            <w:shd w:val="clear" w:color="auto" w:fill="auto"/>
            <w:noWrap w:val="0"/>
            <w:vAlign w:val="center"/>
          </w:tcPr>
          <w:p w14:paraId="5882AF40">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2833549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726F5B4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0125100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11</w:t>
            </w:r>
          </w:p>
        </w:tc>
        <w:tc>
          <w:tcPr>
            <w:tcW w:w="1666" w:type="dxa"/>
            <w:shd w:val="clear" w:color="auto" w:fill="auto"/>
            <w:noWrap w:val="0"/>
            <w:vAlign w:val="center"/>
          </w:tcPr>
          <w:p w14:paraId="45C72C0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11C24EE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11</w:t>
            </w:r>
          </w:p>
        </w:tc>
        <w:tc>
          <w:tcPr>
            <w:tcW w:w="1324" w:type="dxa"/>
            <w:shd w:val="clear" w:color="auto" w:fill="auto"/>
            <w:noWrap w:val="0"/>
            <w:vAlign w:val="center"/>
          </w:tcPr>
          <w:p w14:paraId="0AE19A4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+11</w:t>
            </w:r>
          </w:p>
        </w:tc>
      </w:tr>
      <w:tr w14:paraId="5E17B2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4112B533">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1B987BD0">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废机油滤清器</w:t>
            </w:r>
          </w:p>
        </w:tc>
        <w:tc>
          <w:tcPr>
            <w:tcW w:w="1572" w:type="dxa"/>
            <w:shd w:val="clear" w:color="auto" w:fill="auto"/>
            <w:noWrap w:val="0"/>
            <w:vAlign w:val="center"/>
          </w:tcPr>
          <w:p w14:paraId="276F1947">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56DB48C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62B0070F">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03CBE73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5.9</w:t>
            </w:r>
          </w:p>
        </w:tc>
        <w:tc>
          <w:tcPr>
            <w:tcW w:w="1666" w:type="dxa"/>
            <w:shd w:val="clear" w:color="auto" w:fill="auto"/>
            <w:noWrap w:val="0"/>
            <w:vAlign w:val="center"/>
          </w:tcPr>
          <w:p w14:paraId="00A1ED9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5775176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5.9</w:t>
            </w:r>
          </w:p>
        </w:tc>
        <w:tc>
          <w:tcPr>
            <w:tcW w:w="1324" w:type="dxa"/>
            <w:shd w:val="clear" w:color="auto" w:fill="auto"/>
            <w:noWrap w:val="0"/>
            <w:vAlign w:val="center"/>
          </w:tcPr>
          <w:p w14:paraId="06C9F95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+5.9</w:t>
            </w:r>
          </w:p>
        </w:tc>
      </w:tr>
      <w:tr w14:paraId="1EEB625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14B0E1C0">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4E746CC4">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废油箱</w:t>
            </w:r>
          </w:p>
        </w:tc>
        <w:tc>
          <w:tcPr>
            <w:tcW w:w="1572" w:type="dxa"/>
            <w:shd w:val="clear" w:color="auto" w:fill="auto"/>
            <w:noWrap w:val="0"/>
            <w:vAlign w:val="center"/>
          </w:tcPr>
          <w:p w14:paraId="2BC46CA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404DA7D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06324EA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0881D34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18</w:t>
            </w:r>
          </w:p>
        </w:tc>
        <w:tc>
          <w:tcPr>
            <w:tcW w:w="1666" w:type="dxa"/>
            <w:shd w:val="clear" w:color="auto" w:fill="auto"/>
            <w:noWrap w:val="0"/>
            <w:vAlign w:val="center"/>
          </w:tcPr>
          <w:p w14:paraId="78B0DAC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3E6B9149">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18</w:t>
            </w:r>
          </w:p>
        </w:tc>
        <w:tc>
          <w:tcPr>
            <w:tcW w:w="1324" w:type="dxa"/>
            <w:shd w:val="clear" w:color="auto" w:fill="auto"/>
            <w:noWrap w:val="0"/>
            <w:vAlign w:val="center"/>
          </w:tcPr>
          <w:p w14:paraId="7658F312">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+18</w:t>
            </w:r>
          </w:p>
        </w:tc>
      </w:tr>
      <w:tr w14:paraId="2FE2031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03A4C13F">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6568C96F">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含油手套抹布</w:t>
            </w:r>
          </w:p>
        </w:tc>
        <w:tc>
          <w:tcPr>
            <w:tcW w:w="1572" w:type="dxa"/>
            <w:shd w:val="clear" w:color="auto" w:fill="auto"/>
            <w:noWrap w:val="0"/>
            <w:vAlign w:val="center"/>
          </w:tcPr>
          <w:p w14:paraId="155E0843">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30003A6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351DA7F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25424B4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0.5</w:t>
            </w:r>
          </w:p>
        </w:tc>
        <w:tc>
          <w:tcPr>
            <w:tcW w:w="1666" w:type="dxa"/>
            <w:shd w:val="clear" w:color="auto" w:fill="auto"/>
            <w:noWrap w:val="0"/>
            <w:vAlign w:val="center"/>
          </w:tcPr>
          <w:p w14:paraId="48AF955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56B1A5D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0.5</w:t>
            </w:r>
          </w:p>
        </w:tc>
        <w:tc>
          <w:tcPr>
            <w:tcW w:w="1324" w:type="dxa"/>
            <w:shd w:val="clear" w:color="auto" w:fill="auto"/>
            <w:noWrap w:val="0"/>
            <w:vAlign w:val="center"/>
          </w:tcPr>
          <w:p w14:paraId="3FA9B1FF">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+0.5</w:t>
            </w:r>
          </w:p>
        </w:tc>
      </w:tr>
      <w:tr w14:paraId="5368A06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634B16CD">
            <w:pPr>
              <w:keepNext w:val="0"/>
              <w:keepLines w:val="0"/>
              <w:suppressLineNumbers w:val="0"/>
              <w:spacing w:before="0" w:beforeAutospacing="0" w:after="0" w:afterAutospacing="0"/>
              <w:ind w:left="0" w:right="0"/>
              <w:rPr>
                <w:rFonts w:hint="default"/>
                <w:color w:val="auto"/>
                <w:sz w:val="24"/>
                <w:szCs w:val="24"/>
              </w:rPr>
            </w:pPr>
          </w:p>
        </w:tc>
        <w:tc>
          <w:tcPr>
            <w:tcW w:w="2212" w:type="dxa"/>
            <w:shd w:val="clear" w:color="auto" w:fill="auto"/>
            <w:noWrap w:val="0"/>
            <w:vAlign w:val="center"/>
          </w:tcPr>
          <w:p w14:paraId="411362D3">
            <w:pPr>
              <w:pStyle w:val="22"/>
              <w:keepNext w:val="0"/>
              <w:keepLines w:val="0"/>
              <w:widowControl w:val="0"/>
              <w:suppressLineNumbers w:val="0"/>
              <w:autoSpaceDE w:val="0"/>
              <w:autoSpaceDN w:val="0"/>
              <w:adjustRightInd w:val="0"/>
              <w:spacing w:before="0" w:beforeAutospacing="0" w:after="0" w:afterAutospacing="0"/>
              <w:ind w:left="0" w:leftChars="0" w:right="0" w:rightChars="0"/>
              <w:jc w:val="center"/>
              <w:rPr>
                <w:rFonts w:hint="default" w:ascii="Times New Roman" w:hAnsi="Times New Roman" w:eastAsia="宋体" w:cs="Times New Roman"/>
                <w:color w:val="auto"/>
                <w:kern w:val="2"/>
                <w:sz w:val="24"/>
                <w:szCs w:val="24"/>
                <w:highlight w:val="none"/>
                <w:lang w:val="en-US" w:eastAsia="zh-CN" w:bidi="ar"/>
              </w:rPr>
            </w:pPr>
            <w:r>
              <w:rPr>
                <w:rFonts w:hint="default" w:ascii="Times New Roman" w:hAnsi="Times New Roman" w:eastAsia="宋体" w:cs="Times New Roman"/>
                <w:color w:val="auto"/>
                <w:kern w:val="2"/>
                <w:sz w:val="24"/>
                <w:szCs w:val="24"/>
                <w:highlight w:val="none"/>
                <w:lang w:val="en-US" w:eastAsia="zh-CN" w:bidi="ar"/>
              </w:rPr>
              <w:t>废活性炭</w:t>
            </w:r>
          </w:p>
        </w:tc>
        <w:tc>
          <w:tcPr>
            <w:tcW w:w="1572" w:type="dxa"/>
            <w:shd w:val="clear" w:color="auto" w:fill="auto"/>
            <w:noWrap w:val="0"/>
            <w:vAlign w:val="center"/>
          </w:tcPr>
          <w:p w14:paraId="58BAA2D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1034379C">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7BA6AB5A">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1EE853B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1.1368</w:t>
            </w:r>
          </w:p>
        </w:tc>
        <w:tc>
          <w:tcPr>
            <w:tcW w:w="1666" w:type="dxa"/>
            <w:shd w:val="clear" w:color="auto" w:fill="auto"/>
            <w:noWrap w:val="0"/>
            <w:vAlign w:val="center"/>
          </w:tcPr>
          <w:p w14:paraId="5CB0A67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0B090D6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1.1368</w:t>
            </w:r>
          </w:p>
        </w:tc>
        <w:tc>
          <w:tcPr>
            <w:tcW w:w="1324" w:type="dxa"/>
            <w:shd w:val="clear" w:color="auto" w:fill="auto"/>
            <w:noWrap w:val="0"/>
            <w:vAlign w:val="center"/>
          </w:tcPr>
          <w:p w14:paraId="53119DD0">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+1.1368</w:t>
            </w:r>
          </w:p>
        </w:tc>
      </w:tr>
      <w:tr w14:paraId="78CC7AA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restart"/>
            <w:noWrap w:val="0"/>
            <w:vAlign w:val="center"/>
          </w:tcPr>
          <w:p w14:paraId="662F478E">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hAnsi="Times New Roman" w:eastAsia="宋体" w:cs="Times New Roman"/>
                <w:snapToGrid w:val="0"/>
                <w:color w:val="auto"/>
                <w:spacing w:val="-6"/>
                <w:kern w:val="21"/>
                <w:sz w:val="24"/>
                <w:szCs w:val="24"/>
                <w:highlight w:val="none"/>
                <w:lang w:val="en-US" w:eastAsia="zh-CN"/>
              </w:rPr>
              <w:t>生活垃圾</w:t>
            </w:r>
          </w:p>
        </w:tc>
        <w:tc>
          <w:tcPr>
            <w:tcW w:w="2212" w:type="dxa"/>
            <w:noWrap w:val="0"/>
            <w:vAlign w:val="center"/>
          </w:tcPr>
          <w:p w14:paraId="767E1DF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隔油渣</w:t>
            </w:r>
          </w:p>
        </w:tc>
        <w:tc>
          <w:tcPr>
            <w:tcW w:w="1572" w:type="dxa"/>
            <w:shd w:val="clear" w:color="auto" w:fill="auto"/>
            <w:noWrap w:val="0"/>
            <w:vAlign w:val="center"/>
          </w:tcPr>
          <w:p w14:paraId="04354E0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5246D516">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5794D7CD">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1A6C5FF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0.01</w:t>
            </w:r>
          </w:p>
        </w:tc>
        <w:tc>
          <w:tcPr>
            <w:tcW w:w="1666" w:type="dxa"/>
            <w:shd w:val="clear" w:color="auto" w:fill="auto"/>
            <w:noWrap w:val="0"/>
            <w:vAlign w:val="center"/>
          </w:tcPr>
          <w:p w14:paraId="4512A19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22D1E55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0.01</w:t>
            </w:r>
          </w:p>
        </w:tc>
        <w:tc>
          <w:tcPr>
            <w:tcW w:w="1324" w:type="dxa"/>
            <w:shd w:val="clear" w:color="auto" w:fill="auto"/>
            <w:noWrap w:val="0"/>
            <w:vAlign w:val="center"/>
          </w:tcPr>
          <w:p w14:paraId="132C1547">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+0.01</w:t>
            </w:r>
          </w:p>
        </w:tc>
      </w:tr>
      <w:tr w14:paraId="61EEA9C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299" w:type="dxa"/>
            <w:vMerge w:val="continue"/>
            <w:noWrap w:val="0"/>
            <w:vAlign w:val="center"/>
          </w:tcPr>
          <w:p w14:paraId="0C4AAB15">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eastAsia" w:ascii="Times New Roman" w:hAnsi="Times New Roman" w:eastAsia="宋体" w:cs="Times New Roman"/>
                <w:snapToGrid w:val="0"/>
                <w:color w:val="auto"/>
                <w:spacing w:val="-6"/>
                <w:kern w:val="21"/>
                <w:sz w:val="24"/>
                <w:szCs w:val="24"/>
                <w:highlight w:val="none"/>
                <w:lang w:eastAsia="zh-CN"/>
              </w:rPr>
            </w:pPr>
          </w:p>
        </w:tc>
        <w:tc>
          <w:tcPr>
            <w:tcW w:w="2212" w:type="dxa"/>
            <w:noWrap w:val="0"/>
            <w:vAlign w:val="center"/>
          </w:tcPr>
          <w:p w14:paraId="1E891E9A">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生活垃圾</w:t>
            </w:r>
          </w:p>
        </w:tc>
        <w:tc>
          <w:tcPr>
            <w:tcW w:w="1572" w:type="dxa"/>
            <w:shd w:val="clear" w:color="auto" w:fill="auto"/>
            <w:noWrap w:val="0"/>
            <w:vAlign w:val="center"/>
          </w:tcPr>
          <w:p w14:paraId="6A317912">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309" w:type="dxa"/>
            <w:shd w:val="clear" w:color="auto" w:fill="auto"/>
            <w:noWrap w:val="0"/>
            <w:vAlign w:val="center"/>
          </w:tcPr>
          <w:p w14:paraId="6EE62104">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18" w:type="dxa"/>
            <w:shd w:val="clear" w:color="auto" w:fill="auto"/>
            <w:noWrap w:val="0"/>
            <w:vAlign w:val="center"/>
          </w:tcPr>
          <w:p w14:paraId="1E7C5988">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leftChars="0" w:right="0" w:rightChars="0"/>
              <w:jc w:val="center"/>
              <w:textAlignment w:val="auto"/>
              <w:rPr>
                <w:rFonts w:hint="eastAsia" w:ascii="Times New Roman" w:hAnsi="Times New Roman" w:eastAsia="宋体" w:cs="Times New Roman"/>
                <w:color w:val="auto"/>
                <w:kern w:val="2"/>
                <w:sz w:val="24"/>
                <w:szCs w:val="24"/>
                <w:highlight w:val="none"/>
                <w:lang w:val="en-US" w:eastAsia="zh-CN" w:bidi="ar-SA"/>
              </w:rPr>
            </w:pPr>
            <w:r>
              <w:rPr>
                <w:rFonts w:hint="eastAsia" w:cs="Times New Roman"/>
                <w:color w:val="auto"/>
                <w:sz w:val="24"/>
                <w:szCs w:val="24"/>
                <w:highlight w:val="none"/>
                <w:lang w:val="en-US" w:eastAsia="zh-CN"/>
              </w:rPr>
              <w:t>/</w:t>
            </w:r>
          </w:p>
        </w:tc>
        <w:tc>
          <w:tcPr>
            <w:tcW w:w="1666" w:type="dxa"/>
            <w:noWrap w:val="0"/>
            <w:vAlign w:val="center"/>
          </w:tcPr>
          <w:p w14:paraId="2A7D76E1">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right="0"/>
              <w:textAlignment w:val="auto"/>
              <w:rPr>
                <w:rFonts w:hint="default" w:ascii="Times New Roman" w:hAnsi="Times New Roman" w:eastAsia="宋体" w:cs="Times New Roman"/>
                <w:snapToGrid w:val="0"/>
                <w:color w:val="auto"/>
                <w:spacing w:val="-6"/>
                <w:kern w:val="21"/>
                <w:sz w:val="24"/>
                <w:szCs w:val="24"/>
                <w:highlight w:val="none"/>
                <w:lang w:val="en-US" w:eastAsia="zh-CN"/>
              </w:rPr>
            </w:pPr>
            <w:r>
              <w:rPr>
                <w:rFonts w:hint="eastAsia" w:ascii="Times New Roman" w:cs="Times New Roman"/>
                <w:snapToGrid w:val="0"/>
                <w:color w:val="auto"/>
                <w:spacing w:val="-6"/>
                <w:kern w:val="21"/>
                <w:sz w:val="24"/>
                <w:szCs w:val="24"/>
                <w:highlight w:val="none"/>
                <w:lang w:val="en-US" w:eastAsia="zh-CN"/>
              </w:rPr>
              <w:t>2.5</w:t>
            </w:r>
          </w:p>
        </w:tc>
        <w:tc>
          <w:tcPr>
            <w:tcW w:w="1666" w:type="dxa"/>
            <w:shd w:val="clear" w:color="auto" w:fill="auto"/>
            <w:noWrap w:val="0"/>
            <w:vAlign w:val="center"/>
          </w:tcPr>
          <w:p w14:paraId="1DD9AB5B">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kern w:val="21"/>
                <w:sz w:val="24"/>
                <w:szCs w:val="24"/>
                <w:highlight w:val="none"/>
                <w:lang w:val="en-US" w:eastAsia="zh-CN" w:bidi="ar-SA"/>
              </w:rPr>
            </w:pPr>
            <w:r>
              <w:rPr>
                <w:rFonts w:hint="eastAsia" w:ascii="Times New Roman" w:cs="Times New Roman"/>
                <w:snapToGrid w:val="0"/>
                <w:color w:val="auto"/>
                <w:kern w:val="21"/>
                <w:sz w:val="24"/>
                <w:szCs w:val="24"/>
                <w:highlight w:val="none"/>
                <w:lang w:val="en-US" w:eastAsia="zh-CN"/>
              </w:rPr>
              <w:t>/</w:t>
            </w:r>
          </w:p>
        </w:tc>
        <w:tc>
          <w:tcPr>
            <w:tcW w:w="1868" w:type="dxa"/>
            <w:shd w:val="clear" w:color="auto" w:fill="auto"/>
            <w:noWrap w:val="0"/>
            <w:vAlign w:val="center"/>
          </w:tcPr>
          <w:p w14:paraId="5A504BDD">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2.5</w:t>
            </w:r>
          </w:p>
        </w:tc>
        <w:tc>
          <w:tcPr>
            <w:tcW w:w="1324" w:type="dxa"/>
            <w:shd w:val="clear" w:color="auto" w:fill="auto"/>
            <w:noWrap w:val="0"/>
            <w:vAlign w:val="center"/>
          </w:tcPr>
          <w:p w14:paraId="343EF2C8">
            <w:pPr>
              <w:pStyle w:val="52"/>
              <w:keepNext w:val="0"/>
              <w:keepLines w:val="0"/>
              <w:pageBreakBefore w:val="0"/>
              <w:widowControl w:val="0"/>
              <w:suppressLineNumbers w:val="0"/>
              <w:kinsoku/>
              <w:wordWrap/>
              <w:overflowPunct/>
              <w:topLinePunct w:val="0"/>
              <w:autoSpaceDE/>
              <w:autoSpaceDN/>
              <w:bidi w:val="0"/>
              <w:spacing w:before="0" w:beforeLines="0" w:beforeAutospacing="0" w:after="0" w:afterLines="0" w:afterAutospacing="0" w:line="240" w:lineRule="auto"/>
              <w:ind w:left="0" w:leftChars="0" w:right="0" w:rightChars="0"/>
              <w:textAlignment w:val="auto"/>
              <w:rPr>
                <w:rFonts w:hint="eastAsia" w:ascii="Times New Roman" w:hAnsi="Times New Roman" w:eastAsia="宋体" w:cs="Times New Roman"/>
                <w:snapToGrid w:val="0"/>
                <w:color w:val="auto"/>
                <w:spacing w:val="-6"/>
                <w:kern w:val="21"/>
                <w:sz w:val="24"/>
                <w:szCs w:val="24"/>
                <w:highlight w:val="none"/>
                <w:lang w:val="en-US" w:eastAsia="zh-CN" w:bidi="ar-SA"/>
              </w:rPr>
            </w:pPr>
            <w:r>
              <w:rPr>
                <w:rFonts w:hint="eastAsia" w:ascii="Times New Roman" w:cs="Times New Roman"/>
                <w:snapToGrid w:val="0"/>
                <w:color w:val="auto"/>
                <w:spacing w:val="-6"/>
                <w:kern w:val="21"/>
                <w:sz w:val="24"/>
                <w:szCs w:val="24"/>
                <w:highlight w:val="none"/>
                <w:lang w:val="en-US" w:eastAsia="zh-CN"/>
              </w:rPr>
              <w:t>+2.5</w:t>
            </w:r>
          </w:p>
        </w:tc>
      </w:tr>
    </w:tbl>
    <w:p w14:paraId="6231B207">
      <w:pPr>
        <w:pStyle w:val="52"/>
        <w:spacing w:before="192" w:beforeLines="80" w:after="24"/>
        <w:jc w:val="left"/>
        <w:rPr>
          <w:rFonts w:ascii="Times New Roman"/>
          <w:snapToGrid w:val="0"/>
          <w:color w:val="auto"/>
          <w:spacing w:val="-6"/>
          <w:kern w:val="21"/>
          <w:szCs w:val="21"/>
          <w:highlight w:val="none"/>
        </w:rPr>
        <w:sectPr>
          <w:footerReference r:id="rId6" w:type="default"/>
          <w:pgSz w:w="16838" w:h="11906" w:orient="landscape"/>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ascii="Times New Roman"/>
          <w:snapToGrid w:val="0"/>
          <w:color w:val="auto"/>
          <w:kern w:val="21"/>
          <w:szCs w:val="21"/>
          <w:highlight w:val="none"/>
        </w:rPr>
        <w:t>注：</w:t>
      </w:r>
      <w:r>
        <w:rPr>
          <w:rFonts w:ascii="Times New Roman"/>
          <w:snapToGrid w:val="0"/>
          <w:color w:val="auto"/>
          <w:spacing w:val="-16"/>
          <w:kern w:val="21"/>
          <w:szCs w:val="21"/>
          <w:highlight w:val="none"/>
        </w:rPr>
        <w:fldChar w:fldCharType="begin"/>
      </w:r>
      <w:r>
        <w:rPr>
          <w:rFonts w:ascii="Times New Roman"/>
          <w:snapToGrid w:val="0"/>
          <w:color w:val="auto"/>
          <w:spacing w:val="-16"/>
          <w:kern w:val="21"/>
          <w:szCs w:val="21"/>
          <w:highlight w:val="none"/>
        </w:rPr>
        <w:instrText xml:space="preserve"> = 6 \* GB3 \* MERGEFORMAT </w:instrText>
      </w:r>
      <w:r>
        <w:rPr>
          <w:rFonts w:ascii="Times New Roman"/>
          <w:snapToGrid w:val="0"/>
          <w:color w:val="auto"/>
          <w:spacing w:val="-16"/>
          <w:kern w:val="21"/>
          <w:szCs w:val="21"/>
          <w:highlight w:val="none"/>
        </w:rPr>
        <w:fldChar w:fldCharType="separate"/>
      </w:r>
      <w:r>
        <w:rPr>
          <w:rFonts w:ascii="Times New Roman"/>
          <w:color w:val="auto"/>
          <w:szCs w:val="21"/>
          <w:highlight w:val="none"/>
        </w:rPr>
        <w:t>⑥</w:t>
      </w:r>
      <w:r>
        <w:rPr>
          <w:rFonts w:ascii="Times New Roman"/>
          <w:snapToGrid w:val="0"/>
          <w:color w:val="auto"/>
          <w:spacing w:val="-16"/>
          <w:kern w:val="21"/>
          <w:szCs w:val="21"/>
          <w:highlight w:val="none"/>
        </w:rPr>
        <w:fldChar w:fldCharType="end"/>
      </w:r>
      <w:r>
        <w:rPr>
          <w:rFonts w:ascii="Times New Roman"/>
          <w:snapToGrid w:val="0"/>
          <w:color w:val="auto"/>
          <w:spacing w:val="-16"/>
          <w:kern w:val="21"/>
          <w:szCs w:val="21"/>
          <w:highlight w:val="none"/>
        </w:rPr>
        <w:t>=</w:t>
      </w:r>
      <w:r>
        <w:rPr>
          <w:rFonts w:ascii="Times New Roman"/>
          <w:snapToGrid w:val="0"/>
          <w:color w:val="auto"/>
          <w:spacing w:val="-6"/>
          <w:kern w:val="21"/>
          <w:szCs w:val="21"/>
          <w:highlight w:val="none"/>
        </w:rPr>
        <w:fldChar w:fldCharType="begin"/>
      </w:r>
      <w:r>
        <w:rPr>
          <w:rFonts w:ascii="Times New Roman"/>
          <w:snapToGrid w:val="0"/>
          <w:color w:val="auto"/>
          <w:spacing w:val="-6"/>
          <w:kern w:val="21"/>
          <w:szCs w:val="21"/>
          <w:highlight w:val="none"/>
        </w:rPr>
        <w:instrText xml:space="preserve"> = 1 \* GB3 \* MERGEFORMAT </w:instrText>
      </w:r>
      <w:r>
        <w:rPr>
          <w:rFonts w:ascii="Times New Roman"/>
          <w:snapToGrid w:val="0"/>
          <w:color w:val="auto"/>
          <w:spacing w:val="-6"/>
          <w:kern w:val="21"/>
          <w:szCs w:val="21"/>
          <w:highlight w:val="none"/>
        </w:rPr>
        <w:fldChar w:fldCharType="separate"/>
      </w:r>
      <w:r>
        <w:rPr>
          <w:rFonts w:ascii="Times New Roman"/>
          <w:color w:val="auto"/>
          <w:szCs w:val="21"/>
          <w:highlight w:val="none"/>
        </w:rPr>
        <w:t>①</w:t>
      </w:r>
      <w:r>
        <w:rPr>
          <w:rFonts w:ascii="Times New Roman"/>
          <w:snapToGrid w:val="0"/>
          <w:color w:val="auto"/>
          <w:spacing w:val="-6"/>
          <w:kern w:val="21"/>
          <w:szCs w:val="21"/>
          <w:highlight w:val="none"/>
        </w:rPr>
        <w:fldChar w:fldCharType="end"/>
      </w:r>
      <w:r>
        <w:rPr>
          <w:rFonts w:ascii="Times New Roman"/>
          <w:snapToGrid w:val="0"/>
          <w:color w:val="auto"/>
          <w:spacing w:val="-6"/>
          <w:kern w:val="21"/>
          <w:szCs w:val="21"/>
          <w:highlight w:val="none"/>
        </w:rPr>
        <w:t>+</w:t>
      </w:r>
      <w:r>
        <w:rPr>
          <w:rFonts w:ascii="Times New Roman"/>
          <w:snapToGrid w:val="0"/>
          <w:color w:val="auto"/>
          <w:spacing w:val="-6"/>
          <w:kern w:val="21"/>
          <w:szCs w:val="21"/>
          <w:highlight w:val="none"/>
        </w:rPr>
        <w:fldChar w:fldCharType="begin"/>
      </w:r>
      <w:r>
        <w:rPr>
          <w:rFonts w:ascii="Times New Roman"/>
          <w:snapToGrid w:val="0"/>
          <w:color w:val="auto"/>
          <w:spacing w:val="-6"/>
          <w:kern w:val="21"/>
          <w:szCs w:val="21"/>
          <w:highlight w:val="none"/>
        </w:rPr>
        <w:instrText xml:space="preserve"> = 3 \* GB3 \* MERGEFORMAT </w:instrText>
      </w:r>
      <w:r>
        <w:rPr>
          <w:rFonts w:ascii="Times New Roman"/>
          <w:snapToGrid w:val="0"/>
          <w:color w:val="auto"/>
          <w:spacing w:val="-6"/>
          <w:kern w:val="21"/>
          <w:szCs w:val="21"/>
          <w:highlight w:val="none"/>
        </w:rPr>
        <w:fldChar w:fldCharType="separate"/>
      </w:r>
      <w:r>
        <w:rPr>
          <w:rFonts w:ascii="Times New Roman"/>
          <w:color w:val="auto"/>
          <w:szCs w:val="21"/>
          <w:highlight w:val="none"/>
        </w:rPr>
        <w:t>③</w:t>
      </w:r>
      <w:r>
        <w:rPr>
          <w:rFonts w:ascii="Times New Roman"/>
          <w:snapToGrid w:val="0"/>
          <w:color w:val="auto"/>
          <w:spacing w:val="-6"/>
          <w:kern w:val="21"/>
          <w:szCs w:val="21"/>
          <w:highlight w:val="none"/>
        </w:rPr>
        <w:fldChar w:fldCharType="end"/>
      </w:r>
      <w:r>
        <w:rPr>
          <w:rFonts w:ascii="Times New Roman"/>
          <w:snapToGrid w:val="0"/>
          <w:color w:val="auto"/>
          <w:spacing w:val="-6"/>
          <w:kern w:val="21"/>
          <w:szCs w:val="21"/>
          <w:highlight w:val="none"/>
        </w:rPr>
        <w:t>+</w:t>
      </w:r>
      <w:r>
        <w:rPr>
          <w:rFonts w:ascii="Times New Roman"/>
          <w:snapToGrid w:val="0"/>
          <w:color w:val="auto"/>
          <w:spacing w:val="-6"/>
          <w:kern w:val="21"/>
          <w:szCs w:val="21"/>
          <w:highlight w:val="none"/>
        </w:rPr>
        <w:fldChar w:fldCharType="begin"/>
      </w:r>
      <w:r>
        <w:rPr>
          <w:rFonts w:ascii="Times New Roman"/>
          <w:snapToGrid w:val="0"/>
          <w:color w:val="auto"/>
          <w:spacing w:val="-6"/>
          <w:kern w:val="21"/>
          <w:szCs w:val="21"/>
          <w:highlight w:val="none"/>
        </w:rPr>
        <w:instrText xml:space="preserve"> = 4 \* GB3 \* MERGEFORMAT </w:instrText>
      </w:r>
      <w:r>
        <w:rPr>
          <w:rFonts w:ascii="Times New Roman"/>
          <w:snapToGrid w:val="0"/>
          <w:color w:val="auto"/>
          <w:spacing w:val="-6"/>
          <w:kern w:val="21"/>
          <w:szCs w:val="21"/>
          <w:highlight w:val="none"/>
        </w:rPr>
        <w:fldChar w:fldCharType="separate"/>
      </w:r>
      <w:r>
        <w:rPr>
          <w:rFonts w:ascii="Times New Roman"/>
          <w:color w:val="auto"/>
          <w:szCs w:val="21"/>
          <w:highlight w:val="none"/>
        </w:rPr>
        <w:t>④</w:t>
      </w:r>
      <w:r>
        <w:rPr>
          <w:rFonts w:ascii="Times New Roman"/>
          <w:snapToGrid w:val="0"/>
          <w:color w:val="auto"/>
          <w:spacing w:val="-6"/>
          <w:kern w:val="21"/>
          <w:szCs w:val="21"/>
          <w:highlight w:val="none"/>
        </w:rPr>
        <w:fldChar w:fldCharType="end"/>
      </w:r>
      <w:r>
        <w:rPr>
          <w:rFonts w:ascii="Times New Roman"/>
          <w:snapToGrid w:val="0"/>
          <w:color w:val="auto"/>
          <w:spacing w:val="-6"/>
          <w:kern w:val="21"/>
          <w:szCs w:val="21"/>
          <w:highlight w:val="none"/>
        </w:rPr>
        <w:t>-</w:t>
      </w:r>
      <w:r>
        <w:rPr>
          <w:rFonts w:ascii="Times New Roman"/>
          <w:snapToGrid w:val="0"/>
          <w:color w:val="auto"/>
          <w:spacing w:val="-16"/>
          <w:kern w:val="21"/>
          <w:szCs w:val="21"/>
          <w:highlight w:val="none"/>
        </w:rPr>
        <w:fldChar w:fldCharType="begin"/>
      </w:r>
      <w:r>
        <w:rPr>
          <w:rFonts w:ascii="Times New Roman"/>
          <w:snapToGrid w:val="0"/>
          <w:color w:val="auto"/>
          <w:spacing w:val="-16"/>
          <w:kern w:val="21"/>
          <w:szCs w:val="21"/>
          <w:highlight w:val="none"/>
        </w:rPr>
        <w:instrText xml:space="preserve"> = 5 \* GB3 \* MERGEFORMAT </w:instrText>
      </w:r>
      <w:r>
        <w:rPr>
          <w:rFonts w:ascii="Times New Roman"/>
          <w:snapToGrid w:val="0"/>
          <w:color w:val="auto"/>
          <w:spacing w:val="-16"/>
          <w:kern w:val="21"/>
          <w:szCs w:val="21"/>
          <w:highlight w:val="none"/>
        </w:rPr>
        <w:fldChar w:fldCharType="separate"/>
      </w:r>
      <w:r>
        <w:rPr>
          <w:rFonts w:ascii="Times New Roman"/>
          <w:color w:val="auto"/>
          <w:szCs w:val="21"/>
          <w:highlight w:val="none"/>
        </w:rPr>
        <w:t>⑤</w:t>
      </w:r>
      <w:r>
        <w:rPr>
          <w:rFonts w:ascii="Times New Roman"/>
          <w:snapToGrid w:val="0"/>
          <w:color w:val="auto"/>
          <w:spacing w:val="-16"/>
          <w:kern w:val="21"/>
          <w:szCs w:val="21"/>
          <w:highlight w:val="none"/>
        </w:rPr>
        <w:fldChar w:fldCharType="end"/>
      </w:r>
      <w:r>
        <w:rPr>
          <w:rFonts w:ascii="Times New Roman"/>
          <w:snapToGrid w:val="0"/>
          <w:color w:val="auto"/>
          <w:spacing w:val="-16"/>
          <w:kern w:val="21"/>
          <w:szCs w:val="21"/>
          <w:highlight w:val="none"/>
        </w:rPr>
        <w:t>；</w:t>
      </w:r>
      <w:r>
        <w:rPr>
          <w:rFonts w:ascii="Times New Roman"/>
          <w:snapToGrid w:val="0"/>
          <w:color w:val="auto"/>
          <w:spacing w:val="-6"/>
          <w:kern w:val="21"/>
          <w:szCs w:val="21"/>
          <w:highlight w:val="none"/>
        </w:rPr>
        <w:fldChar w:fldCharType="begin"/>
      </w:r>
      <w:r>
        <w:rPr>
          <w:rFonts w:ascii="Times New Roman"/>
          <w:snapToGrid w:val="0"/>
          <w:color w:val="auto"/>
          <w:spacing w:val="-6"/>
          <w:kern w:val="21"/>
          <w:szCs w:val="21"/>
          <w:highlight w:val="none"/>
        </w:rPr>
        <w:instrText xml:space="preserve"> = 7 \* GB3 \* MERGEFORMAT </w:instrText>
      </w:r>
      <w:r>
        <w:rPr>
          <w:rFonts w:ascii="Times New Roman"/>
          <w:snapToGrid w:val="0"/>
          <w:color w:val="auto"/>
          <w:spacing w:val="-6"/>
          <w:kern w:val="21"/>
          <w:szCs w:val="21"/>
          <w:highlight w:val="none"/>
        </w:rPr>
        <w:fldChar w:fldCharType="separate"/>
      </w:r>
      <w:r>
        <w:rPr>
          <w:rFonts w:ascii="Times New Roman"/>
          <w:color w:val="auto"/>
          <w:szCs w:val="21"/>
          <w:highlight w:val="none"/>
        </w:rPr>
        <w:t>⑦</w:t>
      </w:r>
      <w:r>
        <w:rPr>
          <w:rFonts w:ascii="Times New Roman"/>
          <w:snapToGrid w:val="0"/>
          <w:color w:val="auto"/>
          <w:spacing w:val="-6"/>
          <w:kern w:val="21"/>
          <w:szCs w:val="21"/>
          <w:highlight w:val="none"/>
        </w:rPr>
        <w:fldChar w:fldCharType="end"/>
      </w:r>
      <w:r>
        <w:rPr>
          <w:rFonts w:ascii="Times New Roman"/>
          <w:snapToGrid w:val="0"/>
          <w:color w:val="auto"/>
          <w:spacing w:val="-6"/>
          <w:kern w:val="21"/>
          <w:szCs w:val="21"/>
          <w:highlight w:val="none"/>
        </w:rPr>
        <w:t>=</w:t>
      </w:r>
      <w:r>
        <w:rPr>
          <w:rFonts w:ascii="Times New Roman"/>
          <w:snapToGrid w:val="0"/>
          <w:color w:val="auto"/>
          <w:spacing w:val="-16"/>
          <w:kern w:val="21"/>
          <w:szCs w:val="21"/>
          <w:highlight w:val="none"/>
        </w:rPr>
        <w:fldChar w:fldCharType="begin"/>
      </w:r>
      <w:r>
        <w:rPr>
          <w:rFonts w:ascii="Times New Roman"/>
          <w:snapToGrid w:val="0"/>
          <w:color w:val="auto"/>
          <w:spacing w:val="-16"/>
          <w:kern w:val="21"/>
          <w:szCs w:val="21"/>
          <w:highlight w:val="none"/>
        </w:rPr>
        <w:instrText xml:space="preserve"> = 6 \* GB3 \* MERGEFORMAT </w:instrText>
      </w:r>
      <w:r>
        <w:rPr>
          <w:rFonts w:ascii="Times New Roman"/>
          <w:snapToGrid w:val="0"/>
          <w:color w:val="auto"/>
          <w:spacing w:val="-16"/>
          <w:kern w:val="21"/>
          <w:szCs w:val="21"/>
          <w:highlight w:val="none"/>
        </w:rPr>
        <w:fldChar w:fldCharType="separate"/>
      </w:r>
      <w:r>
        <w:rPr>
          <w:rFonts w:ascii="Times New Roman"/>
          <w:color w:val="auto"/>
          <w:szCs w:val="21"/>
          <w:highlight w:val="none"/>
        </w:rPr>
        <w:t>⑥</w:t>
      </w:r>
      <w:r>
        <w:rPr>
          <w:rFonts w:ascii="Times New Roman"/>
          <w:snapToGrid w:val="0"/>
          <w:color w:val="auto"/>
          <w:spacing w:val="-16"/>
          <w:kern w:val="21"/>
          <w:szCs w:val="21"/>
          <w:highlight w:val="none"/>
        </w:rPr>
        <w:fldChar w:fldCharType="end"/>
      </w:r>
      <w:r>
        <w:rPr>
          <w:rFonts w:ascii="Times New Roman"/>
          <w:snapToGrid w:val="0"/>
          <w:color w:val="auto"/>
          <w:spacing w:val="-16"/>
          <w:kern w:val="21"/>
          <w:szCs w:val="21"/>
          <w:highlight w:val="none"/>
        </w:rPr>
        <w:t>-</w:t>
      </w:r>
      <w:r>
        <w:rPr>
          <w:rFonts w:ascii="Times New Roman"/>
          <w:snapToGrid w:val="0"/>
          <w:color w:val="auto"/>
          <w:spacing w:val="-6"/>
          <w:kern w:val="21"/>
          <w:szCs w:val="21"/>
          <w:highlight w:val="none"/>
        </w:rPr>
        <w:fldChar w:fldCharType="begin"/>
      </w:r>
      <w:r>
        <w:rPr>
          <w:rFonts w:ascii="Times New Roman"/>
          <w:snapToGrid w:val="0"/>
          <w:color w:val="auto"/>
          <w:spacing w:val="-6"/>
          <w:kern w:val="21"/>
          <w:szCs w:val="21"/>
          <w:highlight w:val="none"/>
        </w:rPr>
        <w:instrText xml:space="preserve"> = 1 \* GB3 \* MERGEFORMAT </w:instrText>
      </w:r>
      <w:r>
        <w:rPr>
          <w:rFonts w:ascii="Times New Roman"/>
          <w:snapToGrid w:val="0"/>
          <w:color w:val="auto"/>
          <w:spacing w:val="-6"/>
          <w:kern w:val="21"/>
          <w:szCs w:val="21"/>
          <w:highlight w:val="none"/>
        </w:rPr>
        <w:fldChar w:fldCharType="separate"/>
      </w:r>
      <w:r>
        <w:rPr>
          <w:rFonts w:ascii="Times New Roman"/>
          <w:color w:val="auto"/>
          <w:szCs w:val="21"/>
          <w:highlight w:val="none"/>
        </w:rPr>
        <w:t>①</w:t>
      </w:r>
      <w:r>
        <w:rPr>
          <w:rFonts w:ascii="Times New Roman"/>
          <w:snapToGrid w:val="0"/>
          <w:color w:val="auto"/>
          <w:spacing w:val="-6"/>
          <w:kern w:val="21"/>
          <w:szCs w:val="21"/>
          <w:highlight w:val="none"/>
        </w:rPr>
        <w:fldChar w:fldCharType="end"/>
      </w:r>
    </w:p>
    <w:p w14:paraId="36DD80A8">
      <w:pPr>
        <w:jc w:val="center"/>
        <w:rPr>
          <w:color w:val="auto"/>
        </w:rPr>
      </w:pPr>
      <w:r>
        <w:rPr>
          <w:color w:val="auto"/>
        </w:rPr>
        <w:pict>
          <v:shape id="图片 523" o:spid="_x0000_s1144" o:spt="75" alt="指北针1" type="#_x0000_t75" style="position:absolute;left:0pt;margin-left:584pt;margin-top:35.6pt;height:51pt;width:52pt;z-index:251710464;mso-width-relative:page;mso-height-relative:page;" filled="f" o:preferrelative="t" stroked="f" coordsize="21600,21600" o:gfxdata="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">
            <v:path/>
            <v:fill on="f" focussize="0,0"/>
            <v:stroke on="f"/>
            <v:imagedata r:id="rId34" o:title="指北针1"/>
            <o:lock v:ext="edit" aspectratio="t"/>
          </v:shape>
        </w:pict>
      </w:r>
      <w:r>
        <w:rPr>
          <w:color w:val="auto"/>
          <w:sz w:val="21"/>
        </w:rPr>
        <w:pict>
          <v:shape id="_x0000_s1082" o:spid="_x0000_s1082" o:spt="61" type="#_x0000_t61" style="position:absolute;left:0pt;margin-left:278.15pt;margin-top:260.1pt;height:19.4pt;width:58.75pt;z-index:251664384;mso-width-relative:page;mso-height-relative:page;" fillcolor="#FFFFFF" filled="t" stroked="t" coordsize="21600,21600" adj="974,36909">
            <v:path/>
            <v:fill on="t" color2="#FFFFFF" focussize="0,0"/>
            <v:stroke weight="0.5pt" color="#000000" endarrow="block" endarrowwidth="narrow" endarrowlength="long"/>
            <v:imagedata o:title=""/>
            <o:lock v:ext="edit" aspectratio="f"/>
            <v:textbox>
              <w:txbxContent>
                <w:p w14:paraId="6DFB5B51">
                  <w:pPr>
                    <w:rPr>
                      <w:rFonts w:hint="default" w:eastAsia="宋体"/>
                      <w:lang w:val="en-US" w:eastAsia="zh-CN"/>
                    </w:rPr>
                  </w:pPr>
                  <w:r>
                    <w:rPr>
                      <w:rFonts w:hint="eastAsia"/>
                      <w:lang w:val="en-US" w:eastAsia="zh-CN"/>
                    </w:rPr>
                    <w:t>项目位置</w:t>
                  </w:r>
                </w:p>
              </w:txbxContent>
            </v:textbox>
          </v:shape>
        </w:pict>
      </w:r>
      <w:r>
        <w:rPr>
          <w:color w:val="auto"/>
          <w:sz w:val="21"/>
        </w:rPr>
        <w:pict>
          <v:shape id="_x0000_s1083" o:spid="_x0000_s1083" o:spt="12" type="#_x0000_t12" style="position:absolute;left:0pt;margin-left:270.95pt;margin-top:293.6pt;height:6pt;width:7.2pt;z-index:251665408;mso-width-relative:page;mso-height-relative:page;" fillcolor="#FFFF00" filled="t" stroked="t" coordsize="21600,21600">
            <v:path/>
            <v:fill on="t" color2="#FFFFFF" focussize="0,0"/>
            <v:stroke weight="0.5pt" color="#000000" endarrow="block" endarrowwidth="narrow" endarrowlength="long"/>
            <v:imagedata o:title=""/>
            <o:lock v:ext="edit" aspectratio="f"/>
          </v:shape>
        </w:pict>
      </w:r>
      <w:r>
        <w:rPr>
          <w:color w:val="auto"/>
        </w:rPr>
        <w:pict>
          <v:shape id="_x0000_i1051" o:spt="75" type="#_x0000_t75" style="height:436.35pt;width:578.25pt;" filled="f" o:preferrelative="t" stroked="f" coordsize="21600,21600">
            <v:path/>
            <v:fill on="f" focussize="0,0"/>
            <v:stroke on="f"/>
            <v:imagedata r:id="rId35" o:title=""/>
            <o:lock v:ext="edit" aspectratio="t"/>
            <w10:wrap type="none"/>
            <w10:anchorlock/>
          </v:shape>
        </w:pict>
      </w:r>
    </w:p>
    <w:p w14:paraId="62463385">
      <w:pPr>
        <w:jc w:val="center"/>
        <w:rPr>
          <w:rFonts w:hint="default" w:ascii="Times New Roman" w:hAnsi="Times New Roman" w:cs="Times New Roman"/>
          <w:b/>
          <w:bCs/>
          <w:color w:val="auto"/>
          <w:lang w:val="en-US" w:eastAsia="zh-CN"/>
        </w:rPr>
        <w:sectPr>
          <w:pgSz w:w="16838" w:h="11906" w:orient="landscape"/>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Times New Roman" w:hAnsi="Times New Roman" w:cs="Times New Roman"/>
          <w:b/>
          <w:bCs/>
          <w:color w:val="auto"/>
          <w:lang w:val="en-US" w:eastAsia="zh-CN"/>
        </w:rPr>
        <w:t>附图1  地理位置图</w:t>
      </w:r>
    </w:p>
    <w:p w14:paraId="510E9620">
      <w:pPr>
        <w:jc w:val="center"/>
        <w:rPr>
          <w:color w:val="auto"/>
        </w:rPr>
      </w:pPr>
      <w:r>
        <w:rPr>
          <w:color w:val="auto"/>
        </w:rPr>
        <w:pict>
          <v:shape id="_x0000_s1145" o:spid="_x0000_s1145" o:spt="75" alt="指北针1" type="#_x0000_t75" style="position:absolute;left:0pt;margin-left:408.7pt;margin-top:4.2pt;height:51pt;width:52pt;z-index:251711488;mso-width-relative:page;mso-height-relative:page;" filled="f" o:preferrelative="t" stroked="f" coordsize="21600,21600" o:gfxdata="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">
            <v:path/>
            <v:fill on="f" focussize="0,0"/>
            <v:stroke on="f"/>
            <v:imagedata r:id="rId34" o:title="指北针1"/>
            <o:lock v:ext="edit" aspectratio="t"/>
          </v:shape>
        </w:pict>
      </w:r>
      <w:r>
        <w:rPr>
          <w:color w:val="auto"/>
          <w:sz w:val="21"/>
        </w:rPr>
        <w:pict>
          <v:shape id="_x0000_s1084" o:spid="_x0000_s1084" o:spt="202" type="#_x0000_t202" style="position:absolute;left:0pt;margin-left:20.4pt;margin-top:259pt;height:18.75pt;width:38.35pt;z-index:251673600;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44443150">
                  <w:pPr>
                    <w:rPr>
                      <w:rFonts w:hint="default"/>
                      <w:sz w:val="21"/>
                      <w:szCs w:val="21"/>
                      <w:lang w:val="en-US" w:eastAsia="zh-CN"/>
                    </w:rPr>
                  </w:pPr>
                  <w:r>
                    <w:rPr>
                      <w:rFonts w:hint="eastAsia"/>
                      <w:sz w:val="21"/>
                      <w:szCs w:val="21"/>
                      <w:lang w:val="en-US" w:eastAsia="zh-CN"/>
                    </w:rPr>
                    <w:t>空地</w:t>
                  </w:r>
                </w:p>
              </w:txbxContent>
            </v:textbox>
          </v:shape>
        </w:pict>
      </w:r>
      <w:r>
        <w:rPr>
          <w:color w:val="auto"/>
          <w:sz w:val="21"/>
        </w:rPr>
        <w:pict>
          <v:shape id="_x0000_s1085" o:spid="_x0000_s1085" o:spt="202" type="#_x0000_t202" style="position:absolute;left:0pt;margin-left:68.65pt;margin-top:284.65pt;height:50.2pt;width:23.3pt;z-index:251672576;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313AB5D0">
                  <w:pPr>
                    <w:rPr>
                      <w:rFonts w:hint="default"/>
                      <w:sz w:val="21"/>
                      <w:szCs w:val="21"/>
                      <w:lang w:val="en-US" w:eastAsia="zh-CN"/>
                    </w:rPr>
                  </w:pPr>
                  <w:r>
                    <w:rPr>
                      <w:rFonts w:hint="eastAsia"/>
                      <w:sz w:val="21"/>
                      <w:szCs w:val="21"/>
                      <w:lang w:val="en-US" w:eastAsia="zh-CN"/>
                    </w:rPr>
                    <w:t>玉龙路</w:t>
                  </w:r>
                </w:p>
              </w:txbxContent>
            </v:textbox>
          </v:shape>
        </w:pict>
      </w:r>
      <w:r>
        <w:rPr>
          <w:color w:val="auto"/>
          <w:sz w:val="21"/>
        </w:rPr>
        <w:pict>
          <v:shape id="_x0000_s1086" o:spid="_x0000_s1086" o:spt="202" type="#_x0000_t202" style="position:absolute;left:0pt;margin-left:150.35pt;margin-top:215.45pt;height:20.3pt;width:56.9pt;z-index:251671552;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02CEF5BC">
                  <w:pPr>
                    <w:rPr>
                      <w:rFonts w:hint="default"/>
                      <w:sz w:val="21"/>
                      <w:szCs w:val="21"/>
                      <w:lang w:val="en-US" w:eastAsia="zh-CN"/>
                    </w:rPr>
                  </w:pPr>
                  <w:r>
                    <w:rPr>
                      <w:rFonts w:hint="eastAsia"/>
                      <w:sz w:val="21"/>
                      <w:szCs w:val="21"/>
                      <w:lang w:val="en-US" w:eastAsia="zh-CN"/>
                    </w:rPr>
                    <w:t>玉龙西路</w:t>
                  </w:r>
                </w:p>
              </w:txbxContent>
            </v:textbox>
          </v:shape>
        </w:pict>
      </w:r>
      <w:r>
        <w:rPr>
          <w:color w:val="auto"/>
          <w:sz w:val="21"/>
        </w:rPr>
        <w:pict>
          <v:shape id="_x0000_s1087" o:spid="_x0000_s1087" o:spt="202" type="#_x0000_t202" style="position:absolute;left:0pt;margin-left:39.55pt;margin-top:447.9pt;height:29.2pt;width:87.75pt;z-index:251670528;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4B430BF2">
                  <w:pPr>
                    <w:rPr>
                      <w:rFonts w:hint="eastAsia"/>
                      <w:sz w:val="18"/>
                      <w:szCs w:val="18"/>
                      <w:lang w:val="en-US" w:eastAsia="zh-CN"/>
                    </w:rPr>
                  </w:pPr>
                  <w:r>
                    <w:rPr>
                      <w:rFonts w:hint="default" w:ascii="Times New Roman" w:hAnsi="Times New Roman" w:eastAsia="宋体" w:cs="宋体"/>
                      <w:color w:val="000000" w:themeColor="text1"/>
                      <w:spacing w:val="1"/>
                      <w:sz w:val="18"/>
                      <w:szCs w:val="18"/>
                      <w:highlight w:val="none"/>
                      <w:lang w:val="en-US" w:eastAsia="zh-CN"/>
                    </w:rPr>
                    <w:t>中国石油CNG加气站(玉龙路站)</w:t>
                  </w:r>
                </w:p>
              </w:txbxContent>
            </v:textbox>
          </v:shape>
        </w:pict>
      </w:r>
      <w:r>
        <w:rPr>
          <w:color w:val="auto"/>
          <w:sz w:val="21"/>
        </w:rPr>
        <w:pict>
          <v:shape id="_x0000_s1088" o:spid="_x0000_s1088" o:spt="202" type="#_x0000_t202" style="position:absolute;left:0pt;margin-left:187.05pt;margin-top:439.5pt;height:30.6pt;width:72.5pt;z-index:251669504;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0422D6CB">
                  <w:pPr>
                    <w:rPr>
                      <w:rFonts w:hint="eastAsia" w:cs="宋体"/>
                      <w:color w:val="000000" w:themeColor="text1"/>
                      <w:spacing w:val="1"/>
                      <w:sz w:val="18"/>
                      <w:szCs w:val="18"/>
                      <w:highlight w:val="none"/>
                      <w:lang w:val="en-US" w:eastAsia="zh-CN"/>
                    </w:rPr>
                  </w:pPr>
                  <w:r>
                    <w:rPr>
                      <w:rFonts w:hint="eastAsia" w:cs="宋体"/>
                      <w:color w:val="000000" w:themeColor="text1"/>
                      <w:spacing w:val="1"/>
                      <w:sz w:val="18"/>
                      <w:szCs w:val="18"/>
                      <w:highlight w:val="none"/>
                      <w:lang w:val="en-US" w:eastAsia="zh-CN"/>
                    </w:rPr>
                    <w:t>辽宁梓睿食品科技有限公司</w:t>
                  </w:r>
                </w:p>
              </w:txbxContent>
            </v:textbox>
          </v:shape>
        </w:pict>
      </w:r>
      <w:r>
        <w:rPr>
          <w:color w:val="auto"/>
          <w:sz w:val="21"/>
        </w:rPr>
        <w:pict>
          <v:shape id="_x0000_s1089" o:spid="_x0000_s1089" o:spt="202" type="#_x0000_t202" style="position:absolute;left:0pt;margin-left:163.6pt;margin-top:132.1pt;height:33.05pt;width:69.7pt;z-index:251668480;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41C260DF">
                  <w:pPr>
                    <w:rPr>
                      <w:rFonts w:hint="default"/>
                      <w:sz w:val="21"/>
                      <w:szCs w:val="21"/>
                      <w:lang w:val="en-US" w:eastAsia="zh-CN"/>
                    </w:rPr>
                  </w:pPr>
                  <w:r>
                    <w:rPr>
                      <w:rFonts w:hint="eastAsia" w:cs="宋体"/>
                      <w:color w:val="000000" w:themeColor="text1"/>
                      <w:spacing w:val="1"/>
                      <w:sz w:val="21"/>
                      <w:szCs w:val="21"/>
                      <w:highlight w:val="none"/>
                      <w:lang w:val="en-US" w:eastAsia="zh-CN"/>
                    </w:rPr>
                    <w:t>阜新华通管道有限公司</w:t>
                  </w:r>
                </w:p>
              </w:txbxContent>
            </v:textbox>
          </v:shape>
        </w:pict>
      </w:r>
      <w:r>
        <w:rPr>
          <w:color w:val="auto"/>
          <w:sz w:val="21"/>
        </w:rPr>
        <w:pict>
          <v:shape id="_x0000_s1090" o:spid="_x0000_s1090" o:spt="202" type="#_x0000_t202" style="position:absolute;left:0pt;margin-left:259.55pt;margin-top:299.85pt;height:35pt;width:81.45pt;z-index:251667456;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72F86090">
                  <w:pPr>
                    <w:rPr>
                      <w:rFonts w:hint="default"/>
                      <w:sz w:val="21"/>
                      <w:szCs w:val="21"/>
                      <w:lang w:val="en-US" w:eastAsia="zh-CN"/>
                    </w:rPr>
                  </w:pPr>
                  <w:r>
                    <w:rPr>
                      <w:rFonts w:hint="default" w:ascii="Times New Roman" w:hAnsi="Times New Roman" w:eastAsia="宋体" w:cs="宋体"/>
                      <w:color w:val="000000" w:themeColor="text1"/>
                      <w:spacing w:val="1"/>
                      <w:sz w:val="21"/>
                      <w:szCs w:val="21"/>
                      <w:highlight w:val="none"/>
                      <w:lang w:val="en-US" w:eastAsia="zh-CN"/>
                    </w:rPr>
                    <w:t>阜新市万达铸业有限公司</w:t>
                  </w:r>
                </w:p>
              </w:txbxContent>
            </v:textbox>
          </v:shape>
        </w:pict>
      </w:r>
      <w:r>
        <w:rPr>
          <w:color w:val="auto"/>
          <w:sz w:val="21"/>
        </w:rPr>
        <w:pict>
          <v:shape id="_x0000_s1091" o:spid="_x0000_s1091" o:spt="202" type="#_x0000_t202" style="position:absolute;left:0pt;margin-left:137.65pt;margin-top:317.35pt;height:22.75pt;width:69.6pt;z-index:251666432;mso-width-relative:page;mso-height-relative:page;" fillcolor="#FFFFFF" filled="t" stroked="t" coordsize="21600,21600">
            <v:path/>
            <v:fill on="t" color2="#FFFFFF" focussize="0,0"/>
            <v:stroke weight="0.5pt" color="#000000" endarrow="block" endarrowwidth="narrow" endarrowlength="long"/>
            <v:imagedata o:title=""/>
            <o:lock v:ext="edit" aspectratio="f"/>
            <v:textbox>
              <w:txbxContent>
                <w:p w14:paraId="03AF0CDA">
                  <w:pPr>
                    <w:rPr>
                      <w:rFonts w:hint="default" w:eastAsia="宋体"/>
                      <w:lang w:val="en-US" w:eastAsia="zh-CN"/>
                    </w:rPr>
                  </w:pPr>
                  <w:r>
                    <w:rPr>
                      <w:rFonts w:hint="eastAsia"/>
                      <w:lang w:val="en-US" w:eastAsia="zh-CN"/>
                    </w:rPr>
                    <w:t>本项目位置</w:t>
                  </w:r>
                </w:p>
              </w:txbxContent>
            </v:textbox>
          </v:shape>
        </w:pict>
      </w:r>
      <w:r>
        <w:rPr>
          <w:color w:val="auto"/>
        </w:rPr>
        <w:pict>
          <v:shape id="_x0000_i1052" o:spt="75" type="#_x0000_t75" style="height:537.4pt;width:467.7pt;" filled="f" o:preferrelative="t" stroked="f" coordsize="21600,21600">
            <v:path/>
            <v:fill on="f" focussize="0,0"/>
            <v:stroke on="f"/>
            <v:imagedata r:id="rId36" o:title=""/>
            <o:lock v:ext="edit" aspectratio="t"/>
            <w10:wrap type="none"/>
            <w10:anchorlock/>
          </v:shape>
        </w:pict>
      </w:r>
    </w:p>
    <w:p w14:paraId="0E7CA296">
      <w:pPr>
        <w:jc w:val="center"/>
        <w:rPr>
          <w:rFonts w:hint="default" w:ascii="Times New Roman" w:hAnsi="Times New Roman" w:cs="Times New Roman"/>
          <w:b/>
          <w:bCs/>
          <w:color w:val="auto"/>
          <w:lang w:val="en-US" w:eastAsia="zh-CN"/>
        </w:rPr>
        <w:sectPr>
          <w:pgSz w:w="11906" w:h="16838"/>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Times New Roman" w:hAnsi="Times New Roman" w:cs="Times New Roman"/>
          <w:b/>
          <w:bCs/>
          <w:color w:val="auto"/>
          <w:lang w:val="en-US" w:eastAsia="zh-CN"/>
        </w:rPr>
        <w:t>附图</w:t>
      </w:r>
      <w:r>
        <w:rPr>
          <w:rFonts w:hint="eastAsia" w:cs="Times New Roman"/>
          <w:b/>
          <w:bCs/>
          <w:color w:val="auto"/>
          <w:lang w:val="en-US" w:eastAsia="zh-CN"/>
        </w:rPr>
        <w:t>2</w:t>
      </w:r>
      <w:r>
        <w:rPr>
          <w:rFonts w:hint="default" w:ascii="Times New Roman" w:hAnsi="Times New Roman" w:cs="Times New Roman"/>
          <w:b/>
          <w:bCs/>
          <w:color w:val="auto"/>
          <w:lang w:val="en-US" w:eastAsia="zh-CN"/>
        </w:rPr>
        <w:t xml:space="preserve">  </w:t>
      </w:r>
      <w:r>
        <w:rPr>
          <w:rFonts w:hint="eastAsia" w:cs="Times New Roman"/>
          <w:b/>
          <w:bCs/>
          <w:color w:val="auto"/>
          <w:lang w:val="en-US" w:eastAsia="zh-CN"/>
        </w:rPr>
        <w:t>周边环境</w:t>
      </w:r>
      <w:r>
        <w:rPr>
          <w:rFonts w:hint="default" w:ascii="Times New Roman" w:hAnsi="Times New Roman" w:cs="Times New Roman"/>
          <w:b/>
          <w:bCs/>
          <w:color w:val="auto"/>
          <w:lang w:val="en-US" w:eastAsia="zh-CN"/>
        </w:rPr>
        <w:t>图</w:t>
      </w:r>
    </w:p>
    <w:p w14:paraId="73655B03">
      <w:pPr>
        <w:jc w:val="center"/>
        <w:rPr>
          <w:color w:val="auto"/>
        </w:rPr>
      </w:pPr>
      <w:r>
        <w:rPr>
          <w:color w:val="auto"/>
          <w:sz w:val="21"/>
        </w:rPr>
        <w:pict>
          <v:shape id="_x0000_s1092" o:spid="_x0000_s1092" o:spt="61" type="#_x0000_t61" style="position:absolute;left:0pt;margin-left:216.15pt;margin-top:279.4pt;height:19.4pt;width:58.75pt;z-index:251675648;mso-width-relative:page;mso-height-relative:page;" fillcolor="#FFFFFF" filled="t" stroked="t" coordsize="21600,21600" adj="974,36909">
            <v:path/>
            <v:fill on="t" color2="#FFFFFF" focussize="0,0"/>
            <v:stroke weight="0.5pt" color="#000000" endarrow="block" endarrowwidth="narrow" endarrowlength="long"/>
            <v:imagedata o:title=""/>
            <o:lock v:ext="edit" aspectratio="f"/>
            <v:textbox>
              <w:txbxContent>
                <w:p w14:paraId="4BFE58F6">
                  <w:pPr>
                    <w:rPr>
                      <w:rFonts w:hint="default" w:eastAsia="宋体"/>
                      <w:lang w:val="en-US" w:eastAsia="zh-CN"/>
                    </w:rPr>
                  </w:pPr>
                  <w:r>
                    <w:rPr>
                      <w:rFonts w:hint="eastAsia"/>
                      <w:lang w:val="en-US" w:eastAsia="zh-CN"/>
                    </w:rPr>
                    <w:t>项目位置</w:t>
                  </w:r>
                </w:p>
              </w:txbxContent>
            </v:textbox>
          </v:shape>
        </w:pict>
      </w:r>
      <w:r>
        <w:rPr>
          <w:color w:val="auto"/>
          <w:sz w:val="21"/>
        </w:rPr>
        <w:pict>
          <v:shape id="_x0000_s1093" o:spid="_x0000_s1093" o:spt="12" type="#_x0000_t12" style="position:absolute;left:0pt;margin-left:208.3pt;margin-top:312.05pt;height:6.6pt;width:7.85pt;z-index:251674624;mso-width-relative:page;mso-height-relative:page;" fillcolor="#FFFF00" filled="t" stroked="t" coordsize="21600,21600">
            <v:path/>
            <v:fill on="t" color2="#FFFFFF" focussize="0,0"/>
            <v:stroke weight="0.5pt" color="#000000" endarrow="block" endarrowwidth="narrow" endarrowlength="long"/>
            <v:imagedata o:title=""/>
            <o:lock v:ext="edit" aspectratio="f"/>
          </v:shape>
        </w:pict>
      </w:r>
      <w:r>
        <w:rPr>
          <w:color w:val="auto"/>
        </w:rPr>
        <w:pict>
          <v:shape id="_x0000_i1053" o:spt="75" alt="附件3阜新市环境分区管控单元图" type="#_x0000_t75" style="height:437.5pt;width:618.95pt;" filled="f" o:preferrelative="t" stroked="f" coordsize="21600,21600" o:gfxdata="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9/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GiigBOaOaWi&#10;gBOaOaWigBOaOaWigBOaBS0UAFFFFABRRRQB/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">
            <v:path/>
            <v:fill on="f" focussize="0,0"/>
            <v:stroke on="f"/>
            <v:imagedata r:id="rId37" o:title="附件3阜新市环境分区管控单元图"/>
            <o:lock v:ext="edit" aspectratio="t"/>
            <w10:wrap type="none"/>
            <w10:anchorlock/>
          </v:shape>
        </w:pict>
      </w:r>
    </w:p>
    <w:p w14:paraId="25FEF6DB">
      <w:pPr>
        <w:jc w:val="center"/>
        <w:rPr>
          <w:rFonts w:hint="default" w:ascii="Times New Roman" w:hAnsi="Times New Roman" w:eastAsia="宋体" w:cs="Times New Roman"/>
          <w:b/>
          <w:bCs/>
          <w:color w:val="auto"/>
          <w:kern w:val="0"/>
          <w:sz w:val="24"/>
          <w:szCs w:val="24"/>
          <w:highlight w:val="none"/>
        </w:rPr>
        <w:sectPr>
          <w:pgSz w:w="16838" w:h="11906" w:orient="landscape"/>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lang w:val="en-US" w:eastAsia="zh-CN"/>
        </w:rPr>
        <w:t xml:space="preserve">附图3  </w:t>
      </w:r>
      <w:r>
        <w:rPr>
          <w:rFonts w:hint="default" w:ascii="Times New Roman" w:hAnsi="Times New Roman" w:eastAsia="宋体" w:cs="Times New Roman"/>
          <w:b/>
          <w:bCs/>
          <w:color w:val="auto"/>
          <w:kern w:val="0"/>
          <w:sz w:val="24"/>
          <w:szCs w:val="24"/>
          <w:highlight w:val="none"/>
        </w:rPr>
        <w:t>阜新市环境管控单位分布示意图</w:t>
      </w:r>
    </w:p>
    <w:p w14:paraId="399AE295">
      <w:pPr>
        <w:jc w:val="center"/>
        <w:rPr>
          <w:rFonts w:hint="default" w:ascii="Times New Roman" w:hAnsi="Times New Roman" w:eastAsia="宋体" w:cs="Times New Roman"/>
          <w:b/>
          <w:bCs/>
          <w:color w:val="auto"/>
          <w:kern w:val="0"/>
          <w:sz w:val="24"/>
          <w:szCs w:val="24"/>
          <w:highlight w:val="none"/>
        </w:rPr>
      </w:pPr>
      <w:r>
        <w:rPr>
          <w:color w:val="auto"/>
        </w:rPr>
        <w:pict>
          <v:shape id="_x0000_i1054" o:spt="75" type="#_x0000_t75" style="height:47.3pt;width:689.2pt;" filled="f" o:preferrelative="t" stroked="f" coordsize="21600,21600">
            <v:path/>
            <v:fill on="f" focussize="0,0"/>
            <v:stroke on="f"/>
            <v:imagedata r:id="rId38" o:title=""/>
            <o:lock v:ext="edit" aspectratio="t"/>
            <w10:wrap type="none"/>
            <w10:anchorlock/>
          </v:shape>
        </w:pict>
      </w:r>
    </w:p>
    <w:p w14:paraId="54A75FB1">
      <w:pPr>
        <w:jc w:val="center"/>
        <w:rPr>
          <w:rFonts w:hint="default" w:ascii="Times New Roman" w:hAnsi="Times New Roman" w:eastAsia="宋体" w:cs="Times New Roman"/>
          <w:b/>
          <w:bCs/>
          <w:color w:val="auto"/>
          <w:kern w:val="0"/>
          <w:sz w:val="24"/>
          <w:szCs w:val="24"/>
          <w:highlight w:val="none"/>
        </w:rPr>
      </w:pPr>
      <w:r>
        <w:rPr>
          <w:color w:val="auto"/>
          <w:sz w:val="21"/>
        </w:rPr>
        <w:pict>
          <v:shape id="_x0000_s1314" o:spid="_x0000_s1314" o:spt="202" type="#_x0000_t202" style="position:absolute;left:0pt;margin-left:287.35pt;margin-top:98pt;height:26.05pt;width:72pt;z-index:251717632;mso-width-relative:page;mso-height-relative:page;" filled="f" stroked="f" coordsize="21600,21600">
            <v:path/>
            <v:fill on="f" focussize="0,0"/>
            <v:stroke on="f" weight="0.5pt" endarrow="block" endarrowwidth="narrow" endarrowlength="long"/>
            <v:imagedata o:title=""/>
            <o:lock v:ext="edit" aspectratio="f"/>
            <v:textbox>
              <w:txbxContent>
                <w:p w14:paraId="6E7F900B">
                  <w:pPr>
                    <w:rPr>
                      <w:rFonts w:hint="default" w:eastAsia="宋体"/>
                      <w:b/>
                      <w:bCs/>
                      <w:lang w:val="en-US" w:eastAsia="zh-CN"/>
                    </w:rPr>
                  </w:pPr>
                  <w:r>
                    <w:rPr>
                      <w:rFonts w:hint="eastAsia"/>
                      <w:b/>
                      <w:bCs/>
                      <w:lang w:val="en-US" w:eastAsia="zh-CN"/>
                    </w:rPr>
                    <w:t>项目位置</w:t>
                  </w:r>
                </w:p>
              </w:txbxContent>
            </v:textbox>
          </v:shape>
        </w:pict>
      </w:r>
      <w:r>
        <w:rPr>
          <w:color w:val="auto"/>
        </w:rPr>
        <w:pict>
          <v:shape id="_x0000_i1055" o:spt="75" type="#_x0000_t75" style="height:403.85pt;width:685pt;" filled="f" o:preferrelative="t" stroked="f" coordsize="21600,21600">
            <v:path/>
            <v:fill on="f" focussize="0,0"/>
            <v:stroke on="f"/>
            <v:imagedata r:id="rId39" cropbottom="19021f" o:title=""/>
            <o:lock v:ext="edit" aspectratio="t"/>
            <w10:wrap type="none"/>
            <w10:anchorlock/>
          </v:shape>
        </w:pict>
      </w:r>
    </w:p>
    <w:p w14:paraId="17E8BFA4">
      <w:pPr>
        <w:jc w:val="center"/>
        <w:rPr>
          <w:rFonts w:hint="default"/>
          <w:b/>
          <w:bCs/>
          <w:color w:val="auto"/>
          <w:lang w:val="en-US" w:eastAsia="zh-CN"/>
        </w:rPr>
        <w:sectPr>
          <w:pgSz w:w="16838" w:h="11906" w:orient="landscape"/>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lang w:val="en-US" w:eastAsia="zh-CN"/>
        </w:rPr>
        <w:t>附图4  辽宁省“三线一单”数据应用系统查询结果</w:t>
      </w:r>
    </w:p>
    <w:p w14:paraId="6ACE79CE">
      <w:pPr>
        <w:jc w:val="center"/>
        <w:rPr>
          <w:color w:val="auto"/>
        </w:rPr>
      </w:pPr>
      <w:r>
        <w:rPr>
          <w:color w:val="auto"/>
          <w:sz w:val="21"/>
        </w:rPr>
        <w:pict>
          <v:shape id="_x0000_s1094" o:spid="_x0000_s1094" o:spt="61" type="#_x0000_t61" style="position:absolute;left:0pt;margin-left:248.95pt;margin-top:171.1pt;height:19.4pt;width:58.75pt;z-index:251677696;mso-width-relative:page;mso-height-relative:page;" fillcolor="#FFFFFF" filled="t" stroked="t" coordsize="21600,21600" adj="974,36909">
            <v:path/>
            <v:fill on="t" color2="#FFFFFF" focussize="0,0"/>
            <v:stroke weight="0.5pt" color="#000000" endarrow="block" endarrowwidth="narrow" endarrowlength="long"/>
            <v:imagedata o:title=""/>
            <o:lock v:ext="edit" aspectratio="f"/>
            <v:textbox>
              <w:txbxContent>
                <w:p w14:paraId="23A833DF">
                  <w:pPr>
                    <w:rPr>
                      <w:rFonts w:hint="default" w:eastAsia="宋体"/>
                      <w:lang w:val="en-US" w:eastAsia="zh-CN"/>
                    </w:rPr>
                  </w:pPr>
                  <w:r>
                    <w:rPr>
                      <w:rFonts w:hint="eastAsia"/>
                      <w:lang w:val="en-US" w:eastAsia="zh-CN"/>
                    </w:rPr>
                    <w:t>项目位置</w:t>
                  </w:r>
                </w:p>
              </w:txbxContent>
            </v:textbox>
          </v:shape>
        </w:pict>
      </w:r>
      <w:r>
        <w:rPr>
          <w:color w:val="auto"/>
          <w:sz w:val="21"/>
        </w:rPr>
        <w:pict>
          <v:shape id="_x0000_s1095" o:spid="_x0000_s1095" style="position:absolute;left:0pt;margin-left:240.9pt;margin-top:204.15pt;height:14.65pt;width:15.6pt;z-index:251676672;mso-width-relative:page;mso-height-relative:page;" filled="f" stroked="t" coordsize="312,293" path="m14,0hal0,273hal260,293hal312,268hal221,10hal14,0haxe">
            <v:fill on="f" focussize="0,0"/>
            <v:stroke weight="1pt" color="#FF0000" endarrow="block" endarrowwidth="narrow" endarrowlength="long"/>
            <v:imagedata o:title=""/>
            <o:lock v:ext="edit" aspectratio="f"/>
          </v:shape>
        </w:pict>
      </w:r>
      <w:r>
        <w:rPr>
          <w:color w:val="auto"/>
        </w:rPr>
        <w:pict>
          <v:shape id="_x0000_i1056" o:spt="75" type="#_x0000_t75" style="height:584.8pt;width:481.9pt;" filled="f" o:preferrelative="t" stroked="f" coordsize="21600,21600">
            <v:path/>
            <v:fill on="f" focussize="0,0"/>
            <v:stroke on="f"/>
            <v:imagedata r:id="rId40" cropbottom="2764f" o:title=""/>
            <o:lock v:ext="edit" aspectratio="t"/>
            <w10:wrap type="none"/>
            <w10:anchorlock/>
          </v:shape>
        </w:pict>
      </w:r>
    </w:p>
    <w:p w14:paraId="617A458D">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ascii="宋体" w:hAnsi="宋体" w:eastAsia="宋体" w:cs="宋体"/>
          <w:b/>
          <w:bCs/>
          <w:color w:val="auto"/>
          <w:spacing w:val="-3"/>
          <w:sz w:val="24"/>
          <w:szCs w:val="24"/>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sz w:val="24"/>
          <w:szCs w:val="24"/>
          <w:lang w:val="en-US" w:eastAsia="zh-CN"/>
        </w:rPr>
        <w:t xml:space="preserve">附图5  </w:t>
      </w:r>
      <w:r>
        <w:rPr>
          <w:rFonts w:ascii="宋体" w:hAnsi="宋体" w:eastAsia="宋体" w:cs="宋体"/>
          <w:b/>
          <w:bCs/>
          <w:color w:val="auto"/>
          <w:spacing w:val="-3"/>
          <w:sz w:val="24"/>
          <w:szCs w:val="24"/>
        </w:rPr>
        <w:t>与阜新高新技术产业开发区规划范围关系图</w:t>
      </w:r>
    </w:p>
    <w:p w14:paraId="4EA5556C">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color w:val="auto"/>
        </w:rPr>
      </w:pPr>
      <w:r>
        <w:rPr>
          <w:color w:val="auto"/>
        </w:rPr>
        <w:pict>
          <v:shape id="_x0000_s1146" o:spid="_x0000_s1146" o:spt="75" alt="指北针1" type="#_x0000_t75" style="position:absolute;left:0pt;margin-left:631.85pt;margin-top:3.3pt;height:51pt;width:52pt;z-index:251712512;mso-width-relative:page;mso-height-relative:page;" filled="f" o:preferrelative="t" stroked="f" coordsize="21600,21600" o:gfxdata="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">
            <v:path/>
            <v:fill on="f" focussize="0,0"/>
            <v:stroke on="f"/>
            <v:imagedata r:id="rId34" o:title="指北针1"/>
            <o:lock v:ext="edit" aspectratio="t"/>
          </v:shape>
        </w:pict>
      </w:r>
      <w:r>
        <w:rPr>
          <w:color w:val="auto"/>
          <w:sz w:val="21"/>
        </w:rPr>
        <w:pict>
          <v:shape id="_x0000_s1096" o:spid="_x0000_s1096" o:spt="202" type="#_x0000_t202" style="position:absolute;left:0pt;margin-left:324.45pt;margin-top:179.35pt;height:28.6pt;width:66.15pt;z-index:251679744;mso-width-relative:page;mso-height-relative:page;" filled="f" stroked="f" coordsize="21600,21600">
            <v:path/>
            <v:fill on="f" focussize="0,0"/>
            <v:stroke on="f" weight="0.5pt" endarrow="block" endarrowwidth="narrow" endarrowlength="long"/>
            <v:imagedata o:title=""/>
            <o:lock v:ext="edit" aspectratio="f"/>
            <v:textbox>
              <w:txbxContent>
                <w:p w14:paraId="13B28E84">
                  <w:pPr>
                    <w:rPr>
                      <w:rFonts w:hint="default"/>
                      <w:b/>
                      <w:bCs/>
                      <w:color w:val="FFFF00"/>
                      <w:sz w:val="28"/>
                      <w:szCs w:val="28"/>
                      <w:lang w:val="en-US" w:eastAsia="zh-CN"/>
                    </w:rPr>
                  </w:pPr>
                  <w:r>
                    <w:rPr>
                      <w:rFonts w:hint="eastAsia"/>
                      <w:b/>
                      <w:bCs/>
                      <w:color w:val="FFFF00"/>
                      <w:sz w:val="28"/>
                      <w:szCs w:val="28"/>
                      <w:lang w:val="en-US" w:eastAsia="zh-CN"/>
                    </w:rPr>
                    <w:t>2.28km</w:t>
                  </w:r>
                </w:p>
              </w:txbxContent>
            </v:textbox>
          </v:shape>
        </w:pict>
      </w:r>
      <w:r>
        <w:rPr>
          <w:color w:val="auto"/>
          <w:sz w:val="21"/>
        </w:rPr>
        <w:pict>
          <v:shape id="_x0000_s1097" o:spid="_x0000_s1097" o:spt="32" type="#_x0000_t32" style="position:absolute;left:0pt;margin-left:132.45pt;margin-top:80pt;height:248.55pt;width:410.75pt;z-index:251678720;mso-width-relative:page;mso-height-relative:page;" fillcolor="#FFFFFF" filled="t" stroked="t" coordsize="21600,21600">
            <v:path arrowok="t"/>
            <v:fill on="t" color2="#FFFFFF" focussize="0,0"/>
            <v:stroke weight="1.5pt" color="#FFFF00" startarrow="block" endarrow="block"/>
            <v:imagedata o:title=""/>
            <o:lock v:ext="edit" aspectratio="f"/>
          </v:shape>
        </w:pict>
      </w:r>
      <w:r>
        <w:rPr>
          <w:color w:val="auto"/>
        </w:rPr>
        <w:pict>
          <v:shape id="_x0000_i1057" o:spt="75" type="#_x0000_t75" style="height:402.75pt;width:675.75pt;" filled="f" stroked="f" coordsize="21600,21600">
            <v:path/>
            <v:fill on="f" focussize="0,0"/>
            <v:stroke on="f"/>
            <v:imagedata r:id="rId41" o:title=""/>
            <o:lock v:ext="edit" aspectratio="t"/>
            <w10:wrap type="none"/>
            <w10:anchorlock/>
          </v:shape>
        </w:pict>
      </w:r>
    </w:p>
    <w:p w14:paraId="5595F40B">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b/>
          <w:bCs/>
          <w:color w:val="auto"/>
          <w:sz w:val="24"/>
          <w:szCs w:val="24"/>
          <w:lang w:val="en-US" w:eastAsia="zh-CN"/>
        </w:rPr>
      </w:pPr>
      <w:r>
        <w:rPr>
          <w:rFonts w:hint="default"/>
          <w:b/>
          <w:bCs/>
          <w:color w:val="auto"/>
          <w:sz w:val="24"/>
          <w:szCs w:val="24"/>
          <w:lang w:val="en-US" w:eastAsia="zh-CN"/>
        </w:rPr>
        <w:t>附图</w:t>
      </w:r>
      <w:r>
        <w:rPr>
          <w:rFonts w:hint="eastAsia"/>
          <w:b/>
          <w:bCs/>
          <w:color w:val="auto"/>
          <w:sz w:val="24"/>
          <w:szCs w:val="24"/>
          <w:lang w:val="en-US" w:eastAsia="zh-CN"/>
        </w:rPr>
        <w:t>6  环境空气质量现状引用监测点位示意图</w:t>
      </w:r>
    </w:p>
    <w:p w14:paraId="4EB5A922">
      <w:pPr>
        <w:keepNext w:val="0"/>
        <w:keepLines w:val="0"/>
        <w:pageBreakBefore w:val="0"/>
        <w:widowControl w:val="0"/>
        <w:kinsoku/>
        <w:wordWrap/>
        <w:overflowPunct/>
        <w:topLinePunct w:val="0"/>
        <w:autoSpaceDE/>
        <w:autoSpaceDN/>
        <w:bidi w:val="0"/>
        <w:adjustRightInd/>
        <w:snapToGrid/>
        <w:spacing w:line="360" w:lineRule="auto"/>
        <w:ind w:left="0"/>
        <w:jc w:val="both"/>
        <w:textAlignment w:val="auto"/>
        <w:rPr>
          <w:color w:val="auto"/>
        </w:rPr>
        <w:sectPr>
          <w:pgSz w:w="16838" w:h="11906" w:orient="landscape"/>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p>
    <w:p w14:paraId="4C07E9FC">
      <w:pPr>
        <w:jc w:val="center"/>
        <w:rPr>
          <w:color w:val="auto"/>
        </w:rPr>
      </w:pPr>
      <w:r>
        <w:rPr>
          <w:color w:val="auto"/>
          <w:sz w:val="21"/>
        </w:rPr>
        <w:pict>
          <v:shape id="_x0000_s1103" o:spid="_x0000_s1103" o:spt="202" type="#_x0000_t202" style="position:absolute;left:0pt;margin-left:220.5pt;margin-top:263.3pt;height:18.45pt;width:46.85pt;z-index:251683840;mso-width-relative:page;mso-height-relative:page;" filled="f" stroked="f" coordsize="21600,21600">
            <v:path/>
            <v:fill on="f" focussize="0,0"/>
            <v:stroke on="f" weight="0.5pt"/>
            <v:imagedata o:title=""/>
            <o:lock v:ext="edit" aspectratio="f"/>
            <v:textbox>
              <w:txbxContent>
                <w:p w14:paraId="7DFDCDE7">
                  <w:pPr>
                    <w:rPr>
                      <w:rFonts w:hint="default" w:eastAsia="宋体"/>
                      <w:b/>
                      <w:bCs/>
                      <w:color w:val="DD1ED6"/>
                      <w:lang w:val="en-US" w:eastAsia="zh-CN"/>
                    </w:rPr>
                  </w:pPr>
                  <w:r>
                    <w:rPr>
                      <w:rFonts w:hint="eastAsia"/>
                      <w:b/>
                      <w:bCs/>
                      <w:color w:val="DD1ED6"/>
                      <w:lang w:val="en-US" w:eastAsia="zh-CN"/>
                    </w:rPr>
                    <w:t>500m</w:t>
                  </w:r>
                </w:p>
              </w:txbxContent>
            </v:textbox>
          </v:shape>
        </w:pict>
      </w:r>
      <w:r>
        <w:rPr>
          <w:color w:val="auto"/>
          <w:sz w:val="21"/>
        </w:rPr>
        <w:pict>
          <v:line id="_x0000_s1104" o:spid="_x0000_s1104" o:spt="20" style="position:absolute;left:0pt;margin-left:144.45pt;margin-top:278pt;height:3.75pt;width:173.4pt;z-index:251682816;mso-width-relative:page;mso-height-relative:page;" filled="f" stroked="t" coordsize="21600,21600">
            <v:path arrowok="t"/>
            <v:fill on="f" focussize="0,0"/>
            <v:stroke weight="1pt" color="#F901F9" startarrow="open" endarrow="open" endarrowwidth="narrow" endarrowlength="long"/>
            <v:imagedata o:title=""/>
            <o:lock v:ext="edit" aspectratio="f"/>
          </v:line>
        </w:pict>
      </w:r>
      <w:r>
        <w:rPr>
          <w:color w:val="auto"/>
          <w:sz w:val="21"/>
          <w:highlight w:val="none"/>
        </w:rPr>
        <w:pict>
          <v:shape id="_x0000_s1098" o:spid="_x0000_s1098" o:spt="61" type="#_x0000_t61" style="position:absolute;left:0pt;margin-left:154.55pt;margin-top:187.85pt;height:36.9pt;width:84.65pt;z-index:251709440;mso-width-relative:page;mso-height-relative:page;" fillcolor="#FFFFFF" filled="t" stroked="t" coordsize="21600,21600" adj="-1942,32400">
            <v:path/>
            <v:fill on="t" color2="#FFFFFF" focussize="0,0"/>
            <v:stroke weight="0.5pt" color="#E20ADF" joinstyle="miter" endarrow="block" endarrowwidth="narrow" endarrowlength="long"/>
            <v:imagedata o:title=""/>
            <o:lock v:ext="edit" aspectratio="f"/>
            <v:textbox>
              <w:txbxContent>
                <w:p w14:paraId="2ED51437">
                  <w:pPr>
                    <w:rPr>
                      <w:rFonts w:hint="default" w:eastAsia="宋体"/>
                      <w:b/>
                      <w:bCs/>
                      <w:color w:val="E10BDB"/>
                      <w:lang w:val="en-US" w:eastAsia="zh-CN"/>
                    </w:rPr>
                  </w:pPr>
                  <w:r>
                    <w:rPr>
                      <w:rFonts w:hint="eastAsia"/>
                      <w:b/>
                      <w:bCs/>
                      <w:color w:val="E10BDB"/>
                      <w:lang w:val="en-US" w:eastAsia="zh-CN"/>
                    </w:rPr>
                    <w:t>大气环境保护目标调查范围</w:t>
                  </w:r>
                </w:p>
              </w:txbxContent>
            </v:textbox>
          </v:shape>
        </w:pict>
      </w:r>
      <w:r>
        <w:rPr>
          <w:color w:val="auto"/>
          <w:sz w:val="21"/>
          <w:highlight w:val="none"/>
        </w:rPr>
        <w:pict>
          <v:shape id="_x0000_s1100" o:spid="_x0000_s1100" o:spt="61" type="#_x0000_t61" style="position:absolute;left:0pt;margin-left:441.25pt;margin-top:150.95pt;height:36.9pt;width:79.5pt;z-index:251686912;mso-width-relative:page;mso-height-relative:page;" fillcolor="#FFFFFF" filled="t" stroked="t" coordsize="21600,21600" adj="-1942,32400">
            <v:path/>
            <v:fill on="t" focussize="0,0"/>
            <v:stroke weight="0.5pt" color="#77E7BF" joinstyle="miter" endarrow="block" endarrowwidth="narrow" endarrowlength="long"/>
            <v:imagedata o:title=""/>
            <o:lock v:ext="edit" aspectratio="f"/>
            <v:textbox>
              <w:txbxContent>
                <w:p w14:paraId="1042933D">
                  <w:pPr>
                    <w:rPr>
                      <w:rFonts w:hint="default" w:eastAsia="宋体"/>
                      <w:b/>
                      <w:bCs/>
                      <w:color w:val="75E4BC"/>
                      <w:lang w:val="en-US" w:eastAsia="zh-CN"/>
                    </w:rPr>
                  </w:pPr>
                  <w:r>
                    <w:rPr>
                      <w:rFonts w:hint="eastAsia"/>
                      <w:b/>
                      <w:bCs/>
                      <w:color w:val="75E4BC"/>
                      <w:lang w:val="en-US" w:eastAsia="zh-CN"/>
                    </w:rPr>
                    <w:t>声环境保护目标调查范围</w:t>
                  </w:r>
                </w:p>
              </w:txbxContent>
            </v:textbox>
          </v:shape>
        </w:pict>
      </w:r>
      <w:r>
        <w:rPr>
          <w:color w:val="auto"/>
          <w:sz w:val="21"/>
        </w:rPr>
        <w:pict>
          <v:shape id="_x0000_s1105" o:spid="_x0000_s1105" o:spt="202" type="#_x0000_t202" style="position:absolute;left:0pt;margin-left:399.75pt;margin-top:181.4pt;height:22.05pt;width:41.5pt;z-index:251681792;mso-width-relative:page;mso-height-relative:page;" filled="f" stroked="f" coordsize="21600,21600">
            <v:path/>
            <v:fill on="f" focussize="0,0"/>
            <v:stroke on="f" weight="0.5pt"/>
            <v:imagedata o:title=""/>
            <o:lock v:ext="edit" aspectratio="f"/>
            <v:textbox>
              <w:txbxContent>
                <w:p w14:paraId="34FABB06">
                  <w:pPr>
                    <w:rPr>
                      <w:rFonts w:hint="default" w:eastAsia="宋体"/>
                      <w:b/>
                      <w:bCs/>
                      <w:color w:val="77E7BF"/>
                      <w:sz w:val="18"/>
                      <w:szCs w:val="18"/>
                      <w:lang w:val="en-US" w:eastAsia="zh-CN"/>
                    </w:rPr>
                  </w:pPr>
                  <w:r>
                    <w:rPr>
                      <w:rFonts w:hint="eastAsia"/>
                      <w:b/>
                      <w:bCs/>
                      <w:color w:val="77E7BF"/>
                      <w:sz w:val="18"/>
                      <w:szCs w:val="18"/>
                      <w:lang w:val="en-US" w:eastAsia="zh-CN"/>
                    </w:rPr>
                    <w:t>50m</w:t>
                  </w:r>
                </w:p>
              </w:txbxContent>
            </v:textbox>
          </v:shape>
        </w:pict>
      </w:r>
      <w:r>
        <w:rPr>
          <w:color w:val="auto"/>
          <w:sz w:val="21"/>
        </w:rPr>
        <w:pict>
          <v:line id="_x0000_s1106" o:spid="_x0000_s1106" o:spt="20" style="position:absolute;left:0pt;flip:y;margin-left:409.25pt;margin-top:199.3pt;height:5.9pt;width:16.7pt;z-index:251680768;mso-width-relative:page;mso-height-relative:page;" filled="f" stroked="t" coordsize="21600,21600">
            <v:path arrowok="t"/>
            <v:fill on="f" focussize="0,0"/>
            <v:stroke weight="1pt" color="#77E7BF" startarrow="open" endarrow="open"/>
            <v:imagedata o:title=""/>
            <o:lock v:ext="edit" aspectratio="f"/>
          </v:line>
        </w:pict>
      </w:r>
      <w:r>
        <w:rPr>
          <w:color w:val="auto"/>
          <w:sz w:val="21"/>
        </w:rPr>
        <w:pict>
          <v:line id="_x0000_s1102" o:spid="_x0000_s1102" o:spt="20" style="position:absolute;left:0pt;margin-left:180.3pt;margin-top:125.5pt;height:55.15pt;width:142.9pt;z-index:251684864;mso-width-relative:page;mso-height-relative:page;" filled="f" stroked="t" coordsize="21600,21600">
            <v:path arrowok="t"/>
            <v:fill on="f" focussize="0,0"/>
            <v:stroke weight="1pt" color="#10E415" startarrow="open" endarrow="open" endarrowwidth="narrow" endarrowlength="long"/>
            <v:imagedata o:title=""/>
            <o:lock v:ext="edit" aspectratio="f"/>
          </v:line>
        </w:pict>
      </w:r>
      <w:r>
        <w:rPr>
          <w:color w:val="auto"/>
          <w:sz w:val="21"/>
          <w:highlight w:val="none"/>
        </w:rPr>
        <w:pict>
          <v:shape id="_x0000_s1099" o:spid="_x0000_s1099" o:spt="61" type="#_x0000_t61" style="position:absolute;left:0pt;margin-left:7.85pt;margin-top:9.9pt;height:36.9pt;width:94.9pt;z-index:251687936;mso-width-relative:page;mso-height-relative:page;" fillcolor="#FFFFFF" filled="t" stroked="t" coordsize="21600,21600" adj="20234,33834">
            <v:path/>
            <v:fill on="t" color2="#FFFFFF" focussize="0,0"/>
            <v:stroke weight="0.5pt" color="#0FEB0A" joinstyle="miter" endarrow="block" endarrowwidth="narrow" endarrowlength="long"/>
            <v:imagedata o:title=""/>
            <o:lock v:ext="edit" aspectratio="f"/>
            <v:textbox>
              <w:txbxContent>
                <w:p w14:paraId="3CF79F8F">
                  <w:pPr>
                    <w:jc w:val="center"/>
                    <w:rPr>
                      <w:rFonts w:hint="default" w:eastAsia="宋体"/>
                      <w:b/>
                      <w:bCs/>
                      <w:color w:val="0FEB0A"/>
                      <w:lang w:val="en-US" w:eastAsia="zh-CN"/>
                    </w:rPr>
                  </w:pPr>
                  <w:r>
                    <w:rPr>
                      <w:rFonts w:hint="eastAsia"/>
                      <w:b/>
                      <w:bCs/>
                      <w:color w:val="0FEB0A"/>
                      <w:lang w:val="en-US" w:eastAsia="zh-CN"/>
                    </w:rPr>
                    <w:t>环境保护目标-小哈拉哈村</w:t>
                  </w:r>
                </w:p>
              </w:txbxContent>
            </v:textbox>
          </v:shape>
        </w:pict>
      </w:r>
      <w:r>
        <w:rPr>
          <w:color w:val="auto"/>
          <w:sz w:val="21"/>
        </w:rPr>
        <w:pict>
          <v:shape id="_x0000_s1101" o:spid="_x0000_s1101" o:spt="202" type="#_x0000_t202" style="position:absolute;left:0pt;margin-left:251.35pt;margin-top:132.5pt;height:18.45pt;width:42.65pt;z-index:251685888;mso-width-relative:page;mso-height-relative:page;" filled="f" stroked="f" coordsize="21600,21600">
            <v:path/>
            <v:fill on="f" focussize="0,0"/>
            <v:stroke on="f" weight="0.5pt"/>
            <v:imagedata o:title=""/>
            <o:lock v:ext="edit" aspectratio="f"/>
            <v:textbox>
              <w:txbxContent>
                <w:p w14:paraId="60C1A482">
                  <w:pPr>
                    <w:rPr>
                      <w:rFonts w:hint="default" w:eastAsia="宋体"/>
                      <w:b/>
                      <w:bCs/>
                      <w:color w:val="0FEB0A"/>
                      <w:lang w:val="en-US" w:eastAsia="zh-CN"/>
                    </w:rPr>
                  </w:pPr>
                  <w:r>
                    <w:rPr>
                      <w:rFonts w:hint="eastAsia"/>
                      <w:b/>
                      <w:bCs/>
                      <w:color w:val="0FEB0A"/>
                      <w:lang w:val="en-US" w:eastAsia="zh-CN"/>
                    </w:rPr>
                    <w:t>480m</w:t>
                  </w:r>
                </w:p>
              </w:txbxContent>
            </v:textbox>
          </v:shape>
        </w:pict>
      </w:r>
      <w:r>
        <w:rPr>
          <w:color w:val="auto"/>
        </w:rPr>
        <w:pict>
          <v:shape id="_x0000_s1147" o:spid="_x0000_s1147" o:spt="75" alt="指北针1" type="#_x0000_t75" style="position:absolute;left:0pt;margin-left:598.6pt;margin-top:9.9pt;height:51pt;width:52pt;z-index:251713536;mso-width-relative:page;mso-height-relative:page;" filled="f" o:preferrelative="t" stroked="f" coordsize="21600,21600" o:gfxdata="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">
            <v:path/>
            <v:fill on="f" focussize="0,0"/>
            <v:stroke on="f"/>
            <v:imagedata r:id="rId34" o:title="指北针1"/>
            <o:lock v:ext="edit" aspectratio="t"/>
          </v:shape>
        </w:pict>
      </w:r>
      <w:r>
        <w:rPr>
          <w:color w:val="auto"/>
        </w:rPr>
        <w:pict>
          <v:shape id="_x0000_i1058" o:spt="75" type="#_x0000_t75" style="height:471.25pt;width:697.2pt;" filled="f" stroked="f" coordsize="21600,21600">
            <v:path/>
            <v:fill on="f" focussize="0,0"/>
            <v:stroke on="f"/>
            <v:imagedata r:id="rId42" o:title=""/>
            <o:lock v:ext="edit" aspectratio="t"/>
            <w10:wrap type="none"/>
            <w10:anchorlock/>
          </v:shape>
        </w:pict>
      </w:r>
    </w:p>
    <w:p w14:paraId="39783462">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b/>
          <w:bCs/>
          <w:color w:val="auto"/>
          <w:sz w:val="24"/>
          <w:szCs w:val="24"/>
          <w:highlight w:val="none"/>
          <w:lang w:val="en-US" w:eastAsia="zh-CN"/>
        </w:rPr>
        <w:sectPr>
          <w:pgSz w:w="16838" w:h="11906" w:orient="landscape"/>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b/>
          <w:bCs/>
          <w:color w:val="auto"/>
          <w:sz w:val="24"/>
          <w:szCs w:val="24"/>
          <w:lang w:val="en-US" w:eastAsia="zh-CN"/>
        </w:rPr>
        <w:t>附图</w:t>
      </w:r>
      <w:r>
        <w:rPr>
          <w:rFonts w:hint="eastAsia"/>
          <w:b/>
          <w:bCs/>
          <w:color w:val="auto"/>
          <w:sz w:val="24"/>
          <w:szCs w:val="24"/>
          <w:lang w:val="en-US" w:eastAsia="zh-CN"/>
        </w:rPr>
        <w:t xml:space="preserve">7  </w:t>
      </w:r>
      <w:r>
        <w:rPr>
          <w:rFonts w:hint="eastAsia"/>
          <w:b/>
          <w:bCs/>
          <w:color w:val="auto"/>
          <w:sz w:val="24"/>
          <w:szCs w:val="24"/>
          <w:highlight w:val="none"/>
          <w:lang w:val="en-US" w:eastAsia="zh-CN"/>
        </w:rPr>
        <w:t>环境保护目标调查图</w:t>
      </w:r>
    </w:p>
    <w:p w14:paraId="3633036B">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color w:val="auto"/>
        </w:rPr>
      </w:pPr>
      <w:r>
        <w:rPr>
          <w:color w:val="auto"/>
          <w:sz w:val="21"/>
        </w:rPr>
        <w:pict>
          <v:rect id="_x0000_s1384" o:spid="_x0000_s1384" o:spt="1" style="position:absolute;left:0pt;margin-left:273.85pt;margin-top:-8.55pt;height:13.25pt;width:10.1pt;z-index:251755520;mso-width-relative:page;mso-height-relative:page;" fillcolor="#FFFFFF" filled="t" stroked="t" coordsize="21600,21600">
            <v:path/>
            <v:fill on="t" color2="#FFFFFF" focussize="0,0"/>
            <v:stroke weight="0.5pt" color="#FFFFFF" joinstyle="miter" endarrow="block" endarrowwidth="narrow" endarrowlength="long"/>
            <v:imagedata o:title=""/>
            <o:lock v:ext="edit" aspectratio="f"/>
          </v:rect>
        </w:pict>
      </w:r>
      <w:r>
        <w:rPr>
          <w:color w:val="auto"/>
          <w:sz w:val="21"/>
        </w:rPr>
        <w:pict>
          <v:rect id="_x0000_s1383" o:spid="_x0000_s1383" o:spt="1" style="position:absolute;left:0pt;margin-left:162pt;margin-top:-4.9pt;height:13.25pt;width:15.55pt;z-index:251754496;mso-width-relative:page;mso-height-relative:page;" fillcolor="#FFFFFF" filled="t" stroked="t" coordsize="21600,21600">
            <v:path/>
            <v:fill on="t" color2="#FFFFFF" focussize="0,0"/>
            <v:stroke weight="0.5pt" color="#FFFFFF" endarrow="block" endarrowwidth="narrow" endarrowlength="long"/>
            <v:imagedata o:title=""/>
            <o:lock v:ext="edit" aspectratio="f"/>
          </v:rect>
        </w:pict>
      </w:r>
      <w:r>
        <w:rPr>
          <w:color w:val="auto"/>
          <w:sz w:val="21"/>
        </w:rPr>
        <w:pict>
          <v:shape id="_x0000_s1382" o:spid="_x0000_s1382" style="position:absolute;left:0pt;margin-left:141.5pt;margin-top:2.25pt;height:667.55pt;width:204.55pt;z-index:251753472;mso-width-relative:page;mso-height-relative:page;" filled="f" stroked="t" coordsize="4091,13351" path="m0,0hal5,13346hal1511,13351hal1511,11935hal4086,11930hal4091,6hal0,0haxe">
            <v:fill on="f" focussize="0,0"/>
            <v:stroke weight="1.5pt" color="#000000" endarrowwidth="narrow" endarrowlength="long"/>
            <v:imagedata o:title=""/>
            <o:lock v:ext="edit" aspectratio="f"/>
          </v:shape>
        </w:pict>
      </w:r>
      <w:r>
        <w:rPr>
          <w:color w:val="auto"/>
          <w:sz w:val="21"/>
        </w:rPr>
        <w:pict>
          <v:rect id="_x0000_s1110" o:spid="_x0000_s1110" o:spt="1" style="position:absolute;left:0pt;margin-left:284.45pt;margin-top:4.2pt;height:198pt;width:61.35pt;z-index:251691008;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rect>
        </w:pict>
      </w:r>
      <w:r>
        <w:rPr>
          <w:color w:val="auto"/>
          <w:sz w:val="21"/>
        </w:rPr>
        <w:pict>
          <v:shape id="_x0000_s1121" o:spid="_x0000_s1121" o:spt="202" type="#_x0000_t202" style="position:absolute;left:0pt;margin-left:177.55pt;margin-top:8.35pt;height:47pt;width:33.6pt;z-index:251700224;mso-width-relative:page;mso-height-relative:page;" filled="f" stroked="f" coordsize="21600,21600">
            <v:path/>
            <v:fill on="f" focussize="0,0"/>
            <v:stroke on="f" weight="0.5pt"/>
            <v:imagedata o:title=""/>
            <o:lock v:ext="edit" aspectratio="f"/>
            <v:textbox>
              <w:txbxContent>
                <w:p w14:paraId="3417D38D">
                  <w:pPr>
                    <w:rPr>
                      <w:rFonts w:hint="default" w:eastAsia="宋体"/>
                      <w:sz w:val="15"/>
                      <w:szCs w:val="15"/>
                      <w:lang w:val="en-US" w:eastAsia="zh-CN"/>
                    </w:rPr>
                  </w:pPr>
                  <w:r>
                    <w:rPr>
                      <w:rFonts w:hint="eastAsia"/>
                      <w:sz w:val="15"/>
                      <w:szCs w:val="15"/>
                      <w:lang w:val="en-US" w:eastAsia="zh-CN"/>
                    </w:rPr>
                    <w:t>新能源车预处理</w:t>
                  </w:r>
                </w:p>
              </w:txbxContent>
            </v:textbox>
          </v:shape>
        </w:pict>
      </w:r>
      <w:r>
        <w:rPr>
          <w:color w:val="auto"/>
          <w:sz w:val="21"/>
        </w:rPr>
        <w:pict>
          <v:rect id="_x0000_s1107" o:spid="_x0000_s1107" o:spt="1" style="position:absolute;left:0pt;margin-left:160.95pt;margin-top:-4.9pt;height:7.95pt;width:16.6pt;z-index:251707392;mso-width-relative:page;mso-height-relative:page;" fillcolor="#FFFFFF" filled="t" stroked="t" coordsize="21600,21600">
            <v:path/>
            <v:fill on="t" color2="#FFFFFF" focussize="0,0"/>
            <v:stroke weight="0.5pt" color="#FFFFFF" joinstyle="miter" endarrow="block" endarrowwidth="narrow" endarrowlength="long"/>
            <v:imagedata o:title=""/>
            <o:lock v:ext="edit" aspectratio="f"/>
          </v:rect>
        </w:pict>
      </w:r>
      <w:r>
        <w:rPr>
          <w:color w:val="auto"/>
          <w:sz w:val="21"/>
        </w:rPr>
        <w:pict>
          <v:rect id="_x0000_s1108" o:spid="_x0000_s1108" o:spt="1" style="position:absolute;left:0pt;margin-left:301.15pt;margin-top:-4.9pt;height:7.95pt;width:36.8pt;z-index:251706368;mso-width-relative:page;mso-height-relative:page;" fillcolor="#FFFFFF" filled="t" stroked="t" coordsize="21600,21600">
            <v:path/>
            <v:fill on="t" color2="#FFFFFF" focussize="0,0"/>
            <v:stroke weight="0.5pt" color="#FFFFFF" endarrow="block" endarrowwidth="narrow" endarrowlength="long"/>
            <v:imagedata o:title=""/>
            <o:lock v:ext="edit" aspectratio="f"/>
          </v:rect>
        </w:pict>
      </w:r>
      <w:r>
        <w:rPr>
          <w:color w:val="auto"/>
          <w:sz w:val="21"/>
        </w:rPr>
        <w:pict>
          <v:rect id="_x0000_s1109" o:spid="_x0000_s1109" o:spt="1" style="position:absolute;left:0pt;margin-left:213.4pt;margin-top:4.7pt;height:101.5pt;width:60.25pt;z-index:251693056;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rect>
        </w:pict>
      </w:r>
      <w:r>
        <w:rPr>
          <w:color w:val="auto"/>
          <w:sz w:val="21"/>
        </w:rPr>
        <w:pict>
          <v:shape id="_x0000_s1111" o:spid="_x0000_s1111" o:spt="202" type="#_x0000_t202" style="position:absolute;left:0pt;margin-left:141.6pt;margin-top:8.35pt;height:78.15pt;width:14.2pt;z-index:251702272;mso-width-relative:page;mso-height-relative:page;" filled="f" stroked="f" coordsize="21600,21600">
            <v:path/>
            <v:fill on="f" focussize="0,0"/>
            <v:stroke on="f" weight="0.5pt"/>
            <v:imagedata o:title=""/>
            <o:lock v:ext="edit" aspectratio="f"/>
            <v:textbox>
              <w:txbxContent>
                <w:p w14:paraId="4573F4F2">
                  <w:pPr>
                    <w:rPr>
                      <w:rFonts w:hint="default" w:eastAsia="宋体"/>
                      <w:sz w:val="15"/>
                      <w:szCs w:val="15"/>
                      <w:lang w:val="en-US" w:eastAsia="zh-CN"/>
                    </w:rPr>
                  </w:pPr>
                  <w:r>
                    <w:rPr>
                      <w:rFonts w:hint="eastAsia"/>
                      <w:sz w:val="15"/>
                      <w:szCs w:val="15"/>
                      <w:lang w:val="en-US" w:eastAsia="zh-CN"/>
                    </w:rPr>
                    <w:t>燃油大车预处理</w:t>
                  </w:r>
                </w:p>
              </w:txbxContent>
            </v:textbox>
          </v:shape>
        </w:pict>
      </w:r>
      <w:r>
        <w:rPr>
          <w:color w:val="auto"/>
          <w:sz w:val="21"/>
        </w:rPr>
        <w:pict>
          <v:rect id="_x0000_s1114" o:spid="_x0000_s1114" o:spt="1" style="position:absolute;left:0pt;margin-left:179.15pt;margin-top:2.75pt;height:69.15pt;width:30.8pt;z-index:251696128;mso-width-relative:page;mso-height-relative:page;" filled="f" stroked="t" coordsize="21600,21600">
            <v:path/>
            <v:fill on="f" focussize="0,0"/>
            <v:stroke weight="0.5pt" color="#000000" joinstyle="miter" endarrow="block" endarrowwidth="narrow" endarrowlength="long"/>
            <v:imagedata o:title=""/>
            <o:lock v:ext="edit" aspectratio="f"/>
          </v:rect>
        </w:pict>
      </w:r>
      <w:r>
        <w:rPr>
          <w:color w:val="auto"/>
          <w:sz w:val="21"/>
        </w:rPr>
        <w:pict>
          <v:rect id="_x0000_s1116" o:spid="_x0000_s1116" o:spt="1" style="position:absolute;left:0pt;margin-left:179.15pt;margin-top:140.55pt;height:66.6pt;width:30.8pt;z-index:251694080;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rect>
        </w:pict>
      </w:r>
      <w:r>
        <w:rPr>
          <w:color w:val="auto"/>
          <w:sz w:val="21"/>
        </w:rPr>
        <w:pict>
          <v:rect id="_x0000_s1118" o:spid="_x0000_s1118" o:spt="1" style="position:absolute;left:0pt;margin-left:141.6pt;margin-top:106.2pt;height:100.95pt;width:19.05pt;z-index:251689984;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rect>
        </w:pict>
      </w:r>
      <w:r>
        <w:rPr>
          <w:color w:val="auto"/>
          <w:sz w:val="21"/>
        </w:rPr>
        <w:pict>
          <v:rect id="_x0000_s1119" o:spid="_x0000_s1119" o:spt="1" style="position:absolute;left:0pt;margin-left:141.6pt;margin-top:2.75pt;height:87.05pt;width:19.05pt;z-index:251688960;mso-width-relative:page;mso-height-relative:page;" filled="f" stroked="t" coordsize="21600,21600">
            <v:path/>
            <v:fill on="f" focussize="0,0"/>
            <v:stroke weight="0.5pt" color="#000000" joinstyle="miter" endarrow="block" endarrowwidth="narrow" endarrowlength="long"/>
            <v:imagedata o:title=""/>
            <o:lock v:ext="edit" aspectratio="f"/>
          </v:rect>
        </w:pict>
      </w:r>
    </w:p>
    <w:p w14:paraId="1D571EBE">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color w:val="auto"/>
        </w:rPr>
      </w:pPr>
      <w:r>
        <w:rPr>
          <w:color w:val="auto"/>
        </w:rPr>
        <w:pict>
          <v:shape id="_x0000_s1148" o:spid="_x0000_s1148" o:spt="75" alt="指北针1" type="#_x0000_t75" style="position:absolute;left:0pt;margin-left:405.65pt;margin-top:3.8pt;height:51pt;width:52pt;z-index:251714560;mso-width-relative:page;mso-height-relative:page;" filled="f" o:preferrelative="t" stroked="f" coordsize="21600,21600" o:gfxdata="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">
            <v:path/>
            <v:fill on="f" focussize="0,0"/>
            <v:stroke on="f"/>
            <v:imagedata r:id="rId34" o:title="指北针1"/>
            <o:lock v:ext="edit" aspectratio="t"/>
          </v:shape>
        </w:pict>
      </w:r>
      <w:r>
        <w:rPr>
          <w:color w:val="auto"/>
          <w:sz w:val="21"/>
        </w:rPr>
        <w:pict>
          <v:shape id="_x0000_s1122" o:spid="_x0000_s1122" o:spt="202" type="#_x0000_t202" style="position:absolute;left:0pt;margin-left:224.85pt;margin-top:29.3pt;height:23.8pt;width:47.85pt;z-index:251697152;mso-width-relative:page;mso-height-relative:page;" filled="f" stroked="f" coordsize="21600,21600">
            <v:path/>
            <v:fill on="f" focussize="0,0"/>
            <v:stroke on="f" weight="0.5pt"/>
            <v:imagedata o:title=""/>
            <o:lock v:ext="edit" aspectratio="f"/>
            <v:textbox>
              <w:txbxContent>
                <w:p w14:paraId="41318F73">
                  <w:pPr>
                    <w:rPr>
                      <w:rFonts w:hint="eastAsia" w:eastAsia="宋体"/>
                      <w:lang w:val="en-US" w:eastAsia="zh-CN"/>
                    </w:rPr>
                  </w:pPr>
                  <w:r>
                    <w:rPr>
                      <w:rFonts w:hint="eastAsia"/>
                      <w:lang w:val="en-US" w:eastAsia="zh-CN"/>
                    </w:rPr>
                    <w:t>查验区</w:t>
                  </w:r>
                </w:p>
              </w:txbxContent>
            </v:textbox>
          </v:shape>
        </w:pict>
      </w:r>
    </w:p>
    <w:p w14:paraId="56EC25AA">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rFonts w:hint="eastAsia"/>
          <w:color w:val="auto"/>
          <w:lang w:val="en-US" w:eastAsia="zh-CN"/>
        </w:rPr>
      </w:pPr>
    </w:p>
    <w:p w14:paraId="4D593A56">
      <w:pPr>
        <w:keepNext w:val="0"/>
        <w:keepLines w:val="0"/>
        <w:pageBreakBefore w:val="0"/>
        <w:widowControl w:val="0"/>
        <w:kinsoku/>
        <w:wordWrap/>
        <w:overflowPunct/>
        <w:topLinePunct w:val="0"/>
        <w:autoSpaceDE/>
        <w:autoSpaceDN/>
        <w:bidi w:val="0"/>
        <w:adjustRightInd/>
        <w:snapToGrid/>
        <w:spacing w:line="360" w:lineRule="auto"/>
        <w:ind w:left="0"/>
        <w:jc w:val="center"/>
        <w:textAlignment w:val="auto"/>
        <w:rPr>
          <w:color w:val="auto"/>
          <w:sz w:val="21"/>
        </w:rPr>
      </w:pPr>
      <w:r>
        <w:rPr>
          <w:color w:val="auto"/>
          <w:sz w:val="21"/>
        </w:rPr>
        <w:pict>
          <v:rect id="_x0000_s1381" o:spid="_x0000_s1381" o:spt="1" style="position:absolute;left:0pt;margin-left:193.75pt;margin-top:10.25pt;height:14.7pt;width:15.6pt;z-index:251752448;mso-width-relative:page;mso-height-relative:page;" fillcolor="#FFFFFF" filled="t" stroked="t" coordsize="21600,21600">
            <v:path/>
            <v:fill on="t" color2="#FFFFFF" focussize="0,0"/>
            <v:stroke weight="0.5pt" color="#FFFFFF" endarrow="block" endarrowwidth="narrow" endarrowlength="long"/>
            <v:imagedata o:title=""/>
            <o:lock v:ext="edit" aspectratio="f"/>
          </v:rect>
        </w:pict>
      </w:r>
      <w:r>
        <w:rPr>
          <w:color w:val="auto"/>
          <w:sz w:val="21"/>
        </w:rPr>
        <w:pict>
          <v:rect id="_x0000_s1115" o:spid="_x0000_s1115" o:spt="1" style="position:absolute;left:0pt;margin-left:193.25pt;margin-top:1.45pt;height:84.8pt;width:16.7pt;z-index:251695104;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rect>
        </w:pict>
      </w:r>
      <w:r>
        <w:rPr>
          <w:color w:val="auto"/>
          <w:sz w:val="21"/>
        </w:rPr>
        <w:pict>
          <v:shape id="_x0000_s1129" o:spid="_x0000_s1129" o:spt="202" type="#_x0000_t202" style="position:absolute;left:0pt;margin-left:289.3pt;margin-top:44.4pt;height:18.45pt;width:47.85pt;z-index:251698176;mso-width-relative:page;mso-height-relative:page;" filled="f" stroked="f" coordsize="21600,21600">
            <v:path/>
            <v:fill on="f" focussize="0,0"/>
            <v:stroke on="f" weight="0.5pt" endarrow="block" endarrowwidth="narrow" endarrowlength="long"/>
            <v:imagedata o:title=""/>
            <o:lock v:ext="edit" aspectratio="f"/>
            <v:textbox>
              <w:txbxContent>
                <w:p w14:paraId="6F815C38">
                  <w:pPr>
                    <w:rPr>
                      <w:rFonts w:hint="default" w:eastAsia="宋体"/>
                      <w:lang w:val="en-US" w:eastAsia="zh-CN"/>
                    </w:rPr>
                  </w:pPr>
                  <w:r>
                    <w:rPr>
                      <w:rFonts w:hint="eastAsia"/>
                      <w:lang w:val="en-US" w:eastAsia="zh-CN"/>
                    </w:rPr>
                    <w:t>存储区</w:t>
                  </w:r>
                </w:p>
              </w:txbxContent>
            </v:textbox>
          </v:shape>
        </w:pict>
      </w:r>
    </w:p>
    <w:p w14:paraId="1FA8318F">
      <w:pPr>
        <w:bidi w:val="0"/>
        <w:rPr>
          <w:rFonts w:hint="eastAsia" w:ascii="Times New Roman" w:hAnsi="Times New Roman" w:eastAsia="宋体" w:cs="Times New Roman"/>
          <w:color w:val="auto"/>
          <w:kern w:val="2"/>
          <w:sz w:val="21"/>
          <w:szCs w:val="24"/>
          <w:lang w:val="en-US" w:eastAsia="zh-CN" w:bidi="ar-SA"/>
        </w:rPr>
      </w:pPr>
      <w:r>
        <w:rPr>
          <w:color w:val="auto"/>
          <w:sz w:val="21"/>
        </w:rPr>
        <w:pict>
          <v:shape id="_x0000_s1127" o:spid="_x0000_s1127" o:spt="202" type="#_x0000_t202" style="position:absolute;left:0pt;margin-left:189.75pt;margin-top:5.7pt;height:50.7pt;width:23.65pt;z-index:251701248;mso-width-relative:page;mso-height-relative:page;" filled="f" stroked="f" coordsize="21600,21600">
            <v:path/>
            <v:fill on="f" focussize="0,0"/>
            <v:stroke on="f" weight="0.5pt"/>
            <v:imagedata o:title=""/>
            <o:lock v:ext="edit" aspectratio="f"/>
            <v:textbox>
              <w:txbxContent>
                <w:p w14:paraId="67F0ADE0">
                  <w:pPr>
                    <w:rPr>
                      <w:rFonts w:hint="default" w:eastAsia="宋体"/>
                      <w:sz w:val="13"/>
                      <w:szCs w:val="13"/>
                      <w:lang w:val="en-US" w:eastAsia="zh-CN"/>
                    </w:rPr>
                  </w:pPr>
                  <w:r>
                    <w:rPr>
                      <w:rFonts w:hint="eastAsia"/>
                      <w:sz w:val="13"/>
                      <w:szCs w:val="13"/>
                      <w:lang w:val="en-US" w:eastAsia="zh-CN"/>
                    </w:rPr>
                    <w:t>危废贮存库</w:t>
                  </w:r>
                </w:p>
              </w:txbxContent>
            </v:textbox>
          </v:shape>
        </w:pict>
      </w:r>
      <w:r>
        <w:rPr>
          <w:color w:val="auto"/>
          <w:sz w:val="21"/>
        </w:rPr>
        <w:pict>
          <v:shape id="_x0000_s1126" o:spid="_x0000_s1126" o:spt="202" type="#_x0000_t202" style="position:absolute;left:0pt;margin-left:174.9pt;margin-top:5.7pt;height:78.15pt;width:14.2pt;z-index:251703296;mso-width-relative:page;mso-height-relative:page;" filled="f" stroked="f" coordsize="21600,21600">
            <v:path/>
            <v:fill on="f" focussize="0,0"/>
            <v:stroke on="f" weight="0.5pt"/>
            <v:imagedata o:title=""/>
            <o:lock v:ext="edit" aspectratio="f"/>
            <v:textbox>
              <w:txbxContent>
                <w:p w14:paraId="28B482A6">
                  <w:pPr>
                    <w:rPr>
                      <w:rFonts w:hint="default" w:eastAsia="宋体"/>
                      <w:sz w:val="15"/>
                      <w:szCs w:val="15"/>
                      <w:lang w:val="en-US" w:eastAsia="zh-CN"/>
                    </w:rPr>
                  </w:pPr>
                  <w:r>
                    <w:rPr>
                      <w:rFonts w:hint="eastAsia"/>
                      <w:sz w:val="13"/>
                      <w:szCs w:val="13"/>
                      <w:lang w:val="en-US" w:eastAsia="zh-CN"/>
                    </w:rPr>
                    <w:t>燃油小车预处理</w:t>
                  </w:r>
                </w:p>
              </w:txbxContent>
            </v:textbox>
          </v:shape>
        </w:pict>
      </w:r>
    </w:p>
    <w:p w14:paraId="28E83C2B">
      <w:pPr>
        <w:bidi w:val="0"/>
        <w:rPr>
          <w:rFonts w:hint="eastAsia"/>
          <w:color w:val="auto"/>
          <w:lang w:val="en-US" w:eastAsia="zh-CN"/>
        </w:rPr>
      </w:pPr>
    </w:p>
    <w:p w14:paraId="17691B12">
      <w:pPr>
        <w:bidi w:val="0"/>
        <w:rPr>
          <w:rFonts w:hint="eastAsia"/>
          <w:color w:val="auto"/>
          <w:lang w:val="en-US" w:eastAsia="zh-CN"/>
        </w:rPr>
      </w:pPr>
    </w:p>
    <w:p w14:paraId="67361A2A">
      <w:pPr>
        <w:bidi w:val="0"/>
        <w:rPr>
          <w:rFonts w:hint="eastAsia"/>
          <w:color w:val="auto"/>
          <w:lang w:val="en-US" w:eastAsia="zh-CN"/>
        </w:rPr>
      </w:pPr>
    </w:p>
    <w:p w14:paraId="762E97AF">
      <w:pPr>
        <w:bidi w:val="0"/>
        <w:rPr>
          <w:rFonts w:hint="eastAsia"/>
          <w:color w:val="auto"/>
          <w:lang w:val="en-US" w:eastAsia="zh-CN"/>
        </w:rPr>
      </w:pPr>
      <w:r>
        <w:rPr>
          <w:color w:val="auto"/>
          <w:sz w:val="21"/>
        </w:rPr>
        <w:pict>
          <v:shape id="_x0000_s1124" o:spid="_x0000_s1124" o:spt="202" type="#_x0000_t202" style="position:absolute;left:0pt;margin-left:136.5pt;margin-top:10.05pt;height:51.05pt;width:24.15pt;z-index:251705344;mso-width-relative:page;mso-height-relative:page;" filled="f" stroked="f" coordsize="21600,21600">
            <v:path/>
            <v:fill on="f" focussize="0,0"/>
            <v:stroke on="f" weight="0.5pt"/>
            <v:imagedata o:title=""/>
            <o:lock v:ext="edit" aspectratio="f"/>
            <v:textbox>
              <w:txbxContent>
                <w:p w14:paraId="31F6E03F">
                  <w:pPr>
                    <w:rPr>
                      <w:rFonts w:hint="default" w:eastAsia="宋体"/>
                      <w:lang w:val="en-US" w:eastAsia="zh-CN"/>
                    </w:rPr>
                  </w:pPr>
                  <w:r>
                    <w:rPr>
                      <w:rFonts w:hint="eastAsia"/>
                      <w:lang w:val="en-US" w:eastAsia="zh-CN"/>
                    </w:rPr>
                    <w:t>拆解区</w:t>
                  </w:r>
                </w:p>
              </w:txbxContent>
            </v:textbox>
          </v:shape>
        </w:pict>
      </w:r>
    </w:p>
    <w:p w14:paraId="5DCB723D">
      <w:pPr>
        <w:bidi w:val="0"/>
        <w:rPr>
          <w:rFonts w:hint="eastAsia"/>
          <w:color w:val="auto"/>
          <w:lang w:val="en-US" w:eastAsia="zh-CN"/>
        </w:rPr>
      </w:pPr>
    </w:p>
    <w:p w14:paraId="2FD02972">
      <w:pPr>
        <w:bidi w:val="0"/>
        <w:rPr>
          <w:rFonts w:hint="eastAsia"/>
          <w:color w:val="auto"/>
          <w:lang w:val="en-US" w:eastAsia="zh-CN"/>
        </w:rPr>
      </w:pPr>
      <w:r>
        <w:rPr>
          <w:color w:val="auto"/>
          <w:sz w:val="21"/>
        </w:rPr>
        <w:pict>
          <v:shape id="_x0000_s1125" o:spid="_x0000_s1125" o:spt="202" type="#_x0000_t202" style="position:absolute;left:0pt;margin-left:182.5pt;margin-top:6.65pt;height:50.7pt;width:23.65pt;z-index:251704320;mso-width-relative:page;mso-height-relative:page;" filled="f" stroked="f" coordsize="21600,21600">
            <v:path/>
            <v:fill on="f" focussize="0,0"/>
            <v:stroke on="f" weight="0.5pt"/>
            <v:imagedata o:title=""/>
            <o:lock v:ext="edit" aspectratio="f"/>
            <v:textbox>
              <w:txbxContent>
                <w:p w14:paraId="5E96A97C">
                  <w:pPr>
                    <w:rPr>
                      <w:rFonts w:hint="default" w:eastAsia="宋体"/>
                      <w:sz w:val="13"/>
                      <w:szCs w:val="13"/>
                      <w:lang w:val="en-US" w:eastAsia="zh-CN"/>
                    </w:rPr>
                  </w:pPr>
                  <w:r>
                    <w:rPr>
                      <w:rFonts w:hint="eastAsia"/>
                      <w:sz w:val="13"/>
                      <w:szCs w:val="13"/>
                      <w:lang w:val="en-US" w:eastAsia="zh-CN"/>
                    </w:rPr>
                    <w:t>成品储存区</w:t>
                  </w:r>
                </w:p>
              </w:txbxContent>
            </v:textbox>
          </v:shape>
        </w:pict>
      </w:r>
    </w:p>
    <w:p w14:paraId="7F99AB20">
      <w:pPr>
        <w:bidi w:val="0"/>
        <w:rPr>
          <w:rFonts w:hint="eastAsia"/>
          <w:color w:val="auto"/>
          <w:lang w:val="en-US" w:eastAsia="zh-CN"/>
        </w:rPr>
      </w:pPr>
      <w:r>
        <w:rPr>
          <w:color w:val="auto"/>
          <w:sz w:val="21"/>
        </w:rPr>
        <w:pict>
          <v:shape id="_x0000_s1128" o:spid="_x0000_s1128" o:spt="202" type="#_x0000_t202" style="position:absolute;left:0pt;margin-left:322.9pt;margin-top:3.95pt;height:46.25pt;width:30.1pt;z-index:251699200;mso-width-relative:page;mso-height-relative:page;" filled="f" stroked="f" coordsize="21600,21600">
            <v:path/>
            <v:fill on="f" focussize="0,0"/>
            <v:stroke on="f" weight="0.5pt"/>
            <v:imagedata o:title=""/>
            <o:lock v:ext="edit" aspectratio="f"/>
            <v:textbox>
              <w:txbxContent>
                <w:p w14:paraId="5E31B929">
                  <w:pPr>
                    <w:rPr>
                      <w:rFonts w:hint="default" w:eastAsia="宋体"/>
                      <w:sz w:val="13"/>
                      <w:szCs w:val="13"/>
                      <w:lang w:val="en-US" w:eastAsia="zh-CN"/>
                    </w:rPr>
                  </w:pPr>
                  <w:r>
                    <w:rPr>
                      <w:rFonts w:hint="eastAsia"/>
                      <w:sz w:val="13"/>
                      <w:szCs w:val="13"/>
                      <w:lang w:val="en-US" w:eastAsia="zh-CN"/>
                    </w:rPr>
                    <w:t>一般固废暂存区</w:t>
                  </w:r>
                </w:p>
              </w:txbxContent>
            </v:textbox>
          </v:shape>
        </w:pict>
      </w:r>
      <w:r>
        <w:rPr>
          <w:color w:val="auto"/>
          <w:sz w:val="21"/>
        </w:rPr>
        <w:pict>
          <v:rect id="_x0000_s1117" o:spid="_x0000_s1117" o:spt="1" style="position:absolute;left:0pt;margin-left:329.6pt;margin-top:6.4pt;height:37.4pt;width:16.2pt;z-index:251692032;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rect>
        </w:pict>
      </w:r>
    </w:p>
    <w:p w14:paraId="181CB0D5">
      <w:pPr>
        <w:bidi w:val="0"/>
        <w:rPr>
          <w:rFonts w:hint="eastAsia"/>
          <w:color w:val="auto"/>
          <w:lang w:val="en-US" w:eastAsia="zh-CN"/>
        </w:rPr>
      </w:pPr>
    </w:p>
    <w:p w14:paraId="0DF5FCAA">
      <w:pPr>
        <w:bidi w:val="0"/>
        <w:rPr>
          <w:rFonts w:hint="eastAsia"/>
          <w:color w:val="auto"/>
          <w:lang w:val="en-US" w:eastAsia="zh-CN"/>
        </w:rPr>
      </w:pPr>
    </w:p>
    <w:p w14:paraId="30ED0212">
      <w:pPr>
        <w:bidi w:val="0"/>
        <w:rPr>
          <w:rFonts w:hint="eastAsia"/>
          <w:color w:val="auto"/>
          <w:lang w:val="en-US" w:eastAsia="zh-CN"/>
        </w:rPr>
      </w:pPr>
    </w:p>
    <w:p w14:paraId="2B3CB823">
      <w:pPr>
        <w:bidi w:val="0"/>
        <w:rPr>
          <w:rFonts w:hint="eastAsia"/>
          <w:color w:val="auto"/>
          <w:lang w:val="en-US" w:eastAsia="zh-CN"/>
        </w:rPr>
      </w:pPr>
    </w:p>
    <w:p w14:paraId="7EC1A72D">
      <w:pPr>
        <w:bidi w:val="0"/>
        <w:rPr>
          <w:rFonts w:hint="eastAsia"/>
          <w:color w:val="auto"/>
          <w:lang w:val="en-US" w:eastAsia="zh-CN"/>
        </w:rPr>
      </w:pPr>
    </w:p>
    <w:p w14:paraId="38B4489E">
      <w:pPr>
        <w:bidi w:val="0"/>
        <w:rPr>
          <w:rFonts w:hint="eastAsia"/>
          <w:color w:val="auto"/>
          <w:lang w:val="en-US" w:eastAsia="zh-CN"/>
        </w:rPr>
      </w:pPr>
    </w:p>
    <w:p w14:paraId="1541D086">
      <w:pPr>
        <w:bidi w:val="0"/>
        <w:rPr>
          <w:rFonts w:hint="eastAsia"/>
          <w:color w:val="auto"/>
          <w:lang w:val="en-US" w:eastAsia="zh-CN"/>
        </w:rPr>
      </w:pPr>
    </w:p>
    <w:p w14:paraId="22649267">
      <w:pPr>
        <w:bidi w:val="0"/>
        <w:rPr>
          <w:rFonts w:hint="eastAsia"/>
          <w:color w:val="auto"/>
          <w:lang w:val="en-US" w:eastAsia="zh-CN"/>
        </w:rPr>
      </w:pPr>
    </w:p>
    <w:p w14:paraId="76EF0D14">
      <w:pPr>
        <w:bidi w:val="0"/>
        <w:rPr>
          <w:rFonts w:hint="eastAsia"/>
          <w:color w:val="auto"/>
          <w:lang w:val="en-US" w:eastAsia="zh-CN"/>
        </w:rPr>
      </w:pPr>
    </w:p>
    <w:p w14:paraId="09ECD096">
      <w:pPr>
        <w:bidi w:val="0"/>
        <w:rPr>
          <w:rFonts w:hint="eastAsia"/>
          <w:color w:val="auto"/>
          <w:lang w:val="en-US" w:eastAsia="zh-CN"/>
        </w:rPr>
      </w:pPr>
    </w:p>
    <w:p w14:paraId="6E3ABA8A">
      <w:pPr>
        <w:bidi w:val="0"/>
        <w:rPr>
          <w:rFonts w:hint="eastAsia"/>
          <w:color w:val="auto"/>
          <w:lang w:val="en-US" w:eastAsia="zh-CN"/>
        </w:rPr>
      </w:pPr>
    </w:p>
    <w:p w14:paraId="756CB70A">
      <w:pPr>
        <w:bidi w:val="0"/>
        <w:rPr>
          <w:rFonts w:hint="eastAsia"/>
          <w:color w:val="auto"/>
          <w:lang w:val="en-US" w:eastAsia="zh-CN"/>
        </w:rPr>
      </w:pPr>
    </w:p>
    <w:p w14:paraId="50AA9BE0">
      <w:pPr>
        <w:bidi w:val="0"/>
        <w:rPr>
          <w:rFonts w:hint="eastAsia"/>
          <w:color w:val="auto"/>
          <w:lang w:val="en-US" w:eastAsia="zh-CN"/>
        </w:rPr>
      </w:pPr>
    </w:p>
    <w:p w14:paraId="0EC1889A">
      <w:pPr>
        <w:bidi w:val="0"/>
        <w:rPr>
          <w:rFonts w:hint="eastAsia"/>
          <w:color w:val="auto"/>
          <w:lang w:val="en-US" w:eastAsia="zh-CN"/>
        </w:rPr>
      </w:pPr>
    </w:p>
    <w:p w14:paraId="652084A2">
      <w:pPr>
        <w:bidi w:val="0"/>
        <w:rPr>
          <w:rFonts w:hint="eastAsia"/>
          <w:color w:val="auto"/>
          <w:lang w:val="en-US" w:eastAsia="zh-CN"/>
        </w:rPr>
      </w:pPr>
    </w:p>
    <w:p w14:paraId="12F3C059">
      <w:pPr>
        <w:bidi w:val="0"/>
        <w:rPr>
          <w:rFonts w:hint="eastAsia"/>
          <w:color w:val="auto"/>
          <w:lang w:val="en-US" w:eastAsia="zh-CN"/>
        </w:rPr>
      </w:pPr>
    </w:p>
    <w:p w14:paraId="2CC6A348">
      <w:pPr>
        <w:bidi w:val="0"/>
        <w:rPr>
          <w:rFonts w:hint="eastAsia"/>
          <w:color w:val="auto"/>
          <w:lang w:val="en-US" w:eastAsia="zh-CN"/>
        </w:rPr>
      </w:pPr>
    </w:p>
    <w:p w14:paraId="320121D7">
      <w:pPr>
        <w:bidi w:val="0"/>
        <w:rPr>
          <w:rFonts w:hint="eastAsia"/>
          <w:color w:val="auto"/>
          <w:lang w:val="en-US" w:eastAsia="zh-CN"/>
        </w:rPr>
      </w:pPr>
    </w:p>
    <w:p w14:paraId="07E99B7B">
      <w:pPr>
        <w:bidi w:val="0"/>
        <w:rPr>
          <w:rFonts w:hint="eastAsia"/>
          <w:color w:val="auto"/>
          <w:lang w:val="en-US" w:eastAsia="zh-CN"/>
        </w:rPr>
      </w:pPr>
    </w:p>
    <w:p w14:paraId="43B0E3F9">
      <w:pPr>
        <w:bidi w:val="0"/>
        <w:rPr>
          <w:rFonts w:hint="eastAsia"/>
          <w:color w:val="auto"/>
          <w:lang w:val="en-US" w:eastAsia="zh-CN"/>
        </w:rPr>
      </w:pPr>
    </w:p>
    <w:p w14:paraId="69EB9332">
      <w:pPr>
        <w:bidi w:val="0"/>
        <w:rPr>
          <w:rFonts w:hint="eastAsia"/>
          <w:color w:val="auto"/>
          <w:lang w:val="en-US" w:eastAsia="zh-CN"/>
        </w:rPr>
      </w:pPr>
    </w:p>
    <w:p w14:paraId="20B45DCB">
      <w:pPr>
        <w:bidi w:val="0"/>
        <w:rPr>
          <w:rFonts w:hint="eastAsia"/>
          <w:color w:val="auto"/>
          <w:lang w:val="en-US" w:eastAsia="zh-CN"/>
        </w:rPr>
      </w:pPr>
      <w:r>
        <w:rPr>
          <w:color w:val="auto"/>
          <w:sz w:val="21"/>
        </w:rPr>
        <w:pict>
          <v:shape id="_x0000_s1123" o:spid="_x0000_s1123" o:spt="202" type="#_x0000_t202" style="position:absolute;left:0pt;margin-left:194.3pt;margin-top:1.5pt;height:51.05pt;width:106.85pt;z-index:251708416;mso-width-relative:page;mso-height-relative:page;" filled="f" stroked="f" coordsize="21600,21600">
            <v:path/>
            <v:fill on="f" focussize="0,0"/>
            <v:stroke on="f" weight="0.5pt"/>
            <v:imagedata o:title=""/>
            <o:lock v:ext="edit" aspectratio="f"/>
            <v:textbox>
              <w:txbxContent>
                <w:p w14:paraId="7D9BCC10">
                  <w:pPr>
                    <w:rPr>
                      <w:rFonts w:hint="default" w:eastAsia="宋体"/>
                      <w:sz w:val="28"/>
                      <w:szCs w:val="28"/>
                      <w:lang w:val="en-US" w:eastAsia="zh-CN"/>
                    </w:rPr>
                  </w:pPr>
                  <w:r>
                    <w:rPr>
                      <w:rFonts w:hint="eastAsia"/>
                      <w:sz w:val="28"/>
                      <w:szCs w:val="28"/>
                      <w:lang w:val="en-US" w:eastAsia="zh-CN"/>
                    </w:rPr>
                    <w:t>废钢加工区</w:t>
                  </w:r>
                </w:p>
              </w:txbxContent>
            </v:textbox>
          </v:shape>
        </w:pict>
      </w:r>
    </w:p>
    <w:p w14:paraId="0DD1D9C9">
      <w:pPr>
        <w:bidi w:val="0"/>
        <w:rPr>
          <w:rFonts w:hint="eastAsia"/>
          <w:color w:val="auto"/>
          <w:lang w:val="en-US" w:eastAsia="zh-CN"/>
        </w:rPr>
      </w:pPr>
    </w:p>
    <w:p w14:paraId="378F209F">
      <w:pPr>
        <w:bidi w:val="0"/>
        <w:rPr>
          <w:rFonts w:hint="eastAsia"/>
          <w:color w:val="auto"/>
          <w:lang w:val="en-US" w:eastAsia="zh-CN"/>
        </w:rPr>
      </w:pPr>
    </w:p>
    <w:p w14:paraId="378842C5">
      <w:pPr>
        <w:bidi w:val="0"/>
        <w:rPr>
          <w:rFonts w:hint="eastAsia"/>
          <w:color w:val="auto"/>
          <w:lang w:val="en-US" w:eastAsia="zh-CN"/>
        </w:rPr>
      </w:pPr>
    </w:p>
    <w:p w14:paraId="3E5A1926">
      <w:pPr>
        <w:bidi w:val="0"/>
        <w:rPr>
          <w:rFonts w:hint="eastAsia"/>
          <w:color w:val="auto"/>
          <w:lang w:val="en-US" w:eastAsia="zh-CN"/>
        </w:rPr>
      </w:pPr>
    </w:p>
    <w:p w14:paraId="48A4EEF9">
      <w:pPr>
        <w:bidi w:val="0"/>
        <w:rPr>
          <w:rFonts w:hint="eastAsia"/>
          <w:color w:val="auto"/>
          <w:lang w:val="en-US" w:eastAsia="zh-CN"/>
        </w:rPr>
      </w:pPr>
    </w:p>
    <w:p w14:paraId="0F21693E">
      <w:pPr>
        <w:bidi w:val="0"/>
        <w:rPr>
          <w:rFonts w:hint="eastAsia"/>
          <w:color w:val="auto"/>
          <w:lang w:val="en-US" w:eastAsia="zh-CN"/>
        </w:rPr>
      </w:pPr>
    </w:p>
    <w:p w14:paraId="59836DB3">
      <w:pPr>
        <w:bidi w:val="0"/>
        <w:rPr>
          <w:rFonts w:hint="eastAsia"/>
          <w:color w:val="auto"/>
          <w:lang w:val="en-US" w:eastAsia="zh-CN"/>
        </w:rPr>
      </w:pPr>
    </w:p>
    <w:p w14:paraId="4E01B234">
      <w:pPr>
        <w:bidi w:val="0"/>
        <w:rPr>
          <w:rFonts w:hint="eastAsia"/>
          <w:color w:val="auto"/>
          <w:lang w:val="en-US" w:eastAsia="zh-CN"/>
        </w:rPr>
      </w:pPr>
    </w:p>
    <w:p w14:paraId="40A8BC99">
      <w:pPr>
        <w:bidi w:val="0"/>
        <w:rPr>
          <w:rFonts w:hint="eastAsia"/>
          <w:color w:val="auto"/>
          <w:lang w:val="en-US" w:eastAsia="zh-CN"/>
        </w:rPr>
      </w:pPr>
    </w:p>
    <w:p w14:paraId="26FD5F1C">
      <w:pPr>
        <w:bidi w:val="0"/>
        <w:rPr>
          <w:rFonts w:hint="eastAsia"/>
          <w:color w:val="auto"/>
          <w:lang w:val="en-US" w:eastAsia="zh-CN"/>
        </w:rPr>
      </w:pPr>
    </w:p>
    <w:p w14:paraId="3312CD8C">
      <w:pPr>
        <w:bidi w:val="0"/>
        <w:rPr>
          <w:rFonts w:hint="eastAsia"/>
          <w:color w:val="auto"/>
          <w:lang w:val="en-US" w:eastAsia="zh-CN"/>
        </w:rPr>
      </w:pPr>
    </w:p>
    <w:p w14:paraId="2820FC27">
      <w:pPr>
        <w:bidi w:val="0"/>
        <w:rPr>
          <w:rFonts w:hint="eastAsia"/>
          <w:color w:val="auto"/>
          <w:lang w:val="en-US" w:eastAsia="zh-CN"/>
        </w:rPr>
      </w:pPr>
    </w:p>
    <w:p w14:paraId="3BC50D0A">
      <w:pPr>
        <w:bidi w:val="0"/>
        <w:rPr>
          <w:rFonts w:hint="eastAsia"/>
          <w:color w:val="auto"/>
          <w:lang w:val="en-US" w:eastAsia="zh-CN"/>
        </w:rPr>
      </w:pPr>
      <w:r>
        <w:rPr>
          <w:color w:val="auto"/>
          <w:sz w:val="21"/>
        </w:rPr>
        <w:pict>
          <v:group id="_x0000_s1301" o:spid="_x0000_s1301" o:spt="203" style="position:absolute;left:0pt;margin-left:397.25pt;margin-top:4.1pt;height:42.4pt;width:48.8pt;z-index:251716608;mso-width-relative:page;mso-height-relative:page;" coordorigin="11549,2145524" coordsize="976,848">
            <o:lock v:ext="edit" aspectratio="f"/>
            <v:line id="_x0000_s1296" o:spid="_x0000_s1296" o:spt="20" style="position:absolute;left:11717;top:2145948;height:1;width:567;" fillcolor="#FFFFFF" filled="t" stroked="t" coordsize="21600,21600">
              <v:path arrowok="t"/>
              <v:fill on="t" color2="#FFFFFF" focussize="0,0"/>
              <v:stroke weight="1pt" color="#000000" endarrowwidth="narrow" endarrowlength="long"/>
              <v:imagedata o:title=""/>
              <o:lock v:ext="edit" aspectratio="f"/>
            </v:line>
            <v:line id="_x0000_s1297" o:spid="_x0000_s1297" o:spt="20" style="position:absolute;left:11717;top:2145836;flip:y;height:113;width:1;" fillcolor="#FFFFFF" filled="t" stroked="t" coordsize="21600,21600">
              <v:path arrowok="t"/>
              <v:fill on="t" color2="#FFFFFF" focussize="0,0"/>
              <v:stroke weight="1pt" color="#000000" endarrowwidth="narrow" endarrowlength="long"/>
              <v:imagedata o:title=""/>
              <o:lock v:ext="edit" aspectratio="f"/>
            </v:line>
            <v:line id="_x0000_s1298" o:spid="_x0000_s1298" o:spt="20" style="position:absolute;left:12283;top:2145836;flip:y;height:113;width:1;" filled="f" stroked="t" coordsize="21600,21600">
              <v:path arrowok="t"/>
              <v:fill on="f" focussize="0,0"/>
              <v:stroke weight="1pt" color="#000000" endarrowwidth="narrow" endarrowlength="long"/>
              <v:imagedata o:title=""/>
              <o:lock v:ext="edit" aspectratio="f"/>
            </v:line>
            <v:shape id="_x0000_s1299" o:spid="_x0000_s1299" o:spt="202" type="#_x0000_t202" style="position:absolute;left:11549;top:2145524;height:424;width:976;" filled="f" stroked="f" coordsize="21600,21600">
              <v:path/>
              <v:fill on="f" focussize="0,0"/>
              <v:stroke on="f" weight="0.5pt" endarrow="block" endarrowwidth="narrow" endarrowlength="long"/>
              <v:imagedata o:title=""/>
              <o:lock v:ext="edit" aspectratio="f"/>
              <v:textbox>
                <w:txbxContent>
                  <w:p w14:paraId="1C0449C7">
                    <w:pPr>
                      <w:rPr>
                        <w:rFonts w:hint="default" w:eastAsia="宋体"/>
                        <w:lang w:val="en-US" w:eastAsia="zh-CN"/>
                      </w:rPr>
                    </w:pPr>
                    <w:r>
                      <w:rPr>
                        <w:rFonts w:hint="eastAsia"/>
                        <w:lang w:val="en-US" w:eastAsia="zh-CN"/>
                      </w:rPr>
                      <w:t>8.33m</w:t>
                    </w:r>
                  </w:p>
                </w:txbxContent>
              </v:textbox>
            </v:shape>
            <v:shape id="_x0000_s1300" o:spid="_x0000_s1300" o:spt="202" type="#_x0000_t202" style="position:absolute;left:11549;top:2145948;height:424;width:976;" filled="f" stroked="f" coordsize="21600,21600">
              <v:path/>
              <v:fill on="f" focussize="0,0"/>
              <v:stroke on="f" weight="0.5pt"/>
              <v:imagedata o:title=""/>
              <o:lock v:ext="edit" aspectratio="f"/>
              <v:textbox>
                <w:txbxContent>
                  <w:p w14:paraId="7E5EC1BB">
                    <w:pPr>
                      <w:rPr>
                        <w:rFonts w:hint="default" w:eastAsia="宋体"/>
                        <w:lang w:val="en-US" w:eastAsia="zh-CN"/>
                      </w:rPr>
                    </w:pPr>
                  </w:p>
                </w:txbxContent>
              </v:textbox>
            </v:shape>
          </v:group>
        </w:pict>
      </w:r>
    </w:p>
    <w:p w14:paraId="1C6AA6EC">
      <w:pPr>
        <w:bidi w:val="0"/>
        <w:rPr>
          <w:rFonts w:hint="eastAsia"/>
          <w:color w:val="auto"/>
          <w:lang w:val="en-US" w:eastAsia="zh-CN"/>
        </w:rPr>
      </w:pPr>
    </w:p>
    <w:p w14:paraId="3B9A0529">
      <w:pPr>
        <w:bidi w:val="0"/>
        <w:rPr>
          <w:rFonts w:hint="eastAsia"/>
          <w:color w:val="auto"/>
          <w:lang w:val="en-US" w:eastAsia="zh-CN"/>
        </w:rPr>
      </w:pPr>
    </w:p>
    <w:p w14:paraId="559FE7F0">
      <w:pPr>
        <w:bidi w:val="0"/>
        <w:rPr>
          <w:rFonts w:hint="eastAsia"/>
          <w:color w:val="auto"/>
          <w:lang w:val="en-US" w:eastAsia="zh-CN"/>
        </w:rPr>
      </w:pPr>
    </w:p>
    <w:p w14:paraId="12B40D2E">
      <w:pPr>
        <w:bidi w:val="0"/>
        <w:rPr>
          <w:rFonts w:hint="eastAsia"/>
          <w:color w:val="auto"/>
          <w:lang w:val="en-US" w:eastAsia="zh-CN"/>
        </w:rPr>
      </w:pPr>
    </w:p>
    <w:p w14:paraId="58BF1081">
      <w:pPr>
        <w:bidi w:val="0"/>
        <w:rPr>
          <w:rFonts w:hint="eastAsia"/>
          <w:color w:val="auto"/>
          <w:lang w:val="en-US" w:eastAsia="zh-CN"/>
        </w:rPr>
      </w:pPr>
    </w:p>
    <w:p w14:paraId="429F9E87">
      <w:pPr>
        <w:bidi w:val="0"/>
        <w:rPr>
          <w:rFonts w:hint="eastAsia"/>
          <w:color w:val="auto"/>
          <w:lang w:val="en-US" w:eastAsia="zh-CN"/>
        </w:rPr>
      </w:pPr>
    </w:p>
    <w:p w14:paraId="3E4E9850">
      <w:pPr>
        <w:tabs>
          <w:tab w:val="left" w:pos="7715"/>
        </w:tabs>
        <w:bidi w:val="0"/>
        <w:jc w:val="left"/>
        <w:rPr>
          <w:rFonts w:hint="eastAsia"/>
          <w:color w:val="auto"/>
          <w:lang w:val="en-US" w:eastAsia="zh-CN"/>
        </w:rPr>
      </w:pPr>
      <w:r>
        <w:rPr>
          <w:rFonts w:hint="eastAsia"/>
          <w:color w:val="auto"/>
          <w:lang w:val="en-US" w:eastAsia="zh-CN"/>
        </w:rPr>
        <w:tab/>
      </w:r>
    </w:p>
    <w:p w14:paraId="38D3C2B7">
      <w:pPr>
        <w:tabs>
          <w:tab w:val="left" w:pos="7715"/>
        </w:tabs>
        <w:bidi w:val="0"/>
        <w:jc w:val="center"/>
        <w:rPr>
          <w:rFonts w:hint="default"/>
          <w:b/>
          <w:bCs/>
          <w:color w:val="auto"/>
          <w:sz w:val="24"/>
          <w:szCs w:val="24"/>
          <w:lang w:val="en-US" w:eastAsia="zh-CN"/>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sz w:val="24"/>
          <w:szCs w:val="24"/>
          <w:lang w:val="en-US" w:eastAsia="zh-CN"/>
        </w:rPr>
        <w:t>附图8  车间平面布置示意图</w:t>
      </w:r>
    </w:p>
    <w:p w14:paraId="161F432E">
      <w:pPr>
        <w:jc w:val="both"/>
        <w:rPr>
          <w:rFonts w:hint="default"/>
          <w:color w:val="auto"/>
          <w:lang w:val="en-US" w:eastAsia="zh-CN"/>
        </w:rPr>
      </w:pPr>
      <w:r>
        <w:rPr>
          <w:color w:val="auto"/>
          <w:sz w:val="18"/>
        </w:rPr>
        <w:pict>
          <v:group id="_x0000_s1346" o:spid="_x0000_s1346" o:spt="203" style="position:absolute;left:0pt;margin-left:19.65pt;margin-top:-19.8pt;height:443.8pt;width:602.5pt;z-index:251718656;mso-width-relative:page;mso-height-relative:page;" coordorigin="4316,1996638" coordsize="12050,8876">
            <o:lock v:ext="edit" aspectratio="f"/>
            <v:shape id="_x0000_s1149" o:spid="_x0000_s1149" o:spt="75" alt="指北针1" type="#_x0000_t75" style="position:absolute;left:15326;top:1996888;height:1020;width:1040;" filled="f" o:preferrelative="t" stroked="f" coordsize="21600,21600" o:gfxdata="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">
              <v:path/>
              <v:fill on="f" focussize="0,0"/>
              <v:stroke on="f"/>
              <v:imagedata r:id="rId34" o:title="指北针1"/>
              <o:lock v:ext="edit" aspectratio="t"/>
            </v:shape>
            <v:rect id="_x0000_s1134" o:spid="_x0000_s1134" o:spt="1" style="position:absolute;left:9635;top:1996876;height:386;width:741;" fillcolor="#FFFFFF" filled="t" stroked="f" coordsize="21600,21600">
              <v:path/>
              <v:fill on="t" color2="#FFFFFF" focussize="0,0"/>
              <v:stroke on="f" weight="0.5pt"/>
              <v:imagedata o:title=""/>
              <o:lock v:ext="edit" aspectratio="f"/>
            </v:rect>
            <v:shape id="任意多边形 2" o:spid="_x0000_s1315" o:spt="100" style="position:absolute;left:6339;top:1996954;height:8561;width:9733;" filled="f" stroked="t" coordsize="6180455,5500370" path="m351155,0l0,5227955,4984750,5500370,6180455,5092065,4454525,236855,351155,0xe">
              <v:path textboxrect="0,0,6180455,5500370" o:connectlocs="553,0;0,8233;7850,8662;9733,8019;7015,373;553,0" o:connectangles="0,0,0,0,0,0"/>
              <v:fill on="f" focussize="0,0"/>
              <v:stroke weight="1.5pt" color="#000000" joinstyle="round"/>
              <v:imagedata o:title=""/>
              <o:lock v:ext="edit" aspectratio="f"/>
              <v:textbox>
                <w:txbxContent>
                  <w:p w14:paraId="05368093">
                    <w:pPr>
                      <w:jc w:val="center"/>
                    </w:pPr>
                  </w:p>
                </w:txbxContent>
              </v:textbox>
            </v:shape>
            <v:shape id="任意多边形 3" o:spid="_x0000_s1316" style="position:absolute;left:6700;top:1998184;height:6518;width:2244;" filled="f" stroked="t" coordsize="1424940,4138930" path="m300990,0l0,4110355,400685,4138930,450850,3602355,1160145,3681095,1424940,92710,300990,0xe">
              <v:path o:connectlocs="474,0;0,6473;631,6518;710,5673;1827,5797;2244,146;474,0" o:connectangles="0,0,0,0,0,0,0"/>
              <v:fill on="f" focussize="0,0"/>
              <v:stroke weight="1.5pt" color="#000000" joinstyle="round"/>
              <v:imagedata o:title=""/>
              <o:lock v:ext="edit" aspectratio="f"/>
            </v:shape>
            <v:shape id="任意多边形 4" o:spid="_x0000_s1317" style="position:absolute;left:10873;top:1997304;height:812;width:1060;" filled="f" stroked="t" coordsize="673100,515620" path="m13970,0l0,200660,207645,200660,207645,286385,279400,286385,286385,515620,487045,515620,494030,314960,673100,314960,673100,21590,13970,0xe">
              <v:path o:connectlocs="22,0;0,316;327,316;327,451;440,451;451,812;767,812;778,496;1060,496;1060,34;22,0" o:connectangles="0,0,0,0,0,0,0,0,0,0,0"/>
              <v:fill on="f" focussize="0,0"/>
              <v:stroke weight="2pt" color="#000000" joinstyle="round"/>
              <v:imagedata o:title=""/>
              <o:lock v:ext="edit" aspectratio="f"/>
            </v:shape>
            <v:shape id="任意多边形 7" o:spid="_x0000_s1318" style="position:absolute;left:11452;top:2004799;height:633;width:1628;" filled="f" stroked="t" coordsize="1033780,401955" path="m0,322580l1029970,401955,1033780,215900,587375,185420,589280,36195,23495,0,0,322580xe">
              <v:path o:connectlocs="0,508;1622,633;1628,340;925,292;928,57;37,0;0,508" o:connectangles="0,0,0,0,0,0,0"/>
              <v:fill on="f" focussize="0,0"/>
              <v:stroke weight="2pt" color="#000000" joinstyle="round"/>
              <v:imagedata o:title=""/>
              <o:lock v:ext="edit" aspectratio="f"/>
            </v:shape>
            <v:rect id="矩形 8" o:spid="_x0000_s1319" o:spt="1" style="position:absolute;left:6914;top:1997171;height:266;width:259;v-text-anchor:middle;" filled="f" stroked="t" coordsize="21600,21600">
              <v:path/>
              <v:fill on="f" focussize="0,0"/>
              <v:stroke weight="2pt" color="#4F81BD" joinstyle="round"/>
              <v:imagedata o:title=""/>
              <o:lock v:ext="edit" aspectratio="f"/>
            </v:rect>
            <v:rect id="矩形 9" o:spid="_x0000_s1320" o:spt="1" style="position:absolute;left:6914;top:1997562;height:266;width:259;v-text-anchor:middle;" filled="f" stroked="t" coordsize="21600,21600">
              <v:path/>
              <v:fill on="f" focussize="0,0"/>
              <v:stroke weight="2pt" color="#C0504D" joinstyle="round"/>
              <v:imagedata o:title=""/>
              <o:lock v:ext="edit" aspectratio="f"/>
            </v:rect>
            <v:rect id="矩形 10" o:spid="_x0000_s1321" o:spt="1" style="position:absolute;left:6914;top:1997918;height:266;width:259;v-text-anchor:middle;" filled="f" stroked="t" coordsize="21600,21600">
              <v:path/>
              <v:fill on="f" focussize="0,0"/>
              <v:stroke weight="2pt" color="#00B0F0" joinstyle="round"/>
              <v:imagedata o:title=""/>
              <o:lock v:ext="edit" aspectratio="f"/>
            </v:rect>
            <v:shape id="任意多边形 12" o:spid="_x0000_s1322" style="position:absolute;left:6676;top:1997138;height:8188;width:6510;" filled="f" stroked="t" coordsize="4133850,5199380" path="m387985,0l342900,628650,1468755,734060,1197610,4367530,478155,4292600,429260,4822825,7620,4789170,0,4951095,3001010,5199380,3030855,4834255,3644265,4883150,3641090,5033645,4119245,5067935,4133850,4706620,1750695,4521835,1649095,4371340,1920240,1010920,2119630,864235,2741295,897890,3520440,649605,3554095,186690,3350895,179070,3350895,434975,3177540,442595,3173730,638175,2914015,634365,2906395,412750,2839085,412750,2839085,321945,2635885,318135,2646680,92710,387985,0xe">
              <v:path o:connectlocs="611,0;540,990;2313,1156;1886,6878;753,6760;676,7595;12,7542;0,7797;4726,8188;4773,7613;5739,7690;5734,7927;6487,7981;6510,7412;2757,7121;2597,6884;3024,1592;3338,1361;4317,1414;5544,1023;5597,294;5277,282;5277,685;5004,697;4998,1005;4589,999;4577,650;4471,650;4471,507;4151,501;4168,146;611,0" o:connectangles="0,0,0,0,0,0,0,0,0,0,0,0,0,0,0,0,0,0,0,0,0,0,0,0,0,0,0,0,0,0,0,0"/>
              <v:fill on="f" focussize="0,0"/>
              <v:stroke weight="2pt" color="#00B050" joinstyle="round"/>
              <v:imagedata o:title=""/>
              <o:lock v:ext="edit" aspectratio="f"/>
            </v:shape>
            <v:shape id="文本框 13" o:spid="_x0000_s1323" o:spt="202" type="#_x0000_t202" style="position:absolute;left:8944;top:1999382;height:2350;width:656;rotation:262144f;" filled="f" stroked="f" coordsize="21600,21600">
              <v:path/>
              <v:fill on="f" focussize="0,0"/>
              <v:stroke on="f" weight="0.5pt"/>
              <v:imagedata o:title=""/>
              <o:lock v:ext="edit" aspectratio="f"/>
              <v:textbox>
                <w:txbxContent>
                  <w:p w14:paraId="70594B89">
                    <w:pPr>
                      <w:ind w:left="0" w:leftChars="0" w:firstLine="0" w:firstLineChars="0"/>
                      <w:rPr>
                        <w:rFonts w:hint="eastAsia"/>
                        <w:lang w:val="en-US" w:eastAsia="zh-CN"/>
                      </w:rPr>
                    </w:pPr>
                    <w:r>
                      <w:rPr>
                        <w:rFonts w:hint="eastAsia"/>
                        <w:lang w:val="en-US" w:eastAsia="zh-CN"/>
                      </w:rPr>
                      <w:t>车</w:t>
                    </w:r>
                  </w:p>
                  <w:p w14:paraId="09AC5ED2">
                    <w:pPr>
                      <w:ind w:left="0" w:leftChars="0" w:firstLine="0" w:firstLineChars="0"/>
                      <w:rPr>
                        <w:rFonts w:hint="eastAsia"/>
                        <w:lang w:val="en-US" w:eastAsia="zh-CN"/>
                      </w:rPr>
                    </w:pPr>
                    <w:r>
                      <w:rPr>
                        <w:rFonts w:hint="eastAsia"/>
                        <w:lang w:val="en-US" w:eastAsia="zh-CN"/>
                      </w:rPr>
                      <w:t>辆</w:t>
                    </w:r>
                  </w:p>
                  <w:p w14:paraId="5CB08767">
                    <w:pPr>
                      <w:ind w:left="0" w:leftChars="0" w:firstLine="0" w:firstLineChars="0"/>
                      <w:rPr>
                        <w:rFonts w:hint="eastAsia"/>
                        <w:lang w:val="en-US" w:eastAsia="zh-CN"/>
                      </w:rPr>
                    </w:pPr>
                    <w:r>
                      <w:rPr>
                        <w:rFonts w:hint="eastAsia"/>
                        <w:lang w:val="en-US" w:eastAsia="zh-CN"/>
                      </w:rPr>
                      <w:t>暂</w:t>
                    </w:r>
                  </w:p>
                  <w:p w14:paraId="24F1978A">
                    <w:pPr>
                      <w:ind w:left="0" w:leftChars="0" w:firstLine="0" w:firstLineChars="0"/>
                      <w:rPr>
                        <w:rFonts w:hint="eastAsia"/>
                        <w:lang w:val="en-US" w:eastAsia="zh-CN"/>
                      </w:rPr>
                    </w:pPr>
                    <w:r>
                      <w:rPr>
                        <w:rFonts w:hint="eastAsia"/>
                        <w:lang w:val="en-US" w:eastAsia="zh-CN"/>
                      </w:rPr>
                      <w:t>存</w:t>
                    </w:r>
                  </w:p>
                  <w:p w14:paraId="2AF2A7BD">
                    <w:pPr>
                      <w:ind w:left="0" w:leftChars="0" w:firstLine="0" w:firstLineChars="0"/>
                      <w:rPr>
                        <w:rFonts w:hint="default" w:eastAsia="宋体"/>
                        <w:lang w:val="en-US" w:eastAsia="zh-CN"/>
                      </w:rPr>
                    </w:pPr>
                    <w:r>
                      <w:rPr>
                        <w:rFonts w:hint="eastAsia"/>
                        <w:lang w:val="en-US" w:eastAsia="zh-CN"/>
                      </w:rPr>
                      <w:t>区</w:t>
                    </w:r>
                  </w:p>
                </w:txbxContent>
              </v:textbox>
            </v:shape>
            <v:shape id="文本框 14" o:spid="_x0000_s1324" o:spt="202" type="#_x0000_t202" style="position:absolute;left:7542;top:1999578;height:2350;width:656;rotation:262144f;" filled="f" stroked="f" coordsize="21600,21600">
              <v:path/>
              <v:fill on="f" focussize="0,0"/>
              <v:stroke on="f" weight="0.5pt"/>
              <v:imagedata o:title=""/>
              <o:lock v:ext="edit" aspectratio="f"/>
              <v:textbox>
                <w:txbxContent>
                  <w:p w14:paraId="3347E31B">
                    <w:pPr>
                      <w:ind w:left="0" w:leftChars="0" w:firstLine="0" w:firstLineChars="0"/>
                      <w:rPr>
                        <w:rFonts w:hint="default" w:eastAsia="宋体"/>
                        <w:lang w:val="en-US" w:eastAsia="zh-CN"/>
                      </w:rPr>
                    </w:pPr>
                    <w:r>
                      <w:rPr>
                        <w:rFonts w:hint="eastAsia"/>
                        <w:lang w:val="en-US" w:eastAsia="zh-CN"/>
                      </w:rPr>
                      <w:t>生产车间</w:t>
                    </w:r>
                  </w:p>
                </w:txbxContent>
              </v:textbox>
            </v:shape>
            <v:shape id="文本框 15" o:spid="_x0000_s1325" o:spt="202" type="#_x0000_t202" style="position:absolute;left:11056;top:1997341;height:420;width:1065;rotation:262144f;" filled="f" stroked="f" coordsize="21600,21600">
              <v:path/>
              <v:fill on="f" focussize="0,0"/>
              <v:stroke on="f" weight="0.5pt"/>
              <v:imagedata o:title=""/>
              <o:lock v:ext="edit" aspectratio="f"/>
              <v:textbox>
                <w:txbxContent>
                  <w:p w14:paraId="2CC95664">
                    <w:pPr>
                      <w:ind w:left="0" w:leftChars="0" w:firstLine="0" w:firstLineChars="0"/>
                      <w:rPr>
                        <w:rFonts w:hint="default" w:eastAsia="宋体"/>
                        <w:lang w:val="en-US" w:eastAsia="zh-CN"/>
                      </w:rPr>
                    </w:pPr>
                    <w:r>
                      <w:rPr>
                        <w:rFonts w:hint="eastAsia"/>
                        <w:lang w:val="en-US" w:eastAsia="zh-CN"/>
                      </w:rPr>
                      <w:t>办公区</w:t>
                    </w:r>
                  </w:p>
                </w:txbxContent>
              </v:textbox>
            </v:shape>
            <v:shape id="文本框 16" o:spid="_x0000_s1326" o:spt="202" type="#_x0000_t202" style="position:absolute;left:11411;top:2004962;height:420;width:1449;rotation:262144f;" filled="f" stroked="f" coordsize="21600,21600">
              <v:path/>
              <v:fill on="f" focussize="0,0"/>
              <v:stroke on="f" weight="0.5pt"/>
              <v:imagedata o:title=""/>
              <o:lock v:ext="edit" aspectratio="f"/>
              <v:textbox>
                <w:txbxContent>
                  <w:p w14:paraId="0845BD00">
                    <w:pPr>
                      <w:ind w:left="0" w:leftChars="0" w:firstLine="0" w:firstLineChars="0"/>
                      <w:rPr>
                        <w:rFonts w:hint="default" w:eastAsia="宋体"/>
                        <w:lang w:val="en-US" w:eastAsia="zh-CN"/>
                      </w:rPr>
                    </w:pPr>
                    <w:r>
                      <w:rPr>
                        <w:rFonts w:hint="eastAsia"/>
                        <w:lang w:val="en-US" w:eastAsia="zh-CN"/>
                      </w:rPr>
                      <w:t>宿舍食堂</w:t>
                    </w:r>
                  </w:p>
                </w:txbxContent>
              </v:textbox>
            </v:shape>
            <v:shape id="同心圆 17" o:spid="_x0000_s1327" o:spt="23" type="#_x0000_t23" style="position:absolute;left:7461;top:2003920;height:142;width:142;v-text-anchor:middle;" filled="f" stroked="t" coordsize="21600,21600" adj="5400">
              <v:path/>
              <v:fill on="f" focussize="0,0"/>
              <v:stroke weight="0.5pt" color="#FF0000" joinstyle="round"/>
              <v:imagedata o:title=""/>
              <o:lock v:ext="edit" aspectratio="f"/>
            </v:shape>
            <v:shape id="同心圆 18" o:spid="_x0000_s1328" o:spt="23" type="#_x0000_t23" style="position:absolute;left:7603;top:1998045;height:142;width:142;v-text-anchor:middle;" filled="f" stroked="t" coordsize="21600,21600" adj="5400">
              <v:path/>
              <v:fill on="f" focussize="0,0"/>
              <v:stroke weight="0.5pt" color="#FF0000" joinstyle="round"/>
              <v:imagedata o:title=""/>
              <o:lock v:ext="edit" aspectratio="f"/>
            </v:shape>
            <v:shape id="同心圆 19" o:spid="_x0000_s1329" o:spt="23" type="#_x0000_t23" style="position:absolute;left:7939;top:1998045;height:142;width:142;v-text-anchor:middle;" filled="f" stroked="t" coordsize="21600,21600" adj="5400">
              <v:path/>
              <v:fill on="f" focussize="0,0"/>
              <v:stroke weight="0.5pt" color="#FF0000" joinstyle="round"/>
              <v:imagedata o:title=""/>
              <o:lock v:ext="edit" aspectratio="f"/>
            </v:shape>
            <v:shape id="禁止符 20" o:spid="_x0000_s1330" o:spt="57" type="#_x0000_t57" style="position:absolute;left:8279;top:1997029;height:142;width:142;v-text-anchor:middle;" filled="f" stroked="t" coordsize="21600,21600" adj="4050">
              <v:path/>
              <v:fill on="f" focussize="0,0"/>
              <v:stroke weight="0.5pt" color="#00B0F0" joinstyle="round"/>
              <v:imagedata o:title=""/>
              <o:lock v:ext="edit" aspectratio="f"/>
              <v:textbox>
                <w:txbxContent>
                  <w:p w14:paraId="5ACBD2C2"/>
                </w:txbxContent>
              </v:textbox>
            </v:shape>
            <v:shape id="禁止符 21" o:spid="_x0000_s1331" o:spt="57" type="#_x0000_t57" style="position:absolute;left:7461;top:1996996;height:142;width:142;v-text-anchor:middle;" filled="f" stroked="t" coordsize="21600,21600" adj="4050">
              <v:path/>
              <v:fill on="f" focussize="0,0"/>
              <v:stroke weight="0.5pt" color="#FFC000" joinstyle="round"/>
              <v:imagedata o:title=""/>
              <o:lock v:ext="edit" aspectratio="f"/>
            </v:shape>
            <v:shape id="_x0000_s1333" o:spid="_x0000_s1333" o:spt="202" type="#_x0000_t202" style="position:absolute;left:8081;top:1997850;height:391;width:989;" filled="f" stroked="f" coordsize="21600,21600">
              <v:path/>
              <v:fill on="f" focussize="0,0"/>
              <v:stroke on="f" weight="0.5pt" endarrow="block" endarrowwidth="narrow" endarrowlength="long"/>
              <v:imagedata o:title=""/>
              <o:lock v:ext="edit" aspectratio="f"/>
              <v:textbox>
                <w:txbxContent>
                  <w:p w14:paraId="0ACC7981">
                    <w:pPr>
                      <w:rPr>
                        <w:rFonts w:hint="default" w:eastAsia="宋体"/>
                        <w:lang w:val="en-US" w:eastAsia="zh-CN"/>
                      </w:rPr>
                    </w:pPr>
                    <w:r>
                      <w:rPr>
                        <w:rFonts w:hint="eastAsia"/>
                        <w:sz w:val="18"/>
                        <w:szCs w:val="18"/>
                        <w:lang w:val="en-US" w:eastAsia="zh-CN"/>
                      </w:rPr>
                      <w:t>DA001</w:t>
                    </w:r>
                  </w:p>
                </w:txbxContent>
              </v:textbox>
            </v:shape>
            <v:shape id="_x0000_s1334" o:spid="_x0000_s1334" o:spt="202" type="#_x0000_t202" style="position:absolute;left:7251;top:1997713;height:391;width:989;" filled="f" stroked="f" coordsize="21600,21600">
              <v:path/>
              <v:fill on="f" focussize="0,0"/>
              <v:stroke on="f" weight="0.5pt"/>
              <v:imagedata o:title=""/>
              <o:lock v:ext="edit" aspectratio="f"/>
              <v:textbox>
                <w:txbxContent>
                  <w:p w14:paraId="129EB7A8">
                    <w:pPr>
                      <w:rPr>
                        <w:rFonts w:hint="default" w:eastAsia="宋体"/>
                        <w:sz w:val="18"/>
                        <w:szCs w:val="18"/>
                        <w:lang w:val="en-US" w:eastAsia="zh-CN"/>
                      </w:rPr>
                    </w:pPr>
                    <w:r>
                      <w:rPr>
                        <w:rFonts w:hint="eastAsia"/>
                        <w:sz w:val="18"/>
                        <w:szCs w:val="18"/>
                        <w:lang w:val="en-US" w:eastAsia="zh-CN"/>
                      </w:rPr>
                      <w:t>DA002</w:t>
                    </w:r>
                  </w:p>
                </w:txbxContent>
              </v:textbox>
            </v:shape>
            <v:shape id="_x0000_s1335" o:spid="_x0000_s1335" o:spt="202" type="#_x0000_t202" style="position:absolute;left:7432;top:2004062;height:391;width:989;" filled="f" stroked="f" coordsize="21600,21600">
              <v:path/>
              <v:fill on="f" focussize="0,0"/>
              <v:stroke on="f" weight="0.5pt"/>
              <v:imagedata o:title=""/>
              <o:lock v:ext="edit" aspectratio="f"/>
              <v:textbox>
                <w:txbxContent>
                  <w:p w14:paraId="73D8C976">
                    <w:pPr>
                      <w:rPr>
                        <w:rFonts w:hint="default" w:eastAsia="宋体"/>
                        <w:lang w:val="en-US" w:eastAsia="zh-CN"/>
                      </w:rPr>
                    </w:pPr>
                    <w:r>
                      <w:rPr>
                        <w:rFonts w:hint="eastAsia"/>
                        <w:sz w:val="18"/>
                        <w:szCs w:val="18"/>
                        <w:lang w:val="en-US" w:eastAsia="zh-CN"/>
                      </w:rPr>
                      <w:t>DA003</w:t>
                    </w:r>
                  </w:p>
                </w:txbxContent>
              </v:textbox>
            </v:shape>
            <v:shape id="_x0000_s1336" o:spid="_x0000_s1336" o:spt="202" type="#_x0000_t202" style="position:absolute;left:7955;top:1996747;height:391;width:989;" filled="f" stroked="f" coordsize="21600,21600">
              <v:path/>
              <v:fill on="f" focussize="0,0"/>
              <v:stroke on="f" weight="0.5pt"/>
              <v:imagedata o:title=""/>
              <o:lock v:ext="edit" aspectratio="f"/>
              <v:textbox>
                <w:txbxContent>
                  <w:p w14:paraId="2086A46D">
                    <w:pPr>
                      <w:rPr>
                        <w:rFonts w:hint="default" w:eastAsia="宋体"/>
                        <w:lang w:val="en-US" w:eastAsia="zh-CN"/>
                      </w:rPr>
                    </w:pPr>
                    <w:r>
                      <w:rPr>
                        <w:rFonts w:hint="eastAsia"/>
                        <w:sz w:val="18"/>
                        <w:szCs w:val="18"/>
                        <w:lang w:val="en-US" w:eastAsia="zh-CN"/>
                      </w:rPr>
                      <w:t>DW001</w:t>
                    </w:r>
                  </w:p>
                </w:txbxContent>
              </v:textbox>
            </v:shape>
            <v:shape id="_x0000_s1337" o:spid="_x0000_s1337" o:spt="202" type="#_x0000_t202" style="position:absolute;left:7092;top:1996638;height:391;width:989;" filled="f" stroked="f" coordsize="21600,21600">
              <v:path/>
              <v:fill on="f" focussize="0,0"/>
              <v:stroke on="f" weight="0.5pt"/>
              <v:imagedata o:title=""/>
              <o:lock v:ext="edit" aspectratio="f"/>
              <v:textbox>
                <w:txbxContent>
                  <w:p w14:paraId="747D615C">
                    <w:pPr>
                      <w:rPr>
                        <w:rFonts w:hint="default" w:eastAsia="宋体"/>
                        <w:lang w:val="en-US" w:eastAsia="zh-CN"/>
                      </w:rPr>
                    </w:pPr>
                    <w:r>
                      <w:rPr>
                        <w:rFonts w:hint="eastAsia"/>
                        <w:sz w:val="18"/>
                        <w:szCs w:val="18"/>
                        <w:lang w:val="en-US" w:eastAsia="zh-CN"/>
                      </w:rPr>
                      <w:t>YS001</w:t>
                    </w:r>
                  </w:p>
                </w:txbxContent>
              </v:textbox>
            </v:shape>
            <v:line id="_x0000_s1340" o:spid="_x0000_s1340" o:spt="20" style="position:absolute;left:6204;top:1998119;flip:x;height:531;width:888;" fillcolor="#FFFFFF" filled="t" stroked="t" coordsize="21600,21600">
              <v:path arrowok="t"/>
              <v:fill on="t" color2="#FFFFFF" focussize="0,0"/>
              <v:stroke weight="0.5pt" color="#000000" endarrow="open" endarrowwidth="narrow" endarrowlength="long"/>
              <v:imagedata o:title=""/>
              <o:lock v:ext="edit" aspectratio="f"/>
            </v:line>
            <v:shape id="_x0000_s1341" o:spid="_x0000_s1341" o:spt="202" type="#_x0000_t202" style="position:absolute;left:4810;top:1998411;height:697;width:1360;" fillcolor="#FFFFFF" filled="t" stroked="t" coordsize="21600,21600">
              <v:path/>
              <v:fill on="t" color2="#FFFFFF" focussize="0,0"/>
              <v:stroke weight="0.5pt" color="#000000" endarrow="block" endarrowwidth="narrow" endarrowlength="long"/>
              <v:imagedata o:title=""/>
              <o:lock v:ext="edit" aspectratio="f"/>
              <v:textbox>
                <w:txbxContent>
                  <w:p w14:paraId="1FD34669">
                    <w:pPr>
                      <w:rPr>
                        <w:rFonts w:hint="default" w:eastAsia="宋体"/>
                        <w:lang w:val="en-US" w:eastAsia="zh-CN"/>
                      </w:rPr>
                    </w:pPr>
                    <w:r>
                      <w:rPr>
                        <w:rFonts w:hint="eastAsia"/>
                        <w:lang w:val="en-US" w:eastAsia="zh-CN"/>
                      </w:rPr>
                      <w:t>一体化污水处理设施</w:t>
                    </w:r>
                  </w:p>
                </w:txbxContent>
              </v:textbox>
            </v:shape>
            <v:line id="_x0000_s1342" o:spid="_x0000_s1342" o:spt="20" style="position:absolute;left:5676;top:1997713;flip:x;height:169;width:1326;" filled="f" stroked="t" coordsize="21600,21600">
              <v:path arrowok="t"/>
              <v:fill on="f" focussize="0,0"/>
              <v:stroke weight="0.5pt" color="#000000" endarrow="open" endarrowwidth="narrow" endarrowlength="long"/>
              <v:imagedata o:title=""/>
              <o:lock v:ext="edit" aspectratio="f"/>
            </v:line>
            <v:shape id="_x0000_s1343" o:spid="_x0000_s1343" o:spt="202" type="#_x0000_t202" style="position:absolute;left:4316;top:1997684;height:396;width:1360;" fillcolor="#FFFFFF" filled="t" stroked="t" coordsize="21600,21600">
              <v:path/>
              <v:fill on="t" color2="#FFFFFF" focussize="0,0"/>
              <v:stroke weight="0.5pt" color="#000000" joinstyle="miter" endarrow="block" endarrowwidth="narrow" endarrowlength="long"/>
              <v:imagedata o:title=""/>
              <o:lock v:ext="edit" aspectratio="f"/>
              <v:textbox>
                <w:txbxContent>
                  <w:p w14:paraId="2FD63464">
                    <w:pPr>
                      <w:rPr>
                        <w:rFonts w:hint="default" w:eastAsia="宋体"/>
                        <w:lang w:val="en-US" w:eastAsia="zh-CN"/>
                      </w:rPr>
                    </w:pPr>
                    <w:r>
                      <w:rPr>
                        <w:rFonts w:hint="eastAsia"/>
                        <w:lang w:val="en-US" w:eastAsia="zh-CN"/>
                      </w:rPr>
                      <w:t>雨水收集池</w:t>
                    </w:r>
                  </w:p>
                </w:txbxContent>
              </v:textbox>
            </v:shape>
            <v:line id="_x0000_s1344" o:spid="_x0000_s1344" o:spt="20" style="position:absolute;left:5766;top:1997304;flip:x;height:169;width:1326;" filled="f" stroked="t" coordsize="21600,21600">
              <v:path arrowok="t"/>
              <v:fill on="f" focussize="0,0"/>
              <v:stroke weight="0.5pt" color="#000000" endarrow="open" endarrowwidth="narrow" endarrowlength="long"/>
              <v:imagedata o:title=""/>
              <o:lock v:ext="edit" aspectratio="f"/>
            </v:line>
            <v:shape id="_x0000_s1345" o:spid="_x0000_s1345" o:spt="202" type="#_x0000_t202" style="position:absolute;left:4406;top:1997138;height:396;width:1360;" fillcolor="#FFFFFF" filled="t" stroked="t" coordsize="21600,21600">
              <v:path/>
              <v:fill on="t" color2="#FFFFFF" focussize="0,0"/>
              <v:stroke weight="0.5pt" color="#000000" joinstyle="miter" endarrow="block" endarrowwidth="narrow" endarrowlength="long"/>
              <v:imagedata o:title=""/>
              <o:lock v:ext="edit" aspectratio="f"/>
              <v:textbox>
                <w:txbxContent>
                  <w:p w14:paraId="2CD21E03">
                    <w:pPr>
                      <w:rPr>
                        <w:rFonts w:hint="default" w:eastAsia="宋体"/>
                        <w:lang w:val="en-US" w:eastAsia="zh-CN"/>
                      </w:rPr>
                    </w:pPr>
                    <w:r>
                      <w:rPr>
                        <w:rFonts w:hint="eastAsia"/>
                        <w:lang w:val="en-US" w:eastAsia="zh-CN"/>
                      </w:rPr>
                      <w:t>事故水池</w:t>
                    </w:r>
                  </w:p>
                </w:txbxContent>
              </v:textbox>
            </v:shape>
          </v:group>
        </w:pict>
      </w:r>
    </w:p>
    <w:p w14:paraId="390A67EE">
      <w:pPr>
        <w:bidi w:val="0"/>
        <w:jc w:val="center"/>
        <w:rPr>
          <w:rFonts w:hint="eastAsia"/>
          <w:color w:val="auto"/>
          <w:lang w:val="en-US" w:eastAsia="zh-CN"/>
        </w:rPr>
      </w:pPr>
    </w:p>
    <w:p w14:paraId="4A76C497">
      <w:pPr>
        <w:pStyle w:val="17"/>
        <w:rPr>
          <w:rFonts w:hint="eastAsia"/>
          <w:color w:val="auto"/>
          <w:lang w:val="en-US" w:eastAsia="zh-CN"/>
        </w:rPr>
      </w:pPr>
    </w:p>
    <w:p w14:paraId="42F84EAB">
      <w:pPr>
        <w:pStyle w:val="17"/>
        <w:rPr>
          <w:rFonts w:hint="eastAsia"/>
          <w:color w:val="auto"/>
          <w:lang w:val="en-US" w:eastAsia="zh-CN"/>
        </w:rPr>
      </w:pPr>
    </w:p>
    <w:p w14:paraId="5845DEAE">
      <w:pPr>
        <w:pStyle w:val="17"/>
        <w:rPr>
          <w:rFonts w:hint="eastAsia"/>
          <w:color w:val="auto"/>
          <w:lang w:val="en-US" w:eastAsia="zh-CN"/>
        </w:rPr>
      </w:pPr>
    </w:p>
    <w:p w14:paraId="154B54EC">
      <w:pPr>
        <w:pStyle w:val="17"/>
        <w:rPr>
          <w:rFonts w:hint="eastAsia"/>
          <w:color w:val="auto"/>
          <w:lang w:val="en-US" w:eastAsia="zh-CN"/>
        </w:rPr>
      </w:pPr>
    </w:p>
    <w:p w14:paraId="5884B69B">
      <w:pPr>
        <w:pStyle w:val="17"/>
        <w:rPr>
          <w:rFonts w:hint="eastAsia"/>
          <w:color w:val="auto"/>
          <w:lang w:val="en-US" w:eastAsia="zh-CN"/>
        </w:rPr>
      </w:pPr>
    </w:p>
    <w:p w14:paraId="04239B43">
      <w:pPr>
        <w:pStyle w:val="17"/>
        <w:rPr>
          <w:rFonts w:hint="eastAsia"/>
          <w:color w:val="auto"/>
          <w:lang w:val="en-US" w:eastAsia="zh-CN"/>
        </w:rPr>
      </w:pPr>
    </w:p>
    <w:p w14:paraId="5973730A">
      <w:pPr>
        <w:pStyle w:val="17"/>
        <w:rPr>
          <w:rFonts w:hint="eastAsia"/>
          <w:color w:val="auto"/>
          <w:lang w:val="en-US" w:eastAsia="zh-CN"/>
        </w:rPr>
      </w:pPr>
    </w:p>
    <w:p w14:paraId="1BB5A701">
      <w:pPr>
        <w:pStyle w:val="17"/>
        <w:rPr>
          <w:rFonts w:hint="eastAsia"/>
          <w:color w:val="auto"/>
          <w:lang w:val="en-US" w:eastAsia="zh-CN"/>
        </w:rPr>
      </w:pPr>
    </w:p>
    <w:p w14:paraId="0982874E">
      <w:pPr>
        <w:pStyle w:val="17"/>
        <w:rPr>
          <w:rFonts w:hint="eastAsia"/>
          <w:color w:val="auto"/>
          <w:lang w:val="en-US" w:eastAsia="zh-CN"/>
        </w:rPr>
      </w:pPr>
    </w:p>
    <w:p w14:paraId="35FFA08A">
      <w:pPr>
        <w:pStyle w:val="17"/>
        <w:rPr>
          <w:rFonts w:hint="eastAsia"/>
          <w:color w:val="auto"/>
          <w:lang w:val="en-US" w:eastAsia="zh-CN"/>
        </w:rPr>
      </w:pPr>
    </w:p>
    <w:p w14:paraId="16E27A89">
      <w:pPr>
        <w:pStyle w:val="17"/>
        <w:rPr>
          <w:rFonts w:hint="eastAsia"/>
          <w:color w:val="auto"/>
          <w:lang w:val="en-US" w:eastAsia="zh-CN"/>
        </w:rPr>
      </w:pPr>
    </w:p>
    <w:p w14:paraId="3478E51B">
      <w:pPr>
        <w:pStyle w:val="17"/>
        <w:rPr>
          <w:rFonts w:hint="eastAsia"/>
          <w:color w:val="auto"/>
          <w:lang w:val="en-US" w:eastAsia="zh-CN"/>
        </w:rPr>
      </w:pPr>
    </w:p>
    <w:p w14:paraId="3CE2AA37">
      <w:pPr>
        <w:pStyle w:val="17"/>
        <w:rPr>
          <w:rFonts w:hint="eastAsia"/>
          <w:color w:val="auto"/>
          <w:lang w:val="en-US" w:eastAsia="zh-CN"/>
        </w:rPr>
      </w:pPr>
    </w:p>
    <w:p w14:paraId="60B348EB">
      <w:pPr>
        <w:pStyle w:val="17"/>
        <w:rPr>
          <w:rFonts w:hint="eastAsia"/>
          <w:color w:val="auto"/>
          <w:lang w:val="en-US" w:eastAsia="zh-CN"/>
        </w:rPr>
      </w:pPr>
    </w:p>
    <w:p w14:paraId="600492D7">
      <w:pPr>
        <w:pStyle w:val="17"/>
        <w:rPr>
          <w:rFonts w:hint="eastAsia"/>
          <w:color w:val="auto"/>
          <w:lang w:val="en-US" w:eastAsia="zh-CN"/>
        </w:rPr>
      </w:pPr>
    </w:p>
    <w:p w14:paraId="7C6F186C">
      <w:pPr>
        <w:pStyle w:val="17"/>
        <w:rPr>
          <w:rFonts w:hint="eastAsia"/>
          <w:color w:val="auto"/>
          <w:lang w:val="en-US" w:eastAsia="zh-CN"/>
        </w:rPr>
      </w:pPr>
    </w:p>
    <w:p w14:paraId="123AFB3F">
      <w:pPr>
        <w:pStyle w:val="17"/>
        <w:rPr>
          <w:rFonts w:hint="eastAsia"/>
          <w:color w:val="auto"/>
          <w:lang w:val="en-US" w:eastAsia="zh-CN"/>
        </w:rPr>
      </w:pPr>
    </w:p>
    <w:p w14:paraId="0D43EC91">
      <w:pPr>
        <w:pStyle w:val="17"/>
        <w:rPr>
          <w:rFonts w:hint="eastAsia"/>
          <w:color w:val="auto"/>
          <w:lang w:val="en-US" w:eastAsia="zh-CN"/>
        </w:rPr>
      </w:pPr>
    </w:p>
    <w:p w14:paraId="35D7EA6D">
      <w:pPr>
        <w:pStyle w:val="17"/>
        <w:tabs>
          <w:tab w:val="clear" w:pos="4153"/>
        </w:tabs>
        <w:jc w:val="right"/>
        <w:rPr>
          <w:rFonts w:hint="eastAsia"/>
          <w:color w:val="auto"/>
          <w:lang w:val="en-US" w:eastAsia="zh-CN"/>
        </w:rPr>
      </w:pPr>
    </w:p>
    <w:p w14:paraId="641613BD">
      <w:pPr>
        <w:pStyle w:val="17"/>
        <w:rPr>
          <w:rFonts w:hint="eastAsia"/>
          <w:color w:val="auto"/>
          <w:lang w:val="en-US" w:eastAsia="zh-CN"/>
        </w:rPr>
      </w:pPr>
    </w:p>
    <w:p w14:paraId="61FC80E4">
      <w:pPr>
        <w:pStyle w:val="17"/>
        <w:rPr>
          <w:rFonts w:hint="eastAsia"/>
          <w:color w:val="auto"/>
          <w:lang w:val="en-US" w:eastAsia="zh-CN"/>
        </w:rPr>
      </w:pPr>
    </w:p>
    <w:p w14:paraId="1885F165">
      <w:pPr>
        <w:pStyle w:val="17"/>
        <w:rPr>
          <w:rFonts w:hint="eastAsia"/>
          <w:color w:val="auto"/>
          <w:lang w:val="en-US" w:eastAsia="zh-CN"/>
        </w:rPr>
      </w:pPr>
    </w:p>
    <w:p w14:paraId="3A88425B">
      <w:pPr>
        <w:pStyle w:val="17"/>
        <w:rPr>
          <w:rFonts w:hint="eastAsia"/>
          <w:color w:val="auto"/>
          <w:lang w:val="en-US" w:eastAsia="zh-CN"/>
        </w:rPr>
      </w:pPr>
    </w:p>
    <w:p w14:paraId="5CB748A6">
      <w:pPr>
        <w:pStyle w:val="17"/>
        <w:rPr>
          <w:rFonts w:hint="eastAsia"/>
          <w:color w:val="auto"/>
          <w:lang w:val="en-US" w:eastAsia="zh-CN"/>
        </w:rPr>
      </w:pPr>
    </w:p>
    <w:p w14:paraId="79994DAB">
      <w:pPr>
        <w:pStyle w:val="17"/>
        <w:rPr>
          <w:rFonts w:hint="eastAsia"/>
          <w:color w:val="auto"/>
          <w:lang w:val="en-US" w:eastAsia="zh-CN"/>
        </w:rPr>
      </w:pPr>
    </w:p>
    <w:p w14:paraId="7E08CA2C">
      <w:pPr>
        <w:pStyle w:val="17"/>
        <w:rPr>
          <w:rFonts w:hint="eastAsia"/>
          <w:color w:val="auto"/>
          <w:lang w:val="en-US" w:eastAsia="zh-CN"/>
        </w:rPr>
      </w:pPr>
    </w:p>
    <w:p w14:paraId="6712213C">
      <w:pPr>
        <w:pStyle w:val="17"/>
        <w:rPr>
          <w:rFonts w:hint="eastAsia"/>
          <w:color w:val="auto"/>
          <w:lang w:val="en-US" w:eastAsia="zh-CN"/>
        </w:rPr>
      </w:pPr>
    </w:p>
    <w:p w14:paraId="5BD628F4">
      <w:pPr>
        <w:pStyle w:val="17"/>
        <w:rPr>
          <w:rFonts w:hint="eastAsia"/>
          <w:color w:val="auto"/>
          <w:lang w:val="en-US" w:eastAsia="zh-CN"/>
        </w:rPr>
      </w:pPr>
    </w:p>
    <w:p w14:paraId="79D8F6E1">
      <w:pPr>
        <w:pStyle w:val="17"/>
        <w:rPr>
          <w:rFonts w:hint="eastAsia"/>
          <w:color w:val="auto"/>
          <w:lang w:val="en-US" w:eastAsia="zh-CN"/>
        </w:rPr>
      </w:pPr>
    </w:p>
    <w:p w14:paraId="041B4FD6">
      <w:pPr>
        <w:pStyle w:val="17"/>
        <w:rPr>
          <w:rFonts w:hint="eastAsia"/>
          <w:color w:val="auto"/>
          <w:lang w:val="en-US" w:eastAsia="zh-CN"/>
        </w:rPr>
      </w:pPr>
    </w:p>
    <w:p w14:paraId="178F1F15">
      <w:pPr>
        <w:pStyle w:val="17"/>
        <w:rPr>
          <w:rFonts w:hint="eastAsia"/>
          <w:color w:val="auto"/>
          <w:lang w:val="en-US" w:eastAsia="zh-CN"/>
        </w:rPr>
      </w:pPr>
    </w:p>
    <w:p w14:paraId="1B593CB8">
      <w:pPr>
        <w:pStyle w:val="17"/>
        <w:rPr>
          <w:rFonts w:hint="eastAsia"/>
          <w:color w:val="auto"/>
          <w:lang w:val="en-US" w:eastAsia="zh-CN"/>
        </w:rPr>
      </w:pPr>
    </w:p>
    <w:p w14:paraId="7B31F95D">
      <w:pPr>
        <w:pStyle w:val="17"/>
        <w:rPr>
          <w:rFonts w:hint="eastAsia"/>
          <w:color w:val="auto"/>
          <w:lang w:val="en-US" w:eastAsia="zh-CN"/>
        </w:rPr>
      </w:pPr>
      <w:r>
        <w:rPr>
          <w:color w:val="auto"/>
          <w:sz w:val="21"/>
        </w:rPr>
        <w:pict>
          <v:group id="_x0000_s1396" o:spid="_x0000_s1396" o:spt="203" style="position:absolute;left:0pt;margin-left:637.4pt;margin-top:8.4pt;height:19.55pt;width:49.7pt;z-index:251763712;mso-width-relative:page;mso-height-relative:page;" coordorigin="14222,2016251" coordsize="994,391">
            <o:lock v:ext="edit" aspectratio="f"/>
            <v:line id="_x0000_s1397" o:spid="_x0000_s1397" o:spt="20" style="position:absolute;left:14337;top:2016638;height:4;width:570;" fillcolor="#FFFFFF" filled="t" stroked="t" coordsize="21600,21600">
              <v:path arrowok="t"/>
              <v:fill on="t" color2="#FFFFFF" focussize="0,0"/>
              <v:stroke weight="1pt" color="#000000" endarrowwidth="narrow" endarrowlength="long"/>
              <v:imagedata o:title=""/>
              <o:lock v:ext="edit" aspectratio="f"/>
            </v:line>
            <v:line id="_x0000_s1398" o:spid="_x0000_s1398" o:spt="20" style="position:absolute;left:14340;top:2016492;flip:y;height:150;width:1;" fillcolor="#FFFFFF" filled="t" stroked="t" coordsize="21600,21600">
              <v:path arrowok="t"/>
              <v:fill on="t" color2="#FFFFFF" focussize="0,0"/>
              <v:stroke weight="1.5pt" color="#000000" endarrowwidth="narrow" endarrowlength="long"/>
              <v:imagedata o:title=""/>
              <o:lock v:ext="edit" aspectratio="f"/>
            </v:line>
            <v:line id="_x0000_s1399" o:spid="_x0000_s1399" o:spt="20" style="position:absolute;left:14906;top:2016492;flip:y;height:150;width:1;" filled="f" stroked="t" coordsize="21600,21600">
              <v:path arrowok="t"/>
              <v:fill on="f" focussize="0,0"/>
              <v:stroke weight="1.5pt" color="#000000" endarrowwidth="narrow" endarrowlength="long"/>
              <v:imagedata o:title=""/>
              <o:lock v:ext="edit" aspectratio="f"/>
            </v:line>
            <v:shape id="_x0000_s1400" o:spid="_x0000_s1400" o:spt="202" type="#_x0000_t202" style="position:absolute;left:14222;top:2016251;height:347;width:994;" filled="f" stroked="f" coordsize="21600,21600">
              <v:path/>
              <v:fill on="f" focussize="0,0"/>
              <v:stroke on="f" weight="0.5pt" endarrow="block" endarrowwidth="narrow" endarrowlength="long"/>
              <v:imagedata o:title=""/>
              <o:lock v:ext="edit" aspectratio="f"/>
              <v:textbox>
                <w:txbxContent>
                  <w:p w14:paraId="0B722262">
                    <w:pPr>
                      <w:rPr>
                        <w:rFonts w:hint="default" w:eastAsia="宋体"/>
                        <w:lang w:val="en-US" w:eastAsia="zh-CN"/>
                      </w:rPr>
                    </w:pPr>
                    <w:r>
                      <w:rPr>
                        <w:rFonts w:hint="eastAsia"/>
                        <w:lang w:val="en-US" w:eastAsia="zh-CN"/>
                      </w:rPr>
                      <w:t>15m</w:t>
                    </w:r>
                  </w:p>
                </w:txbxContent>
              </v:textbox>
            </v:shape>
          </v:group>
        </w:pict>
      </w:r>
    </w:p>
    <w:p w14:paraId="47EA542B">
      <w:pPr>
        <w:pStyle w:val="17"/>
        <w:rPr>
          <w:rFonts w:hint="eastAsia"/>
          <w:color w:val="auto"/>
          <w:lang w:val="en-US" w:eastAsia="zh-CN"/>
        </w:rPr>
      </w:pPr>
      <w:r>
        <w:rPr>
          <w:color w:val="auto"/>
          <w:sz w:val="21"/>
        </w:rPr>
        <w:pict>
          <v:shape id="_x0000_s1391" o:spid="_x0000_s1391" o:spt="202" type="#_x0000_t202" style="position:absolute;left:0pt;margin-left:398.6pt;margin-top:1.4pt;height:26pt;width:70.8pt;z-index:251761664;mso-width-relative:page;mso-height-relative:page;" filled="f" stroked="f" coordsize="21600,21600">
            <v:path/>
            <v:fill on="f" focussize="0,0"/>
            <v:stroke on="f" weight="0.5pt"/>
            <v:imagedata o:title=""/>
            <o:lock v:ext="edit" aspectratio="f"/>
            <v:textbox>
              <w:txbxContent>
                <w:p w14:paraId="79F49B76">
                  <w:pPr>
                    <w:rPr>
                      <w:rFonts w:hint="default" w:eastAsia="宋体"/>
                      <w:lang w:val="en-US" w:eastAsia="zh-CN"/>
                    </w:rPr>
                  </w:pPr>
                  <w:r>
                    <w:rPr>
                      <w:rFonts w:hint="eastAsia"/>
                      <w:lang w:val="en-US" w:eastAsia="zh-CN"/>
                    </w:rPr>
                    <w:t>食堂排气筒</w:t>
                  </w:r>
                </w:p>
              </w:txbxContent>
            </v:textbox>
          </v:shape>
        </w:pict>
      </w:r>
    </w:p>
    <w:p w14:paraId="5C1B38B5">
      <w:pPr>
        <w:pStyle w:val="17"/>
        <w:rPr>
          <w:rFonts w:hint="eastAsia"/>
          <w:color w:val="auto"/>
          <w:lang w:val="en-US" w:eastAsia="zh-CN"/>
        </w:rPr>
      </w:pPr>
    </w:p>
    <w:p w14:paraId="747B6694">
      <w:pPr>
        <w:pStyle w:val="17"/>
        <w:rPr>
          <w:rFonts w:hint="eastAsia"/>
          <w:color w:val="auto"/>
          <w:lang w:val="en-US" w:eastAsia="zh-CN"/>
        </w:rPr>
      </w:pPr>
      <w:r>
        <w:rPr>
          <w:color w:val="auto"/>
          <w:sz w:val="21"/>
        </w:rPr>
        <w:pict>
          <v:shape id="_x0000_s1390" o:spid="_x0000_s1390" o:spt="23" type="#_x0000_t23" style="position:absolute;left:0pt;margin-left:426.9pt;margin-top:8.3pt;height:7.1pt;width:7.1pt;z-index:251760640;v-text-anchor:middle;mso-width-relative:page;mso-height-relative:page;" filled="f" stroked="t" coordsize="21600,21600" adj="5400">
            <v:path/>
            <v:fill on="f" focussize="0,0"/>
            <v:stroke weight="0.5pt" color="#FF0000" joinstyle="round"/>
            <v:imagedata o:title=""/>
            <o:lock v:ext="edit" aspectratio="f"/>
          </v:shape>
        </w:pict>
      </w:r>
    </w:p>
    <w:p w14:paraId="20AD6240">
      <w:pPr>
        <w:pStyle w:val="17"/>
        <w:rPr>
          <w:rFonts w:hint="eastAsia"/>
          <w:color w:val="auto"/>
          <w:lang w:val="en-US" w:eastAsia="zh-CN"/>
        </w:rPr>
      </w:pPr>
    </w:p>
    <w:p w14:paraId="04BBD0BF">
      <w:pPr>
        <w:pStyle w:val="17"/>
        <w:rPr>
          <w:rFonts w:hint="eastAsia"/>
          <w:color w:val="auto"/>
          <w:lang w:val="en-US" w:eastAsia="zh-CN"/>
        </w:rPr>
      </w:pPr>
    </w:p>
    <w:p w14:paraId="6AAEC8BA">
      <w:pPr>
        <w:pStyle w:val="17"/>
        <w:rPr>
          <w:rFonts w:hint="eastAsia"/>
          <w:color w:val="auto"/>
          <w:lang w:val="en-US" w:eastAsia="zh-CN"/>
        </w:rPr>
      </w:pPr>
    </w:p>
    <w:p w14:paraId="0DE0209B">
      <w:pPr>
        <w:bidi w:val="0"/>
        <w:jc w:val="center"/>
        <w:rPr>
          <w:rFonts w:hint="eastAsia"/>
          <w:b/>
          <w:bCs/>
          <w:color w:val="auto"/>
          <w:sz w:val="21"/>
          <w:szCs w:val="21"/>
          <w:lang w:val="en-US" w:eastAsia="zh-CN"/>
        </w:rPr>
        <w:sectPr>
          <w:pgSz w:w="16838" w:h="11906" w:orient="landscape"/>
          <w:pgMar w:top="1440" w:right="1080" w:bottom="1440" w:left="1080" w:header="851" w:footer="850"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sz w:val="21"/>
          <w:szCs w:val="21"/>
          <w:lang w:val="en-US" w:eastAsia="zh-CN"/>
        </w:rPr>
        <w:t>附图9 厂区平面布置示意图</w:t>
      </w:r>
    </w:p>
    <w:p w14:paraId="7F9B87A8">
      <w:pPr>
        <w:bidi w:val="0"/>
        <w:rPr>
          <w:color w:val="auto"/>
          <w:sz w:val="21"/>
        </w:rPr>
      </w:pPr>
      <w:r>
        <w:rPr>
          <w:color w:val="auto"/>
          <w:sz w:val="18"/>
        </w:rPr>
        <w:pict>
          <v:shape id="_x0000_s1371" o:spid="_x0000_s1371" o:spt="202" type="#_x0000_t202" style="position:absolute;left:0pt;margin-left:158.45pt;margin-top:-11.85pt;height:19.55pt;width:49.45pt;z-index:251743232;mso-width-relative:page;mso-height-relative:page;" filled="f" stroked="f" coordsize="21600,21600">
            <v:path/>
            <v:fill on="f" focussize="0,0"/>
            <v:stroke on="f" weight="0.5pt"/>
            <v:imagedata o:title=""/>
            <o:lock v:ext="edit" aspectratio="f"/>
            <v:textbox>
              <w:txbxContent>
                <w:p w14:paraId="77CADDEC">
                  <w:pPr>
                    <w:rPr>
                      <w:rFonts w:hint="default" w:eastAsia="宋体"/>
                      <w:lang w:val="en-US" w:eastAsia="zh-CN"/>
                    </w:rPr>
                  </w:pPr>
                  <w:r>
                    <w:rPr>
                      <w:rFonts w:hint="eastAsia"/>
                      <w:sz w:val="18"/>
                      <w:szCs w:val="18"/>
                      <w:lang w:val="en-US" w:eastAsia="zh-CN"/>
                    </w:rPr>
                    <w:t>YS001</w:t>
                  </w:r>
                </w:p>
              </w:txbxContent>
            </v:textbox>
          </v:shape>
        </w:pict>
      </w:r>
      <w:r>
        <w:rPr>
          <w:color w:val="auto"/>
          <w:sz w:val="18"/>
        </w:rPr>
        <w:pict>
          <v:shape id="_x0000_s1370" o:spid="_x0000_s1370" o:spt="202" type="#_x0000_t202" style="position:absolute;left:0pt;margin-left:201.6pt;margin-top:-6.4pt;height:19.55pt;width:49.45pt;z-index:251742208;mso-width-relative:page;mso-height-relative:page;" filled="f" stroked="f" coordsize="21600,21600">
            <v:path/>
            <v:fill on="f" focussize="0,0"/>
            <v:stroke on="f" weight="0.5pt"/>
            <v:imagedata o:title=""/>
            <o:lock v:ext="edit" aspectratio="f"/>
            <v:textbox>
              <w:txbxContent>
                <w:p w14:paraId="357DF477">
                  <w:pPr>
                    <w:rPr>
                      <w:rFonts w:hint="default" w:eastAsia="宋体"/>
                      <w:lang w:val="en-US" w:eastAsia="zh-CN"/>
                    </w:rPr>
                  </w:pPr>
                  <w:r>
                    <w:rPr>
                      <w:rFonts w:hint="eastAsia"/>
                      <w:sz w:val="18"/>
                      <w:szCs w:val="18"/>
                      <w:lang w:val="en-US" w:eastAsia="zh-CN"/>
                    </w:rPr>
                    <w:t>DW001</w:t>
                  </w:r>
                </w:p>
              </w:txbxContent>
            </v:textbox>
          </v:shape>
        </w:pict>
      </w:r>
      <w:r>
        <w:rPr>
          <w:color w:val="auto"/>
          <w:sz w:val="18"/>
        </w:rPr>
        <w:pict>
          <v:shape id="禁止符 21" o:spid="_x0000_s1366" o:spt="57" type="#_x0000_t57" style="position:absolute;left:0pt;margin-left:176.9pt;margin-top:6.05pt;height:7.1pt;width:7.1pt;z-index:251738112;v-text-anchor:middle;mso-width-relative:page;mso-height-relative:page;" filled="f" stroked="t" coordsize="21600,21600" adj="4050">
            <v:path/>
            <v:fill on="f" focussize="0,0"/>
            <v:stroke weight="0.5pt" color="#FFC000" joinstyle="round"/>
            <v:imagedata o:title=""/>
            <o:lock v:ext="edit" aspectratio="f"/>
          </v:shape>
        </w:pict>
      </w:r>
      <w:r>
        <w:rPr>
          <w:color w:val="auto"/>
          <w:sz w:val="18"/>
        </w:rPr>
        <w:pict>
          <v:shape id="禁止符 20" o:spid="_x0000_s1365" o:spt="57" type="#_x0000_t57" style="position:absolute;left:0pt;margin-left:217.8pt;margin-top:7.7pt;height:7.1pt;width:7.1pt;z-index:251737088;v-text-anchor:middle;mso-width-relative:page;mso-height-relative:page;" filled="f" stroked="t" coordsize="21600,21600" adj="4050">
            <v:path/>
            <v:fill on="f" focussize="0,0"/>
            <v:stroke weight="0.5pt" color="#00B0F0" joinstyle="round"/>
            <v:imagedata o:title=""/>
            <o:lock v:ext="edit" aspectratio="f"/>
            <v:textbox>
              <w:txbxContent>
                <w:p w14:paraId="47C7EB31"/>
              </w:txbxContent>
            </v:textbox>
          </v:shape>
        </w:pict>
      </w:r>
      <w:r>
        <w:rPr>
          <w:color w:val="auto"/>
          <w:sz w:val="18"/>
        </w:rPr>
        <w:pict>
          <v:shape id="任意多边形 2" o:spid="_x0000_s1350" o:spt="100" style="position:absolute;left:0pt;margin-left:120.8pt;margin-top:3.95pt;height:428.05pt;width:486.65pt;z-index:251721728;mso-width-relative:page;mso-height-relative:page;" filled="f" stroked="t" coordsize="6180455,5500370" path="m351155,0l0,5227955,4984750,5500370,6180455,5092065,4454525,236855,351155,0xe">
            <v:path textboxrect="0,0,6180455,5500370" o:connectlocs="553,0;0,8233;7850,8662;9733,8019;7015,373;553,0" o:connectangles="0,0,0,0,0,0"/>
            <v:fill on="f" focussize="0,0"/>
            <v:stroke weight="1.5pt" color="#000000" joinstyle="round"/>
            <v:imagedata o:title=""/>
            <o:lock v:ext="edit" aspectratio="f"/>
            <v:textbox>
              <w:txbxContent>
                <w:p w14:paraId="64B9B9F4">
                  <w:pPr>
                    <w:keepNext w:val="0"/>
                    <w:keepLines w:val="0"/>
                    <w:pageBreakBefore w:val="0"/>
                    <w:widowControl w:val="0"/>
                    <w:kinsoku/>
                    <w:wordWrap/>
                    <w:overflowPunct/>
                    <w:topLinePunct w:val="0"/>
                    <w:bidi w:val="0"/>
                    <w:adjustRightInd/>
                    <w:snapToGrid/>
                    <w:jc w:val="center"/>
                    <w:textAlignment w:val="auto"/>
                  </w:pPr>
                </w:p>
              </w:txbxContent>
            </v:textbox>
          </v:shape>
        </w:pict>
      </w:r>
      <w:r>
        <w:rPr>
          <w:color w:val="auto"/>
          <w:sz w:val="18"/>
        </w:rPr>
        <w:pict>
          <v:rect id="_x0000_s1349" o:spid="_x0000_s1349" o:spt="1" style="position:absolute;left:0pt;margin-left:285.6pt;margin-top:0.05pt;height:19.3pt;width:37.05pt;z-index:251720704;mso-width-relative:page;mso-height-relative:page;" fillcolor="#FFFFFF" filled="t" stroked="f" coordsize="21600,21600">
            <v:path/>
            <v:fill on="t" color2="#FFFFFF" focussize="0,0"/>
            <v:stroke on="f" weight="0.5pt"/>
            <v:imagedata o:title=""/>
            <o:lock v:ext="edit" aspectratio="f"/>
          </v:rect>
        </w:pict>
      </w:r>
      <w:r>
        <w:rPr>
          <w:color w:val="auto"/>
          <w:sz w:val="18"/>
        </w:rPr>
        <w:pict>
          <v:shape id="_x0000_s1348" o:spid="_x0000_s1348" o:spt="75" alt="指北针1" type="#_x0000_t75" style="position:absolute;left:0pt;margin-left:570.15pt;margin-top:0.65pt;height:51pt;width:52pt;z-index:251719680;mso-width-relative:page;mso-height-relative:page;" filled="f" o:preferrelative="t" stroked="f" coordsize="21600,21600">
            <v:path/>
            <v:fill on="f" focussize="0,0"/>
            <v:stroke on="f"/>
            <v:imagedata r:id="rId34" o:title="指北针1"/>
            <o:lock v:ext="edit" aspectratio="t"/>
          </v:shape>
        </w:pict>
      </w:r>
      <w:r>
        <w:rPr>
          <w:color w:val="auto"/>
          <w:sz w:val="21"/>
        </w:rPr>
        <w:pict>
          <v:rect id="_x0000_s1181" o:spid="_x0000_s1181" o:spt="1" style="position:absolute;left:0pt;margin-left:282.05pt;margin-top:-5.35pt;height:19.3pt;width:37.05pt;z-index:251715584;mso-width-relative:page;mso-height-relative:page;" fillcolor="#FFFFFF" filled="t" stroked="f" coordsize="21600,21600">
            <v:path/>
            <v:fill on="t" color2="#FFFFFF" focussize="0,0"/>
            <v:stroke on="f" weight="0.5pt"/>
            <v:imagedata o:title=""/>
            <o:lock v:ext="edit" aspectratio="f"/>
          </v:rect>
        </w:pict>
      </w:r>
    </w:p>
    <w:p w14:paraId="3E6F7CCB">
      <w:pPr>
        <w:bidi w:val="0"/>
        <w:rPr>
          <w:rFonts w:hint="eastAsia" w:ascii="Times New Roman" w:hAnsi="Times New Roman" w:eastAsia="宋体" w:cs="Times New Roman"/>
          <w:color w:val="auto"/>
          <w:kern w:val="2"/>
          <w:sz w:val="21"/>
          <w:szCs w:val="24"/>
          <w:lang w:val="en-US" w:eastAsia="zh-CN" w:bidi="ar-SA"/>
        </w:rPr>
      </w:pPr>
      <w:r>
        <w:rPr>
          <w:color w:val="auto"/>
          <w:sz w:val="21"/>
        </w:rPr>
        <w:pict>
          <v:shape id="_x0000_s1377" o:spid="_x0000_s1377" o:spt="202" type="#_x0000_t202" style="position:absolute;left:0pt;margin-left:24.15pt;margin-top:1.1pt;height:19.8pt;width:68pt;z-index:251749376;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3DAE110A">
                  <w:pPr>
                    <w:rPr>
                      <w:rFonts w:hint="default" w:eastAsia="宋体"/>
                      <w:lang w:val="en-US" w:eastAsia="zh-CN"/>
                    </w:rPr>
                  </w:pPr>
                  <w:r>
                    <w:rPr>
                      <w:rFonts w:hint="eastAsia"/>
                      <w:lang w:val="en-US" w:eastAsia="zh-CN"/>
                    </w:rPr>
                    <w:t>事故水池</w:t>
                  </w:r>
                </w:p>
              </w:txbxContent>
            </v:textbox>
          </v:shape>
        </w:pict>
      </w:r>
      <w:r>
        <w:rPr>
          <w:color w:val="auto"/>
          <w:sz w:val="21"/>
        </w:rPr>
        <w:pict>
          <v:line id="_x0000_s1376" o:spid="_x0000_s1376" o:spt="20" style="position:absolute;left:0pt;flip:x;margin-left:92.15pt;margin-top:9.4pt;height:8.45pt;width:66.3pt;z-index:251748352;mso-width-relative:page;mso-height-relative:page;" filled="f" stroked="t" coordsize="21600,21600">
            <v:path arrowok="t"/>
            <v:fill on="f" focussize="0,0"/>
            <v:stroke weight="0.5pt" color="#000000" endarrow="open" endarrowwidth="narrow" endarrowlength="long"/>
            <v:imagedata o:title=""/>
            <o:lock v:ext="edit" aspectratio="f"/>
          </v:line>
        </w:pict>
      </w:r>
      <w:r>
        <w:rPr>
          <w:color w:val="auto"/>
          <w:sz w:val="21"/>
        </w:rPr>
        <w:pict>
          <v:shape id="文本框 15" o:spid="_x0000_s1360" o:spt="202" type="#_x0000_t202" style="position:absolute;left:0pt;margin-left:356.65pt;margin-top:11.25pt;height:21pt;width:53.25pt;rotation:262144f;z-index:251731968;mso-width-relative:page;mso-height-relative:page;" filled="f" stroked="f" coordsize="21600,21600">
            <v:path/>
            <v:fill on="f" focussize="0,0"/>
            <v:stroke on="f" weight="0.5pt"/>
            <v:imagedata o:title=""/>
            <o:lock v:ext="edit" aspectratio="f"/>
            <v:textbox>
              <w:txbxContent>
                <w:p w14:paraId="13037D34">
                  <w:pPr>
                    <w:ind w:left="0" w:leftChars="0" w:firstLine="0" w:firstLineChars="0"/>
                    <w:rPr>
                      <w:rFonts w:hint="default" w:eastAsia="宋体"/>
                      <w:lang w:val="en-US" w:eastAsia="zh-CN"/>
                    </w:rPr>
                  </w:pPr>
                  <w:r>
                    <w:rPr>
                      <w:rFonts w:hint="eastAsia"/>
                      <w:lang w:val="en-US" w:eastAsia="zh-CN"/>
                    </w:rPr>
                    <w:t>办公区</w:t>
                  </w:r>
                </w:p>
              </w:txbxContent>
            </v:textbox>
          </v:shape>
        </w:pict>
      </w:r>
      <w:r>
        <w:rPr>
          <w:color w:val="auto"/>
          <w:sz w:val="21"/>
        </w:rPr>
        <w:pict>
          <v:shape id="任意多边形 12" o:spid="_x0000_s1357" style="position:absolute;left:0pt;margin-left:137.65pt;margin-top:1.1pt;height:409.4pt;width:325.5pt;z-index:251728896;mso-width-relative:page;mso-height-relative:page;" fillcolor="#00B050" filled="t" stroked="t" coordsize="4133850,5199380" path="m387985,0l342900,628650,1468755,734060,1197610,4367530,478155,4292600,429260,4822825,7620,4789170,0,4951095,3001010,5199380,3030855,4834255,3644265,4883150,3641090,5033645,4119245,5067935,4133850,4706620,1750695,4521835,1649095,4371340,1920240,1010920,2119630,864235,2741295,897890,3520440,649605,3554095,186690,3350895,179070,3350895,434975,3177540,442595,3173730,638175,2914015,634365,2906395,412750,2839085,412750,2839085,321945,2635885,318135,2646680,92710,387985,0xe">
            <v:path o:connectlocs="611,0;540,990;2313,1156;1886,6878;753,6760;676,7595;12,7542;0,7797;4726,8188;4773,7613;5739,7690;5734,7927;6487,7981;6510,7412;2757,7121;2597,6884;3024,1592;3338,1361;4317,1414;5544,1023;5597,294;5277,282;5277,685;5004,697;4998,1005;4589,999;4577,650;4471,650;4471,507;4151,501;4168,146;611,0" o:connectangles="0,0,0,0,0,0,0,0,0,0,0,0,0,0,0,0,0,0,0,0,0,0,0,0,0,0,0,0,0,0,0,0"/>
            <v:fill on="t" opacity="26214f" focussize="0,0"/>
            <v:stroke weight="2pt" color="#00B050" joinstyle="round"/>
            <v:imagedata o:title=""/>
            <o:lock v:ext="edit" aspectratio="f"/>
          </v:shape>
        </w:pict>
      </w:r>
      <w:r>
        <w:rPr>
          <w:color w:val="auto"/>
          <w:sz w:val="21"/>
        </w:rPr>
        <w:pict>
          <v:rect id="矩形 8" o:spid="_x0000_s1354" o:spt="1" style="position:absolute;left:0pt;margin-left:149.55pt;margin-top:2.75pt;height:13.3pt;width:12.95pt;z-index:251725824;v-text-anchor:middle;mso-width-relative:page;mso-height-relative:page;" fillcolor="#FF0000" filled="t" stroked="t" coordsize="21600,21600">
            <v:path/>
            <v:fill on="t" opacity="26214f" focussize="0,0"/>
            <v:stroke weight="2pt" color="#4F81BD" joinstyle="round"/>
            <v:imagedata o:title=""/>
            <o:lock v:ext="edit" aspectratio="f"/>
          </v:rect>
        </w:pict>
      </w:r>
      <w:r>
        <w:rPr>
          <w:color w:val="auto"/>
          <w:sz w:val="21"/>
        </w:rPr>
        <w:pict>
          <v:shape id="任意多边形 4" o:spid="_x0000_s1352" style="position:absolute;left:0pt;margin-left:347.5pt;margin-top:9.4pt;height:40.6pt;width:53pt;z-index:251723776;mso-width-relative:page;mso-height-relative:page;" fillcolor="#00B050" filled="t" stroked="t" coordsize="673100,515620" path="m13970,0l0,200660,207645,200660,207645,286385,279400,286385,286385,515620,487045,515620,494030,314960,673100,314960,673100,21590,13970,0xe">
            <v:path o:connectlocs="22,0;0,316;327,316;327,451;440,451;451,812;767,812;778,496;1060,496;1060,34;22,0" o:connectangles="0,0,0,0,0,0,0,0,0,0,0"/>
            <v:fill on="t" opacity="26214f" focussize="0,0"/>
            <v:stroke weight="2pt" color="#000000" joinstyle="round"/>
            <v:imagedata o:title=""/>
            <o:lock v:ext="edit" aspectratio="f"/>
          </v:shape>
        </w:pict>
      </w:r>
    </w:p>
    <w:p w14:paraId="605A45AC">
      <w:pPr>
        <w:bidi w:val="0"/>
        <w:rPr>
          <w:rFonts w:hint="eastAsia"/>
          <w:color w:val="auto"/>
          <w:lang w:val="en-US" w:eastAsia="zh-CN"/>
        </w:rPr>
      </w:pPr>
      <w:r>
        <w:rPr>
          <w:color w:val="auto"/>
          <w:sz w:val="21"/>
        </w:rPr>
        <w:pict>
          <v:rect id="矩形 9" o:spid="_x0000_s1355" o:spt="1" style="position:absolute;left:0pt;margin-left:149.55pt;margin-top:10.25pt;height:13.3pt;width:12.95pt;z-index:251726848;v-text-anchor:middle;mso-width-relative:page;mso-height-relative:page;" fillcolor="#FF0000" filled="t" stroked="t" coordsize="21600,21600">
            <v:path/>
            <v:fill on="t" opacity="26214f" focussize="0,0"/>
            <v:stroke weight="2pt" color="#C0504D" joinstyle="round"/>
            <v:imagedata o:title=""/>
            <o:lock v:ext="edit" aspectratio="f"/>
          </v:rect>
        </w:pict>
      </w:r>
    </w:p>
    <w:p w14:paraId="3F102EEC">
      <w:pPr>
        <w:bidi w:val="0"/>
        <w:rPr>
          <w:rFonts w:hint="eastAsia"/>
          <w:color w:val="auto"/>
          <w:lang w:val="en-US" w:eastAsia="zh-CN"/>
        </w:rPr>
      </w:pPr>
      <w:r>
        <w:rPr>
          <w:color w:val="auto"/>
          <w:sz w:val="21"/>
        </w:rPr>
        <w:pict>
          <v:shape id="_x0000_s1375" o:spid="_x0000_s1375" o:spt="202" type="#_x0000_t202" style="position:absolute;left:0pt;margin-left:19.65pt;margin-top:4.25pt;height:19.8pt;width:68pt;z-index:251747328;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4DCD05D8">
                  <w:pPr>
                    <w:rPr>
                      <w:rFonts w:hint="default" w:eastAsia="宋体"/>
                      <w:lang w:val="en-US" w:eastAsia="zh-CN"/>
                    </w:rPr>
                  </w:pPr>
                  <w:r>
                    <w:rPr>
                      <w:rFonts w:hint="eastAsia"/>
                      <w:lang w:val="en-US" w:eastAsia="zh-CN"/>
                    </w:rPr>
                    <w:t>雨水收集池</w:t>
                  </w:r>
                </w:p>
              </w:txbxContent>
            </v:textbox>
          </v:shape>
        </w:pict>
      </w:r>
      <w:r>
        <w:rPr>
          <w:color w:val="auto"/>
          <w:sz w:val="21"/>
        </w:rPr>
        <w:pict>
          <v:line id="_x0000_s1374" o:spid="_x0000_s1374" o:spt="20" style="position:absolute;left:0pt;flip:x;margin-left:87.65pt;margin-top:5.7pt;height:8.45pt;width:66.3pt;z-index:251746304;mso-width-relative:page;mso-height-relative:page;" filled="f" stroked="t" coordsize="21600,21600">
            <v:path arrowok="t"/>
            <v:fill on="f" focussize="0,0"/>
            <v:stroke weight="0.5pt" color="#000000" endarrow="open" endarrowwidth="narrow" endarrowlength="long"/>
            <v:imagedata o:title=""/>
            <o:lock v:ext="edit" aspectratio="f"/>
          </v:line>
        </w:pict>
      </w:r>
      <w:r>
        <w:rPr>
          <w:color w:val="auto"/>
          <w:sz w:val="21"/>
        </w:rPr>
        <w:pict>
          <v:shape id="_x0000_s1368" o:spid="_x0000_s1368" o:spt="202" type="#_x0000_t202" style="position:absolute;left:0pt;margin-left:166.4pt;margin-top:5.7pt;height:19.55pt;width:49.45pt;z-index:251740160;mso-width-relative:page;mso-height-relative:page;" filled="f" stroked="f" coordsize="21600,21600">
            <v:path/>
            <v:fill on="f" focussize="0,0"/>
            <v:stroke on="f" weight="0.5pt"/>
            <v:imagedata o:title=""/>
            <o:lock v:ext="edit" aspectratio="f"/>
            <v:textbox>
              <w:txbxContent>
                <w:p w14:paraId="090D17C5">
                  <w:pPr>
                    <w:rPr>
                      <w:rFonts w:hint="default" w:eastAsia="宋体"/>
                      <w:sz w:val="18"/>
                      <w:szCs w:val="18"/>
                      <w:lang w:val="en-US" w:eastAsia="zh-CN"/>
                    </w:rPr>
                  </w:pPr>
                  <w:r>
                    <w:rPr>
                      <w:rFonts w:hint="eastAsia"/>
                      <w:sz w:val="18"/>
                      <w:szCs w:val="18"/>
                      <w:lang w:val="en-US" w:eastAsia="zh-CN"/>
                    </w:rPr>
                    <w:t>DA002</w:t>
                  </w:r>
                </w:p>
              </w:txbxContent>
            </v:textbox>
          </v:shape>
        </w:pict>
      </w:r>
    </w:p>
    <w:p w14:paraId="4D93C148">
      <w:pPr>
        <w:bidi w:val="0"/>
        <w:rPr>
          <w:rFonts w:hint="eastAsia"/>
          <w:color w:val="auto"/>
          <w:lang w:val="en-US" w:eastAsia="zh-CN"/>
        </w:rPr>
      </w:pPr>
      <w:r>
        <w:rPr>
          <w:color w:val="auto"/>
          <w:sz w:val="21"/>
        </w:rPr>
        <w:pict>
          <v:shape id="_x0000_s1367" o:spid="_x0000_s1367" o:spt="202" type="#_x0000_t202" style="position:absolute;left:0pt;margin-left:207.9pt;margin-top:0.5pt;height:19.55pt;width:49.45pt;z-index:251739136;mso-width-relative:page;mso-height-relative:page;" filled="f" stroked="f" coordsize="21600,21600">
            <v:path/>
            <v:fill on="f" focussize="0,0"/>
            <v:stroke on="f" weight="0.5pt"/>
            <v:imagedata o:title=""/>
            <o:lock v:ext="edit" aspectratio="f"/>
            <v:textbox>
              <w:txbxContent>
                <w:p w14:paraId="66EECEBD">
                  <w:pPr>
                    <w:rPr>
                      <w:rFonts w:hint="default" w:eastAsia="宋体"/>
                      <w:lang w:val="en-US" w:eastAsia="zh-CN"/>
                    </w:rPr>
                  </w:pPr>
                  <w:r>
                    <w:rPr>
                      <w:rFonts w:hint="eastAsia"/>
                      <w:sz w:val="18"/>
                      <w:szCs w:val="18"/>
                      <w:lang w:val="en-US" w:eastAsia="zh-CN"/>
                    </w:rPr>
                    <w:t>DA001</w:t>
                  </w:r>
                </w:p>
              </w:txbxContent>
            </v:textbox>
          </v:shape>
        </w:pict>
      </w:r>
      <w:r>
        <w:rPr>
          <w:color w:val="auto"/>
          <w:sz w:val="21"/>
        </w:rPr>
        <w:pict>
          <v:shape id="同心圆 19" o:spid="_x0000_s1364" o:spt="23" type="#_x0000_t23" style="position:absolute;left:0pt;margin-left:200.8pt;margin-top:10.25pt;height:7.1pt;width:7.1pt;z-index:251736064;v-text-anchor:middle;mso-width-relative:page;mso-height-relative:page;" filled="f" stroked="t" coordsize="21600,21600" adj="5400">
            <v:path/>
            <v:fill on="f" focussize="0,0"/>
            <v:stroke weight="0.5pt" color="#FF0000" joinstyle="round"/>
            <v:imagedata o:title=""/>
            <o:lock v:ext="edit" aspectratio="f"/>
          </v:shape>
        </w:pict>
      </w:r>
      <w:r>
        <w:rPr>
          <w:color w:val="auto"/>
          <w:sz w:val="21"/>
        </w:rPr>
        <w:pict>
          <v:shape id="同心圆 18" o:spid="_x0000_s1363" o:spt="23" type="#_x0000_t23" style="position:absolute;left:0pt;margin-left:184pt;margin-top:10.25pt;height:7.1pt;width:7.1pt;z-index:251735040;v-text-anchor:middle;mso-width-relative:page;mso-height-relative:page;" filled="f" stroked="t" coordsize="21600,21600" adj="5400">
            <v:path/>
            <v:fill on="f" focussize="0,0"/>
            <v:stroke weight="0.5pt" color="#FF0000" joinstyle="round"/>
            <v:imagedata o:title=""/>
            <o:lock v:ext="edit" aspectratio="f"/>
          </v:shape>
        </w:pict>
      </w:r>
      <w:r>
        <w:rPr>
          <w:color w:val="auto"/>
          <w:sz w:val="21"/>
        </w:rPr>
        <w:pict>
          <v:rect id="矩形 10" o:spid="_x0000_s1356" o:spt="1" style="position:absolute;left:0pt;margin-left:149.55pt;margin-top:3.9pt;height:13.3pt;width:12.95pt;z-index:251727872;v-text-anchor:middle;mso-width-relative:page;mso-height-relative:page;" fillcolor="#FF0000" filled="t" stroked="t" coordsize="21600,21600">
            <v:path/>
            <v:fill on="t" opacity="26214f" focussize="0,0"/>
            <v:stroke weight="2pt" color="#00B0F0" joinstyle="round"/>
            <v:imagedata o:title=""/>
            <o:lock v:ext="edit" aspectratio="f"/>
          </v:rect>
        </w:pict>
      </w:r>
    </w:p>
    <w:p w14:paraId="65D7A6DE">
      <w:pPr>
        <w:bidi w:val="0"/>
        <w:rPr>
          <w:rFonts w:hint="eastAsia"/>
          <w:color w:val="auto"/>
          <w:lang w:val="en-US" w:eastAsia="zh-CN"/>
        </w:rPr>
      </w:pPr>
      <w:r>
        <w:rPr>
          <w:color w:val="auto"/>
          <w:sz w:val="21"/>
        </w:rPr>
        <w:pict>
          <v:line id="_x0000_s1372" o:spid="_x0000_s1372" o:spt="20" style="position:absolute;left:0pt;flip:x;margin-left:114.05pt;margin-top:1.85pt;height:26.55pt;width:44.4pt;z-index:251744256;mso-width-relative:page;mso-height-relative:page;" filled="f" stroked="t" coordsize="21600,21600">
            <v:path arrowok="t"/>
            <v:fill on="f" focussize="0,0"/>
            <v:stroke weight="0.5pt" color="#000000" endarrow="open" endarrowwidth="narrow" endarrowlength="long"/>
            <v:imagedata o:title=""/>
            <o:lock v:ext="edit" aspectratio="f"/>
          </v:line>
        </w:pict>
      </w:r>
      <w:r>
        <w:rPr>
          <w:color w:val="auto"/>
          <w:sz w:val="21"/>
        </w:rPr>
        <w:pict>
          <v:shape id="任意多边形 3" o:spid="_x0000_s1351" style="position:absolute;left:0pt;margin-left:138.85pt;margin-top:5.1pt;height:325.9pt;width:112.2pt;z-index:251722752;mso-width-relative:page;mso-height-relative:page;" fillcolor="#FF0000" filled="t" stroked="t" coordsize="1424940,4138930" path="m300990,0l0,4110355,400685,4138930,450850,3602355,1160145,3681095,1424940,92710,300990,0xe">
            <v:path o:connectlocs="474,0;0,6473;631,6518;710,5673;1827,5797;2244,146;474,0" o:connectangles="0,0,0,0,0,0,0"/>
            <v:fill on="t" opacity="26214f" focussize="0,0"/>
            <v:stroke weight="1.5pt" color="#000000" joinstyle="round"/>
            <v:imagedata o:title=""/>
            <o:lock v:ext="edit" aspectratio="f"/>
          </v:shape>
        </w:pict>
      </w:r>
    </w:p>
    <w:p w14:paraId="66682DE1">
      <w:pPr>
        <w:bidi w:val="0"/>
        <w:rPr>
          <w:rFonts w:hint="eastAsia"/>
          <w:color w:val="auto"/>
          <w:lang w:val="en-US" w:eastAsia="zh-CN"/>
        </w:rPr>
      </w:pPr>
      <w:r>
        <w:rPr>
          <w:color w:val="auto"/>
          <w:sz w:val="21"/>
        </w:rPr>
        <w:pict>
          <v:shape id="_x0000_s1373" o:spid="_x0000_s1373" o:spt="202" type="#_x0000_t202" style="position:absolute;left:0pt;margin-left:44.35pt;margin-top:4.4pt;height:34.85pt;width:68pt;z-index:251745280;mso-width-relative:page;mso-height-relative:page;" fillcolor="#FFFFFF" filled="t" stroked="t" coordsize="21600,21600">
            <v:path/>
            <v:fill on="t" color2="#FFFFFF" focussize="0,0"/>
            <v:stroke weight="0.5pt" color="#000000" joinstyle="miter" endarrow="block" endarrowwidth="narrow" endarrowlength="long"/>
            <v:imagedata o:title=""/>
            <o:lock v:ext="edit" aspectratio="f"/>
            <v:textbox>
              <w:txbxContent>
                <w:p w14:paraId="2F2EC0EE">
                  <w:pPr>
                    <w:rPr>
                      <w:rFonts w:hint="default" w:eastAsia="宋体"/>
                      <w:lang w:val="en-US" w:eastAsia="zh-CN"/>
                    </w:rPr>
                  </w:pPr>
                  <w:r>
                    <w:rPr>
                      <w:rFonts w:hint="eastAsia"/>
                      <w:lang w:val="en-US" w:eastAsia="zh-CN"/>
                    </w:rPr>
                    <w:t>一体化污水处理设施</w:t>
                  </w:r>
                </w:p>
              </w:txbxContent>
            </v:textbox>
          </v:shape>
        </w:pict>
      </w:r>
    </w:p>
    <w:p w14:paraId="20FC65D0">
      <w:pPr>
        <w:bidi w:val="0"/>
        <w:rPr>
          <w:rFonts w:hint="eastAsia"/>
          <w:color w:val="auto"/>
          <w:lang w:val="en-US" w:eastAsia="zh-CN"/>
        </w:rPr>
      </w:pPr>
    </w:p>
    <w:p w14:paraId="77552D69">
      <w:pPr>
        <w:bidi w:val="0"/>
        <w:rPr>
          <w:rFonts w:hint="eastAsia"/>
          <w:color w:val="auto"/>
          <w:lang w:val="en-US" w:eastAsia="zh-CN"/>
        </w:rPr>
      </w:pPr>
    </w:p>
    <w:p w14:paraId="586B3A3D">
      <w:pPr>
        <w:bidi w:val="0"/>
        <w:rPr>
          <w:rFonts w:hint="eastAsia"/>
          <w:color w:val="auto"/>
          <w:lang w:val="en-US" w:eastAsia="zh-CN"/>
        </w:rPr>
      </w:pPr>
    </w:p>
    <w:p w14:paraId="65A84020">
      <w:pPr>
        <w:bidi w:val="0"/>
        <w:rPr>
          <w:rFonts w:hint="eastAsia"/>
          <w:color w:val="auto"/>
          <w:lang w:val="en-US" w:eastAsia="zh-CN"/>
        </w:rPr>
      </w:pPr>
      <w:r>
        <w:rPr>
          <w:color w:val="auto"/>
          <w:sz w:val="21"/>
        </w:rPr>
        <w:pict>
          <v:shape id="文本框 13" o:spid="_x0000_s1358" o:spt="202" type="#_x0000_t202" style="position:absolute;left:0pt;margin-left:251.05pt;margin-top:4.65pt;height:117.5pt;width:32.8pt;rotation:262144f;z-index:251729920;mso-width-relative:page;mso-height-relative:page;" filled="f" stroked="f" coordsize="21600,21600">
            <v:path/>
            <v:fill on="f" focussize="0,0"/>
            <v:stroke on="f" weight="0.5pt"/>
            <v:imagedata o:title=""/>
            <o:lock v:ext="edit" aspectratio="f"/>
            <v:textbox>
              <w:txbxContent>
                <w:p w14:paraId="7A36A1AF">
                  <w:pPr>
                    <w:ind w:left="0" w:leftChars="0" w:firstLine="0" w:firstLineChars="0"/>
                    <w:rPr>
                      <w:rFonts w:hint="eastAsia"/>
                      <w:lang w:val="en-US" w:eastAsia="zh-CN"/>
                    </w:rPr>
                  </w:pPr>
                  <w:r>
                    <w:rPr>
                      <w:rFonts w:hint="eastAsia"/>
                      <w:lang w:val="en-US" w:eastAsia="zh-CN"/>
                    </w:rPr>
                    <w:t>车</w:t>
                  </w:r>
                </w:p>
                <w:p w14:paraId="28F3D413">
                  <w:pPr>
                    <w:ind w:left="0" w:leftChars="0" w:firstLine="0" w:firstLineChars="0"/>
                    <w:rPr>
                      <w:rFonts w:hint="eastAsia"/>
                      <w:lang w:val="en-US" w:eastAsia="zh-CN"/>
                    </w:rPr>
                  </w:pPr>
                  <w:r>
                    <w:rPr>
                      <w:rFonts w:hint="eastAsia"/>
                      <w:lang w:val="en-US" w:eastAsia="zh-CN"/>
                    </w:rPr>
                    <w:t>辆</w:t>
                  </w:r>
                </w:p>
                <w:p w14:paraId="723E844F">
                  <w:pPr>
                    <w:ind w:left="0" w:leftChars="0" w:firstLine="0" w:firstLineChars="0"/>
                    <w:rPr>
                      <w:rFonts w:hint="eastAsia"/>
                      <w:lang w:val="en-US" w:eastAsia="zh-CN"/>
                    </w:rPr>
                  </w:pPr>
                  <w:r>
                    <w:rPr>
                      <w:rFonts w:hint="eastAsia"/>
                      <w:lang w:val="en-US" w:eastAsia="zh-CN"/>
                    </w:rPr>
                    <w:t>暂</w:t>
                  </w:r>
                </w:p>
                <w:p w14:paraId="23BC891A">
                  <w:pPr>
                    <w:ind w:left="0" w:leftChars="0" w:firstLine="0" w:firstLineChars="0"/>
                    <w:rPr>
                      <w:rFonts w:hint="eastAsia"/>
                      <w:lang w:val="en-US" w:eastAsia="zh-CN"/>
                    </w:rPr>
                  </w:pPr>
                  <w:r>
                    <w:rPr>
                      <w:rFonts w:hint="eastAsia"/>
                      <w:lang w:val="en-US" w:eastAsia="zh-CN"/>
                    </w:rPr>
                    <w:t>存</w:t>
                  </w:r>
                </w:p>
                <w:p w14:paraId="2DD54B54">
                  <w:pPr>
                    <w:ind w:left="0" w:leftChars="0" w:firstLine="0" w:firstLineChars="0"/>
                    <w:rPr>
                      <w:rFonts w:hint="default" w:eastAsia="宋体"/>
                      <w:lang w:val="en-US" w:eastAsia="zh-CN"/>
                    </w:rPr>
                  </w:pPr>
                  <w:r>
                    <w:rPr>
                      <w:rFonts w:hint="eastAsia"/>
                      <w:lang w:val="en-US" w:eastAsia="zh-CN"/>
                    </w:rPr>
                    <w:t>区</w:t>
                  </w:r>
                </w:p>
              </w:txbxContent>
            </v:textbox>
          </v:shape>
        </w:pict>
      </w:r>
    </w:p>
    <w:p w14:paraId="218A9953">
      <w:pPr>
        <w:bidi w:val="0"/>
        <w:rPr>
          <w:rFonts w:hint="eastAsia"/>
          <w:color w:val="auto"/>
          <w:lang w:val="en-US" w:eastAsia="zh-CN"/>
        </w:rPr>
      </w:pPr>
      <w:r>
        <w:rPr>
          <w:color w:val="auto"/>
          <w:sz w:val="21"/>
        </w:rPr>
        <w:pict>
          <v:shape id="文本框 14" o:spid="_x0000_s1359" o:spt="202" type="#_x0000_t202" style="position:absolute;left:0pt;margin-left:180.95pt;margin-top:2.35pt;height:117.5pt;width:32.8pt;rotation:262144f;z-index:251730944;mso-width-relative:page;mso-height-relative:page;" filled="f" stroked="f" coordsize="21600,21600">
            <v:path/>
            <v:fill on="f" focussize="0,0"/>
            <v:stroke on="f" weight="0.5pt"/>
            <v:imagedata o:title=""/>
            <o:lock v:ext="edit" aspectratio="f"/>
            <v:textbox>
              <w:txbxContent>
                <w:p w14:paraId="1725F2EF">
                  <w:pPr>
                    <w:ind w:left="0" w:leftChars="0" w:firstLine="0" w:firstLineChars="0"/>
                    <w:rPr>
                      <w:rFonts w:hint="default" w:eastAsia="宋体"/>
                      <w:lang w:val="en-US" w:eastAsia="zh-CN"/>
                    </w:rPr>
                  </w:pPr>
                  <w:r>
                    <w:rPr>
                      <w:rFonts w:hint="eastAsia"/>
                      <w:lang w:val="en-US" w:eastAsia="zh-CN"/>
                    </w:rPr>
                    <w:t>生产车间</w:t>
                  </w:r>
                </w:p>
              </w:txbxContent>
            </v:textbox>
          </v:shape>
        </w:pict>
      </w:r>
    </w:p>
    <w:p w14:paraId="40B931AB">
      <w:pPr>
        <w:bidi w:val="0"/>
        <w:rPr>
          <w:rFonts w:hint="eastAsia"/>
          <w:color w:val="auto"/>
          <w:lang w:val="en-US" w:eastAsia="zh-CN"/>
        </w:rPr>
      </w:pPr>
    </w:p>
    <w:p w14:paraId="7369A7AF">
      <w:pPr>
        <w:bidi w:val="0"/>
        <w:rPr>
          <w:rFonts w:hint="eastAsia"/>
          <w:color w:val="auto"/>
          <w:lang w:val="en-US" w:eastAsia="zh-CN"/>
        </w:rPr>
      </w:pPr>
    </w:p>
    <w:p w14:paraId="4653D683">
      <w:pPr>
        <w:bidi w:val="0"/>
        <w:rPr>
          <w:rFonts w:hint="eastAsia"/>
          <w:color w:val="auto"/>
          <w:lang w:val="en-US" w:eastAsia="zh-CN"/>
        </w:rPr>
      </w:pPr>
    </w:p>
    <w:p w14:paraId="473749E6">
      <w:pPr>
        <w:bidi w:val="0"/>
        <w:rPr>
          <w:rFonts w:hint="eastAsia"/>
          <w:color w:val="auto"/>
          <w:lang w:val="en-US" w:eastAsia="zh-CN"/>
        </w:rPr>
      </w:pPr>
    </w:p>
    <w:p w14:paraId="4B24CED0">
      <w:pPr>
        <w:bidi w:val="0"/>
        <w:rPr>
          <w:rFonts w:hint="eastAsia"/>
          <w:color w:val="auto"/>
          <w:lang w:val="en-US" w:eastAsia="zh-CN"/>
        </w:rPr>
      </w:pPr>
      <w:r>
        <w:rPr>
          <w:color w:val="auto"/>
          <w:sz w:val="21"/>
        </w:rPr>
        <w:pict>
          <v:shape id="_x0000_s1386" o:spid="_x0000_s1386" o:spt="202" type="#_x0000_t202" style="position:absolute;left:0pt;margin-left:653.85pt;margin-top:2.5pt;height:18.85pt;width:72pt;z-index:251757568;mso-width-relative:page;mso-height-relative:page;" filled="f" stroked="f" coordsize="21600,21600">
            <v:path/>
            <v:fill on="f" focussize="0,0"/>
            <v:stroke on="f" weight="0.5pt" endarrow="block" endarrowwidth="narrow" endarrowlength="long"/>
            <v:imagedata o:title=""/>
            <o:lock v:ext="edit" aspectratio="f"/>
            <v:textbox>
              <w:txbxContent>
                <w:p w14:paraId="61CC03CA">
                  <w:pPr>
                    <w:rPr>
                      <w:rFonts w:hint="default" w:eastAsia="宋体"/>
                      <w:lang w:val="en-US" w:eastAsia="zh-CN"/>
                    </w:rPr>
                  </w:pPr>
                  <w:r>
                    <w:rPr>
                      <w:rFonts w:hint="eastAsia"/>
                      <w:lang w:val="en-US" w:eastAsia="zh-CN"/>
                    </w:rPr>
                    <w:t>一般防渗区</w:t>
                  </w:r>
                </w:p>
              </w:txbxContent>
            </v:textbox>
          </v:shape>
        </w:pict>
      </w:r>
      <w:r>
        <w:rPr>
          <w:color w:val="auto"/>
          <w:sz w:val="21"/>
        </w:rPr>
        <w:pict>
          <v:rect id="_x0000_s1385" o:spid="_x0000_s1385" o:spt="1" style="position:absolute;left:0pt;margin-left:595.95pt;margin-top:2.5pt;height:19.5pt;width:41.45pt;z-index:251756544;mso-width-relative:page;mso-height-relative:page;" fillcolor="#00B050" filled="t" stroked="t" coordsize="21600,21600">
            <v:path/>
            <v:fill on="t" color2="#FFFFFF" opacity="26214f" focussize="0,0"/>
            <v:stroke weight="0.5pt" color="#000000" endarrow="block" endarrowwidth="narrow" endarrowlength="long"/>
            <v:imagedata o:title=""/>
            <o:lock v:ext="edit" aspectratio="f"/>
          </v:rect>
        </w:pict>
      </w:r>
    </w:p>
    <w:p w14:paraId="632628B8">
      <w:pPr>
        <w:bidi w:val="0"/>
        <w:rPr>
          <w:rFonts w:hint="eastAsia"/>
          <w:color w:val="auto"/>
          <w:lang w:val="en-US" w:eastAsia="zh-CN"/>
        </w:rPr>
      </w:pPr>
    </w:p>
    <w:p w14:paraId="24F39D21">
      <w:pPr>
        <w:bidi w:val="0"/>
        <w:rPr>
          <w:rFonts w:hint="eastAsia"/>
          <w:color w:val="auto"/>
          <w:lang w:val="en-US" w:eastAsia="zh-CN"/>
        </w:rPr>
      </w:pPr>
    </w:p>
    <w:p w14:paraId="04FC66FB">
      <w:pPr>
        <w:bidi w:val="0"/>
        <w:rPr>
          <w:rFonts w:hint="eastAsia"/>
          <w:color w:val="auto"/>
          <w:lang w:val="en-US" w:eastAsia="zh-CN"/>
        </w:rPr>
      </w:pPr>
      <w:r>
        <w:rPr>
          <w:color w:val="auto"/>
          <w:sz w:val="21"/>
        </w:rPr>
        <w:pict>
          <v:shape id="_x0000_s1388" o:spid="_x0000_s1388" o:spt="202" type="#_x0000_t202" style="position:absolute;left:0pt;margin-left:652.6pt;margin-top:5.35pt;height:18.85pt;width:72pt;z-index:251759616;mso-width-relative:page;mso-height-relative:page;" filled="f" stroked="f" coordsize="21600,21600">
            <v:path/>
            <v:fill on="f" focussize="0,0"/>
            <v:stroke on="f" weight="0.5pt" endarrow="block" endarrowwidth="narrow" endarrowlength="long"/>
            <v:imagedata o:title=""/>
            <o:lock v:ext="edit" aspectratio="f"/>
            <v:textbox>
              <w:txbxContent>
                <w:p w14:paraId="480DB51F">
                  <w:pPr>
                    <w:rPr>
                      <w:rFonts w:hint="default" w:eastAsia="宋体"/>
                      <w:lang w:val="en-US" w:eastAsia="zh-CN"/>
                    </w:rPr>
                  </w:pPr>
                  <w:r>
                    <w:rPr>
                      <w:rFonts w:hint="eastAsia"/>
                      <w:lang w:val="en-US" w:eastAsia="zh-CN"/>
                    </w:rPr>
                    <w:t>重点防渗区</w:t>
                  </w:r>
                </w:p>
              </w:txbxContent>
            </v:textbox>
          </v:shape>
        </w:pict>
      </w:r>
      <w:r>
        <w:rPr>
          <w:color w:val="auto"/>
          <w:sz w:val="21"/>
        </w:rPr>
        <w:pict>
          <v:rect id="_x0000_s1387" o:spid="_x0000_s1387" o:spt="1" style="position:absolute;left:0pt;margin-left:601.45pt;margin-top:4.7pt;height:19.5pt;width:41.45pt;z-index:251758592;mso-width-relative:page;mso-height-relative:page;" fillcolor="#FF0000" filled="t" stroked="t" coordsize="21600,21600">
            <v:path/>
            <v:fill on="t" color2="#FFFFFF" opacity="26214f" focussize="0,0"/>
            <v:stroke weight="0.5pt" color="#000000" joinstyle="miter" endarrow="block" endarrowwidth="narrow" endarrowlength="long"/>
            <v:imagedata o:title=""/>
            <o:lock v:ext="edit" aspectratio="f"/>
          </v:rect>
        </w:pict>
      </w:r>
    </w:p>
    <w:p w14:paraId="4385700F">
      <w:pPr>
        <w:bidi w:val="0"/>
        <w:rPr>
          <w:rFonts w:hint="eastAsia"/>
          <w:color w:val="auto"/>
          <w:lang w:val="en-US" w:eastAsia="zh-CN"/>
        </w:rPr>
      </w:pPr>
    </w:p>
    <w:p w14:paraId="23A031BB">
      <w:pPr>
        <w:bidi w:val="0"/>
        <w:rPr>
          <w:rFonts w:hint="eastAsia"/>
          <w:color w:val="auto"/>
          <w:lang w:val="en-US" w:eastAsia="zh-CN"/>
        </w:rPr>
      </w:pPr>
    </w:p>
    <w:p w14:paraId="118D9F64">
      <w:pPr>
        <w:bidi w:val="0"/>
        <w:rPr>
          <w:rFonts w:hint="eastAsia"/>
          <w:color w:val="auto"/>
          <w:lang w:val="en-US" w:eastAsia="zh-CN"/>
        </w:rPr>
      </w:pPr>
    </w:p>
    <w:p w14:paraId="75D8F1C5">
      <w:pPr>
        <w:bidi w:val="0"/>
        <w:rPr>
          <w:rFonts w:hint="eastAsia"/>
          <w:color w:val="auto"/>
          <w:lang w:val="en-US" w:eastAsia="zh-CN"/>
        </w:rPr>
      </w:pPr>
    </w:p>
    <w:p w14:paraId="0A01B828">
      <w:pPr>
        <w:bidi w:val="0"/>
        <w:rPr>
          <w:rFonts w:hint="eastAsia"/>
          <w:color w:val="auto"/>
          <w:lang w:val="en-US" w:eastAsia="zh-CN"/>
        </w:rPr>
      </w:pPr>
    </w:p>
    <w:p w14:paraId="137CBF29">
      <w:pPr>
        <w:bidi w:val="0"/>
        <w:rPr>
          <w:rFonts w:hint="eastAsia"/>
          <w:color w:val="auto"/>
          <w:lang w:val="en-US" w:eastAsia="zh-CN"/>
        </w:rPr>
      </w:pPr>
    </w:p>
    <w:p w14:paraId="05FD850B">
      <w:pPr>
        <w:bidi w:val="0"/>
        <w:rPr>
          <w:rFonts w:hint="eastAsia"/>
          <w:color w:val="auto"/>
          <w:lang w:val="en-US" w:eastAsia="zh-CN"/>
        </w:rPr>
      </w:pPr>
    </w:p>
    <w:p w14:paraId="45BBE5A5">
      <w:pPr>
        <w:bidi w:val="0"/>
        <w:rPr>
          <w:rFonts w:hint="eastAsia"/>
          <w:color w:val="auto"/>
          <w:lang w:val="en-US" w:eastAsia="zh-CN"/>
        </w:rPr>
      </w:pPr>
    </w:p>
    <w:p w14:paraId="4E30486A">
      <w:pPr>
        <w:bidi w:val="0"/>
        <w:rPr>
          <w:rFonts w:hint="eastAsia"/>
          <w:color w:val="auto"/>
          <w:lang w:val="en-US" w:eastAsia="zh-CN"/>
        </w:rPr>
      </w:pPr>
    </w:p>
    <w:p w14:paraId="699AEB5F">
      <w:pPr>
        <w:bidi w:val="0"/>
        <w:rPr>
          <w:rFonts w:hint="eastAsia"/>
          <w:color w:val="auto"/>
          <w:lang w:val="en-US" w:eastAsia="zh-CN"/>
        </w:rPr>
      </w:pPr>
      <w:r>
        <w:rPr>
          <w:color w:val="auto"/>
          <w:sz w:val="21"/>
        </w:rPr>
        <w:pict>
          <v:group id="_x0000_s1395" o:spid="_x0000_s1395" o:spt="203" style="position:absolute;left:0pt;margin-left:642.95pt;margin-top:9.25pt;height:19.55pt;width:49.7pt;z-index:251762688;mso-width-relative:page;mso-height-relative:page;" coordorigin="14222,2016251" coordsize="994,391">
            <o:lock v:ext="edit" aspectratio="f"/>
            <v:line id="_x0000_s1389" o:spid="_x0000_s1389" o:spt="20" style="position:absolute;left:14337;top:2016638;height:4;width:570;" fillcolor="#FFFFFF" filled="t" stroked="t" coordsize="21600,21600">
              <v:path arrowok="t"/>
              <v:fill on="t" color2="#FFFFFF" focussize="0,0"/>
              <v:stroke weight="1pt" color="#000000" endarrowwidth="narrow" endarrowlength="long"/>
              <v:imagedata o:title=""/>
              <o:lock v:ext="edit" aspectratio="f"/>
            </v:line>
            <v:line id="_x0000_s1392" o:spid="_x0000_s1392" o:spt="20" style="position:absolute;left:14340;top:2016492;flip:y;height:150;width:1;" fillcolor="#FFFFFF" filled="t" stroked="t" coordsize="21600,21600">
              <v:path arrowok="t"/>
              <v:fill on="t" color2="#FFFFFF" focussize="0,0"/>
              <v:stroke weight="1.5pt" color="#000000" endarrowwidth="narrow" endarrowlength="long"/>
              <v:imagedata o:title=""/>
              <o:lock v:ext="edit" aspectratio="f"/>
            </v:line>
            <v:line id="_x0000_s1393" o:spid="_x0000_s1393" o:spt="20" style="position:absolute;left:14906;top:2016492;flip:y;height:150;width:1;" filled="f" stroked="t" coordsize="21600,21600">
              <v:path arrowok="t"/>
              <v:fill on="f" focussize="0,0"/>
              <v:stroke weight="1.5pt" color="#000000" endarrowwidth="narrow" endarrowlength="long"/>
              <v:imagedata o:title=""/>
              <o:lock v:ext="edit" aspectratio="f"/>
            </v:line>
            <v:shape id="_x0000_s1394" o:spid="_x0000_s1394" o:spt="202" type="#_x0000_t202" style="position:absolute;left:14222;top:2016251;height:347;width:994;" filled="f" stroked="f" coordsize="21600,21600">
              <v:path/>
              <v:fill on="f" focussize="0,0"/>
              <v:stroke on="f" weight="0.5pt" endarrow="block" endarrowwidth="narrow" endarrowlength="long"/>
              <v:imagedata o:title=""/>
              <o:lock v:ext="edit" aspectratio="f"/>
              <v:textbox>
                <w:txbxContent>
                  <w:p w14:paraId="04A1DEDE">
                    <w:pPr>
                      <w:rPr>
                        <w:rFonts w:hint="default" w:eastAsia="宋体"/>
                        <w:lang w:val="en-US" w:eastAsia="zh-CN"/>
                      </w:rPr>
                    </w:pPr>
                    <w:r>
                      <w:rPr>
                        <w:rFonts w:hint="eastAsia"/>
                        <w:lang w:val="en-US" w:eastAsia="zh-CN"/>
                      </w:rPr>
                      <w:t>15m</w:t>
                    </w:r>
                  </w:p>
                </w:txbxContent>
              </v:textbox>
            </v:shape>
          </v:group>
        </w:pict>
      </w:r>
      <w:r>
        <w:rPr>
          <w:color w:val="auto"/>
          <w:sz w:val="21"/>
        </w:rPr>
        <w:pict>
          <v:shape id="_x0000_s1369" o:spid="_x0000_s1369" o:spt="202" type="#_x0000_t202" style="position:absolute;left:0pt;margin-left:175.45pt;margin-top:9.25pt;height:19.55pt;width:49.45pt;z-index:251741184;mso-width-relative:page;mso-height-relative:page;" filled="f" stroked="f" coordsize="21600,21600">
            <v:path/>
            <v:fill on="f" focussize="0,0"/>
            <v:stroke on="f" weight="0.5pt"/>
            <v:imagedata o:title=""/>
            <o:lock v:ext="edit" aspectratio="f"/>
            <v:textbox>
              <w:txbxContent>
                <w:p w14:paraId="14C88B2C">
                  <w:pPr>
                    <w:rPr>
                      <w:rFonts w:hint="default" w:eastAsia="宋体"/>
                      <w:lang w:val="en-US" w:eastAsia="zh-CN"/>
                    </w:rPr>
                  </w:pPr>
                  <w:r>
                    <w:rPr>
                      <w:rFonts w:hint="eastAsia"/>
                      <w:sz w:val="18"/>
                      <w:szCs w:val="18"/>
                      <w:lang w:val="en-US" w:eastAsia="zh-CN"/>
                    </w:rPr>
                    <w:t>DA003</w:t>
                  </w:r>
                </w:p>
              </w:txbxContent>
            </v:textbox>
          </v:shape>
        </w:pict>
      </w:r>
      <w:r>
        <w:rPr>
          <w:color w:val="auto"/>
          <w:sz w:val="21"/>
        </w:rPr>
        <w:pict>
          <v:shape id="同心圆 17" o:spid="_x0000_s1362" o:spt="23" type="#_x0000_t23" style="position:absolute;left:0pt;margin-left:176.9pt;margin-top:2.15pt;height:7.1pt;width:7.1pt;z-index:251734016;v-text-anchor:middle;mso-width-relative:page;mso-height-relative:page;" filled="f" stroked="t" coordsize="21600,21600" adj="5400">
            <v:path/>
            <v:fill on="f" focussize="0,0"/>
            <v:stroke weight="0.5pt" color="#FF0000" joinstyle="round"/>
            <v:imagedata o:title=""/>
            <o:lock v:ext="edit" aspectratio="f"/>
          </v:shape>
        </w:pict>
      </w:r>
    </w:p>
    <w:p w14:paraId="3416773C">
      <w:pPr>
        <w:bidi w:val="0"/>
        <w:rPr>
          <w:rFonts w:hint="eastAsia"/>
          <w:color w:val="auto"/>
          <w:lang w:val="en-US" w:eastAsia="zh-CN"/>
        </w:rPr>
      </w:pPr>
    </w:p>
    <w:p w14:paraId="72DE2BD5">
      <w:pPr>
        <w:bidi w:val="0"/>
        <w:rPr>
          <w:rFonts w:hint="eastAsia"/>
          <w:color w:val="auto"/>
          <w:lang w:val="en-US" w:eastAsia="zh-CN"/>
        </w:rPr>
      </w:pPr>
      <w:r>
        <w:rPr>
          <w:color w:val="auto"/>
          <w:sz w:val="21"/>
        </w:rPr>
        <w:pict>
          <v:shape id="_x0000_s1379" o:spid="_x0000_s1379" o:spt="202" type="#_x0000_t202" style="position:absolute;left:0pt;margin-left:400.5pt;margin-top:4.65pt;height:19.2pt;width:70.8pt;z-index:251751424;mso-width-relative:page;mso-height-relative:page;" filled="f" stroked="f" coordsize="21600,21600">
            <v:path/>
            <v:fill on="f" focussize="0,0"/>
            <v:stroke on="f" weight="0.5pt"/>
            <v:imagedata o:title=""/>
            <o:lock v:ext="edit" aspectratio="f"/>
            <v:textbox>
              <w:txbxContent>
                <w:p w14:paraId="02C572B4">
                  <w:pPr>
                    <w:rPr>
                      <w:rFonts w:hint="default" w:eastAsia="宋体"/>
                      <w:lang w:val="en-US" w:eastAsia="zh-CN"/>
                    </w:rPr>
                  </w:pPr>
                  <w:r>
                    <w:rPr>
                      <w:rFonts w:hint="eastAsia"/>
                      <w:lang w:val="en-US" w:eastAsia="zh-CN"/>
                    </w:rPr>
                    <w:t>食堂排气筒</w:t>
                  </w:r>
                </w:p>
              </w:txbxContent>
            </v:textbox>
          </v:shape>
        </w:pict>
      </w:r>
    </w:p>
    <w:p w14:paraId="3234317B">
      <w:pPr>
        <w:bidi w:val="0"/>
        <w:rPr>
          <w:rFonts w:hint="eastAsia"/>
          <w:color w:val="auto"/>
          <w:lang w:val="en-US" w:eastAsia="zh-CN"/>
        </w:rPr>
      </w:pPr>
      <w:r>
        <w:rPr>
          <w:color w:val="auto"/>
          <w:sz w:val="21"/>
        </w:rPr>
        <w:pict>
          <v:shape id="任意多边形 7" o:spid="_x0000_s1353" style="position:absolute;left:0pt;margin-left:376.45pt;margin-top:9.85pt;height:31.65pt;width:80.2pt;z-index:251724800;mso-width-relative:page;mso-height-relative:page;" fillcolor="#00B050" filled="t" stroked="t" coordsize="1033780,401955" path="m0,322580l1029970,401955,1033780,215900,587375,185420,589280,36195,23495,0,0,322580xe">
            <v:path o:connectlocs="0,508;1622,633;1628,340;925,292;928,57;37,0;0,508" o:connectangles="0,0,0,0,0,0,0"/>
            <v:fill on="t" opacity="26214f" focussize="0,0"/>
            <v:stroke weight="2pt" color="#000000" joinstyle="round"/>
            <v:imagedata o:title=""/>
            <o:lock v:ext="edit" aspectratio="f"/>
          </v:shape>
        </w:pict>
      </w:r>
    </w:p>
    <w:p w14:paraId="021E0089">
      <w:pPr>
        <w:bidi w:val="0"/>
        <w:rPr>
          <w:rFonts w:hint="eastAsia"/>
          <w:color w:val="auto"/>
          <w:lang w:val="en-US" w:eastAsia="zh-CN"/>
        </w:rPr>
      </w:pPr>
      <w:r>
        <w:rPr>
          <w:color w:val="auto"/>
          <w:sz w:val="21"/>
        </w:rPr>
        <w:pict>
          <v:shape id="_x0000_s1378" o:spid="_x0000_s1378" o:spt="23" type="#_x0000_t23" style="position:absolute;left:0pt;margin-left:428.45pt;margin-top:3.45pt;height:7.1pt;width:7.1pt;z-index:251750400;v-text-anchor:middle;mso-width-relative:page;mso-height-relative:page;" filled="f" stroked="t" coordsize="21600,21600" adj="5400">
            <v:path/>
            <v:fill on="f" focussize="0,0"/>
            <v:stroke weight="0.5pt" color="#FF0000" joinstyle="round"/>
            <v:imagedata o:title=""/>
            <o:lock v:ext="edit" aspectratio="f"/>
          </v:shape>
        </w:pict>
      </w:r>
      <w:r>
        <w:rPr>
          <w:color w:val="auto"/>
          <w:sz w:val="21"/>
        </w:rPr>
        <w:pict>
          <v:shape id="文本框 16" o:spid="_x0000_s1361" o:spt="202" type="#_x0000_t202" style="position:absolute;left:0pt;margin-left:374.4pt;margin-top:5.55pt;height:21pt;width:60.5pt;rotation:262144f;z-index:251732992;mso-width-relative:page;mso-height-relative:page;" filled="f" stroked="f" coordsize="21600,21600">
            <v:path/>
            <v:fill on="f" focussize="0,0"/>
            <v:stroke on="f" weight="0.5pt"/>
            <v:imagedata o:title=""/>
            <o:lock v:ext="edit" aspectratio="f"/>
            <v:textbox>
              <w:txbxContent>
                <w:p w14:paraId="4DD72FFD">
                  <w:pPr>
                    <w:ind w:left="0" w:leftChars="0" w:firstLine="0" w:firstLineChars="0"/>
                    <w:rPr>
                      <w:rFonts w:hint="default" w:eastAsia="宋体"/>
                      <w:lang w:val="en-US" w:eastAsia="zh-CN"/>
                    </w:rPr>
                  </w:pPr>
                  <w:r>
                    <w:rPr>
                      <w:rFonts w:hint="eastAsia"/>
                      <w:lang w:val="en-US" w:eastAsia="zh-CN"/>
                    </w:rPr>
                    <w:t>宿舍食堂</w:t>
                  </w:r>
                </w:p>
              </w:txbxContent>
            </v:textbox>
          </v:shape>
        </w:pict>
      </w:r>
    </w:p>
    <w:p w14:paraId="1BD4DD38">
      <w:pPr>
        <w:bidi w:val="0"/>
        <w:rPr>
          <w:rFonts w:hint="eastAsia"/>
          <w:color w:val="auto"/>
          <w:lang w:val="en-US" w:eastAsia="zh-CN"/>
        </w:rPr>
      </w:pPr>
    </w:p>
    <w:p w14:paraId="6F85D4C2">
      <w:pPr>
        <w:bidi w:val="0"/>
        <w:jc w:val="center"/>
        <w:rPr>
          <w:rFonts w:hint="eastAsia"/>
          <w:b/>
          <w:bCs/>
          <w:color w:val="auto"/>
          <w:sz w:val="21"/>
          <w:szCs w:val="21"/>
          <w:lang w:val="en-US" w:eastAsia="zh-CN"/>
        </w:rPr>
      </w:pPr>
    </w:p>
    <w:p w14:paraId="15892D5A">
      <w:pPr>
        <w:bidi w:val="0"/>
        <w:jc w:val="center"/>
        <w:rPr>
          <w:rFonts w:hint="eastAsia"/>
          <w:b/>
          <w:bCs/>
          <w:color w:val="auto"/>
          <w:sz w:val="21"/>
          <w:szCs w:val="21"/>
          <w:lang w:val="en-US" w:eastAsia="zh-CN"/>
        </w:rPr>
        <w:sectPr>
          <w:pgSz w:w="16838" w:h="11906" w:orient="landscape"/>
          <w:pgMar w:top="1440" w:right="1080" w:bottom="1440" w:left="1080" w:header="851" w:footer="850"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sz w:val="21"/>
          <w:szCs w:val="21"/>
          <w:lang w:val="en-US" w:eastAsia="zh-CN"/>
        </w:rPr>
        <w:t>附图10  分区防渗图</w:t>
      </w:r>
    </w:p>
    <w:p w14:paraId="53EED094">
      <w:pPr>
        <w:pStyle w:val="17"/>
        <w:rPr>
          <w:rFonts w:hint="default"/>
          <w:color w:val="auto"/>
          <w:lang w:val="en-US" w:eastAsia="zh-CN"/>
        </w:rPr>
      </w:pPr>
    </w:p>
    <w:p w14:paraId="41BA0BE4">
      <w:pPr>
        <w:pStyle w:val="17"/>
        <w:rPr>
          <w:rFonts w:hint="default"/>
          <w:color w:val="auto"/>
          <w:lang w:val="en-US" w:eastAsia="zh-CN"/>
        </w:rPr>
      </w:pPr>
    </w:p>
    <w:p w14:paraId="00BC1055">
      <w:pPr>
        <w:pStyle w:val="17"/>
        <w:rPr>
          <w:rFonts w:hint="default"/>
          <w:color w:val="auto"/>
          <w:lang w:val="en-US" w:eastAsia="zh-CN"/>
        </w:rPr>
      </w:pPr>
    </w:p>
    <w:p w14:paraId="20870BBE">
      <w:pPr>
        <w:pStyle w:val="17"/>
        <w:rPr>
          <w:rFonts w:hint="default"/>
          <w:color w:val="auto"/>
          <w:lang w:val="en-US" w:eastAsia="zh-CN"/>
        </w:rPr>
      </w:pPr>
    </w:p>
    <w:p w14:paraId="60C570FD">
      <w:pPr>
        <w:pStyle w:val="17"/>
        <w:rPr>
          <w:rFonts w:hint="default"/>
          <w:color w:val="auto"/>
          <w:lang w:val="en-US" w:eastAsia="zh-CN"/>
        </w:rPr>
      </w:pPr>
    </w:p>
    <w:p w14:paraId="277C6C16">
      <w:pPr>
        <w:pStyle w:val="17"/>
        <w:rPr>
          <w:rFonts w:hint="default"/>
          <w:color w:val="auto"/>
          <w:lang w:val="en-US" w:eastAsia="zh-CN"/>
        </w:rPr>
      </w:pPr>
    </w:p>
    <w:p w14:paraId="60D79906">
      <w:pPr>
        <w:pStyle w:val="17"/>
        <w:rPr>
          <w:rFonts w:hint="default"/>
          <w:color w:val="auto"/>
          <w:lang w:val="en-US" w:eastAsia="zh-CN"/>
        </w:rPr>
      </w:pPr>
    </w:p>
    <w:p w14:paraId="196D0C78">
      <w:pPr>
        <w:pStyle w:val="17"/>
        <w:rPr>
          <w:rFonts w:hint="default"/>
          <w:color w:val="auto"/>
          <w:lang w:val="en-US" w:eastAsia="zh-CN"/>
        </w:rPr>
      </w:pPr>
    </w:p>
    <w:p w14:paraId="6B5D0D49">
      <w:pPr>
        <w:pStyle w:val="17"/>
        <w:rPr>
          <w:rFonts w:hint="default"/>
          <w:color w:val="auto"/>
          <w:lang w:val="en-US" w:eastAsia="zh-CN"/>
        </w:rPr>
      </w:pPr>
    </w:p>
    <w:p w14:paraId="5CD43A01">
      <w:pPr>
        <w:pStyle w:val="17"/>
        <w:rPr>
          <w:rFonts w:hint="default"/>
          <w:color w:val="auto"/>
          <w:lang w:val="en-US" w:eastAsia="zh-CN"/>
        </w:rPr>
      </w:pPr>
      <w:r>
        <w:rPr>
          <w:rFonts w:hint="default"/>
          <w:color w:val="auto"/>
          <w:lang w:val="en-US" w:eastAsia="zh-CN"/>
        </w:rPr>
        <w:pict>
          <v:shape id="ECB019B1-382A-4266-B25C-5B523AA43C14-5" o:spid="ECB019B1-382A-4266-B25C-5B523AA43C14-5" o:spt="75" alt="wps" type="#_x0000_t75" style="height:254.15pt;width:733.75pt;" filled="f" o:preferrelative="t" stroked="f" coordsize="21600,21600">
            <v:path/>
            <v:fill on="f" focussize="0,0"/>
            <v:stroke on="f"/>
            <v:imagedata r:id="rId43" o:title="wps"/>
            <o:lock v:ext="edit" aspectratio="t"/>
            <w10:wrap type="none"/>
            <w10:anchorlock/>
          </v:shape>
        </w:pict>
      </w:r>
    </w:p>
    <w:p w14:paraId="53AE9D12">
      <w:pPr>
        <w:pStyle w:val="17"/>
        <w:rPr>
          <w:rFonts w:hint="default"/>
          <w:color w:val="auto"/>
          <w:lang w:val="en-US" w:eastAsia="zh-CN"/>
        </w:rPr>
      </w:pPr>
    </w:p>
    <w:p w14:paraId="0C35E218">
      <w:pPr>
        <w:pStyle w:val="17"/>
        <w:tabs>
          <w:tab w:val="left" w:pos="371"/>
          <w:tab w:val="clear" w:pos="4153"/>
        </w:tabs>
        <w:rPr>
          <w:rFonts w:hint="eastAsia"/>
          <w:color w:val="auto"/>
          <w:lang w:val="en-US" w:eastAsia="zh-CN"/>
        </w:rPr>
      </w:pPr>
      <w:r>
        <w:rPr>
          <w:rFonts w:hint="eastAsia"/>
          <w:color w:val="auto"/>
          <w:lang w:val="en-US" w:eastAsia="zh-CN"/>
        </w:rPr>
        <w:tab/>
      </w:r>
    </w:p>
    <w:p w14:paraId="56BE8D4E">
      <w:pPr>
        <w:pStyle w:val="17"/>
        <w:tabs>
          <w:tab w:val="left" w:pos="371"/>
          <w:tab w:val="clear" w:pos="4153"/>
        </w:tabs>
        <w:rPr>
          <w:rFonts w:hint="eastAsia"/>
          <w:color w:val="auto"/>
          <w:lang w:val="en-US" w:eastAsia="zh-CN"/>
        </w:rPr>
      </w:pPr>
    </w:p>
    <w:p w14:paraId="58270414">
      <w:pPr>
        <w:pStyle w:val="17"/>
        <w:tabs>
          <w:tab w:val="left" w:pos="371"/>
          <w:tab w:val="clear" w:pos="4153"/>
        </w:tabs>
        <w:rPr>
          <w:rFonts w:hint="eastAsia"/>
          <w:color w:val="auto"/>
          <w:lang w:val="en-US" w:eastAsia="zh-CN"/>
        </w:rPr>
      </w:pPr>
    </w:p>
    <w:p w14:paraId="313FD909">
      <w:pPr>
        <w:pStyle w:val="17"/>
        <w:tabs>
          <w:tab w:val="left" w:pos="371"/>
          <w:tab w:val="clear" w:pos="4153"/>
        </w:tabs>
        <w:rPr>
          <w:rFonts w:hint="eastAsia"/>
          <w:color w:val="auto"/>
          <w:lang w:val="en-US" w:eastAsia="zh-CN"/>
        </w:rPr>
      </w:pPr>
    </w:p>
    <w:p w14:paraId="238D22D5">
      <w:pPr>
        <w:pStyle w:val="17"/>
        <w:tabs>
          <w:tab w:val="left" w:pos="371"/>
          <w:tab w:val="clear" w:pos="4153"/>
        </w:tabs>
        <w:rPr>
          <w:rFonts w:hint="eastAsia"/>
          <w:color w:val="auto"/>
          <w:lang w:val="en-US" w:eastAsia="zh-CN"/>
        </w:rPr>
      </w:pPr>
    </w:p>
    <w:p w14:paraId="425D4F2A">
      <w:pPr>
        <w:pStyle w:val="17"/>
        <w:tabs>
          <w:tab w:val="left" w:pos="371"/>
          <w:tab w:val="clear" w:pos="4153"/>
        </w:tabs>
        <w:jc w:val="center"/>
        <w:rPr>
          <w:rFonts w:hint="default"/>
          <w:b/>
          <w:bCs/>
          <w:color w:val="auto"/>
          <w:sz w:val="24"/>
          <w:szCs w:val="24"/>
          <w:lang w:val="en-US" w:eastAsia="zh-CN"/>
        </w:rPr>
        <w:sectPr>
          <w:pgSz w:w="16838" w:h="11906" w:orient="landscape"/>
          <w:pgMar w:top="1440" w:right="1080" w:bottom="1440" w:left="1080" w:header="851" w:footer="850" w:gutter="0"/>
          <w:pgBorders>
            <w:top w:val="none" w:sz="0" w:space="0"/>
            <w:left w:val="none" w:sz="0" w:space="0"/>
            <w:bottom w:val="none" w:sz="0" w:space="0"/>
            <w:right w:val="none" w:sz="0" w:space="0"/>
          </w:pgBorders>
          <w:pgNumType w:fmt="decimal"/>
          <w:cols w:space="720" w:num="1"/>
          <w:docGrid w:linePitch="312" w:charSpace="0"/>
        </w:sectPr>
      </w:pPr>
      <w:r>
        <w:rPr>
          <w:rFonts w:hint="eastAsia"/>
          <w:b/>
          <w:bCs/>
          <w:color w:val="auto"/>
          <w:sz w:val="24"/>
          <w:szCs w:val="24"/>
          <w:lang w:val="en-US" w:eastAsia="zh-CN"/>
        </w:rPr>
        <w:t>附图11  本项目废气处理工艺流程示意图</w:t>
      </w:r>
    </w:p>
    <w:p w14:paraId="426FEA4E">
      <w:pPr>
        <w:pStyle w:val="2"/>
        <w:keepNext/>
        <w:keepLines w:val="0"/>
        <w:pageBreakBefore w:val="0"/>
        <w:widowControl w:val="0"/>
        <w:kinsoku/>
        <w:wordWrap/>
        <w:overflowPunct w:val="0"/>
        <w:topLinePunct w:val="0"/>
        <w:autoSpaceDE/>
        <w:autoSpaceDN/>
        <w:bidi w:val="0"/>
        <w:adjustRightInd/>
        <w:snapToGrid w:val="0"/>
        <w:spacing w:before="0" w:after="0" w:line="240" w:lineRule="auto"/>
        <w:ind w:left="0" w:firstLine="0"/>
        <w:textAlignment w:val="auto"/>
        <w:rPr>
          <w:color w:val="auto"/>
        </w:rPr>
      </w:pPr>
      <w:r>
        <w:rPr>
          <w:rFonts w:hint="eastAsia"/>
          <w:color w:val="auto"/>
          <w:lang w:val="en-US" w:eastAsia="zh-CN"/>
        </w:rPr>
        <w:t>附件1 委托书</w:t>
      </w:r>
    </w:p>
    <w:p w14:paraId="3D11E71C">
      <w:pPr>
        <w:bidi w:val="0"/>
        <w:jc w:val="center"/>
        <w:rPr>
          <w:rFonts w:hint="eastAsia" w:eastAsia="宋体"/>
          <w:color w:val="auto"/>
          <w:lang w:eastAsia="zh-CN"/>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eastAsia" w:eastAsia="宋体"/>
          <w:color w:val="auto"/>
          <w:lang w:eastAsia="zh-CN"/>
        </w:rPr>
        <w:pict>
          <v:shape id="_x0000_i1060" o:spt="75" alt="18fa05071d089322f88c9a7965c44bf0" type="#_x0000_t75" style="height:668.45pt;width:467.7pt;" filled="f" o:preferrelative="t" stroked="f" coordsize="21600,21600">
            <v:path/>
            <v:fill on="f" focussize="0,0"/>
            <v:stroke on="f"/>
            <v:imagedata r:id="rId44" o:title="18fa05071d089322f88c9a7965c44bf0"/>
            <o:lock v:ext="edit" aspectratio="t"/>
            <w10:wrap type="none"/>
            <w10:anchorlock/>
          </v:shape>
        </w:pict>
      </w:r>
    </w:p>
    <w:p w14:paraId="147E6870">
      <w:pPr>
        <w:pStyle w:val="2"/>
        <w:bidi w:val="0"/>
        <w:rPr>
          <w:rFonts w:hint="eastAsia"/>
          <w:color w:val="auto"/>
          <w:lang w:val="en-US" w:eastAsia="zh-CN"/>
        </w:rPr>
      </w:pPr>
      <w:r>
        <w:rPr>
          <w:rFonts w:hint="eastAsia"/>
          <w:color w:val="auto"/>
          <w:lang w:val="en-US" w:eastAsia="zh-CN"/>
        </w:rPr>
        <w:t>附件2 立项文件</w:t>
      </w:r>
    </w:p>
    <w:p w14:paraId="010A305B">
      <w:pPr>
        <w:bidi w:val="0"/>
        <w:jc w:val="center"/>
        <w:rPr>
          <w:rFonts w:hint="default" w:ascii="Times New Roman" w:hAnsi="Times New Roman" w:cs="Times New Roman"/>
          <w:b/>
          <w:bCs/>
          <w:color w:val="auto"/>
          <w:sz w:val="24"/>
          <w:szCs w:val="24"/>
          <w:lang w:val="en-US" w:eastAsia="zh-CN"/>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Times New Roman" w:hAnsi="Times New Roman" w:cs="Times New Roman"/>
          <w:b/>
          <w:bCs/>
          <w:color w:val="auto"/>
          <w:sz w:val="24"/>
          <w:szCs w:val="24"/>
          <w:lang w:val="en-US" w:eastAsia="zh-CN"/>
        </w:rPr>
        <w:pict>
          <v:shape id="_x0000_i1061" o:spt="75" alt="fc2100ea1fc1ab410c48e8509043de57" type="#_x0000_t75" style="height:665.4pt;width:438.25pt;" filled="f" o:preferrelative="t" stroked="f" coordsize="21600,21600">
            <v:path/>
            <v:fill on="f" focussize="0,0"/>
            <v:stroke on="f"/>
            <v:imagedata r:id="rId45" o:title="fc2100ea1fc1ab410c48e8509043de57"/>
            <o:lock v:ext="edit" aspectratio="t"/>
            <w10:wrap type="none"/>
            <w10:anchorlock/>
          </v:shape>
        </w:pict>
      </w:r>
    </w:p>
    <w:p w14:paraId="54F7E7EF">
      <w:pPr>
        <w:pStyle w:val="2"/>
        <w:bidi w:val="0"/>
        <w:rPr>
          <w:rFonts w:hint="eastAsia"/>
          <w:color w:val="auto"/>
          <w:lang w:val="en-US" w:eastAsia="zh-CN"/>
        </w:rPr>
      </w:pPr>
      <w:r>
        <w:rPr>
          <w:rFonts w:hint="eastAsia"/>
          <w:color w:val="auto"/>
          <w:lang w:val="en-US" w:eastAsia="zh-CN"/>
        </w:rPr>
        <w:t>附件3 营业执照</w:t>
      </w:r>
    </w:p>
    <w:p w14:paraId="03032151">
      <w:pPr>
        <w:bidi w:val="0"/>
        <w:jc w:val="both"/>
        <w:rPr>
          <w:color w:val="auto"/>
        </w:rPr>
        <w:sectPr>
          <w:pgSz w:w="16838" w:h="11906" w:orient="landscape"/>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r>
        <w:rPr>
          <w:color w:val="auto"/>
        </w:rPr>
        <w:pict>
          <v:shape id="_x0000_i1062" o:spt="75" type="#_x0000_t75" style="height:456.4pt;width:664.7pt;" filled="f" o:preferrelative="t" stroked="f" coordsize="21600,21600">
            <v:path/>
            <v:fill on="f" focussize="0,0"/>
            <v:stroke on="f"/>
            <v:imagedata r:id="rId46" o:title=""/>
            <o:lock v:ext="edit" aspectratio="t"/>
            <w10:wrap type="none"/>
            <w10:anchorlock/>
          </v:shape>
        </w:pict>
      </w:r>
    </w:p>
    <w:p w14:paraId="434D2478">
      <w:pPr>
        <w:pStyle w:val="2"/>
        <w:bidi w:val="0"/>
        <w:rPr>
          <w:rFonts w:hint="eastAsia"/>
          <w:color w:val="auto"/>
          <w:lang w:val="en-US" w:eastAsia="zh-CN"/>
        </w:rPr>
      </w:pPr>
      <w:r>
        <w:rPr>
          <w:rFonts w:hint="eastAsia"/>
          <w:color w:val="auto"/>
          <w:lang w:val="en-US" w:eastAsia="zh-CN"/>
        </w:rPr>
        <w:t>附件4 租赁合同</w:t>
      </w:r>
    </w:p>
    <w:p w14:paraId="5505FEF9">
      <w:pPr>
        <w:bidi w:val="0"/>
        <w:jc w:val="center"/>
        <w:rPr>
          <w:rFonts w:hint="eastAsia"/>
          <w:color w:val="auto"/>
          <w:lang w:val="en-US" w:eastAsia="zh-CN"/>
        </w:rPr>
      </w:pPr>
      <w:r>
        <w:rPr>
          <w:color w:val="auto"/>
        </w:rPr>
        <w:pict>
          <v:shape id="_x0000_i1063" o:spt="75" type="#_x0000_t75" style="height:660.55pt;width:453.55pt;" filled="f" o:preferrelative="t" stroked="f" coordsize="21600,21600">
            <v:path/>
            <v:fill on="f" focussize="0,0"/>
            <v:stroke on="f"/>
            <v:imagedata r:id="rId47" o:title=""/>
            <o:lock v:ext="edit" aspectratio="t"/>
            <w10:wrap type="none"/>
            <w10:anchorlock/>
          </v:shape>
        </w:pict>
      </w:r>
      <w:r>
        <w:rPr>
          <w:color w:val="auto"/>
        </w:rPr>
        <w:pict>
          <v:shape id="_x0000_i1064" o:spt="75" type="#_x0000_t75" style="height:634.3pt;width:467.7pt;" filled="f" o:preferrelative="t" stroked="f" coordsize="21600,21600">
            <v:path/>
            <v:fill on="f" focussize="0,0"/>
            <v:stroke on="f"/>
            <v:imagedata r:id="rId48" o:title=""/>
            <o:lock v:ext="edit" aspectratio="t"/>
            <w10:wrap type="none"/>
            <w10:anchorlock/>
          </v:shape>
        </w:pict>
      </w:r>
    </w:p>
    <w:p w14:paraId="65603A01">
      <w:pPr>
        <w:bidi w:val="0"/>
        <w:jc w:val="center"/>
        <w:rPr>
          <w:color w:val="auto"/>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color w:val="auto"/>
        </w:rPr>
        <w:pict>
          <v:shape id="_x0000_i1065" o:spt="75" type="#_x0000_t75" style="height:657.75pt;width:467.7pt;" filled="f" o:preferrelative="t" stroked="f" coordsize="21600,21600">
            <v:path/>
            <v:fill on="f" focussize="0,0"/>
            <v:stroke on="f"/>
            <v:imagedata r:id="rId49" o:title=""/>
            <o:lock v:ext="edit" aspectratio="t"/>
            <w10:wrap type="none"/>
            <w10:anchorlock/>
          </v:shape>
        </w:pict>
      </w:r>
    </w:p>
    <w:p w14:paraId="13A97583">
      <w:pPr>
        <w:pStyle w:val="2"/>
        <w:bidi w:val="0"/>
        <w:rPr>
          <w:rFonts w:hint="eastAsia"/>
          <w:color w:val="auto"/>
          <w:lang w:val="en-US" w:eastAsia="zh-CN"/>
        </w:rPr>
      </w:pPr>
      <w:r>
        <w:rPr>
          <w:rFonts w:hint="eastAsia"/>
          <w:color w:val="auto"/>
          <w:lang w:val="en-US" w:eastAsia="zh-CN"/>
        </w:rPr>
        <w:t>附件5 不动产权证</w:t>
      </w:r>
    </w:p>
    <w:p w14:paraId="7F491614">
      <w:pPr>
        <w:bidi w:val="0"/>
        <w:jc w:val="both"/>
        <w:rPr>
          <w:color w:val="auto"/>
        </w:rPr>
        <w:sectPr>
          <w:pgSz w:w="16838" w:h="11906" w:orient="landscape"/>
          <w:pgMar w:top="1080" w:right="1440" w:bottom="1080" w:left="1440" w:header="851" w:footer="851" w:gutter="0"/>
          <w:pgBorders>
            <w:top w:val="none" w:sz="0" w:space="0"/>
            <w:left w:val="none" w:sz="0" w:space="0"/>
            <w:bottom w:val="none" w:sz="0" w:space="0"/>
            <w:right w:val="none" w:sz="0" w:space="0"/>
          </w:pgBorders>
          <w:pgNumType w:fmt="decimal"/>
          <w:cols w:space="720" w:num="1"/>
          <w:docGrid w:linePitch="312" w:charSpace="0"/>
        </w:sectPr>
      </w:pPr>
      <w:r>
        <w:rPr>
          <w:color w:val="auto"/>
        </w:rPr>
        <w:pict>
          <v:shape id="_x0000_i1066" o:spt="75" type="#_x0000_t75" style="height:465.9pt;width:662.7pt;" filled="f" o:preferrelative="t" stroked="f" coordsize="21600,21600">
            <v:path/>
            <v:fill on="f" focussize="0,0"/>
            <v:stroke on="f"/>
            <v:imagedata r:id="rId50" o:title=""/>
            <o:lock v:ext="edit" aspectratio="t"/>
            <w10:wrap type="none"/>
            <w10:anchorlock/>
          </v:shape>
        </w:pict>
      </w:r>
    </w:p>
    <w:p w14:paraId="33E885C5">
      <w:pPr>
        <w:pStyle w:val="2"/>
        <w:bidi w:val="0"/>
        <w:rPr>
          <w:rFonts w:hint="default"/>
          <w:color w:val="auto"/>
          <w:lang w:val="en-US" w:eastAsia="zh-CN"/>
        </w:rPr>
      </w:pPr>
      <w:r>
        <w:rPr>
          <w:rFonts w:hint="eastAsia"/>
          <w:color w:val="auto"/>
          <w:lang w:val="en-US" w:eastAsia="zh-CN"/>
        </w:rPr>
        <w:t>附件6 园区规划环境影响报告书的审查意见</w:t>
      </w:r>
    </w:p>
    <w:p w14:paraId="1967799F">
      <w:pPr>
        <w:bidi w:val="0"/>
        <w:jc w:val="both"/>
        <w:rPr>
          <w:color w:val="auto"/>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ascii="Times New Roman" w:hAnsi="Times New Roman" w:eastAsia="宋体" w:cs="Times New Roman"/>
          <w:color w:val="auto"/>
          <w:highlight w:val="none"/>
          <w:lang w:val="en-US" w:eastAsia="zh-CN"/>
        </w:rPr>
        <w:pict>
          <v:shape id="_x0000_i1067" o:spt="75" alt="关于对《辽宁阜新经济开发区西区北区规划方案调整环境影响报告书》的审查意见(1)_00" type="#_x0000_t75" style="height:661.2pt;width:467.7pt;" filled="f" o:preferrelative="t" stroked="f" coordsize="21600,21600">
            <v:path/>
            <v:fill on="f" focussize="0,0"/>
            <v:stroke on="f"/>
            <v:imagedata r:id="rId51" o:title="关于对《辽宁阜新经济开发区西区北区规划方案调整环境影响报告书》的审查意见(1)_00"/>
            <o:lock v:ext="edit" aspectratio="t"/>
            <w10:wrap type="none"/>
            <w10:anchorlock/>
          </v:shape>
        </w:pict>
      </w:r>
      <w:r>
        <w:rPr>
          <w:color w:val="auto"/>
        </w:rPr>
        <w:pict>
          <v:shape id="_x0000_i1068" o:spt="75" type="#_x0000_t75" style="height:681.2pt;width:481.9pt;" filled="f" o:preferrelative="t" stroked="f" coordsize="21600,21600">
            <v:path/>
            <v:fill on="f" focussize="0,0"/>
            <v:stroke on="f"/>
            <v:imagedata r:id="rId52" o:title=""/>
            <o:lock v:ext="edit" aspectratio="t"/>
            <w10:wrap type="none"/>
            <w10:anchorlock/>
          </v:shape>
        </w:pict>
      </w:r>
      <w:r>
        <w:rPr>
          <w:color w:val="auto"/>
        </w:rPr>
        <w:pict>
          <v:shape id="_x0000_i1069" o:spt="75" type="#_x0000_t75" style="height:681.2pt;width:481.9pt;" filled="f" o:preferrelative="t" stroked="f" coordsize="21600,21600">
            <v:path/>
            <v:fill on="f" focussize="0,0"/>
            <v:stroke on="f"/>
            <v:imagedata r:id="rId53" o:title=""/>
            <o:lock v:ext="edit" aspectratio="t"/>
            <w10:wrap type="none"/>
            <w10:anchorlock/>
          </v:shape>
        </w:pict>
      </w:r>
      <w:r>
        <w:rPr>
          <w:color w:val="auto"/>
        </w:rPr>
        <w:pict>
          <v:shape id="_x0000_i1070" o:spt="75" type="#_x0000_t75" style="height:681.2pt;width:481.9pt;" filled="f" o:preferrelative="t" stroked="f" coordsize="21600,21600">
            <v:path/>
            <v:fill on="f" focussize="0,0"/>
            <v:stroke on="f"/>
            <v:imagedata r:id="rId54" o:title=""/>
            <o:lock v:ext="edit" aspectratio="t"/>
            <w10:wrap type="none"/>
            <w10:anchorlock/>
          </v:shape>
        </w:pict>
      </w:r>
      <w:r>
        <w:rPr>
          <w:color w:val="auto"/>
        </w:rPr>
        <w:pict>
          <v:shape id="_x0000_i1071" o:spt="75" type="#_x0000_t75" style="height:681.2pt;width:481.9pt;" filled="f" o:preferrelative="t" stroked="f" coordsize="21600,21600">
            <v:path/>
            <v:fill on="f" focussize="0,0"/>
            <v:stroke on="f"/>
            <v:imagedata r:id="rId55" o:title=""/>
            <o:lock v:ext="edit" aspectratio="t"/>
            <w10:wrap type="none"/>
            <w10:anchorlock/>
          </v:shape>
        </w:pict>
      </w:r>
    </w:p>
    <w:p w14:paraId="6A4EE8BE">
      <w:pPr>
        <w:pStyle w:val="2"/>
        <w:bidi w:val="0"/>
        <w:rPr>
          <w:color w:val="auto"/>
        </w:rPr>
      </w:pPr>
      <w:r>
        <w:rPr>
          <w:rFonts w:hint="eastAsia"/>
          <w:color w:val="auto"/>
          <w:lang w:val="en-US" w:eastAsia="zh-CN"/>
        </w:rPr>
        <w:t xml:space="preserve">附件7 </w:t>
      </w:r>
      <w:r>
        <w:rPr>
          <w:color w:val="auto"/>
        </w:rPr>
        <w:t>关于阜新高新技术产业开发区规划修编的说明</w:t>
      </w:r>
    </w:p>
    <w:p w14:paraId="1217044A">
      <w:pPr>
        <w:rPr>
          <w:rFonts w:hint="default"/>
          <w:color w:val="auto"/>
          <w:lang w:val="en-US" w:eastAsia="zh-CN"/>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color w:val="auto"/>
          <w:lang w:val="en-US" w:eastAsia="zh-CN"/>
        </w:rPr>
        <w:pict>
          <v:shape id="_x0000_i1072" o:spt="75" alt="1befb5e9d3e7296a8f217bca813b1f7d" type="#_x0000_t75" style="height:664.25pt;width:467.7pt;" filled="f" o:preferrelative="t" stroked="f" coordsize="21600,21600">
            <v:path/>
            <v:fill on="f" focussize="0,0"/>
            <v:stroke on="f"/>
            <v:imagedata r:id="rId56" o:title="1befb5e9d3e7296a8f217bca813b1f7d"/>
            <o:lock v:ext="edit" aspectratio="t"/>
            <w10:wrap type="none"/>
            <w10:anchorlock/>
          </v:shape>
        </w:pict>
      </w:r>
    </w:p>
    <w:p w14:paraId="7D12FCAE">
      <w:pPr>
        <w:pStyle w:val="2"/>
        <w:bidi w:val="0"/>
        <w:rPr>
          <w:rFonts w:hint="eastAsia"/>
          <w:color w:val="auto"/>
          <w:lang w:val="en-US" w:eastAsia="zh-CN"/>
        </w:rPr>
      </w:pPr>
      <w:r>
        <w:rPr>
          <w:rFonts w:hint="eastAsia"/>
          <w:color w:val="auto"/>
          <w:lang w:val="en-US" w:eastAsia="zh-CN"/>
        </w:rPr>
        <w:t>附件8 关于阜新市广通智联再生资源有限公司废钢破碎、报废汽车拆解回收建设项目的说明</w:t>
      </w:r>
    </w:p>
    <w:p w14:paraId="0D7A6B1E">
      <w:pPr>
        <w:bidi w:val="0"/>
        <w:jc w:val="center"/>
        <w:rPr>
          <w:rFonts w:hint="default" w:eastAsia="宋体"/>
          <w:color w:val="auto"/>
          <w:lang w:val="en-US" w:eastAsia="zh-CN"/>
        </w:rPr>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pPr>
      <w:r>
        <w:rPr>
          <w:rFonts w:hint="default" w:eastAsia="宋体"/>
          <w:color w:val="auto"/>
          <w:lang w:val="en-US" w:eastAsia="zh-CN"/>
        </w:rPr>
        <w:pict>
          <v:shape id="_x0000_i1073" o:spt="75" alt="0fca442b75eaba7925b626a1a4fb8e77" type="#_x0000_t75" style="height:642.25pt;width:467.7pt;" filled="f" o:preferrelative="t" stroked="f" coordsize="21600,21600">
            <v:path/>
            <v:fill on="f" focussize="0,0"/>
            <v:stroke on="f"/>
            <v:imagedata r:id="rId57" o:title="0fca442b75eaba7925b626a1a4fb8e77"/>
            <o:lock v:ext="edit" aspectratio="t"/>
            <w10:wrap type="none"/>
            <w10:anchorlock/>
          </v:shape>
        </w:pict>
      </w:r>
    </w:p>
    <w:p w14:paraId="2E356902">
      <w:pPr>
        <w:pStyle w:val="2"/>
        <w:bidi w:val="0"/>
        <w:rPr>
          <w:rFonts w:hint="eastAsia"/>
          <w:color w:val="auto"/>
          <w:lang w:val="en-US" w:eastAsia="zh-CN"/>
        </w:rPr>
      </w:pPr>
      <w:r>
        <w:rPr>
          <w:rFonts w:hint="eastAsia"/>
          <w:color w:val="auto"/>
          <w:lang w:val="en-US" w:eastAsia="zh-CN"/>
        </w:rPr>
        <w:t xml:space="preserve">附件9 环境空气特征污染物引用监测报告 </w:t>
      </w:r>
    </w:p>
    <w:p w14:paraId="7D884400">
      <w:pPr>
        <w:keepNext w:val="0"/>
        <w:keepLines w:val="0"/>
        <w:pageBreakBefore w:val="0"/>
        <w:widowControl w:val="0"/>
        <w:kinsoku/>
        <w:wordWrap/>
        <w:overflowPunct/>
        <w:topLinePunct w:val="0"/>
        <w:autoSpaceDE/>
        <w:autoSpaceDN/>
        <w:bidi w:val="0"/>
        <w:adjustRightInd/>
        <w:snapToGrid/>
        <w:jc w:val="center"/>
        <w:textAlignment w:val="auto"/>
        <w:rPr>
          <w:rFonts w:hint="default"/>
          <w:b/>
          <w:bCs/>
          <w:color w:val="auto"/>
          <w:sz w:val="24"/>
          <w:szCs w:val="24"/>
          <w:lang w:val="en-US" w:eastAsia="zh-CN"/>
        </w:rPr>
      </w:pPr>
      <w:r>
        <w:rPr>
          <w:color w:val="auto"/>
        </w:rPr>
        <w:pict>
          <v:shape id="_x0000_i1074" o:spt="75" type="#_x0000_t75" style="height:660.65pt;width:467.7pt;" filled="f" o:preferrelative="t" stroked="f" coordsize="21600,21600">
            <v:path/>
            <v:fill on="f" focussize="0,0"/>
            <v:stroke on="f"/>
            <v:imagedata r:id="rId58" o:title=""/>
            <o:lock v:ext="edit" aspectratio="t"/>
            <w10:wrap type="none"/>
            <w10:anchorlock/>
          </v:shape>
        </w:pict>
      </w:r>
      <w:r>
        <w:rPr>
          <w:color w:val="auto"/>
        </w:rPr>
        <w:pict>
          <v:shape id="_x0000_i1075" o:spt="75" type="#_x0000_t75" style="height:653.55pt;width:467.7pt;" filled="f" o:preferrelative="t" stroked="f" coordsize="21600,21600">
            <v:path/>
            <v:fill on="f" focussize="0,0"/>
            <v:stroke on="f"/>
            <v:imagedata r:id="rId59" o:title=""/>
            <o:lock v:ext="edit" aspectratio="t"/>
            <w10:wrap type="none"/>
            <w10:anchorlock/>
          </v:shape>
        </w:pict>
      </w:r>
      <w:r>
        <w:rPr>
          <w:color w:val="auto"/>
        </w:rPr>
        <w:pict>
          <v:shape id="_x0000_i1076" o:spt="75" type="#_x0000_t75" style="height:666.95pt;width:467.7pt;" filled="f" o:preferrelative="t" stroked="f" coordsize="21600,21600">
            <v:path/>
            <v:fill on="f" focussize="0,0"/>
            <v:stroke on="f"/>
            <v:imagedata r:id="rId60" o:title=""/>
            <o:lock v:ext="edit" aspectratio="t"/>
            <w10:wrap type="none"/>
            <w10:anchorlock/>
          </v:shape>
        </w:pict>
      </w:r>
      <w:r>
        <w:rPr>
          <w:color w:val="auto"/>
        </w:rPr>
        <w:pict>
          <v:shape id="_x0000_i1077" o:spt="75" type="#_x0000_t75" style="height:640.05pt;width:467.7pt;" filled="f" o:preferrelative="t" stroked="f" coordsize="21600,21600">
            <v:path/>
            <v:fill on="f" focussize="0,0"/>
            <v:stroke on="f"/>
            <v:imagedata r:id="rId61" o:title=""/>
            <o:lock v:ext="edit" aspectratio="t"/>
            <w10:wrap type="none"/>
            <w10:anchorlock/>
          </v:shape>
        </w:pict>
      </w:r>
      <w:r>
        <w:rPr>
          <w:color w:val="auto"/>
        </w:rPr>
        <w:pict>
          <v:shape id="_x0000_i1078" o:spt="75" type="#_x0000_t75" style="height:640.55pt;width:467.7pt;" filled="f" o:preferrelative="t" stroked="f" coordsize="21600,21600">
            <v:path/>
            <v:fill on="f" focussize="0,0"/>
            <v:stroke on="f"/>
            <v:imagedata r:id="rId62" o:title=""/>
            <o:lock v:ext="edit" aspectratio="t"/>
            <w10:wrap type="none"/>
            <w10:anchorlock/>
          </v:shape>
        </w:pict>
      </w:r>
      <w:r>
        <w:rPr>
          <w:color w:val="auto"/>
        </w:rPr>
        <w:pict>
          <v:shape id="_x0000_i1079" o:spt="75" type="#_x0000_t75" style="height:641.5pt;width:467.7pt;" filled="f" o:preferrelative="t" stroked="f" coordsize="21600,21600">
            <v:path/>
            <v:fill on="f" focussize="0,0"/>
            <v:stroke on="f"/>
            <v:imagedata r:id="rId63" o:title=""/>
            <o:lock v:ext="edit" aspectratio="t"/>
            <w10:wrap type="none"/>
            <w10:anchorlock/>
          </v:shape>
        </w:pict>
      </w:r>
      <w:r>
        <w:rPr>
          <w:color w:val="auto"/>
        </w:rPr>
        <w:pict>
          <v:shape id="_x0000_i1080" o:spt="75" type="#_x0000_t75" style="height:649.2pt;width:467.7pt;" filled="f" o:preferrelative="t" stroked="f" coordsize="21600,21600">
            <v:path/>
            <v:fill on="f" focussize="0,0"/>
            <v:stroke on="f"/>
            <v:imagedata r:id="rId64" o:title=""/>
            <o:lock v:ext="edit" aspectratio="t"/>
            <w10:wrap type="none"/>
            <w10:anchorlock/>
          </v:shape>
        </w:pict>
      </w:r>
      <w:r>
        <w:rPr>
          <w:color w:val="auto"/>
        </w:rPr>
        <w:pict>
          <v:shape id="_x0000_i1081" o:spt="75" type="#_x0000_t75" style="height:677.25pt;width:467.7pt;" filled="f" o:preferrelative="t" stroked="f" coordsize="21600,21600">
            <v:path/>
            <v:fill on="f" focussize="0,0"/>
            <v:stroke on="f"/>
            <v:imagedata r:id="rId65" o:title=""/>
            <o:lock v:ext="edit" aspectratio="t"/>
            <w10:wrap type="none"/>
            <w10:anchorlock/>
          </v:shape>
        </w:pict>
      </w:r>
      <w:r>
        <w:rPr>
          <w:color w:val="auto"/>
        </w:rPr>
        <w:pict>
          <v:shape id="_x0000_i1082" o:spt="75" type="#_x0000_t75" style="height:691.6pt;width:467.7pt;" filled="f" o:preferrelative="t" stroked="f" coordsize="21600,21600">
            <v:path/>
            <v:fill on="f" focussize="0,0"/>
            <v:stroke on="f"/>
            <v:imagedata r:id="rId66" o:title=""/>
            <o:lock v:ext="edit" aspectratio="t"/>
            <w10:wrap type="none"/>
            <w10:anchorlock/>
          </v:shape>
        </w:pict>
      </w:r>
      <w:r>
        <w:rPr>
          <w:color w:val="auto"/>
        </w:rPr>
        <w:pict>
          <v:shape id="_x0000_i1083" o:spt="75" type="#_x0000_t75" style="height:688.05pt;width:467.7pt;" filled="f" o:preferrelative="t" stroked="f" coordsize="21600,21600">
            <v:path/>
            <v:fill on="f" focussize="0,0"/>
            <v:stroke on="f"/>
            <v:imagedata r:id="rId67" o:title=""/>
            <o:lock v:ext="edit" aspectratio="t"/>
            <w10:wrap type="none"/>
            <w10:anchorlock/>
          </v:shape>
        </w:pict>
      </w:r>
      <w:r>
        <w:rPr>
          <w:color w:val="auto"/>
        </w:rPr>
        <w:pict>
          <v:shape id="_x0000_i1084" o:spt="75" type="#_x0000_t75" style="height:644.8pt;width:467.7pt;" filled="f" o:preferrelative="t" stroked="f" coordsize="21600,21600">
            <v:path/>
            <v:fill on="f" focussize="0,0"/>
            <v:stroke on="f"/>
            <v:imagedata r:id="rId68" o:title=""/>
            <o:lock v:ext="edit" aspectratio="t"/>
            <w10:wrap type="none"/>
            <w10:anchorlock/>
          </v:shape>
        </w:pict>
      </w:r>
      <w:r>
        <w:rPr>
          <w:color w:val="auto"/>
        </w:rPr>
        <w:pict>
          <v:shape id="_x0000_i1085" o:spt="75" type="#_x0000_t75" style="height:646.75pt;width:467.7pt;" filled="f" o:preferrelative="t" stroked="f" coordsize="21600,21600">
            <v:path/>
            <v:fill on="f" focussize="0,0"/>
            <v:stroke on="f"/>
            <v:imagedata r:id="rId69" o:title=""/>
            <o:lock v:ext="edit" aspectratio="t"/>
            <w10:wrap type="none"/>
            <w10:anchorlock/>
          </v:shape>
        </w:pict>
      </w:r>
      <w:r>
        <w:rPr>
          <w:color w:val="auto"/>
        </w:rPr>
        <w:pict>
          <v:shape id="_x0000_i1086" o:spt="75" type="#_x0000_t75" style="height:699.45pt;width:467.7pt;" filled="f" o:preferrelative="t" stroked="f" coordsize="21600,21600">
            <v:path/>
            <v:fill on="f" focussize="0,0"/>
            <v:stroke on="f"/>
            <v:imagedata r:id="rId70" o:title=""/>
            <o:lock v:ext="edit" aspectratio="t"/>
            <w10:wrap type="none"/>
            <w10:anchorlock/>
          </v:shape>
        </w:pict>
      </w:r>
    </w:p>
    <w:sectPr>
      <w:pgSz w:w="11906" w:h="16838"/>
      <w:pgMar w:top="1440" w:right="1080" w:bottom="1440" w:left="1080"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D08D566-85BC-448B-BF03-22A3F704749B}"/>
  </w:font>
  <w:font w:name="黑体">
    <w:panose1 w:val="02010609060101010101"/>
    <w:charset w:val="86"/>
    <w:family w:val="auto"/>
    <w:pitch w:val="default"/>
    <w:sig w:usb0="800002BF" w:usb1="38CF7CFA" w:usb2="00000016" w:usb3="00000000" w:csb0="00040001" w:csb1="00000000"/>
    <w:embedRegular r:id="rId2" w:fontKey="{ADD799AF-0B2F-47F8-A8ED-7D904118B9F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embedRegular r:id="rId3" w:fontKey="{E3323C3B-789A-4C87-8D6B-043153CA6047}"/>
  </w:font>
  <w:font w:name="仿宋">
    <w:panose1 w:val="02010609060101010101"/>
    <w:charset w:val="86"/>
    <w:family w:val="auto"/>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00" w:usb3="00000000" w:csb0="00040000" w:csb1="00000000"/>
    <w:embedRegular r:id="rId4" w:fontKey="{7B6EAB60-F4EF-499A-8075-5D9FC6594BB9}"/>
  </w:font>
  <w:font w:name="方正小标宋_GBK">
    <w:panose1 w:val="02000000000000000000"/>
    <w:charset w:val="86"/>
    <w:family w:val="script"/>
    <w:pitch w:val="default"/>
    <w:sig w:usb0="A00002BF" w:usb1="38CF7CFA" w:usb2="00082016" w:usb3="00000000" w:csb0="00040001" w:csb1="00000000"/>
    <w:embedRegular r:id="rId5" w:fontKey="{C31DFB46-BED6-4B89-A634-6799E2813E5A}"/>
  </w:font>
  <w:font w:name="Wingdings 2">
    <w:altName w:val="Wingdings"/>
    <w:panose1 w:val="05020102010507070707"/>
    <w:charset w:val="02"/>
    <w:family w:val="roman"/>
    <w:pitch w:val="default"/>
    <w:sig w:usb0="00000000" w:usb1="00000000" w:usb2="00000000" w:usb3="00000000" w:csb0="80000000" w:csb1="00000000"/>
    <w:embedRegular r:id="rId6" w:fontKey="{86F68C7E-B836-44E8-A07B-BF75AA4C16C3}"/>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F47596">
    <w:pPr>
      <w:pStyle w:val="17"/>
      <w:ind w:right="360" w:firstLine="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B462E1">
    <w:pPr>
      <w:pStyle w:val="17"/>
      <w:framePr w:wrap="around" w:vAnchor="text" w:hAnchor="margin" w:xAlign="center" w:y="1"/>
      <w:rPr>
        <w:rStyle w:val="29"/>
      </w:rPr>
    </w:pPr>
    <w:r>
      <w:fldChar w:fldCharType="begin"/>
    </w:r>
    <w:r>
      <w:rPr>
        <w:rStyle w:val="29"/>
      </w:rPr>
      <w:instrText xml:space="preserve">PAGE  </w:instrText>
    </w:r>
    <w:r>
      <w:fldChar w:fldCharType="separate"/>
    </w:r>
    <w:r>
      <w:rPr>
        <w:rStyle w:val="29"/>
      </w:rPr>
      <w:t>11</w:t>
    </w:r>
    <w:r>
      <w:fldChar w:fldCharType="end"/>
    </w:r>
  </w:p>
  <w:p w14:paraId="013B1E4C">
    <w:pPr>
      <w:pStyle w:val="1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352884">
    <w:pPr>
      <w:pStyle w:val="17"/>
    </w:pPr>
    <w:r>
      <w:rPr>
        <w:sz w:val="18"/>
      </w:rPr>
      <w:pict>
        <v:shape id="_x0000_s2049" o:spid="_x0000_s2049" o:spt="202" type="#_x0000_t202" style="position:absolute;left:0pt;margin-top:0pt;height:144pt;width:144pt;mso-position-horizontal:outside;mso-position-horizontal-relative:margin;mso-wrap-style:none;z-index:251660288;mso-width-relative:page;mso-height-relative:page;" filled="f" stroked="f" coordsize="21600,21600">
          <v:path/>
          <v:fill on="f" focussize="0,0"/>
          <v:stroke on="f" weight="0.5pt" endarrow="block" endarrowwidth="narrow" endarrowlength="long"/>
          <v:imagedata o:title=""/>
          <o:lock v:ext="edit" aspectratio="f"/>
          <v:textbox inset="0mm,0mm,0mm,0mm" style="mso-fit-shape-to-text:t;">
            <w:txbxContent>
              <w:p w14:paraId="7811A239">
                <w:pPr>
                  <w:pStyle w:val="17"/>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r>
                  <w:t>—</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844C0">
    <w:pPr>
      <w:pStyle w:val="17"/>
      <w:ind w:right="360" w:firstLine="360"/>
      <w:jc w:val="center"/>
    </w:pPr>
    <w:r>
      <w:rPr>
        <w:sz w:val="18"/>
      </w:rPr>
      <w:pict>
        <v:shape id="_x0000_s2050" o:spid="_x0000_s2050" o:spt="202" type="#_x0000_t202" style="position:absolute;left:0pt;margin-top:0pt;height:144pt;width:144pt;mso-position-horizontal:outside;mso-position-horizontal-relative:margin;mso-wrap-style:none;z-index:251661312;mso-width-relative:page;mso-height-relative:page;" filled="f" stroked="f" coordsize="21600,21600">
          <v:path/>
          <v:fill on="f" focussize="0,0"/>
          <v:stroke on="f" weight="0.5pt" endarrow="block" endarrowwidth="narrow" endarrowlength="long"/>
          <v:imagedata o:title=""/>
          <o:lock v:ext="edit" aspectratio="f"/>
          <v:textbox inset="0mm,0mm,0mm,0mm" style="mso-fit-shape-to-text:t;">
            <w:txbxContent>
              <w:p w14:paraId="3141BB72">
                <w:pPr>
                  <w:pStyle w:val="17"/>
                </w:pPr>
                <w:r>
                  <w:t xml:space="preserve">— </w:t>
                </w:r>
                <w:r>
                  <w:fldChar w:fldCharType="begin"/>
                </w:r>
                <w:r>
                  <w:instrText xml:space="preserve"> PAGE  \* MERGEFORMAT </w:instrText>
                </w:r>
                <w:r>
                  <w:fldChar w:fldCharType="separate"/>
                </w:r>
                <w:r>
                  <w:t>111</w:t>
                </w:r>
                <w:r>
                  <w:fldChar w:fldCharType="end"/>
                </w:r>
                <w: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9E9A3D"/>
    <w:multiLevelType w:val="singleLevel"/>
    <w:tmpl w:val="B39E9A3D"/>
    <w:lvl w:ilvl="0" w:tentative="0">
      <w:start w:val="2"/>
      <w:numFmt w:val="decimal"/>
      <w:suff w:val="nothing"/>
      <w:lvlText w:val="%1、"/>
      <w:lvlJc w:val="left"/>
    </w:lvl>
  </w:abstractNum>
  <w:abstractNum w:abstractNumId="1">
    <w:nsid w:val="C99FCCE7"/>
    <w:multiLevelType w:val="singleLevel"/>
    <w:tmpl w:val="C99FCCE7"/>
    <w:lvl w:ilvl="0" w:tentative="0">
      <w:start w:val="1"/>
      <w:numFmt w:val="decimal"/>
      <w:suff w:val="nothing"/>
      <w:lvlText w:val="%1）"/>
      <w:lvlJc w:val="left"/>
    </w:lvl>
  </w:abstractNum>
  <w:abstractNum w:abstractNumId="2">
    <w:nsid w:val="FECEF4A9"/>
    <w:multiLevelType w:val="singleLevel"/>
    <w:tmpl w:val="FECEF4A9"/>
    <w:lvl w:ilvl="0" w:tentative="0">
      <w:start w:val="1"/>
      <w:numFmt w:val="decimal"/>
      <w:suff w:val="nothing"/>
      <w:lvlText w:val="（%1）"/>
      <w:lvlJc w:val="left"/>
    </w:lvl>
  </w:abstractNum>
  <w:abstractNum w:abstractNumId="3">
    <w:nsid w:val="25F8F24C"/>
    <w:multiLevelType w:val="singleLevel"/>
    <w:tmpl w:val="25F8F24C"/>
    <w:lvl w:ilvl="0" w:tentative="0">
      <w:start w:val="1"/>
      <w:numFmt w:val="decimal"/>
      <w:suff w:val="nothing"/>
      <w:lvlText w:val="%1、"/>
      <w:lvlJc w:val="left"/>
    </w:lvl>
  </w:abstractNum>
  <w:abstractNum w:abstractNumId="4">
    <w:nsid w:val="4446D418"/>
    <w:multiLevelType w:val="singleLevel"/>
    <w:tmpl w:val="4446D418"/>
    <w:lvl w:ilvl="0" w:tentative="0">
      <w:start w:val="2"/>
      <w:numFmt w:val="decimal"/>
      <w:suff w:val="nothing"/>
      <w:lvlText w:val="（%1）"/>
      <w:lvlJc w:val="left"/>
    </w:lvl>
  </w:abstractNum>
  <w:abstractNum w:abstractNumId="5">
    <w:nsid w:val="59197C6C"/>
    <w:multiLevelType w:val="multilevel"/>
    <w:tmpl w:val="59197C6C"/>
    <w:lvl w:ilvl="0" w:tentative="0">
      <w:start w:val="1"/>
      <w:numFmt w:val="none"/>
      <w:isLgl/>
      <w:lvlText w:val=""/>
      <w:lvlJc w:val="left"/>
      <w:pPr>
        <w:ind w:left="0" w:firstLine="0"/>
      </w:pPr>
      <w:rPr>
        <w:rFonts w:hint="eastAsia"/>
      </w:rPr>
    </w:lvl>
    <w:lvl w:ilvl="1" w:tentative="0">
      <w:start w:val="1"/>
      <w:numFmt w:val="decimal"/>
      <w:pStyle w:val="3"/>
      <w:suff w:val="space"/>
      <w:lvlText w:val="%2."/>
      <w:lvlJc w:val="left"/>
      <w:pPr>
        <w:ind w:left="425" w:firstLine="0"/>
      </w:pPr>
      <w:rPr>
        <w:rFonts w:hint="eastAsia"/>
      </w:rPr>
    </w:lvl>
    <w:lvl w:ilvl="2" w:tentative="0">
      <w:start w:val="1"/>
      <w:numFmt w:val="decimal"/>
      <w:suff w:val="nothing"/>
      <w:lvlText w:val="%1%2.%3 "/>
      <w:lvlJc w:val="left"/>
      <w:pPr>
        <w:tabs>
          <w:tab w:val="left" w:pos="420"/>
        </w:tabs>
        <w:ind w:left="0" w:firstLine="0"/>
      </w:pPr>
      <w:rPr>
        <w:rFonts w:hint="default"/>
      </w:rPr>
    </w:lvl>
    <w:lvl w:ilvl="3" w:tentative="0">
      <w:start w:val="1"/>
      <w:numFmt w:val="decimal"/>
      <w:lvlText w:val="%1.%2.%3.%4 "/>
      <w:lvlJc w:val="left"/>
      <w:pPr>
        <w:ind w:left="0" w:firstLine="0"/>
      </w:pPr>
      <w:rPr>
        <w:rFonts w:hint="eastAsia"/>
      </w:rPr>
    </w:lvl>
    <w:lvl w:ilvl="4" w:tentative="0">
      <w:start w:val="1"/>
      <w:numFmt w:val="decimal"/>
      <w:lvlRestart w:val="2"/>
      <w:lvlText w:val="表%1.%2-%5"/>
      <w:lvlJc w:val="left"/>
      <w:pPr>
        <w:ind w:left="0" w:firstLine="0"/>
      </w:pPr>
      <w:rPr>
        <w:rFonts w:hint="eastAsia"/>
      </w:rPr>
    </w:lvl>
    <w:lvl w:ilvl="5" w:tentative="0">
      <w:start w:val="1"/>
      <w:numFmt w:val="decimal"/>
      <w:lvlRestart w:val="2"/>
      <w:lvlText w:val="图%1.%2-%6 "/>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5"/>
  </w:num>
  <w:num w:numId="2">
    <w:abstractNumId w:val="1"/>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TrueTypeFonts/>
  <w:saveSubset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isplayHorizontalDrawingGridEvery w:val="1"/>
  <w:displayVerticalDrawingGridEvery w:val="1"/>
  <w:noPunctuationKerning w:val="1"/>
  <w:characterSpacingControl w:val="doNotCompress"/>
  <w:noLineBreaksAfter w:lang="zh-CN" w:val="([{·‘“〈《「『【〔〖（．［｛￡￥"/>
  <w:noLineBreaksBefore w:lang="zh-CN" w:val="!),.:;?]}¨·ˇˉ―‖’”…∶、。〃々〉》」』】〕〗！＂＇），．：；？］｀｜｝～￠"/>
  <w:hdrShapeDefaults>
    <o:shapelayout v:ext="edit">
      <o:idmap v:ext="edit" data="2"/>
    </o:shapelayout>
  </w:hdrShapeDefaults>
  <w:compat>
    <w:balanceSingleByteDoubleByteWidth/>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OTQ3YTU2M2ZmMmJlN2YwYTllNzk1NmExMmI1NDEwODUifQ=="/>
  </w:docVars>
  <w:rsids>
    <w:rsidRoot w:val="00172A27"/>
    <w:rsid w:val="000043F1"/>
    <w:rsid w:val="000060B3"/>
    <w:rsid w:val="00006C99"/>
    <w:rsid w:val="000278D3"/>
    <w:rsid w:val="0004110B"/>
    <w:rsid w:val="0004364B"/>
    <w:rsid w:val="00043A17"/>
    <w:rsid w:val="00055D70"/>
    <w:rsid w:val="00061B1F"/>
    <w:rsid w:val="00070A1A"/>
    <w:rsid w:val="000733C4"/>
    <w:rsid w:val="00074783"/>
    <w:rsid w:val="0008070B"/>
    <w:rsid w:val="000810AC"/>
    <w:rsid w:val="00081A02"/>
    <w:rsid w:val="00082231"/>
    <w:rsid w:val="00092D38"/>
    <w:rsid w:val="0009377B"/>
    <w:rsid w:val="000942BB"/>
    <w:rsid w:val="000953EB"/>
    <w:rsid w:val="000A20C9"/>
    <w:rsid w:val="000B058F"/>
    <w:rsid w:val="000B3016"/>
    <w:rsid w:val="000B4467"/>
    <w:rsid w:val="000B4DB9"/>
    <w:rsid w:val="000C09AC"/>
    <w:rsid w:val="000C47DA"/>
    <w:rsid w:val="000C767F"/>
    <w:rsid w:val="000D5A44"/>
    <w:rsid w:val="000E044D"/>
    <w:rsid w:val="000E3ED2"/>
    <w:rsid w:val="000F1589"/>
    <w:rsid w:val="000F3CDA"/>
    <w:rsid w:val="0010604C"/>
    <w:rsid w:val="00120A16"/>
    <w:rsid w:val="00131F42"/>
    <w:rsid w:val="001357F1"/>
    <w:rsid w:val="00136F32"/>
    <w:rsid w:val="001403E9"/>
    <w:rsid w:val="00140FA8"/>
    <w:rsid w:val="00142FEB"/>
    <w:rsid w:val="00143A2D"/>
    <w:rsid w:val="00145A41"/>
    <w:rsid w:val="00151675"/>
    <w:rsid w:val="00151BCD"/>
    <w:rsid w:val="001527B0"/>
    <w:rsid w:val="001570FF"/>
    <w:rsid w:val="00157435"/>
    <w:rsid w:val="001669D4"/>
    <w:rsid w:val="00173569"/>
    <w:rsid w:val="001744A0"/>
    <w:rsid w:val="0017504D"/>
    <w:rsid w:val="0017671A"/>
    <w:rsid w:val="00177422"/>
    <w:rsid w:val="00184590"/>
    <w:rsid w:val="001862D4"/>
    <w:rsid w:val="001870D1"/>
    <w:rsid w:val="0018781E"/>
    <w:rsid w:val="0019262D"/>
    <w:rsid w:val="001A0ABF"/>
    <w:rsid w:val="001A1B35"/>
    <w:rsid w:val="001A48A2"/>
    <w:rsid w:val="001A6F61"/>
    <w:rsid w:val="001B27ED"/>
    <w:rsid w:val="001B4535"/>
    <w:rsid w:val="001B4CEB"/>
    <w:rsid w:val="001B72B8"/>
    <w:rsid w:val="001C6801"/>
    <w:rsid w:val="001C69B3"/>
    <w:rsid w:val="001D3028"/>
    <w:rsid w:val="001D5595"/>
    <w:rsid w:val="001D7874"/>
    <w:rsid w:val="001D7F22"/>
    <w:rsid w:val="001F0F17"/>
    <w:rsid w:val="001F1D2C"/>
    <w:rsid w:val="001F2F12"/>
    <w:rsid w:val="001F3347"/>
    <w:rsid w:val="001F69E4"/>
    <w:rsid w:val="001F7168"/>
    <w:rsid w:val="00210B51"/>
    <w:rsid w:val="002125B4"/>
    <w:rsid w:val="002155B8"/>
    <w:rsid w:val="00215AA4"/>
    <w:rsid w:val="0022415E"/>
    <w:rsid w:val="00224839"/>
    <w:rsid w:val="002249B2"/>
    <w:rsid w:val="00226574"/>
    <w:rsid w:val="002278EC"/>
    <w:rsid w:val="0023280E"/>
    <w:rsid w:val="002377D1"/>
    <w:rsid w:val="002454E3"/>
    <w:rsid w:val="002506BC"/>
    <w:rsid w:val="00254345"/>
    <w:rsid w:val="00263735"/>
    <w:rsid w:val="00264557"/>
    <w:rsid w:val="00267107"/>
    <w:rsid w:val="002751DF"/>
    <w:rsid w:val="0027674B"/>
    <w:rsid w:val="002805AB"/>
    <w:rsid w:val="00282AFE"/>
    <w:rsid w:val="00284204"/>
    <w:rsid w:val="00291773"/>
    <w:rsid w:val="00292BAB"/>
    <w:rsid w:val="002A168C"/>
    <w:rsid w:val="002A3DC7"/>
    <w:rsid w:val="002A4DBF"/>
    <w:rsid w:val="002B44EA"/>
    <w:rsid w:val="002B49E2"/>
    <w:rsid w:val="002B7B00"/>
    <w:rsid w:val="002B7B8C"/>
    <w:rsid w:val="002B7C44"/>
    <w:rsid w:val="002C2B17"/>
    <w:rsid w:val="002D1EA4"/>
    <w:rsid w:val="002D3DD0"/>
    <w:rsid w:val="002E1F3A"/>
    <w:rsid w:val="002E230B"/>
    <w:rsid w:val="002E298A"/>
    <w:rsid w:val="00301978"/>
    <w:rsid w:val="0030332C"/>
    <w:rsid w:val="003051C2"/>
    <w:rsid w:val="0030569F"/>
    <w:rsid w:val="00310A27"/>
    <w:rsid w:val="00312296"/>
    <w:rsid w:val="00314F0E"/>
    <w:rsid w:val="00321D8E"/>
    <w:rsid w:val="00324C53"/>
    <w:rsid w:val="00325236"/>
    <w:rsid w:val="00325928"/>
    <w:rsid w:val="00332863"/>
    <w:rsid w:val="00333A2A"/>
    <w:rsid w:val="0033684D"/>
    <w:rsid w:val="0033718C"/>
    <w:rsid w:val="00337B42"/>
    <w:rsid w:val="003408A9"/>
    <w:rsid w:val="00341B42"/>
    <w:rsid w:val="0034348F"/>
    <w:rsid w:val="003520F4"/>
    <w:rsid w:val="003526D0"/>
    <w:rsid w:val="00356653"/>
    <w:rsid w:val="00356C0C"/>
    <w:rsid w:val="0035743F"/>
    <w:rsid w:val="00357BE2"/>
    <w:rsid w:val="0036170C"/>
    <w:rsid w:val="00364670"/>
    <w:rsid w:val="00366E0F"/>
    <w:rsid w:val="00371AA8"/>
    <w:rsid w:val="00373B3C"/>
    <w:rsid w:val="00381A72"/>
    <w:rsid w:val="00384676"/>
    <w:rsid w:val="00390857"/>
    <w:rsid w:val="00395A1D"/>
    <w:rsid w:val="00395DF8"/>
    <w:rsid w:val="003A4BF3"/>
    <w:rsid w:val="003B12D2"/>
    <w:rsid w:val="003B420D"/>
    <w:rsid w:val="003B5E9C"/>
    <w:rsid w:val="003C632C"/>
    <w:rsid w:val="003C6C16"/>
    <w:rsid w:val="003D04EA"/>
    <w:rsid w:val="003D4282"/>
    <w:rsid w:val="003D5DC7"/>
    <w:rsid w:val="003D76D2"/>
    <w:rsid w:val="003D794D"/>
    <w:rsid w:val="003E1486"/>
    <w:rsid w:val="003E3058"/>
    <w:rsid w:val="003E500A"/>
    <w:rsid w:val="003E76A9"/>
    <w:rsid w:val="003F0809"/>
    <w:rsid w:val="003F23CE"/>
    <w:rsid w:val="003F6A8C"/>
    <w:rsid w:val="003F755C"/>
    <w:rsid w:val="00403F3E"/>
    <w:rsid w:val="00405CB4"/>
    <w:rsid w:val="00406F01"/>
    <w:rsid w:val="00416D50"/>
    <w:rsid w:val="00416FD5"/>
    <w:rsid w:val="0041707A"/>
    <w:rsid w:val="00417772"/>
    <w:rsid w:val="00420E6A"/>
    <w:rsid w:val="00425A9E"/>
    <w:rsid w:val="00426D6B"/>
    <w:rsid w:val="0043088A"/>
    <w:rsid w:val="004318BE"/>
    <w:rsid w:val="00431E6C"/>
    <w:rsid w:val="00432CE8"/>
    <w:rsid w:val="00433CE7"/>
    <w:rsid w:val="0044587F"/>
    <w:rsid w:val="00452738"/>
    <w:rsid w:val="00456091"/>
    <w:rsid w:val="00460272"/>
    <w:rsid w:val="004650C6"/>
    <w:rsid w:val="00466321"/>
    <w:rsid w:val="00466D1F"/>
    <w:rsid w:val="00467984"/>
    <w:rsid w:val="004733A6"/>
    <w:rsid w:val="00473A90"/>
    <w:rsid w:val="00484B9B"/>
    <w:rsid w:val="004855F6"/>
    <w:rsid w:val="0048661E"/>
    <w:rsid w:val="0049283E"/>
    <w:rsid w:val="00494670"/>
    <w:rsid w:val="00497465"/>
    <w:rsid w:val="004A1A5F"/>
    <w:rsid w:val="004A3823"/>
    <w:rsid w:val="004B1798"/>
    <w:rsid w:val="004C2DF0"/>
    <w:rsid w:val="004C4C5C"/>
    <w:rsid w:val="004D30B2"/>
    <w:rsid w:val="004D3A06"/>
    <w:rsid w:val="004E6946"/>
    <w:rsid w:val="004F1AD8"/>
    <w:rsid w:val="005039CB"/>
    <w:rsid w:val="00503A2A"/>
    <w:rsid w:val="0050558F"/>
    <w:rsid w:val="00506286"/>
    <w:rsid w:val="00506901"/>
    <w:rsid w:val="00510462"/>
    <w:rsid w:val="00510813"/>
    <w:rsid w:val="00511990"/>
    <w:rsid w:val="00511DE0"/>
    <w:rsid w:val="00514870"/>
    <w:rsid w:val="00514B9B"/>
    <w:rsid w:val="00517F02"/>
    <w:rsid w:val="00520083"/>
    <w:rsid w:val="00524303"/>
    <w:rsid w:val="005258A2"/>
    <w:rsid w:val="005315C6"/>
    <w:rsid w:val="00532FAC"/>
    <w:rsid w:val="005401AE"/>
    <w:rsid w:val="00542E07"/>
    <w:rsid w:val="00545424"/>
    <w:rsid w:val="005519F4"/>
    <w:rsid w:val="00554A7B"/>
    <w:rsid w:val="0055572C"/>
    <w:rsid w:val="0056106A"/>
    <w:rsid w:val="00561CFF"/>
    <w:rsid w:val="0056274D"/>
    <w:rsid w:val="005720AE"/>
    <w:rsid w:val="0057286C"/>
    <w:rsid w:val="005735D6"/>
    <w:rsid w:val="005768C9"/>
    <w:rsid w:val="00594D77"/>
    <w:rsid w:val="005969E4"/>
    <w:rsid w:val="005A06B7"/>
    <w:rsid w:val="005A1759"/>
    <w:rsid w:val="005A191B"/>
    <w:rsid w:val="005A68A7"/>
    <w:rsid w:val="005A7FA4"/>
    <w:rsid w:val="005C42C0"/>
    <w:rsid w:val="005C5FB6"/>
    <w:rsid w:val="005D36AB"/>
    <w:rsid w:val="005D3B98"/>
    <w:rsid w:val="005E3980"/>
    <w:rsid w:val="00611DCD"/>
    <w:rsid w:val="00617CC3"/>
    <w:rsid w:val="006377A6"/>
    <w:rsid w:val="00637A3D"/>
    <w:rsid w:val="006405E5"/>
    <w:rsid w:val="006411EF"/>
    <w:rsid w:val="00670BEB"/>
    <w:rsid w:val="006748B8"/>
    <w:rsid w:val="0067617B"/>
    <w:rsid w:val="006775C3"/>
    <w:rsid w:val="0068129C"/>
    <w:rsid w:val="00687C32"/>
    <w:rsid w:val="00690159"/>
    <w:rsid w:val="0069290A"/>
    <w:rsid w:val="0069775A"/>
    <w:rsid w:val="00697813"/>
    <w:rsid w:val="006A066E"/>
    <w:rsid w:val="006A3EE8"/>
    <w:rsid w:val="006A4687"/>
    <w:rsid w:val="006A72BF"/>
    <w:rsid w:val="006B03F2"/>
    <w:rsid w:val="006B37DC"/>
    <w:rsid w:val="006B4F68"/>
    <w:rsid w:val="006C0592"/>
    <w:rsid w:val="006C06D5"/>
    <w:rsid w:val="006C272E"/>
    <w:rsid w:val="006C2EA1"/>
    <w:rsid w:val="006C3798"/>
    <w:rsid w:val="006C40A8"/>
    <w:rsid w:val="006C5479"/>
    <w:rsid w:val="006D13B5"/>
    <w:rsid w:val="006E12FF"/>
    <w:rsid w:val="006E1D63"/>
    <w:rsid w:val="006E4408"/>
    <w:rsid w:val="006E607E"/>
    <w:rsid w:val="006E6BD9"/>
    <w:rsid w:val="00700F8A"/>
    <w:rsid w:val="00705B83"/>
    <w:rsid w:val="00706C5D"/>
    <w:rsid w:val="007230A7"/>
    <w:rsid w:val="00732922"/>
    <w:rsid w:val="00742E1D"/>
    <w:rsid w:val="0074793B"/>
    <w:rsid w:val="0075162E"/>
    <w:rsid w:val="00754034"/>
    <w:rsid w:val="00754FA7"/>
    <w:rsid w:val="007564A4"/>
    <w:rsid w:val="00756556"/>
    <w:rsid w:val="007618C4"/>
    <w:rsid w:val="00767980"/>
    <w:rsid w:val="00770B19"/>
    <w:rsid w:val="007732D6"/>
    <w:rsid w:val="0077463F"/>
    <w:rsid w:val="007779C0"/>
    <w:rsid w:val="007836EA"/>
    <w:rsid w:val="00784CDA"/>
    <w:rsid w:val="007906C4"/>
    <w:rsid w:val="00791063"/>
    <w:rsid w:val="007940EA"/>
    <w:rsid w:val="00794512"/>
    <w:rsid w:val="007967E8"/>
    <w:rsid w:val="007A2170"/>
    <w:rsid w:val="007A22BF"/>
    <w:rsid w:val="007A2BCA"/>
    <w:rsid w:val="007A3323"/>
    <w:rsid w:val="007B4BC8"/>
    <w:rsid w:val="007B72B8"/>
    <w:rsid w:val="007B7A58"/>
    <w:rsid w:val="007C21B5"/>
    <w:rsid w:val="007D18EE"/>
    <w:rsid w:val="007E4BD2"/>
    <w:rsid w:val="00801393"/>
    <w:rsid w:val="00802F88"/>
    <w:rsid w:val="0081293E"/>
    <w:rsid w:val="00815465"/>
    <w:rsid w:val="008178F3"/>
    <w:rsid w:val="00817E9A"/>
    <w:rsid w:val="008306BD"/>
    <w:rsid w:val="00831A80"/>
    <w:rsid w:val="00831F30"/>
    <w:rsid w:val="00833743"/>
    <w:rsid w:val="008340A4"/>
    <w:rsid w:val="00835631"/>
    <w:rsid w:val="00836AC6"/>
    <w:rsid w:val="00844F2F"/>
    <w:rsid w:val="00846F78"/>
    <w:rsid w:val="00852825"/>
    <w:rsid w:val="008605E2"/>
    <w:rsid w:val="00861552"/>
    <w:rsid w:val="00864DC1"/>
    <w:rsid w:val="008700D1"/>
    <w:rsid w:val="0087135F"/>
    <w:rsid w:val="00872D94"/>
    <w:rsid w:val="00875342"/>
    <w:rsid w:val="00880364"/>
    <w:rsid w:val="008807C7"/>
    <w:rsid w:val="0088138C"/>
    <w:rsid w:val="00891592"/>
    <w:rsid w:val="00891E9E"/>
    <w:rsid w:val="008A2F68"/>
    <w:rsid w:val="008A6B55"/>
    <w:rsid w:val="008B12DF"/>
    <w:rsid w:val="008B4077"/>
    <w:rsid w:val="008B4FA6"/>
    <w:rsid w:val="008B5282"/>
    <w:rsid w:val="008B6DA6"/>
    <w:rsid w:val="008B7C17"/>
    <w:rsid w:val="008C2D01"/>
    <w:rsid w:val="008C40E6"/>
    <w:rsid w:val="008C58EB"/>
    <w:rsid w:val="008C6C96"/>
    <w:rsid w:val="008D0F7A"/>
    <w:rsid w:val="008D2937"/>
    <w:rsid w:val="008D68E4"/>
    <w:rsid w:val="008D7BFB"/>
    <w:rsid w:val="008E0506"/>
    <w:rsid w:val="008E0CFF"/>
    <w:rsid w:val="008E5D6B"/>
    <w:rsid w:val="008E76F0"/>
    <w:rsid w:val="008F15FE"/>
    <w:rsid w:val="008F2D29"/>
    <w:rsid w:val="008F5187"/>
    <w:rsid w:val="008F60D8"/>
    <w:rsid w:val="00902727"/>
    <w:rsid w:val="0090312B"/>
    <w:rsid w:val="009049D8"/>
    <w:rsid w:val="00906786"/>
    <w:rsid w:val="0091736D"/>
    <w:rsid w:val="009253C9"/>
    <w:rsid w:val="0093037A"/>
    <w:rsid w:val="009368E1"/>
    <w:rsid w:val="009407CC"/>
    <w:rsid w:val="0094154D"/>
    <w:rsid w:val="0094360C"/>
    <w:rsid w:val="0095155F"/>
    <w:rsid w:val="009543A1"/>
    <w:rsid w:val="00954429"/>
    <w:rsid w:val="009563CE"/>
    <w:rsid w:val="00964A05"/>
    <w:rsid w:val="00976328"/>
    <w:rsid w:val="0097680D"/>
    <w:rsid w:val="00982438"/>
    <w:rsid w:val="009838CD"/>
    <w:rsid w:val="0098404C"/>
    <w:rsid w:val="00985283"/>
    <w:rsid w:val="00993A36"/>
    <w:rsid w:val="00995992"/>
    <w:rsid w:val="009A03E5"/>
    <w:rsid w:val="009A0F3B"/>
    <w:rsid w:val="009A1BB4"/>
    <w:rsid w:val="009A2628"/>
    <w:rsid w:val="009A297E"/>
    <w:rsid w:val="009A3200"/>
    <w:rsid w:val="009B0897"/>
    <w:rsid w:val="009B1A65"/>
    <w:rsid w:val="009B7BD9"/>
    <w:rsid w:val="009C7DD5"/>
    <w:rsid w:val="009E227D"/>
    <w:rsid w:val="009E5019"/>
    <w:rsid w:val="009E5347"/>
    <w:rsid w:val="009F3100"/>
    <w:rsid w:val="00A04F1B"/>
    <w:rsid w:val="00A0501B"/>
    <w:rsid w:val="00A12806"/>
    <w:rsid w:val="00A12E25"/>
    <w:rsid w:val="00A14947"/>
    <w:rsid w:val="00A16174"/>
    <w:rsid w:val="00A32A83"/>
    <w:rsid w:val="00A3470B"/>
    <w:rsid w:val="00A368DB"/>
    <w:rsid w:val="00A4172F"/>
    <w:rsid w:val="00A423AA"/>
    <w:rsid w:val="00A47C56"/>
    <w:rsid w:val="00A53EC6"/>
    <w:rsid w:val="00A55C0F"/>
    <w:rsid w:val="00A64EDD"/>
    <w:rsid w:val="00A84216"/>
    <w:rsid w:val="00A8713F"/>
    <w:rsid w:val="00A87F74"/>
    <w:rsid w:val="00A90BA1"/>
    <w:rsid w:val="00A9111B"/>
    <w:rsid w:val="00A9620E"/>
    <w:rsid w:val="00A964FD"/>
    <w:rsid w:val="00A97A9A"/>
    <w:rsid w:val="00AA0671"/>
    <w:rsid w:val="00AA2531"/>
    <w:rsid w:val="00AA430E"/>
    <w:rsid w:val="00AA5A2E"/>
    <w:rsid w:val="00AB1E09"/>
    <w:rsid w:val="00AB5330"/>
    <w:rsid w:val="00AB7747"/>
    <w:rsid w:val="00AC14CE"/>
    <w:rsid w:val="00AC2A56"/>
    <w:rsid w:val="00AC441B"/>
    <w:rsid w:val="00AC6631"/>
    <w:rsid w:val="00AD055E"/>
    <w:rsid w:val="00AD2507"/>
    <w:rsid w:val="00AD40C6"/>
    <w:rsid w:val="00AD47A7"/>
    <w:rsid w:val="00AD4894"/>
    <w:rsid w:val="00AE2233"/>
    <w:rsid w:val="00AF0724"/>
    <w:rsid w:val="00AF0CBF"/>
    <w:rsid w:val="00AF257F"/>
    <w:rsid w:val="00AF33CF"/>
    <w:rsid w:val="00AF3A06"/>
    <w:rsid w:val="00AF4D50"/>
    <w:rsid w:val="00AF6179"/>
    <w:rsid w:val="00B048BC"/>
    <w:rsid w:val="00B1295A"/>
    <w:rsid w:val="00B17FD0"/>
    <w:rsid w:val="00B20A45"/>
    <w:rsid w:val="00B22C5C"/>
    <w:rsid w:val="00B24F30"/>
    <w:rsid w:val="00B31ABF"/>
    <w:rsid w:val="00B33961"/>
    <w:rsid w:val="00B33BE3"/>
    <w:rsid w:val="00B35AE2"/>
    <w:rsid w:val="00B379F1"/>
    <w:rsid w:val="00B4054A"/>
    <w:rsid w:val="00B445DD"/>
    <w:rsid w:val="00B53B5D"/>
    <w:rsid w:val="00B5491D"/>
    <w:rsid w:val="00B60402"/>
    <w:rsid w:val="00B6055E"/>
    <w:rsid w:val="00B6317D"/>
    <w:rsid w:val="00B76409"/>
    <w:rsid w:val="00B7723F"/>
    <w:rsid w:val="00B80534"/>
    <w:rsid w:val="00B8433C"/>
    <w:rsid w:val="00B845AF"/>
    <w:rsid w:val="00B87491"/>
    <w:rsid w:val="00B979F0"/>
    <w:rsid w:val="00BA29E9"/>
    <w:rsid w:val="00BA5FA3"/>
    <w:rsid w:val="00BA7142"/>
    <w:rsid w:val="00BB237C"/>
    <w:rsid w:val="00BB41A3"/>
    <w:rsid w:val="00BC32DC"/>
    <w:rsid w:val="00BC35B6"/>
    <w:rsid w:val="00BC3D25"/>
    <w:rsid w:val="00BD0810"/>
    <w:rsid w:val="00BD1B51"/>
    <w:rsid w:val="00BD4596"/>
    <w:rsid w:val="00BE1405"/>
    <w:rsid w:val="00BE24AD"/>
    <w:rsid w:val="00BE312D"/>
    <w:rsid w:val="00BE6BA5"/>
    <w:rsid w:val="00BF1C20"/>
    <w:rsid w:val="00C10578"/>
    <w:rsid w:val="00C10CAF"/>
    <w:rsid w:val="00C135BC"/>
    <w:rsid w:val="00C15C95"/>
    <w:rsid w:val="00C15D47"/>
    <w:rsid w:val="00C2596A"/>
    <w:rsid w:val="00C27537"/>
    <w:rsid w:val="00C311C5"/>
    <w:rsid w:val="00C328FE"/>
    <w:rsid w:val="00C32AEA"/>
    <w:rsid w:val="00C32D09"/>
    <w:rsid w:val="00C33507"/>
    <w:rsid w:val="00C4409D"/>
    <w:rsid w:val="00C44E72"/>
    <w:rsid w:val="00C45A06"/>
    <w:rsid w:val="00C47E5B"/>
    <w:rsid w:val="00C519E3"/>
    <w:rsid w:val="00C53D8C"/>
    <w:rsid w:val="00C54285"/>
    <w:rsid w:val="00C55D6A"/>
    <w:rsid w:val="00C6072E"/>
    <w:rsid w:val="00C61E4B"/>
    <w:rsid w:val="00C64BFF"/>
    <w:rsid w:val="00C66FB3"/>
    <w:rsid w:val="00C672BF"/>
    <w:rsid w:val="00C704E9"/>
    <w:rsid w:val="00C763C9"/>
    <w:rsid w:val="00C80057"/>
    <w:rsid w:val="00C82232"/>
    <w:rsid w:val="00C82913"/>
    <w:rsid w:val="00C925B8"/>
    <w:rsid w:val="00C972B1"/>
    <w:rsid w:val="00CA2CCE"/>
    <w:rsid w:val="00CA43FD"/>
    <w:rsid w:val="00CA7EF8"/>
    <w:rsid w:val="00CB1FF3"/>
    <w:rsid w:val="00CC489B"/>
    <w:rsid w:val="00CD0F38"/>
    <w:rsid w:val="00CD29E7"/>
    <w:rsid w:val="00CD2BCD"/>
    <w:rsid w:val="00CD3A4C"/>
    <w:rsid w:val="00CD5B49"/>
    <w:rsid w:val="00CE04A1"/>
    <w:rsid w:val="00CE1046"/>
    <w:rsid w:val="00CE10E9"/>
    <w:rsid w:val="00CE19BC"/>
    <w:rsid w:val="00CE2910"/>
    <w:rsid w:val="00CE5393"/>
    <w:rsid w:val="00CE7E5B"/>
    <w:rsid w:val="00CF36BE"/>
    <w:rsid w:val="00CF6000"/>
    <w:rsid w:val="00D003F3"/>
    <w:rsid w:val="00D0364F"/>
    <w:rsid w:val="00D06834"/>
    <w:rsid w:val="00D17A54"/>
    <w:rsid w:val="00D26B1A"/>
    <w:rsid w:val="00D27216"/>
    <w:rsid w:val="00D308ED"/>
    <w:rsid w:val="00D311ED"/>
    <w:rsid w:val="00D343D7"/>
    <w:rsid w:val="00D36D86"/>
    <w:rsid w:val="00D428AA"/>
    <w:rsid w:val="00D50A34"/>
    <w:rsid w:val="00D52F07"/>
    <w:rsid w:val="00D53EFA"/>
    <w:rsid w:val="00D827DA"/>
    <w:rsid w:val="00D94A7C"/>
    <w:rsid w:val="00D95896"/>
    <w:rsid w:val="00D973D0"/>
    <w:rsid w:val="00DB2983"/>
    <w:rsid w:val="00DC1257"/>
    <w:rsid w:val="00DC3DC0"/>
    <w:rsid w:val="00DC5B2B"/>
    <w:rsid w:val="00DD318D"/>
    <w:rsid w:val="00DD7A64"/>
    <w:rsid w:val="00DE08B9"/>
    <w:rsid w:val="00DE2BAB"/>
    <w:rsid w:val="00DE4607"/>
    <w:rsid w:val="00DE562B"/>
    <w:rsid w:val="00DF2E12"/>
    <w:rsid w:val="00DF514A"/>
    <w:rsid w:val="00DF6690"/>
    <w:rsid w:val="00DF6804"/>
    <w:rsid w:val="00DF6D25"/>
    <w:rsid w:val="00E0358D"/>
    <w:rsid w:val="00E04323"/>
    <w:rsid w:val="00E06800"/>
    <w:rsid w:val="00E070A2"/>
    <w:rsid w:val="00E13486"/>
    <w:rsid w:val="00E21290"/>
    <w:rsid w:val="00E2656A"/>
    <w:rsid w:val="00E375B3"/>
    <w:rsid w:val="00E412D0"/>
    <w:rsid w:val="00E56322"/>
    <w:rsid w:val="00E57962"/>
    <w:rsid w:val="00E60982"/>
    <w:rsid w:val="00E62C62"/>
    <w:rsid w:val="00E654C1"/>
    <w:rsid w:val="00E65D97"/>
    <w:rsid w:val="00E661A2"/>
    <w:rsid w:val="00E67A6D"/>
    <w:rsid w:val="00E71BEE"/>
    <w:rsid w:val="00E72A5A"/>
    <w:rsid w:val="00E73354"/>
    <w:rsid w:val="00E84411"/>
    <w:rsid w:val="00E9242D"/>
    <w:rsid w:val="00E97C2F"/>
    <w:rsid w:val="00EB5255"/>
    <w:rsid w:val="00EB5C47"/>
    <w:rsid w:val="00ED0639"/>
    <w:rsid w:val="00ED5D74"/>
    <w:rsid w:val="00EF4755"/>
    <w:rsid w:val="00EF7135"/>
    <w:rsid w:val="00F027DB"/>
    <w:rsid w:val="00F11F39"/>
    <w:rsid w:val="00F1297C"/>
    <w:rsid w:val="00F14A7A"/>
    <w:rsid w:val="00F22985"/>
    <w:rsid w:val="00F233A2"/>
    <w:rsid w:val="00F3383E"/>
    <w:rsid w:val="00F367A4"/>
    <w:rsid w:val="00F465A7"/>
    <w:rsid w:val="00F50B7C"/>
    <w:rsid w:val="00F550E6"/>
    <w:rsid w:val="00F74345"/>
    <w:rsid w:val="00F80A0A"/>
    <w:rsid w:val="00F82B19"/>
    <w:rsid w:val="00F91300"/>
    <w:rsid w:val="00F9212D"/>
    <w:rsid w:val="00F9361F"/>
    <w:rsid w:val="00F965DA"/>
    <w:rsid w:val="00FA2F4B"/>
    <w:rsid w:val="00FA406A"/>
    <w:rsid w:val="00FA5448"/>
    <w:rsid w:val="00FB503A"/>
    <w:rsid w:val="00FB516C"/>
    <w:rsid w:val="00FC1E16"/>
    <w:rsid w:val="00FC32CF"/>
    <w:rsid w:val="00FC42C7"/>
    <w:rsid w:val="00FD0236"/>
    <w:rsid w:val="00FD18F4"/>
    <w:rsid w:val="00FD23ED"/>
    <w:rsid w:val="00FD54DB"/>
    <w:rsid w:val="00FD619F"/>
    <w:rsid w:val="00FD6749"/>
    <w:rsid w:val="00FE7C2B"/>
    <w:rsid w:val="00FF501B"/>
    <w:rsid w:val="0100326B"/>
    <w:rsid w:val="0118347B"/>
    <w:rsid w:val="01290F7E"/>
    <w:rsid w:val="012A2737"/>
    <w:rsid w:val="012A426E"/>
    <w:rsid w:val="013036AA"/>
    <w:rsid w:val="0134489D"/>
    <w:rsid w:val="013A347C"/>
    <w:rsid w:val="013F0280"/>
    <w:rsid w:val="0154087C"/>
    <w:rsid w:val="015D1E09"/>
    <w:rsid w:val="016F0A91"/>
    <w:rsid w:val="01772E10"/>
    <w:rsid w:val="01773710"/>
    <w:rsid w:val="017A062B"/>
    <w:rsid w:val="0182106A"/>
    <w:rsid w:val="01853E11"/>
    <w:rsid w:val="018856AF"/>
    <w:rsid w:val="01996FED"/>
    <w:rsid w:val="01AC59EF"/>
    <w:rsid w:val="01C20BC1"/>
    <w:rsid w:val="01D40EFC"/>
    <w:rsid w:val="01E52B01"/>
    <w:rsid w:val="01F21B1E"/>
    <w:rsid w:val="01FD26C6"/>
    <w:rsid w:val="02074EC5"/>
    <w:rsid w:val="022320D1"/>
    <w:rsid w:val="022E44A8"/>
    <w:rsid w:val="023A109F"/>
    <w:rsid w:val="023B6BC5"/>
    <w:rsid w:val="02421D02"/>
    <w:rsid w:val="02464D7C"/>
    <w:rsid w:val="024E68F9"/>
    <w:rsid w:val="0262396C"/>
    <w:rsid w:val="02697903"/>
    <w:rsid w:val="0270061D"/>
    <w:rsid w:val="02702D13"/>
    <w:rsid w:val="027A76EE"/>
    <w:rsid w:val="02944B48"/>
    <w:rsid w:val="02987B74"/>
    <w:rsid w:val="029C58B6"/>
    <w:rsid w:val="029F7154"/>
    <w:rsid w:val="02A86B17"/>
    <w:rsid w:val="02A93B2F"/>
    <w:rsid w:val="02AC35A7"/>
    <w:rsid w:val="02B03FCD"/>
    <w:rsid w:val="02B04EBD"/>
    <w:rsid w:val="02B96008"/>
    <w:rsid w:val="02CD2E68"/>
    <w:rsid w:val="02D768EE"/>
    <w:rsid w:val="02DF39F5"/>
    <w:rsid w:val="02E35293"/>
    <w:rsid w:val="02F62AAB"/>
    <w:rsid w:val="02F96569"/>
    <w:rsid w:val="030B47EA"/>
    <w:rsid w:val="03167128"/>
    <w:rsid w:val="03207FAE"/>
    <w:rsid w:val="03280EF8"/>
    <w:rsid w:val="032D26DE"/>
    <w:rsid w:val="032F4967"/>
    <w:rsid w:val="03396A82"/>
    <w:rsid w:val="03463A74"/>
    <w:rsid w:val="03764359"/>
    <w:rsid w:val="03830824"/>
    <w:rsid w:val="038F3C03"/>
    <w:rsid w:val="039667A9"/>
    <w:rsid w:val="03A2514E"/>
    <w:rsid w:val="03A864B5"/>
    <w:rsid w:val="03AF33C7"/>
    <w:rsid w:val="03C07382"/>
    <w:rsid w:val="03D66DE1"/>
    <w:rsid w:val="03DD1CE2"/>
    <w:rsid w:val="03EA7B21"/>
    <w:rsid w:val="03ED21BF"/>
    <w:rsid w:val="03F70F0C"/>
    <w:rsid w:val="03F9214F"/>
    <w:rsid w:val="040D67EE"/>
    <w:rsid w:val="04115E30"/>
    <w:rsid w:val="041B0A5C"/>
    <w:rsid w:val="04295F36"/>
    <w:rsid w:val="04321693"/>
    <w:rsid w:val="043D09D3"/>
    <w:rsid w:val="043F0BEF"/>
    <w:rsid w:val="04494535"/>
    <w:rsid w:val="044E2BE0"/>
    <w:rsid w:val="045E0321"/>
    <w:rsid w:val="0473252E"/>
    <w:rsid w:val="048030B8"/>
    <w:rsid w:val="04844854"/>
    <w:rsid w:val="049C3AA3"/>
    <w:rsid w:val="04AC024D"/>
    <w:rsid w:val="04AC7907"/>
    <w:rsid w:val="04B032E0"/>
    <w:rsid w:val="04B05649"/>
    <w:rsid w:val="04BF3ADE"/>
    <w:rsid w:val="04CD21B1"/>
    <w:rsid w:val="04D95FAF"/>
    <w:rsid w:val="04E802D3"/>
    <w:rsid w:val="04E83035"/>
    <w:rsid w:val="04EA0938"/>
    <w:rsid w:val="04EB042F"/>
    <w:rsid w:val="04FF338F"/>
    <w:rsid w:val="050339CA"/>
    <w:rsid w:val="050D4849"/>
    <w:rsid w:val="0512736F"/>
    <w:rsid w:val="05137986"/>
    <w:rsid w:val="05162723"/>
    <w:rsid w:val="05175953"/>
    <w:rsid w:val="05206C6B"/>
    <w:rsid w:val="0532605E"/>
    <w:rsid w:val="053412CC"/>
    <w:rsid w:val="0543026B"/>
    <w:rsid w:val="05483AD3"/>
    <w:rsid w:val="055343E6"/>
    <w:rsid w:val="056621AB"/>
    <w:rsid w:val="05681A7F"/>
    <w:rsid w:val="05777F14"/>
    <w:rsid w:val="0580501B"/>
    <w:rsid w:val="059D08E1"/>
    <w:rsid w:val="059E1945"/>
    <w:rsid w:val="05BE3D95"/>
    <w:rsid w:val="05C375FE"/>
    <w:rsid w:val="05CF5FA2"/>
    <w:rsid w:val="05D06B8E"/>
    <w:rsid w:val="05D435B9"/>
    <w:rsid w:val="05DF0774"/>
    <w:rsid w:val="05EF3F4F"/>
    <w:rsid w:val="05F11A75"/>
    <w:rsid w:val="05F72E03"/>
    <w:rsid w:val="05F83EAE"/>
    <w:rsid w:val="060914B4"/>
    <w:rsid w:val="06114D96"/>
    <w:rsid w:val="06295AE6"/>
    <w:rsid w:val="062E468E"/>
    <w:rsid w:val="063E7D85"/>
    <w:rsid w:val="064A73D7"/>
    <w:rsid w:val="06565D7C"/>
    <w:rsid w:val="06664D4A"/>
    <w:rsid w:val="06684EC4"/>
    <w:rsid w:val="067D350C"/>
    <w:rsid w:val="06895311"/>
    <w:rsid w:val="069F5975"/>
    <w:rsid w:val="06CE625A"/>
    <w:rsid w:val="06D654A6"/>
    <w:rsid w:val="06DB44D3"/>
    <w:rsid w:val="06E718C8"/>
    <w:rsid w:val="06EB2968"/>
    <w:rsid w:val="06F33061"/>
    <w:rsid w:val="06F757B1"/>
    <w:rsid w:val="070E2AFA"/>
    <w:rsid w:val="07137CCD"/>
    <w:rsid w:val="072623A9"/>
    <w:rsid w:val="07293586"/>
    <w:rsid w:val="07295285"/>
    <w:rsid w:val="073562D9"/>
    <w:rsid w:val="074249EE"/>
    <w:rsid w:val="07442078"/>
    <w:rsid w:val="074F5F10"/>
    <w:rsid w:val="07610E7C"/>
    <w:rsid w:val="07636392"/>
    <w:rsid w:val="076B5857"/>
    <w:rsid w:val="07770C56"/>
    <w:rsid w:val="077A1771"/>
    <w:rsid w:val="077E77B7"/>
    <w:rsid w:val="07835749"/>
    <w:rsid w:val="07871169"/>
    <w:rsid w:val="078B6AAF"/>
    <w:rsid w:val="078F59E9"/>
    <w:rsid w:val="079E5C2C"/>
    <w:rsid w:val="07AA08EF"/>
    <w:rsid w:val="07AA637F"/>
    <w:rsid w:val="07AC3AEF"/>
    <w:rsid w:val="07B13BB2"/>
    <w:rsid w:val="07B23486"/>
    <w:rsid w:val="07B30C1B"/>
    <w:rsid w:val="07B62F76"/>
    <w:rsid w:val="07D653C6"/>
    <w:rsid w:val="07F300F8"/>
    <w:rsid w:val="07F41CF0"/>
    <w:rsid w:val="08123F24"/>
    <w:rsid w:val="081303C8"/>
    <w:rsid w:val="08145258"/>
    <w:rsid w:val="082A74C0"/>
    <w:rsid w:val="082C3238"/>
    <w:rsid w:val="08314CF2"/>
    <w:rsid w:val="08376EB5"/>
    <w:rsid w:val="084C38A5"/>
    <w:rsid w:val="087150EF"/>
    <w:rsid w:val="08775A74"/>
    <w:rsid w:val="087921F6"/>
    <w:rsid w:val="08793FA4"/>
    <w:rsid w:val="08B42717"/>
    <w:rsid w:val="08C711B3"/>
    <w:rsid w:val="08E753B1"/>
    <w:rsid w:val="08F5067A"/>
    <w:rsid w:val="08F97CDC"/>
    <w:rsid w:val="092217DD"/>
    <w:rsid w:val="09246605"/>
    <w:rsid w:val="09306D58"/>
    <w:rsid w:val="093A7294"/>
    <w:rsid w:val="093C74AB"/>
    <w:rsid w:val="09443A0D"/>
    <w:rsid w:val="095207DE"/>
    <w:rsid w:val="095567BF"/>
    <w:rsid w:val="09574568"/>
    <w:rsid w:val="0958005D"/>
    <w:rsid w:val="09616F12"/>
    <w:rsid w:val="097E12ED"/>
    <w:rsid w:val="09880D71"/>
    <w:rsid w:val="09B41737"/>
    <w:rsid w:val="09B5667A"/>
    <w:rsid w:val="09B72FD5"/>
    <w:rsid w:val="09BB0D18"/>
    <w:rsid w:val="09BC633C"/>
    <w:rsid w:val="09C47A94"/>
    <w:rsid w:val="09C502A1"/>
    <w:rsid w:val="09D05E45"/>
    <w:rsid w:val="09D75426"/>
    <w:rsid w:val="09E76094"/>
    <w:rsid w:val="09F359AE"/>
    <w:rsid w:val="0A011390"/>
    <w:rsid w:val="0A026946"/>
    <w:rsid w:val="0A044046"/>
    <w:rsid w:val="0A075D0B"/>
    <w:rsid w:val="0A0A57FB"/>
    <w:rsid w:val="0A252635"/>
    <w:rsid w:val="0A263993"/>
    <w:rsid w:val="0A2C1658"/>
    <w:rsid w:val="0A2D3AC2"/>
    <w:rsid w:val="0A2E4617"/>
    <w:rsid w:val="0A32403B"/>
    <w:rsid w:val="0A377A8F"/>
    <w:rsid w:val="0A674AF3"/>
    <w:rsid w:val="0A6D2908"/>
    <w:rsid w:val="0A7979B7"/>
    <w:rsid w:val="0A7E719A"/>
    <w:rsid w:val="0A854E82"/>
    <w:rsid w:val="0A864054"/>
    <w:rsid w:val="0A927F3F"/>
    <w:rsid w:val="0A9450C5"/>
    <w:rsid w:val="0A972E9F"/>
    <w:rsid w:val="0A990403"/>
    <w:rsid w:val="0A9E5F43"/>
    <w:rsid w:val="0A9E7CF1"/>
    <w:rsid w:val="0AA3355A"/>
    <w:rsid w:val="0AA755DF"/>
    <w:rsid w:val="0AA9470B"/>
    <w:rsid w:val="0AAC24BC"/>
    <w:rsid w:val="0AB17A25"/>
    <w:rsid w:val="0ABA0FCF"/>
    <w:rsid w:val="0ABA2D7D"/>
    <w:rsid w:val="0ABD461B"/>
    <w:rsid w:val="0AD11E75"/>
    <w:rsid w:val="0AD46ECC"/>
    <w:rsid w:val="0AE93860"/>
    <w:rsid w:val="0AF12517"/>
    <w:rsid w:val="0AF56924"/>
    <w:rsid w:val="0AFB3396"/>
    <w:rsid w:val="0B095AB3"/>
    <w:rsid w:val="0B0C7351"/>
    <w:rsid w:val="0B120D44"/>
    <w:rsid w:val="0B1B7594"/>
    <w:rsid w:val="0B2A3BAF"/>
    <w:rsid w:val="0B38732E"/>
    <w:rsid w:val="0B3A5C6C"/>
    <w:rsid w:val="0B3F3282"/>
    <w:rsid w:val="0B5F1B77"/>
    <w:rsid w:val="0B6D4294"/>
    <w:rsid w:val="0B7F7462"/>
    <w:rsid w:val="0B965403"/>
    <w:rsid w:val="0B9F6417"/>
    <w:rsid w:val="0BB023D2"/>
    <w:rsid w:val="0BB17542"/>
    <w:rsid w:val="0BB772BD"/>
    <w:rsid w:val="0BD27BF6"/>
    <w:rsid w:val="0BDF6813"/>
    <w:rsid w:val="0BF52074"/>
    <w:rsid w:val="0C0006CF"/>
    <w:rsid w:val="0C0B1CB9"/>
    <w:rsid w:val="0C0C741D"/>
    <w:rsid w:val="0C152235"/>
    <w:rsid w:val="0C191D25"/>
    <w:rsid w:val="0C2F779B"/>
    <w:rsid w:val="0C3B3C7D"/>
    <w:rsid w:val="0C3F2F9E"/>
    <w:rsid w:val="0C4D7C21"/>
    <w:rsid w:val="0C4E50E6"/>
    <w:rsid w:val="0C5E3BDC"/>
    <w:rsid w:val="0C684A5B"/>
    <w:rsid w:val="0C6F1945"/>
    <w:rsid w:val="0C7156BE"/>
    <w:rsid w:val="0C7D0506"/>
    <w:rsid w:val="0C7E65A6"/>
    <w:rsid w:val="0CA23AC9"/>
    <w:rsid w:val="0CAB2EAE"/>
    <w:rsid w:val="0CAC4948"/>
    <w:rsid w:val="0CB0734A"/>
    <w:rsid w:val="0CB16402"/>
    <w:rsid w:val="0CBE5160"/>
    <w:rsid w:val="0CC34D16"/>
    <w:rsid w:val="0CC6400E"/>
    <w:rsid w:val="0CD8398F"/>
    <w:rsid w:val="0CDE6ACB"/>
    <w:rsid w:val="0CE045F1"/>
    <w:rsid w:val="0CF646DA"/>
    <w:rsid w:val="0D181FDD"/>
    <w:rsid w:val="0D1A3FA7"/>
    <w:rsid w:val="0D233138"/>
    <w:rsid w:val="0D2515DE"/>
    <w:rsid w:val="0D28778E"/>
    <w:rsid w:val="0D3112F1"/>
    <w:rsid w:val="0D3711D2"/>
    <w:rsid w:val="0D3C6278"/>
    <w:rsid w:val="0D4234FE"/>
    <w:rsid w:val="0D5F19BA"/>
    <w:rsid w:val="0D621C7D"/>
    <w:rsid w:val="0D6E60A1"/>
    <w:rsid w:val="0D735465"/>
    <w:rsid w:val="0D782A7C"/>
    <w:rsid w:val="0DB17E0D"/>
    <w:rsid w:val="0DB74E46"/>
    <w:rsid w:val="0DC7538F"/>
    <w:rsid w:val="0DCC5716"/>
    <w:rsid w:val="0DDC74AE"/>
    <w:rsid w:val="0DDF08A8"/>
    <w:rsid w:val="0DED16BC"/>
    <w:rsid w:val="0DF20A80"/>
    <w:rsid w:val="0DF465A6"/>
    <w:rsid w:val="0DFA5FBC"/>
    <w:rsid w:val="0E012A71"/>
    <w:rsid w:val="0E0E4426"/>
    <w:rsid w:val="0E13728B"/>
    <w:rsid w:val="0E252C04"/>
    <w:rsid w:val="0E3A63C8"/>
    <w:rsid w:val="0E3C79B7"/>
    <w:rsid w:val="0E653000"/>
    <w:rsid w:val="0E654555"/>
    <w:rsid w:val="0E73034D"/>
    <w:rsid w:val="0E794CFD"/>
    <w:rsid w:val="0E8431AE"/>
    <w:rsid w:val="0E87741A"/>
    <w:rsid w:val="0E9D0906"/>
    <w:rsid w:val="0EA0228A"/>
    <w:rsid w:val="0EA578A0"/>
    <w:rsid w:val="0ECA37AB"/>
    <w:rsid w:val="0EE04DE8"/>
    <w:rsid w:val="0EE44D41"/>
    <w:rsid w:val="0EE54141"/>
    <w:rsid w:val="0EE85505"/>
    <w:rsid w:val="0F0312ED"/>
    <w:rsid w:val="0F071901"/>
    <w:rsid w:val="0F0D4D90"/>
    <w:rsid w:val="0F130CAE"/>
    <w:rsid w:val="0F13775A"/>
    <w:rsid w:val="0F17374F"/>
    <w:rsid w:val="0F19203C"/>
    <w:rsid w:val="0F1B7B63"/>
    <w:rsid w:val="0F225395"/>
    <w:rsid w:val="0F4470B9"/>
    <w:rsid w:val="0F5B4403"/>
    <w:rsid w:val="0F5F45FE"/>
    <w:rsid w:val="0F882908"/>
    <w:rsid w:val="0F977B31"/>
    <w:rsid w:val="0F9A112B"/>
    <w:rsid w:val="0FA26BD7"/>
    <w:rsid w:val="0FAE09D7"/>
    <w:rsid w:val="0FC2463B"/>
    <w:rsid w:val="0FC71A98"/>
    <w:rsid w:val="0FCD3553"/>
    <w:rsid w:val="0FEA05A8"/>
    <w:rsid w:val="0FEC61F7"/>
    <w:rsid w:val="0FED53A9"/>
    <w:rsid w:val="0FEE5EBF"/>
    <w:rsid w:val="0FF3154F"/>
    <w:rsid w:val="0FF416A7"/>
    <w:rsid w:val="0FF56606"/>
    <w:rsid w:val="0FF81E94"/>
    <w:rsid w:val="0FFE195E"/>
    <w:rsid w:val="0FFF1232"/>
    <w:rsid w:val="1016674B"/>
    <w:rsid w:val="10233173"/>
    <w:rsid w:val="10340294"/>
    <w:rsid w:val="106612B1"/>
    <w:rsid w:val="106B68C8"/>
    <w:rsid w:val="106D2F64"/>
    <w:rsid w:val="10800C65"/>
    <w:rsid w:val="10B63710"/>
    <w:rsid w:val="10BF251D"/>
    <w:rsid w:val="10C911AE"/>
    <w:rsid w:val="10D73F5D"/>
    <w:rsid w:val="10D80401"/>
    <w:rsid w:val="10E24DDC"/>
    <w:rsid w:val="10E5667A"/>
    <w:rsid w:val="10E9596B"/>
    <w:rsid w:val="10E97D96"/>
    <w:rsid w:val="10ED552F"/>
    <w:rsid w:val="10F10820"/>
    <w:rsid w:val="111C2F7A"/>
    <w:rsid w:val="11230F50"/>
    <w:rsid w:val="1125116C"/>
    <w:rsid w:val="11291584"/>
    <w:rsid w:val="112E7C9E"/>
    <w:rsid w:val="11344C5A"/>
    <w:rsid w:val="113B44EC"/>
    <w:rsid w:val="114621D0"/>
    <w:rsid w:val="11472E91"/>
    <w:rsid w:val="11477335"/>
    <w:rsid w:val="11482B3B"/>
    <w:rsid w:val="114B375A"/>
    <w:rsid w:val="11665CA1"/>
    <w:rsid w:val="116752E1"/>
    <w:rsid w:val="116C69D9"/>
    <w:rsid w:val="116F6A94"/>
    <w:rsid w:val="11731ED8"/>
    <w:rsid w:val="11786AB5"/>
    <w:rsid w:val="11943BFC"/>
    <w:rsid w:val="11A231B9"/>
    <w:rsid w:val="11AE5258"/>
    <w:rsid w:val="11B06C88"/>
    <w:rsid w:val="11B147AE"/>
    <w:rsid w:val="11C02CAF"/>
    <w:rsid w:val="11DC1820"/>
    <w:rsid w:val="11F32AC0"/>
    <w:rsid w:val="11F748B7"/>
    <w:rsid w:val="11F87688"/>
    <w:rsid w:val="121865DB"/>
    <w:rsid w:val="122F22A3"/>
    <w:rsid w:val="12371157"/>
    <w:rsid w:val="12380A2C"/>
    <w:rsid w:val="123D3A66"/>
    <w:rsid w:val="1242151F"/>
    <w:rsid w:val="124A6ABF"/>
    <w:rsid w:val="124C1039"/>
    <w:rsid w:val="126602AE"/>
    <w:rsid w:val="12695089"/>
    <w:rsid w:val="126C329A"/>
    <w:rsid w:val="12771313"/>
    <w:rsid w:val="127E6D86"/>
    <w:rsid w:val="1299274B"/>
    <w:rsid w:val="129E6F66"/>
    <w:rsid w:val="12AB73F1"/>
    <w:rsid w:val="12B61F29"/>
    <w:rsid w:val="12B64F8D"/>
    <w:rsid w:val="12C6644B"/>
    <w:rsid w:val="12D70244"/>
    <w:rsid w:val="12DB5F87"/>
    <w:rsid w:val="12DC585B"/>
    <w:rsid w:val="12F3000A"/>
    <w:rsid w:val="12FE1C75"/>
    <w:rsid w:val="12FE3A23"/>
    <w:rsid w:val="13053004"/>
    <w:rsid w:val="130F5C30"/>
    <w:rsid w:val="132F0DB2"/>
    <w:rsid w:val="13385187"/>
    <w:rsid w:val="134821D6"/>
    <w:rsid w:val="134D0507"/>
    <w:rsid w:val="13655850"/>
    <w:rsid w:val="136E19E5"/>
    <w:rsid w:val="13793C8F"/>
    <w:rsid w:val="138E2FF9"/>
    <w:rsid w:val="13951726"/>
    <w:rsid w:val="13AB3BAB"/>
    <w:rsid w:val="13B30CB1"/>
    <w:rsid w:val="13BB7411"/>
    <w:rsid w:val="13BD568C"/>
    <w:rsid w:val="13BE553E"/>
    <w:rsid w:val="13BF1404"/>
    <w:rsid w:val="13CC25CF"/>
    <w:rsid w:val="13DA4490"/>
    <w:rsid w:val="13FD1F2D"/>
    <w:rsid w:val="140E0AF6"/>
    <w:rsid w:val="14101C60"/>
    <w:rsid w:val="14301B0C"/>
    <w:rsid w:val="14396509"/>
    <w:rsid w:val="145002AE"/>
    <w:rsid w:val="1461171B"/>
    <w:rsid w:val="146F6F19"/>
    <w:rsid w:val="14891A12"/>
    <w:rsid w:val="14904B4F"/>
    <w:rsid w:val="14922675"/>
    <w:rsid w:val="14926B19"/>
    <w:rsid w:val="14A34882"/>
    <w:rsid w:val="14AB1989"/>
    <w:rsid w:val="14B93C45"/>
    <w:rsid w:val="14D47131"/>
    <w:rsid w:val="14D964F6"/>
    <w:rsid w:val="14DD2C3C"/>
    <w:rsid w:val="14EA7C6A"/>
    <w:rsid w:val="14EC447B"/>
    <w:rsid w:val="14F752C1"/>
    <w:rsid w:val="1505553D"/>
    <w:rsid w:val="15115C90"/>
    <w:rsid w:val="152F0D4D"/>
    <w:rsid w:val="15363948"/>
    <w:rsid w:val="156C0552"/>
    <w:rsid w:val="156D4E90"/>
    <w:rsid w:val="15791A87"/>
    <w:rsid w:val="159B7C4F"/>
    <w:rsid w:val="15A00DC2"/>
    <w:rsid w:val="15A765F4"/>
    <w:rsid w:val="15AF4F41"/>
    <w:rsid w:val="15B91F4C"/>
    <w:rsid w:val="15BC10D9"/>
    <w:rsid w:val="15C745A0"/>
    <w:rsid w:val="15C947BC"/>
    <w:rsid w:val="15CD2F8A"/>
    <w:rsid w:val="15D26334"/>
    <w:rsid w:val="15D942D4"/>
    <w:rsid w:val="15DB44F0"/>
    <w:rsid w:val="15E914B9"/>
    <w:rsid w:val="1606156C"/>
    <w:rsid w:val="16087E1D"/>
    <w:rsid w:val="161672D6"/>
    <w:rsid w:val="163836F0"/>
    <w:rsid w:val="16467BBB"/>
    <w:rsid w:val="16491459"/>
    <w:rsid w:val="164B7C62"/>
    <w:rsid w:val="165138C6"/>
    <w:rsid w:val="165E3157"/>
    <w:rsid w:val="16674575"/>
    <w:rsid w:val="166A7A52"/>
    <w:rsid w:val="16716316"/>
    <w:rsid w:val="167C73FC"/>
    <w:rsid w:val="167D7355"/>
    <w:rsid w:val="168B3820"/>
    <w:rsid w:val="168E71ED"/>
    <w:rsid w:val="168F57EA"/>
    <w:rsid w:val="16900E36"/>
    <w:rsid w:val="16935935"/>
    <w:rsid w:val="16976668"/>
    <w:rsid w:val="16C84A74"/>
    <w:rsid w:val="16CB4730"/>
    <w:rsid w:val="16CD5BE6"/>
    <w:rsid w:val="16EB42BE"/>
    <w:rsid w:val="16F05D79"/>
    <w:rsid w:val="16F2564D"/>
    <w:rsid w:val="17001571"/>
    <w:rsid w:val="171657DF"/>
    <w:rsid w:val="172065E2"/>
    <w:rsid w:val="17283764"/>
    <w:rsid w:val="172E1F18"/>
    <w:rsid w:val="17327C34"/>
    <w:rsid w:val="173A2B52"/>
    <w:rsid w:val="17417A86"/>
    <w:rsid w:val="174C42CD"/>
    <w:rsid w:val="17591B70"/>
    <w:rsid w:val="175D5FCB"/>
    <w:rsid w:val="17701D14"/>
    <w:rsid w:val="17735226"/>
    <w:rsid w:val="1776770E"/>
    <w:rsid w:val="17982698"/>
    <w:rsid w:val="17AA798D"/>
    <w:rsid w:val="17AC1CA0"/>
    <w:rsid w:val="17B40B54"/>
    <w:rsid w:val="17B51B13"/>
    <w:rsid w:val="17CE2607"/>
    <w:rsid w:val="17E03C01"/>
    <w:rsid w:val="17EA6B3E"/>
    <w:rsid w:val="17F3167D"/>
    <w:rsid w:val="17FA2E43"/>
    <w:rsid w:val="17FD24FB"/>
    <w:rsid w:val="18025D64"/>
    <w:rsid w:val="1804388A"/>
    <w:rsid w:val="18117D55"/>
    <w:rsid w:val="181B7A7F"/>
    <w:rsid w:val="183323C1"/>
    <w:rsid w:val="183B3024"/>
    <w:rsid w:val="183D3240"/>
    <w:rsid w:val="18463EA2"/>
    <w:rsid w:val="184E10BD"/>
    <w:rsid w:val="184E71FB"/>
    <w:rsid w:val="1851714E"/>
    <w:rsid w:val="1852235A"/>
    <w:rsid w:val="18522F53"/>
    <w:rsid w:val="185B5474"/>
    <w:rsid w:val="185F31B6"/>
    <w:rsid w:val="187108AB"/>
    <w:rsid w:val="187D7265"/>
    <w:rsid w:val="18860743"/>
    <w:rsid w:val="188E6525"/>
    <w:rsid w:val="189F2D58"/>
    <w:rsid w:val="189F624C"/>
    <w:rsid w:val="18A22F91"/>
    <w:rsid w:val="18AE1A47"/>
    <w:rsid w:val="18B65CF5"/>
    <w:rsid w:val="18C2416B"/>
    <w:rsid w:val="18D40728"/>
    <w:rsid w:val="18E2474D"/>
    <w:rsid w:val="18E436BB"/>
    <w:rsid w:val="18EB7FCA"/>
    <w:rsid w:val="18F338FE"/>
    <w:rsid w:val="18FA4C8D"/>
    <w:rsid w:val="19057EDA"/>
    <w:rsid w:val="190653E0"/>
    <w:rsid w:val="19081158"/>
    <w:rsid w:val="19095239"/>
    <w:rsid w:val="19133608"/>
    <w:rsid w:val="19334466"/>
    <w:rsid w:val="19436634"/>
    <w:rsid w:val="194A79C2"/>
    <w:rsid w:val="194B54E8"/>
    <w:rsid w:val="19520625"/>
    <w:rsid w:val="19636CD6"/>
    <w:rsid w:val="196C4E12"/>
    <w:rsid w:val="19766A09"/>
    <w:rsid w:val="1977590C"/>
    <w:rsid w:val="197A2C17"/>
    <w:rsid w:val="19882CAF"/>
    <w:rsid w:val="199155F1"/>
    <w:rsid w:val="199E386A"/>
    <w:rsid w:val="19B66E06"/>
    <w:rsid w:val="19B774D5"/>
    <w:rsid w:val="19BB441C"/>
    <w:rsid w:val="19C05ED6"/>
    <w:rsid w:val="19DA3E62"/>
    <w:rsid w:val="19E643F6"/>
    <w:rsid w:val="19EC5E50"/>
    <w:rsid w:val="19ED4047"/>
    <w:rsid w:val="19F17E3E"/>
    <w:rsid w:val="1A02029D"/>
    <w:rsid w:val="1A1B310D"/>
    <w:rsid w:val="1A1C66C0"/>
    <w:rsid w:val="1A2B3860"/>
    <w:rsid w:val="1A3B6870"/>
    <w:rsid w:val="1A42393B"/>
    <w:rsid w:val="1A466E94"/>
    <w:rsid w:val="1A4E51E3"/>
    <w:rsid w:val="1A5A1E87"/>
    <w:rsid w:val="1A5D1977"/>
    <w:rsid w:val="1A6B5C6E"/>
    <w:rsid w:val="1A750A6F"/>
    <w:rsid w:val="1A75281D"/>
    <w:rsid w:val="1A832CF2"/>
    <w:rsid w:val="1A935399"/>
    <w:rsid w:val="1AA438C0"/>
    <w:rsid w:val="1AAD45DE"/>
    <w:rsid w:val="1ABC3713"/>
    <w:rsid w:val="1AC36107"/>
    <w:rsid w:val="1AC76FE1"/>
    <w:rsid w:val="1AC770B7"/>
    <w:rsid w:val="1ACB68E1"/>
    <w:rsid w:val="1ACE017F"/>
    <w:rsid w:val="1AF33806"/>
    <w:rsid w:val="1AF776D6"/>
    <w:rsid w:val="1AFA71C6"/>
    <w:rsid w:val="1AFC4CEC"/>
    <w:rsid w:val="1B046F80"/>
    <w:rsid w:val="1B125C8E"/>
    <w:rsid w:val="1B144D03"/>
    <w:rsid w:val="1B193AF0"/>
    <w:rsid w:val="1B26620D"/>
    <w:rsid w:val="1B3267B5"/>
    <w:rsid w:val="1B334486"/>
    <w:rsid w:val="1B351FAC"/>
    <w:rsid w:val="1B363FB3"/>
    <w:rsid w:val="1B3C44AD"/>
    <w:rsid w:val="1B40161D"/>
    <w:rsid w:val="1B416279"/>
    <w:rsid w:val="1B441859"/>
    <w:rsid w:val="1B59213E"/>
    <w:rsid w:val="1B6606B1"/>
    <w:rsid w:val="1B662ED7"/>
    <w:rsid w:val="1B6A60FA"/>
    <w:rsid w:val="1B851185"/>
    <w:rsid w:val="1B8A679C"/>
    <w:rsid w:val="1B915731"/>
    <w:rsid w:val="1B957EC3"/>
    <w:rsid w:val="1B966EEF"/>
    <w:rsid w:val="1BA30D87"/>
    <w:rsid w:val="1BAD4238"/>
    <w:rsid w:val="1BCD6688"/>
    <w:rsid w:val="1BCE7611"/>
    <w:rsid w:val="1BDA136C"/>
    <w:rsid w:val="1BE369F3"/>
    <w:rsid w:val="1BEC3149"/>
    <w:rsid w:val="1C063E92"/>
    <w:rsid w:val="1C0E2142"/>
    <w:rsid w:val="1C116575"/>
    <w:rsid w:val="1C197B20"/>
    <w:rsid w:val="1C1C0DAE"/>
    <w:rsid w:val="1C1D682F"/>
    <w:rsid w:val="1C2F2E9F"/>
    <w:rsid w:val="1C56667E"/>
    <w:rsid w:val="1C597F1C"/>
    <w:rsid w:val="1C5E7925"/>
    <w:rsid w:val="1C662D65"/>
    <w:rsid w:val="1C67000D"/>
    <w:rsid w:val="1C676ADD"/>
    <w:rsid w:val="1C730FDE"/>
    <w:rsid w:val="1C76287C"/>
    <w:rsid w:val="1C7A1D80"/>
    <w:rsid w:val="1C7D0B0C"/>
    <w:rsid w:val="1C8256C5"/>
    <w:rsid w:val="1C8468E4"/>
    <w:rsid w:val="1C861551"/>
    <w:rsid w:val="1C9003C0"/>
    <w:rsid w:val="1C915908"/>
    <w:rsid w:val="1C9C75B3"/>
    <w:rsid w:val="1CBB2985"/>
    <w:rsid w:val="1CBF2475"/>
    <w:rsid w:val="1CC87492"/>
    <w:rsid w:val="1CE65C54"/>
    <w:rsid w:val="1CF739BD"/>
    <w:rsid w:val="1CFD070F"/>
    <w:rsid w:val="1D126A49"/>
    <w:rsid w:val="1D1F2F14"/>
    <w:rsid w:val="1D2422D8"/>
    <w:rsid w:val="1D266050"/>
    <w:rsid w:val="1D271DC8"/>
    <w:rsid w:val="1D287D6D"/>
    <w:rsid w:val="1D2B7B0B"/>
    <w:rsid w:val="1D3C5874"/>
    <w:rsid w:val="1D41732E"/>
    <w:rsid w:val="1D5037A1"/>
    <w:rsid w:val="1D5F6196"/>
    <w:rsid w:val="1D6132A5"/>
    <w:rsid w:val="1D777D89"/>
    <w:rsid w:val="1D7C2114"/>
    <w:rsid w:val="1D7C3EC2"/>
    <w:rsid w:val="1D7D613A"/>
    <w:rsid w:val="1D8E56D5"/>
    <w:rsid w:val="1D9320AB"/>
    <w:rsid w:val="1D9C27B6"/>
    <w:rsid w:val="1DAC0C4B"/>
    <w:rsid w:val="1DAD1554"/>
    <w:rsid w:val="1DB573D4"/>
    <w:rsid w:val="1DBF7018"/>
    <w:rsid w:val="1DDD5799"/>
    <w:rsid w:val="1DE9717E"/>
    <w:rsid w:val="1DEA52D0"/>
    <w:rsid w:val="1DF71AC8"/>
    <w:rsid w:val="1DFC77B9"/>
    <w:rsid w:val="1E06634F"/>
    <w:rsid w:val="1E1D5F75"/>
    <w:rsid w:val="1E3F3053"/>
    <w:rsid w:val="1E424587"/>
    <w:rsid w:val="1E450758"/>
    <w:rsid w:val="1E4A3FC0"/>
    <w:rsid w:val="1E5170FD"/>
    <w:rsid w:val="1E544E3F"/>
    <w:rsid w:val="1E65704C"/>
    <w:rsid w:val="1E71779F"/>
    <w:rsid w:val="1E7352C5"/>
    <w:rsid w:val="1E7A43DA"/>
    <w:rsid w:val="1E7E3C6A"/>
    <w:rsid w:val="1E834905"/>
    <w:rsid w:val="1E845724"/>
    <w:rsid w:val="1E894AFB"/>
    <w:rsid w:val="1E8A6AB3"/>
    <w:rsid w:val="1E933BB9"/>
    <w:rsid w:val="1E94348E"/>
    <w:rsid w:val="1E9531FF"/>
    <w:rsid w:val="1E9A4F48"/>
    <w:rsid w:val="1EA6350B"/>
    <w:rsid w:val="1EAE7EAF"/>
    <w:rsid w:val="1EB12291"/>
    <w:rsid w:val="1EC93137"/>
    <w:rsid w:val="1EC975DB"/>
    <w:rsid w:val="1ED35C11"/>
    <w:rsid w:val="1EDB043D"/>
    <w:rsid w:val="1EEC5F04"/>
    <w:rsid w:val="1EEE2B9E"/>
    <w:rsid w:val="1F1862E0"/>
    <w:rsid w:val="1F2F0B41"/>
    <w:rsid w:val="1F362F5F"/>
    <w:rsid w:val="1F58426F"/>
    <w:rsid w:val="1F5A5A4E"/>
    <w:rsid w:val="1F5F584A"/>
    <w:rsid w:val="1F613FCB"/>
    <w:rsid w:val="1F6317DE"/>
    <w:rsid w:val="1F672950"/>
    <w:rsid w:val="1F694F45"/>
    <w:rsid w:val="1F6B2440"/>
    <w:rsid w:val="1F914A92"/>
    <w:rsid w:val="1F980D5B"/>
    <w:rsid w:val="1FA4037A"/>
    <w:rsid w:val="1FBC2C9C"/>
    <w:rsid w:val="1FBF4B01"/>
    <w:rsid w:val="1FC13108"/>
    <w:rsid w:val="1FCB1131"/>
    <w:rsid w:val="1FE06A3A"/>
    <w:rsid w:val="1FE630F7"/>
    <w:rsid w:val="1FE7539E"/>
    <w:rsid w:val="1FF01C96"/>
    <w:rsid w:val="1FF109F9"/>
    <w:rsid w:val="1FFE5062"/>
    <w:rsid w:val="20166850"/>
    <w:rsid w:val="2023248F"/>
    <w:rsid w:val="202645B9"/>
    <w:rsid w:val="202D3B9A"/>
    <w:rsid w:val="203E5DA7"/>
    <w:rsid w:val="204D1B46"/>
    <w:rsid w:val="20561A3E"/>
    <w:rsid w:val="205B4440"/>
    <w:rsid w:val="20671BE0"/>
    <w:rsid w:val="207A7854"/>
    <w:rsid w:val="20914128"/>
    <w:rsid w:val="20920044"/>
    <w:rsid w:val="20963CB8"/>
    <w:rsid w:val="2099122F"/>
    <w:rsid w:val="20A26336"/>
    <w:rsid w:val="20A45E13"/>
    <w:rsid w:val="20A7394C"/>
    <w:rsid w:val="20A81A1B"/>
    <w:rsid w:val="20B07FB6"/>
    <w:rsid w:val="20B646FB"/>
    <w:rsid w:val="20D44015"/>
    <w:rsid w:val="20FA3A7C"/>
    <w:rsid w:val="210743EB"/>
    <w:rsid w:val="210C7C53"/>
    <w:rsid w:val="211026FE"/>
    <w:rsid w:val="211D3C0E"/>
    <w:rsid w:val="21374CD0"/>
    <w:rsid w:val="213B74B1"/>
    <w:rsid w:val="214E3DC8"/>
    <w:rsid w:val="215A2310"/>
    <w:rsid w:val="21635AC5"/>
    <w:rsid w:val="216B02BD"/>
    <w:rsid w:val="21706535"/>
    <w:rsid w:val="217971FD"/>
    <w:rsid w:val="217F03E0"/>
    <w:rsid w:val="218477E9"/>
    <w:rsid w:val="218C3DC2"/>
    <w:rsid w:val="219739C1"/>
    <w:rsid w:val="21B5727F"/>
    <w:rsid w:val="21D818E3"/>
    <w:rsid w:val="21DE318A"/>
    <w:rsid w:val="21E07116"/>
    <w:rsid w:val="21E36559"/>
    <w:rsid w:val="21E604A4"/>
    <w:rsid w:val="21EE4ABE"/>
    <w:rsid w:val="21EF5B80"/>
    <w:rsid w:val="2210107D"/>
    <w:rsid w:val="222E03CE"/>
    <w:rsid w:val="224A458F"/>
    <w:rsid w:val="22576990"/>
    <w:rsid w:val="22636670"/>
    <w:rsid w:val="22745AB0"/>
    <w:rsid w:val="2278146B"/>
    <w:rsid w:val="228D480C"/>
    <w:rsid w:val="22937315"/>
    <w:rsid w:val="229816F2"/>
    <w:rsid w:val="22A603FF"/>
    <w:rsid w:val="22A87507"/>
    <w:rsid w:val="22AD4B1E"/>
    <w:rsid w:val="22AF6AE8"/>
    <w:rsid w:val="22B3482A"/>
    <w:rsid w:val="22B440FE"/>
    <w:rsid w:val="22C45C18"/>
    <w:rsid w:val="22CE3412"/>
    <w:rsid w:val="22D15488"/>
    <w:rsid w:val="22D75995"/>
    <w:rsid w:val="22D84291"/>
    <w:rsid w:val="22DD5403"/>
    <w:rsid w:val="22F4099F"/>
    <w:rsid w:val="22F47480"/>
    <w:rsid w:val="22FB412C"/>
    <w:rsid w:val="22FF7A6F"/>
    <w:rsid w:val="23094FCB"/>
    <w:rsid w:val="232836E4"/>
    <w:rsid w:val="2334625D"/>
    <w:rsid w:val="2346744C"/>
    <w:rsid w:val="234B4A63"/>
    <w:rsid w:val="234F1ABD"/>
    <w:rsid w:val="2355044A"/>
    <w:rsid w:val="235675CF"/>
    <w:rsid w:val="237C4A6E"/>
    <w:rsid w:val="239462BD"/>
    <w:rsid w:val="23963804"/>
    <w:rsid w:val="239C52BE"/>
    <w:rsid w:val="23A2366E"/>
    <w:rsid w:val="23A6613D"/>
    <w:rsid w:val="23B02B18"/>
    <w:rsid w:val="23CE7442"/>
    <w:rsid w:val="23DE1C48"/>
    <w:rsid w:val="23E228ED"/>
    <w:rsid w:val="23E427C1"/>
    <w:rsid w:val="23E74561"/>
    <w:rsid w:val="23F5772D"/>
    <w:rsid w:val="23FB122D"/>
    <w:rsid w:val="240210CD"/>
    <w:rsid w:val="240510B5"/>
    <w:rsid w:val="24082FE2"/>
    <w:rsid w:val="24172B97"/>
    <w:rsid w:val="242A4F0F"/>
    <w:rsid w:val="24332D77"/>
    <w:rsid w:val="24373239"/>
    <w:rsid w:val="2452597D"/>
    <w:rsid w:val="246F29D3"/>
    <w:rsid w:val="247468BB"/>
    <w:rsid w:val="247C0C4C"/>
    <w:rsid w:val="249A1DD6"/>
    <w:rsid w:val="24B46637"/>
    <w:rsid w:val="24BF09F7"/>
    <w:rsid w:val="24D171E9"/>
    <w:rsid w:val="24D26ABE"/>
    <w:rsid w:val="24D42836"/>
    <w:rsid w:val="24F46A34"/>
    <w:rsid w:val="2504133E"/>
    <w:rsid w:val="25082532"/>
    <w:rsid w:val="251203B4"/>
    <w:rsid w:val="252D53FE"/>
    <w:rsid w:val="253F4153"/>
    <w:rsid w:val="253F479E"/>
    <w:rsid w:val="2547792B"/>
    <w:rsid w:val="254B6F9C"/>
    <w:rsid w:val="25502064"/>
    <w:rsid w:val="25560F8D"/>
    <w:rsid w:val="25680626"/>
    <w:rsid w:val="2588342F"/>
    <w:rsid w:val="25965D3D"/>
    <w:rsid w:val="25A01957"/>
    <w:rsid w:val="25DA3E7C"/>
    <w:rsid w:val="25E20F82"/>
    <w:rsid w:val="25EC2D81"/>
    <w:rsid w:val="25F87352"/>
    <w:rsid w:val="26214E1A"/>
    <w:rsid w:val="26215F4F"/>
    <w:rsid w:val="262670C1"/>
    <w:rsid w:val="26443B70"/>
    <w:rsid w:val="264F486A"/>
    <w:rsid w:val="265B68F4"/>
    <w:rsid w:val="266F6CBA"/>
    <w:rsid w:val="26722306"/>
    <w:rsid w:val="267C3185"/>
    <w:rsid w:val="26841C94"/>
    <w:rsid w:val="268A3AF4"/>
    <w:rsid w:val="269009DE"/>
    <w:rsid w:val="26941B0F"/>
    <w:rsid w:val="269E2B07"/>
    <w:rsid w:val="26A6577E"/>
    <w:rsid w:val="26D01449"/>
    <w:rsid w:val="26E50D2A"/>
    <w:rsid w:val="27027B2E"/>
    <w:rsid w:val="270311B0"/>
    <w:rsid w:val="270513CC"/>
    <w:rsid w:val="270A7BDC"/>
    <w:rsid w:val="271C4A6F"/>
    <w:rsid w:val="27257661"/>
    <w:rsid w:val="272A0DF9"/>
    <w:rsid w:val="274C2B57"/>
    <w:rsid w:val="2753038A"/>
    <w:rsid w:val="275814FC"/>
    <w:rsid w:val="2758774E"/>
    <w:rsid w:val="276115AA"/>
    <w:rsid w:val="276A122F"/>
    <w:rsid w:val="276D792E"/>
    <w:rsid w:val="277057A2"/>
    <w:rsid w:val="278422F1"/>
    <w:rsid w:val="278D476A"/>
    <w:rsid w:val="27906EE8"/>
    <w:rsid w:val="27D05536"/>
    <w:rsid w:val="27D84AB7"/>
    <w:rsid w:val="27E512EC"/>
    <w:rsid w:val="280F2982"/>
    <w:rsid w:val="280F4FAF"/>
    <w:rsid w:val="28123DA1"/>
    <w:rsid w:val="281E0062"/>
    <w:rsid w:val="28247630"/>
    <w:rsid w:val="282C7A56"/>
    <w:rsid w:val="284B7900"/>
    <w:rsid w:val="284E28FF"/>
    <w:rsid w:val="2852419D"/>
    <w:rsid w:val="28844573"/>
    <w:rsid w:val="28AC51F7"/>
    <w:rsid w:val="28E15612"/>
    <w:rsid w:val="28E4558A"/>
    <w:rsid w:val="28FB4835"/>
    <w:rsid w:val="29037B8D"/>
    <w:rsid w:val="290548E8"/>
    <w:rsid w:val="291458F7"/>
    <w:rsid w:val="291E6DE3"/>
    <w:rsid w:val="29206EB8"/>
    <w:rsid w:val="29211DC2"/>
    <w:rsid w:val="29280B07"/>
    <w:rsid w:val="294A30C6"/>
    <w:rsid w:val="294C74CF"/>
    <w:rsid w:val="295757E3"/>
    <w:rsid w:val="29595666"/>
    <w:rsid w:val="296D4CE1"/>
    <w:rsid w:val="296E3259"/>
    <w:rsid w:val="2976210D"/>
    <w:rsid w:val="297B3BC8"/>
    <w:rsid w:val="297E0FC2"/>
    <w:rsid w:val="297E48B0"/>
    <w:rsid w:val="29804063"/>
    <w:rsid w:val="298260D1"/>
    <w:rsid w:val="29874881"/>
    <w:rsid w:val="29883BEF"/>
    <w:rsid w:val="298F4F7D"/>
    <w:rsid w:val="29A21154"/>
    <w:rsid w:val="29AF21BA"/>
    <w:rsid w:val="29C27101"/>
    <w:rsid w:val="29D05CC2"/>
    <w:rsid w:val="29D62BAC"/>
    <w:rsid w:val="29E17D7D"/>
    <w:rsid w:val="29E234D9"/>
    <w:rsid w:val="29E325E0"/>
    <w:rsid w:val="29FF65A7"/>
    <w:rsid w:val="2A1918D4"/>
    <w:rsid w:val="2A1D4C7F"/>
    <w:rsid w:val="2A1F5710"/>
    <w:rsid w:val="2A223650"/>
    <w:rsid w:val="2A297180"/>
    <w:rsid w:val="2A346576"/>
    <w:rsid w:val="2A355B25"/>
    <w:rsid w:val="2A3A313B"/>
    <w:rsid w:val="2A3B2DD0"/>
    <w:rsid w:val="2A40796E"/>
    <w:rsid w:val="2A452503"/>
    <w:rsid w:val="2A4C7C46"/>
    <w:rsid w:val="2A4F629A"/>
    <w:rsid w:val="2A663F30"/>
    <w:rsid w:val="2A6E7CB5"/>
    <w:rsid w:val="2A793D42"/>
    <w:rsid w:val="2AA11403"/>
    <w:rsid w:val="2AAC7C57"/>
    <w:rsid w:val="2ABF1892"/>
    <w:rsid w:val="2AC60E73"/>
    <w:rsid w:val="2ADB491E"/>
    <w:rsid w:val="2AEC1E4B"/>
    <w:rsid w:val="2AEE1978"/>
    <w:rsid w:val="2AEF2177"/>
    <w:rsid w:val="2B126846"/>
    <w:rsid w:val="2B243A89"/>
    <w:rsid w:val="2B32177A"/>
    <w:rsid w:val="2B395AE8"/>
    <w:rsid w:val="2B4F358C"/>
    <w:rsid w:val="2B560448"/>
    <w:rsid w:val="2B69017C"/>
    <w:rsid w:val="2B710DDE"/>
    <w:rsid w:val="2B776A47"/>
    <w:rsid w:val="2BA936A8"/>
    <w:rsid w:val="2BB46F1D"/>
    <w:rsid w:val="2BBE65BE"/>
    <w:rsid w:val="2BF832AE"/>
    <w:rsid w:val="2C1300E8"/>
    <w:rsid w:val="2C1A4173"/>
    <w:rsid w:val="2C2A71DF"/>
    <w:rsid w:val="2C315A5A"/>
    <w:rsid w:val="2C3F6111"/>
    <w:rsid w:val="2C49445A"/>
    <w:rsid w:val="2C4B1C25"/>
    <w:rsid w:val="2C6575B2"/>
    <w:rsid w:val="2C666469"/>
    <w:rsid w:val="2C7219A3"/>
    <w:rsid w:val="2C8202AC"/>
    <w:rsid w:val="2C8E776E"/>
    <w:rsid w:val="2C9805ED"/>
    <w:rsid w:val="2CB109E5"/>
    <w:rsid w:val="2CB371D5"/>
    <w:rsid w:val="2CC66F08"/>
    <w:rsid w:val="2CCE400E"/>
    <w:rsid w:val="2CD36E69"/>
    <w:rsid w:val="2CEF2903"/>
    <w:rsid w:val="2D087E61"/>
    <w:rsid w:val="2D10485D"/>
    <w:rsid w:val="2D1302BF"/>
    <w:rsid w:val="2D137CB8"/>
    <w:rsid w:val="2D1E4F96"/>
    <w:rsid w:val="2D281971"/>
    <w:rsid w:val="2D323653"/>
    <w:rsid w:val="2D3D20B6"/>
    <w:rsid w:val="2D485B6F"/>
    <w:rsid w:val="2D584D89"/>
    <w:rsid w:val="2D686211"/>
    <w:rsid w:val="2D6B238C"/>
    <w:rsid w:val="2D6F1138"/>
    <w:rsid w:val="2D727090"/>
    <w:rsid w:val="2D780E25"/>
    <w:rsid w:val="2D78789D"/>
    <w:rsid w:val="2D7D7AB5"/>
    <w:rsid w:val="2D9E56F5"/>
    <w:rsid w:val="2D9E7E85"/>
    <w:rsid w:val="2DAA05D8"/>
    <w:rsid w:val="2DB351DC"/>
    <w:rsid w:val="2DB41456"/>
    <w:rsid w:val="2DD41AF8"/>
    <w:rsid w:val="2DE41452"/>
    <w:rsid w:val="2DE87858"/>
    <w:rsid w:val="2DFD035B"/>
    <w:rsid w:val="2E183793"/>
    <w:rsid w:val="2E1A1E13"/>
    <w:rsid w:val="2E3036A1"/>
    <w:rsid w:val="2E3D769E"/>
    <w:rsid w:val="2E450300"/>
    <w:rsid w:val="2E667F96"/>
    <w:rsid w:val="2E6A0D87"/>
    <w:rsid w:val="2E6D089E"/>
    <w:rsid w:val="2E755089"/>
    <w:rsid w:val="2E8226AB"/>
    <w:rsid w:val="2E910774"/>
    <w:rsid w:val="2E9A689E"/>
    <w:rsid w:val="2EB610B7"/>
    <w:rsid w:val="2EC32A3F"/>
    <w:rsid w:val="2ECD27D0"/>
    <w:rsid w:val="2ECD6E54"/>
    <w:rsid w:val="2ED3590C"/>
    <w:rsid w:val="2ED717B9"/>
    <w:rsid w:val="2ED964C1"/>
    <w:rsid w:val="2EDB42EF"/>
    <w:rsid w:val="2EE43FBD"/>
    <w:rsid w:val="2F034A5E"/>
    <w:rsid w:val="2F0F103A"/>
    <w:rsid w:val="2F0F27BD"/>
    <w:rsid w:val="2F146650"/>
    <w:rsid w:val="2F317416"/>
    <w:rsid w:val="2F37233F"/>
    <w:rsid w:val="2F6A6270"/>
    <w:rsid w:val="2F7C41F6"/>
    <w:rsid w:val="2F7D2448"/>
    <w:rsid w:val="2F882B9B"/>
    <w:rsid w:val="2F8D113A"/>
    <w:rsid w:val="2F990904"/>
    <w:rsid w:val="2F9C41C5"/>
    <w:rsid w:val="2F9E5F1A"/>
    <w:rsid w:val="2FC00586"/>
    <w:rsid w:val="2FC242FE"/>
    <w:rsid w:val="2FC82F97"/>
    <w:rsid w:val="2FD065E6"/>
    <w:rsid w:val="2FD33970"/>
    <w:rsid w:val="2FD96870"/>
    <w:rsid w:val="2FDD4D0D"/>
    <w:rsid w:val="2FE51D9B"/>
    <w:rsid w:val="2FEA5603"/>
    <w:rsid w:val="2FEF058A"/>
    <w:rsid w:val="2FF124EE"/>
    <w:rsid w:val="2FF71F90"/>
    <w:rsid w:val="30021AA6"/>
    <w:rsid w:val="301160F3"/>
    <w:rsid w:val="301E5BE6"/>
    <w:rsid w:val="30251572"/>
    <w:rsid w:val="302E174B"/>
    <w:rsid w:val="303101E7"/>
    <w:rsid w:val="30352814"/>
    <w:rsid w:val="30442F65"/>
    <w:rsid w:val="30580BC9"/>
    <w:rsid w:val="30676C54"/>
    <w:rsid w:val="306D38DE"/>
    <w:rsid w:val="30896BCA"/>
    <w:rsid w:val="30986E0D"/>
    <w:rsid w:val="30BD35C7"/>
    <w:rsid w:val="30C23E8A"/>
    <w:rsid w:val="30C25A2F"/>
    <w:rsid w:val="30DE0729"/>
    <w:rsid w:val="30FD4EC2"/>
    <w:rsid w:val="310B02A3"/>
    <w:rsid w:val="311961A0"/>
    <w:rsid w:val="311E2ED7"/>
    <w:rsid w:val="311F752F"/>
    <w:rsid w:val="312C6E62"/>
    <w:rsid w:val="313C1E8F"/>
    <w:rsid w:val="31516237"/>
    <w:rsid w:val="315619EE"/>
    <w:rsid w:val="315C449C"/>
    <w:rsid w:val="315F185A"/>
    <w:rsid w:val="316136A3"/>
    <w:rsid w:val="31733F14"/>
    <w:rsid w:val="31771119"/>
    <w:rsid w:val="317C477A"/>
    <w:rsid w:val="317E24A7"/>
    <w:rsid w:val="317F0FFC"/>
    <w:rsid w:val="319C292D"/>
    <w:rsid w:val="31A35A6A"/>
    <w:rsid w:val="31B82709"/>
    <w:rsid w:val="31BF0628"/>
    <w:rsid w:val="31CD0D39"/>
    <w:rsid w:val="31CF5036"/>
    <w:rsid w:val="31D05482"/>
    <w:rsid w:val="31E0281A"/>
    <w:rsid w:val="31E43039"/>
    <w:rsid w:val="31E85B72"/>
    <w:rsid w:val="31ED1E4F"/>
    <w:rsid w:val="31F2254D"/>
    <w:rsid w:val="31F91B2E"/>
    <w:rsid w:val="31FD161E"/>
    <w:rsid w:val="31FD7870"/>
    <w:rsid w:val="320C360F"/>
    <w:rsid w:val="3212499D"/>
    <w:rsid w:val="321558FF"/>
    <w:rsid w:val="321A7C26"/>
    <w:rsid w:val="321B5F48"/>
    <w:rsid w:val="322F554F"/>
    <w:rsid w:val="32342B66"/>
    <w:rsid w:val="323F1C36"/>
    <w:rsid w:val="32400B34"/>
    <w:rsid w:val="32456B21"/>
    <w:rsid w:val="32472899"/>
    <w:rsid w:val="326351F9"/>
    <w:rsid w:val="32690A61"/>
    <w:rsid w:val="327C2BB4"/>
    <w:rsid w:val="327C33BF"/>
    <w:rsid w:val="32805DAB"/>
    <w:rsid w:val="328A200B"/>
    <w:rsid w:val="32956C40"/>
    <w:rsid w:val="3295750D"/>
    <w:rsid w:val="329E6876"/>
    <w:rsid w:val="32A93554"/>
    <w:rsid w:val="32B739E8"/>
    <w:rsid w:val="32BD2B5B"/>
    <w:rsid w:val="32D22AAA"/>
    <w:rsid w:val="32D276B2"/>
    <w:rsid w:val="32D37429"/>
    <w:rsid w:val="32E05460"/>
    <w:rsid w:val="32E7407C"/>
    <w:rsid w:val="32F83B93"/>
    <w:rsid w:val="33016EEC"/>
    <w:rsid w:val="331309CD"/>
    <w:rsid w:val="33185FE3"/>
    <w:rsid w:val="33224F6A"/>
    <w:rsid w:val="333015F2"/>
    <w:rsid w:val="333631C5"/>
    <w:rsid w:val="33373C40"/>
    <w:rsid w:val="3341553A"/>
    <w:rsid w:val="334B6320"/>
    <w:rsid w:val="336640DE"/>
    <w:rsid w:val="336D31BA"/>
    <w:rsid w:val="33770859"/>
    <w:rsid w:val="33815784"/>
    <w:rsid w:val="338E5672"/>
    <w:rsid w:val="339D5FE4"/>
    <w:rsid w:val="33A8070E"/>
    <w:rsid w:val="33AD2BD0"/>
    <w:rsid w:val="33B421B0"/>
    <w:rsid w:val="33CA5530"/>
    <w:rsid w:val="33D77C4D"/>
    <w:rsid w:val="33D934D4"/>
    <w:rsid w:val="33F875C1"/>
    <w:rsid w:val="33FA0669"/>
    <w:rsid w:val="33FE2F6A"/>
    <w:rsid w:val="340E07E5"/>
    <w:rsid w:val="34183706"/>
    <w:rsid w:val="341964B7"/>
    <w:rsid w:val="341C1B03"/>
    <w:rsid w:val="34235BF7"/>
    <w:rsid w:val="342B142F"/>
    <w:rsid w:val="344C063B"/>
    <w:rsid w:val="345474EF"/>
    <w:rsid w:val="34597A2E"/>
    <w:rsid w:val="34621C0C"/>
    <w:rsid w:val="34675474"/>
    <w:rsid w:val="34711E4F"/>
    <w:rsid w:val="34757B91"/>
    <w:rsid w:val="3489363D"/>
    <w:rsid w:val="348B7DAF"/>
    <w:rsid w:val="34A00986"/>
    <w:rsid w:val="34A915E9"/>
    <w:rsid w:val="34C324A4"/>
    <w:rsid w:val="34D72516"/>
    <w:rsid w:val="34FE0747"/>
    <w:rsid w:val="35041D35"/>
    <w:rsid w:val="35064A4C"/>
    <w:rsid w:val="351225CE"/>
    <w:rsid w:val="351A6B10"/>
    <w:rsid w:val="351B1DBB"/>
    <w:rsid w:val="351F18AB"/>
    <w:rsid w:val="352D3459"/>
    <w:rsid w:val="353D7F83"/>
    <w:rsid w:val="35507CB7"/>
    <w:rsid w:val="35583E37"/>
    <w:rsid w:val="355F614C"/>
    <w:rsid w:val="356814A4"/>
    <w:rsid w:val="356C7A38"/>
    <w:rsid w:val="357032FA"/>
    <w:rsid w:val="357240D1"/>
    <w:rsid w:val="3582299B"/>
    <w:rsid w:val="358C5FA8"/>
    <w:rsid w:val="35970487"/>
    <w:rsid w:val="359F6B3F"/>
    <w:rsid w:val="35A03975"/>
    <w:rsid w:val="35A95619"/>
    <w:rsid w:val="35AA047D"/>
    <w:rsid w:val="35B84990"/>
    <w:rsid w:val="35BB5F91"/>
    <w:rsid w:val="35C15DF1"/>
    <w:rsid w:val="35C3323C"/>
    <w:rsid w:val="35CA0177"/>
    <w:rsid w:val="35D22DC1"/>
    <w:rsid w:val="35EB6F34"/>
    <w:rsid w:val="36074A7F"/>
    <w:rsid w:val="361857ED"/>
    <w:rsid w:val="36237179"/>
    <w:rsid w:val="36254EC5"/>
    <w:rsid w:val="363870C8"/>
    <w:rsid w:val="3661058C"/>
    <w:rsid w:val="366D46DB"/>
    <w:rsid w:val="366F0610"/>
    <w:rsid w:val="368220F2"/>
    <w:rsid w:val="36851BE2"/>
    <w:rsid w:val="36881186"/>
    <w:rsid w:val="368C4D1E"/>
    <w:rsid w:val="36923549"/>
    <w:rsid w:val="369542E2"/>
    <w:rsid w:val="36B14E72"/>
    <w:rsid w:val="36B75FBF"/>
    <w:rsid w:val="36BD0C45"/>
    <w:rsid w:val="36BD185B"/>
    <w:rsid w:val="36BE4207"/>
    <w:rsid w:val="36C3270A"/>
    <w:rsid w:val="36C56482"/>
    <w:rsid w:val="36D82130"/>
    <w:rsid w:val="36EE7787"/>
    <w:rsid w:val="36F65018"/>
    <w:rsid w:val="36F7053E"/>
    <w:rsid w:val="36F875E9"/>
    <w:rsid w:val="36F87C76"/>
    <w:rsid w:val="370E7E29"/>
    <w:rsid w:val="37166CDE"/>
    <w:rsid w:val="37180CA8"/>
    <w:rsid w:val="371F3DE4"/>
    <w:rsid w:val="372F1B4E"/>
    <w:rsid w:val="373E4111"/>
    <w:rsid w:val="374B6384"/>
    <w:rsid w:val="374C0952"/>
    <w:rsid w:val="37676AF2"/>
    <w:rsid w:val="37736187"/>
    <w:rsid w:val="37781747"/>
    <w:rsid w:val="37824373"/>
    <w:rsid w:val="378C0D4E"/>
    <w:rsid w:val="3791576F"/>
    <w:rsid w:val="37A159D2"/>
    <w:rsid w:val="37AB297F"/>
    <w:rsid w:val="37B31CC9"/>
    <w:rsid w:val="37C412C3"/>
    <w:rsid w:val="37D526F5"/>
    <w:rsid w:val="37E00298"/>
    <w:rsid w:val="37F708BD"/>
    <w:rsid w:val="3805061A"/>
    <w:rsid w:val="38156675"/>
    <w:rsid w:val="381A45AC"/>
    <w:rsid w:val="381C0324"/>
    <w:rsid w:val="38341B11"/>
    <w:rsid w:val="3842754D"/>
    <w:rsid w:val="384857B5"/>
    <w:rsid w:val="384F0B56"/>
    <w:rsid w:val="38567618"/>
    <w:rsid w:val="386121DB"/>
    <w:rsid w:val="38685317"/>
    <w:rsid w:val="387D2B8A"/>
    <w:rsid w:val="38931EDB"/>
    <w:rsid w:val="3894610C"/>
    <w:rsid w:val="389D0C7A"/>
    <w:rsid w:val="38A40429"/>
    <w:rsid w:val="38AB4DF7"/>
    <w:rsid w:val="38B24356"/>
    <w:rsid w:val="38B302F9"/>
    <w:rsid w:val="38B467AE"/>
    <w:rsid w:val="38B8783C"/>
    <w:rsid w:val="38C05153"/>
    <w:rsid w:val="38CA091B"/>
    <w:rsid w:val="38CD161E"/>
    <w:rsid w:val="38F12CD3"/>
    <w:rsid w:val="38F94775"/>
    <w:rsid w:val="38FE409B"/>
    <w:rsid w:val="39044E0A"/>
    <w:rsid w:val="39094A67"/>
    <w:rsid w:val="391A1E33"/>
    <w:rsid w:val="3925145A"/>
    <w:rsid w:val="39261FCD"/>
    <w:rsid w:val="39286212"/>
    <w:rsid w:val="39294E48"/>
    <w:rsid w:val="392971ED"/>
    <w:rsid w:val="39325651"/>
    <w:rsid w:val="393A3157"/>
    <w:rsid w:val="39414525"/>
    <w:rsid w:val="394C4C39"/>
    <w:rsid w:val="39504729"/>
    <w:rsid w:val="3962445C"/>
    <w:rsid w:val="396314CE"/>
    <w:rsid w:val="396866D3"/>
    <w:rsid w:val="3973697B"/>
    <w:rsid w:val="397877DC"/>
    <w:rsid w:val="398048E2"/>
    <w:rsid w:val="3987358D"/>
    <w:rsid w:val="39875C71"/>
    <w:rsid w:val="398919E9"/>
    <w:rsid w:val="398D772B"/>
    <w:rsid w:val="39902D77"/>
    <w:rsid w:val="399A3BF6"/>
    <w:rsid w:val="39A15B08"/>
    <w:rsid w:val="39AD3929"/>
    <w:rsid w:val="39B616C5"/>
    <w:rsid w:val="39C24EFB"/>
    <w:rsid w:val="39D30EB6"/>
    <w:rsid w:val="39F701E8"/>
    <w:rsid w:val="39F82D16"/>
    <w:rsid w:val="39FC202C"/>
    <w:rsid w:val="3A0674A4"/>
    <w:rsid w:val="3A0E0140"/>
    <w:rsid w:val="3A325BDD"/>
    <w:rsid w:val="3A413D3D"/>
    <w:rsid w:val="3A4B6C9E"/>
    <w:rsid w:val="3A4F30D9"/>
    <w:rsid w:val="3A606BEE"/>
    <w:rsid w:val="3A654204"/>
    <w:rsid w:val="3A7A7584"/>
    <w:rsid w:val="3A840F8D"/>
    <w:rsid w:val="3A8521B0"/>
    <w:rsid w:val="3A872856"/>
    <w:rsid w:val="3AA50AA5"/>
    <w:rsid w:val="3AAB7D6D"/>
    <w:rsid w:val="3AC12B26"/>
    <w:rsid w:val="3AC86541"/>
    <w:rsid w:val="3ADB2718"/>
    <w:rsid w:val="3ADC26AC"/>
    <w:rsid w:val="3B065B86"/>
    <w:rsid w:val="3B2933F5"/>
    <w:rsid w:val="3B307720"/>
    <w:rsid w:val="3B334302"/>
    <w:rsid w:val="3B357B5A"/>
    <w:rsid w:val="3B3616FD"/>
    <w:rsid w:val="3B3763D1"/>
    <w:rsid w:val="3B3D6F2F"/>
    <w:rsid w:val="3B401561"/>
    <w:rsid w:val="3B4474A0"/>
    <w:rsid w:val="3B464036"/>
    <w:rsid w:val="3B5B5607"/>
    <w:rsid w:val="3B5F50F7"/>
    <w:rsid w:val="3B7C574E"/>
    <w:rsid w:val="3B9528C7"/>
    <w:rsid w:val="3BAE3989"/>
    <w:rsid w:val="3BAF75D9"/>
    <w:rsid w:val="3BB52F69"/>
    <w:rsid w:val="3BCB4B07"/>
    <w:rsid w:val="3BD21AA4"/>
    <w:rsid w:val="3BDC04F6"/>
    <w:rsid w:val="3BEB0B28"/>
    <w:rsid w:val="3BF650A8"/>
    <w:rsid w:val="3BF9665A"/>
    <w:rsid w:val="3C027831"/>
    <w:rsid w:val="3C2F6E1E"/>
    <w:rsid w:val="3C39123A"/>
    <w:rsid w:val="3C4F64BA"/>
    <w:rsid w:val="3C79678A"/>
    <w:rsid w:val="3C97441D"/>
    <w:rsid w:val="3CA31014"/>
    <w:rsid w:val="3CA37266"/>
    <w:rsid w:val="3CB66F99"/>
    <w:rsid w:val="3CBA010B"/>
    <w:rsid w:val="3CC1149A"/>
    <w:rsid w:val="3CDA245A"/>
    <w:rsid w:val="3CE60F00"/>
    <w:rsid w:val="3CEE26AE"/>
    <w:rsid w:val="3CF03B2D"/>
    <w:rsid w:val="3CF25AF7"/>
    <w:rsid w:val="3CF4186F"/>
    <w:rsid w:val="3CFE26EE"/>
    <w:rsid w:val="3D056F3A"/>
    <w:rsid w:val="3D0575D8"/>
    <w:rsid w:val="3D163594"/>
    <w:rsid w:val="3D1E06B7"/>
    <w:rsid w:val="3D204412"/>
    <w:rsid w:val="3D212864"/>
    <w:rsid w:val="3D244A40"/>
    <w:rsid w:val="3D597924"/>
    <w:rsid w:val="3D65276D"/>
    <w:rsid w:val="3D69400B"/>
    <w:rsid w:val="3D753576"/>
    <w:rsid w:val="3D7A6218"/>
    <w:rsid w:val="3D8724AB"/>
    <w:rsid w:val="3D954E00"/>
    <w:rsid w:val="3DA00751"/>
    <w:rsid w:val="3DB334D8"/>
    <w:rsid w:val="3DC254CA"/>
    <w:rsid w:val="3DD66BEA"/>
    <w:rsid w:val="3DE03BA2"/>
    <w:rsid w:val="3DE25B6C"/>
    <w:rsid w:val="3E09759C"/>
    <w:rsid w:val="3E1E54AB"/>
    <w:rsid w:val="3E2148E6"/>
    <w:rsid w:val="3E3A1504"/>
    <w:rsid w:val="3E415DC0"/>
    <w:rsid w:val="3E497999"/>
    <w:rsid w:val="3E4B3711"/>
    <w:rsid w:val="3E4D2492"/>
    <w:rsid w:val="3E522014"/>
    <w:rsid w:val="3E651965"/>
    <w:rsid w:val="3E6F38A3"/>
    <w:rsid w:val="3E7A2248"/>
    <w:rsid w:val="3E9450B8"/>
    <w:rsid w:val="3E9A6446"/>
    <w:rsid w:val="3E9B4698"/>
    <w:rsid w:val="3EAF29BA"/>
    <w:rsid w:val="3EBE272C"/>
    <w:rsid w:val="3EDA0523"/>
    <w:rsid w:val="3EDD3343"/>
    <w:rsid w:val="3EEC6CA2"/>
    <w:rsid w:val="3EF47905"/>
    <w:rsid w:val="3EFC0423"/>
    <w:rsid w:val="3EFC67C4"/>
    <w:rsid w:val="3EFE0783"/>
    <w:rsid w:val="3EFE4C27"/>
    <w:rsid w:val="3F010273"/>
    <w:rsid w:val="3F0A7128"/>
    <w:rsid w:val="3F11775B"/>
    <w:rsid w:val="3F192EF0"/>
    <w:rsid w:val="3F19736B"/>
    <w:rsid w:val="3F1C4E43"/>
    <w:rsid w:val="3F450160"/>
    <w:rsid w:val="3F5300EE"/>
    <w:rsid w:val="3F5F2814"/>
    <w:rsid w:val="3F604F9A"/>
    <w:rsid w:val="3F640784"/>
    <w:rsid w:val="3F6A7BC7"/>
    <w:rsid w:val="3F71029B"/>
    <w:rsid w:val="3F741EE6"/>
    <w:rsid w:val="3F7F260A"/>
    <w:rsid w:val="3F9C1A45"/>
    <w:rsid w:val="3F9C1DD4"/>
    <w:rsid w:val="3FA56E51"/>
    <w:rsid w:val="3FA61F8B"/>
    <w:rsid w:val="3FAB3C99"/>
    <w:rsid w:val="3FBA6DA0"/>
    <w:rsid w:val="3FBF6994"/>
    <w:rsid w:val="3FCF2120"/>
    <w:rsid w:val="3FCF30A9"/>
    <w:rsid w:val="3FDA7971"/>
    <w:rsid w:val="3FDB17C4"/>
    <w:rsid w:val="3FDF05B5"/>
    <w:rsid w:val="3FE730FF"/>
    <w:rsid w:val="3FF63E29"/>
    <w:rsid w:val="3FFD010D"/>
    <w:rsid w:val="40055B41"/>
    <w:rsid w:val="400E37AC"/>
    <w:rsid w:val="40251D40"/>
    <w:rsid w:val="40322AB1"/>
    <w:rsid w:val="4039566C"/>
    <w:rsid w:val="40395CF8"/>
    <w:rsid w:val="4054327A"/>
    <w:rsid w:val="406311E6"/>
    <w:rsid w:val="40684092"/>
    <w:rsid w:val="406D6ABC"/>
    <w:rsid w:val="407A6407"/>
    <w:rsid w:val="40941823"/>
    <w:rsid w:val="40B07C40"/>
    <w:rsid w:val="40CE1924"/>
    <w:rsid w:val="40CF687B"/>
    <w:rsid w:val="40DC604B"/>
    <w:rsid w:val="40E669A1"/>
    <w:rsid w:val="40E816EB"/>
    <w:rsid w:val="40ED6D01"/>
    <w:rsid w:val="40F6661D"/>
    <w:rsid w:val="40FB0A51"/>
    <w:rsid w:val="40FB4D04"/>
    <w:rsid w:val="41022B36"/>
    <w:rsid w:val="41055DF9"/>
    <w:rsid w:val="41061B71"/>
    <w:rsid w:val="41087697"/>
    <w:rsid w:val="410E7F92"/>
    <w:rsid w:val="4125649B"/>
    <w:rsid w:val="412B1D6F"/>
    <w:rsid w:val="41390199"/>
    <w:rsid w:val="414323F0"/>
    <w:rsid w:val="415103FC"/>
    <w:rsid w:val="41523008"/>
    <w:rsid w:val="41524DB6"/>
    <w:rsid w:val="41536662"/>
    <w:rsid w:val="416B7C26"/>
    <w:rsid w:val="416F5110"/>
    <w:rsid w:val="41733025"/>
    <w:rsid w:val="41763D47"/>
    <w:rsid w:val="41767F3F"/>
    <w:rsid w:val="417B288F"/>
    <w:rsid w:val="417D7309"/>
    <w:rsid w:val="417E5BAB"/>
    <w:rsid w:val="418238EE"/>
    <w:rsid w:val="41B65345"/>
    <w:rsid w:val="41B71B32"/>
    <w:rsid w:val="41B9630E"/>
    <w:rsid w:val="41BB6E00"/>
    <w:rsid w:val="41DE7ECC"/>
    <w:rsid w:val="41E552A3"/>
    <w:rsid w:val="41EB167C"/>
    <w:rsid w:val="41F12821"/>
    <w:rsid w:val="41F36599"/>
    <w:rsid w:val="41F8552C"/>
    <w:rsid w:val="41FA133C"/>
    <w:rsid w:val="41FF6288"/>
    <w:rsid w:val="4200449D"/>
    <w:rsid w:val="420C765B"/>
    <w:rsid w:val="422449A5"/>
    <w:rsid w:val="42356C51"/>
    <w:rsid w:val="4236669E"/>
    <w:rsid w:val="423A3BCC"/>
    <w:rsid w:val="423A7D24"/>
    <w:rsid w:val="423E2AC3"/>
    <w:rsid w:val="42417305"/>
    <w:rsid w:val="424566C9"/>
    <w:rsid w:val="424E57D2"/>
    <w:rsid w:val="4251506E"/>
    <w:rsid w:val="425A0E92"/>
    <w:rsid w:val="425F3C2F"/>
    <w:rsid w:val="42725710"/>
    <w:rsid w:val="42980EEF"/>
    <w:rsid w:val="42B26C49"/>
    <w:rsid w:val="42DC0DDB"/>
    <w:rsid w:val="42DD6902"/>
    <w:rsid w:val="42E1081D"/>
    <w:rsid w:val="42FD09EA"/>
    <w:rsid w:val="42FE25AB"/>
    <w:rsid w:val="430630EF"/>
    <w:rsid w:val="43104F29"/>
    <w:rsid w:val="431C567C"/>
    <w:rsid w:val="433A6FE6"/>
    <w:rsid w:val="433B7657"/>
    <w:rsid w:val="433C7ACC"/>
    <w:rsid w:val="433F30EF"/>
    <w:rsid w:val="434314A4"/>
    <w:rsid w:val="43480868"/>
    <w:rsid w:val="4350713C"/>
    <w:rsid w:val="435724EB"/>
    <w:rsid w:val="43635059"/>
    <w:rsid w:val="436653E0"/>
    <w:rsid w:val="43707776"/>
    <w:rsid w:val="438213E1"/>
    <w:rsid w:val="439478BC"/>
    <w:rsid w:val="43A0005B"/>
    <w:rsid w:val="43A538C3"/>
    <w:rsid w:val="43A63197"/>
    <w:rsid w:val="43AF029E"/>
    <w:rsid w:val="43B458B4"/>
    <w:rsid w:val="43B65AD0"/>
    <w:rsid w:val="43B86CB7"/>
    <w:rsid w:val="43C4431A"/>
    <w:rsid w:val="43DE2931"/>
    <w:rsid w:val="440802FB"/>
    <w:rsid w:val="440A1978"/>
    <w:rsid w:val="441445A5"/>
    <w:rsid w:val="441D16AC"/>
    <w:rsid w:val="442E27A0"/>
    <w:rsid w:val="443353C3"/>
    <w:rsid w:val="44476729"/>
    <w:rsid w:val="445919BF"/>
    <w:rsid w:val="446B68BB"/>
    <w:rsid w:val="448278C8"/>
    <w:rsid w:val="448E25A9"/>
    <w:rsid w:val="448E5181"/>
    <w:rsid w:val="44AE6C88"/>
    <w:rsid w:val="44AF0020"/>
    <w:rsid w:val="44B02520"/>
    <w:rsid w:val="44B951CC"/>
    <w:rsid w:val="44C37CDE"/>
    <w:rsid w:val="44CB1108"/>
    <w:rsid w:val="44CD14E0"/>
    <w:rsid w:val="44DF4BB3"/>
    <w:rsid w:val="44E65F41"/>
    <w:rsid w:val="44E77412"/>
    <w:rsid w:val="44E87401"/>
    <w:rsid w:val="44EB17AA"/>
    <w:rsid w:val="44EF105D"/>
    <w:rsid w:val="44F00B6E"/>
    <w:rsid w:val="44F20B0B"/>
    <w:rsid w:val="45083B61"/>
    <w:rsid w:val="45132AAF"/>
    <w:rsid w:val="45156827"/>
    <w:rsid w:val="45202C09"/>
    <w:rsid w:val="45252F0E"/>
    <w:rsid w:val="452B5D1D"/>
    <w:rsid w:val="452E5F4C"/>
    <w:rsid w:val="45331B06"/>
    <w:rsid w:val="4550160D"/>
    <w:rsid w:val="45561319"/>
    <w:rsid w:val="45570BED"/>
    <w:rsid w:val="45612018"/>
    <w:rsid w:val="45617CBE"/>
    <w:rsid w:val="456450B8"/>
    <w:rsid w:val="45694272"/>
    <w:rsid w:val="458539AC"/>
    <w:rsid w:val="458946E9"/>
    <w:rsid w:val="459736E0"/>
    <w:rsid w:val="459E6D32"/>
    <w:rsid w:val="45A47C0E"/>
    <w:rsid w:val="45AA3413"/>
    <w:rsid w:val="45AA6138"/>
    <w:rsid w:val="45B46040"/>
    <w:rsid w:val="45C269AF"/>
    <w:rsid w:val="45C30031"/>
    <w:rsid w:val="45C477C1"/>
    <w:rsid w:val="45C95389"/>
    <w:rsid w:val="45CC5137"/>
    <w:rsid w:val="45CF134F"/>
    <w:rsid w:val="45D261EE"/>
    <w:rsid w:val="45E561F9"/>
    <w:rsid w:val="45E6321D"/>
    <w:rsid w:val="45E71F71"/>
    <w:rsid w:val="45F27ADF"/>
    <w:rsid w:val="45F70820"/>
    <w:rsid w:val="46113492"/>
    <w:rsid w:val="46136B3C"/>
    <w:rsid w:val="4615027D"/>
    <w:rsid w:val="461B1C1B"/>
    <w:rsid w:val="46222FA9"/>
    <w:rsid w:val="462705C0"/>
    <w:rsid w:val="4629583F"/>
    <w:rsid w:val="46577FD6"/>
    <w:rsid w:val="46655D2D"/>
    <w:rsid w:val="466E2358"/>
    <w:rsid w:val="466E2692"/>
    <w:rsid w:val="467F03FC"/>
    <w:rsid w:val="469B2D5C"/>
    <w:rsid w:val="469B7020"/>
    <w:rsid w:val="469F4C84"/>
    <w:rsid w:val="46A1247D"/>
    <w:rsid w:val="46AC4F69"/>
    <w:rsid w:val="46AF3558"/>
    <w:rsid w:val="46B8390E"/>
    <w:rsid w:val="46B856BC"/>
    <w:rsid w:val="46D1677D"/>
    <w:rsid w:val="46D955A7"/>
    <w:rsid w:val="46DA1AD6"/>
    <w:rsid w:val="46DA7D28"/>
    <w:rsid w:val="46DC584E"/>
    <w:rsid w:val="46DD097A"/>
    <w:rsid w:val="46E37C3C"/>
    <w:rsid w:val="46E62229"/>
    <w:rsid w:val="46E7272C"/>
    <w:rsid w:val="46F31025"/>
    <w:rsid w:val="46FB413D"/>
    <w:rsid w:val="47133957"/>
    <w:rsid w:val="47175FAC"/>
    <w:rsid w:val="471909F6"/>
    <w:rsid w:val="47295457"/>
    <w:rsid w:val="472D334A"/>
    <w:rsid w:val="473179B6"/>
    <w:rsid w:val="4741335D"/>
    <w:rsid w:val="47555CBE"/>
    <w:rsid w:val="475B103D"/>
    <w:rsid w:val="47777325"/>
    <w:rsid w:val="477B5067"/>
    <w:rsid w:val="47875C8E"/>
    <w:rsid w:val="47925F0D"/>
    <w:rsid w:val="479970B6"/>
    <w:rsid w:val="479C322F"/>
    <w:rsid w:val="47A07E0C"/>
    <w:rsid w:val="47A3011A"/>
    <w:rsid w:val="47AC401F"/>
    <w:rsid w:val="47AD71EA"/>
    <w:rsid w:val="47C36503"/>
    <w:rsid w:val="47C4059F"/>
    <w:rsid w:val="47C562E2"/>
    <w:rsid w:val="47CA5397"/>
    <w:rsid w:val="47CD5197"/>
    <w:rsid w:val="47D12C95"/>
    <w:rsid w:val="47EC7D13"/>
    <w:rsid w:val="47F952C5"/>
    <w:rsid w:val="47FC19F7"/>
    <w:rsid w:val="48037271"/>
    <w:rsid w:val="480E5EDB"/>
    <w:rsid w:val="48164D90"/>
    <w:rsid w:val="48205C0E"/>
    <w:rsid w:val="48467043"/>
    <w:rsid w:val="4856518C"/>
    <w:rsid w:val="485F397D"/>
    <w:rsid w:val="4870272E"/>
    <w:rsid w:val="4880045B"/>
    <w:rsid w:val="488066AD"/>
    <w:rsid w:val="48831CF9"/>
    <w:rsid w:val="489F4D85"/>
    <w:rsid w:val="48BD16AF"/>
    <w:rsid w:val="48C53ACD"/>
    <w:rsid w:val="48C90054"/>
    <w:rsid w:val="48CB5B7A"/>
    <w:rsid w:val="48D662CD"/>
    <w:rsid w:val="48F33726"/>
    <w:rsid w:val="49105C83"/>
    <w:rsid w:val="49111B57"/>
    <w:rsid w:val="49173E0D"/>
    <w:rsid w:val="49211C3E"/>
    <w:rsid w:val="4924528A"/>
    <w:rsid w:val="493955DE"/>
    <w:rsid w:val="49467FBD"/>
    <w:rsid w:val="4950607F"/>
    <w:rsid w:val="49520049"/>
    <w:rsid w:val="49623FA0"/>
    <w:rsid w:val="496438D9"/>
    <w:rsid w:val="49697141"/>
    <w:rsid w:val="496C2443"/>
    <w:rsid w:val="497F1F6E"/>
    <w:rsid w:val="49883A6B"/>
    <w:rsid w:val="498F6BF1"/>
    <w:rsid w:val="49940737"/>
    <w:rsid w:val="49AB036F"/>
    <w:rsid w:val="49B20946"/>
    <w:rsid w:val="49BE56DF"/>
    <w:rsid w:val="49C11249"/>
    <w:rsid w:val="49C36851"/>
    <w:rsid w:val="49D37AA3"/>
    <w:rsid w:val="49D54090"/>
    <w:rsid w:val="49D92519"/>
    <w:rsid w:val="49D96455"/>
    <w:rsid w:val="49DC7715"/>
    <w:rsid w:val="49E07403"/>
    <w:rsid w:val="49E14F29"/>
    <w:rsid w:val="49EF67B1"/>
    <w:rsid w:val="4A023139"/>
    <w:rsid w:val="4A052EEA"/>
    <w:rsid w:val="4A227A1C"/>
    <w:rsid w:val="4A2367A3"/>
    <w:rsid w:val="4A2F3EE7"/>
    <w:rsid w:val="4A337FCA"/>
    <w:rsid w:val="4A363AF9"/>
    <w:rsid w:val="4A4C2CEB"/>
    <w:rsid w:val="4A4D25BF"/>
    <w:rsid w:val="4A546448"/>
    <w:rsid w:val="4A55763E"/>
    <w:rsid w:val="4A563B69"/>
    <w:rsid w:val="4A5A0627"/>
    <w:rsid w:val="4A5E518A"/>
    <w:rsid w:val="4A6C0C97"/>
    <w:rsid w:val="4A6C513B"/>
    <w:rsid w:val="4A7B576F"/>
    <w:rsid w:val="4A8835F7"/>
    <w:rsid w:val="4A8F0E29"/>
    <w:rsid w:val="4A9A1CA8"/>
    <w:rsid w:val="4A9B77CE"/>
    <w:rsid w:val="4AA04784"/>
    <w:rsid w:val="4AAD2CDB"/>
    <w:rsid w:val="4AB83EDC"/>
    <w:rsid w:val="4ACC7988"/>
    <w:rsid w:val="4ADF76BB"/>
    <w:rsid w:val="4AED3794"/>
    <w:rsid w:val="4AF561A9"/>
    <w:rsid w:val="4AFE51EA"/>
    <w:rsid w:val="4B094738"/>
    <w:rsid w:val="4B1A6945"/>
    <w:rsid w:val="4B1D6435"/>
    <w:rsid w:val="4B2C5EBE"/>
    <w:rsid w:val="4B38501D"/>
    <w:rsid w:val="4B413ED2"/>
    <w:rsid w:val="4B4340EE"/>
    <w:rsid w:val="4B437748"/>
    <w:rsid w:val="4B614574"/>
    <w:rsid w:val="4B7A73E4"/>
    <w:rsid w:val="4B9C1D55"/>
    <w:rsid w:val="4B9C55AC"/>
    <w:rsid w:val="4BA17066"/>
    <w:rsid w:val="4BAD5A0B"/>
    <w:rsid w:val="4BC11084"/>
    <w:rsid w:val="4BCE772F"/>
    <w:rsid w:val="4BD27220"/>
    <w:rsid w:val="4BD905AE"/>
    <w:rsid w:val="4BE13F29"/>
    <w:rsid w:val="4BE17463"/>
    <w:rsid w:val="4BE62CCB"/>
    <w:rsid w:val="4BED22AB"/>
    <w:rsid w:val="4BED5E07"/>
    <w:rsid w:val="4BF4363A"/>
    <w:rsid w:val="4BF52F0E"/>
    <w:rsid w:val="4BFC604B"/>
    <w:rsid w:val="4C017B05"/>
    <w:rsid w:val="4C46543A"/>
    <w:rsid w:val="4C4A0649"/>
    <w:rsid w:val="4C51283A"/>
    <w:rsid w:val="4C526437"/>
    <w:rsid w:val="4C6F65F2"/>
    <w:rsid w:val="4C7E1155"/>
    <w:rsid w:val="4C7E5ECA"/>
    <w:rsid w:val="4C83676C"/>
    <w:rsid w:val="4C846EBC"/>
    <w:rsid w:val="4C876AA5"/>
    <w:rsid w:val="4C891FD4"/>
    <w:rsid w:val="4C8A79E5"/>
    <w:rsid w:val="4CB64A05"/>
    <w:rsid w:val="4CB70563"/>
    <w:rsid w:val="4CD46FC7"/>
    <w:rsid w:val="4CDB235F"/>
    <w:rsid w:val="4CE87B13"/>
    <w:rsid w:val="4D0E00FB"/>
    <w:rsid w:val="4D0F279E"/>
    <w:rsid w:val="4D176606"/>
    <w:rsid w:val="4D1C106F"/>
    <w:rsid w:val="4D327F37"/>
    <w:rsid w:val="4D355AA3"/>
    <w:rsid w:val="4D423F31"/>
    <w:rsid w:val="4D4C4DB0"/>
    <w:rsid w:val="4D553BE3"/>
    <w:rsid w:val="4D603D83"/>
    <w:rsid w:val="4D662315"/>
    <w:rsid w:val="4D6B5EDC"/>
    <w:rsid w:val="4D7D1778"/>
    <w:rsid w:val="4D890D72"/>
    <w:rsid w:val="4D9329DF"/>
    <w:rsid w:val="4D9A744F"/>
    <w:rsid w:val="4DAB4DC2"/>
    <w:rsid w:val="4DAE6043"/>
    <w:rsid w:val="4DB01F8C"/>
    <w:rsid w:val="4DC02B7F"/>
    <w:rsid w:val="4DC96400"/>
    <w:rsid w:val="4DD13B7D"/>
    <w:rsid w:val="4DE624BC"/>
    <w:rsid w:val="4DEC4FB0"/>
    <w:rsid w:val="4E075D8A"/>
    <w:rsid w:val="4E0C7D95"/>
    <w:rsid w:val="4E1304E0"/>
    <w:rsid w:val="4E1E3069"/>
    <w:rsid w:val="4E323FA5"/>
    <w:rsid w:val="4E330F5D"/>
    <w:rsid w:val="4E4837C9"/>
    <w:rsid w:val="4E604FB7"/>
    <w:rsid w:val="4E6423A8"/>
    <w:rsid w:val="4E6B098B"/>
    <w:rsid w:val="4E6C7F98"/>
    <w:rsid w:val="4E802F63"/>
    <w:rsid w:val="4E954646"/>
    <w:rsid w:val="4EA12ED9"/>
    <w:rsid w:val="4EA76741"/>
    <w:rsid w:val="4EBB5A78"/>
    <w:rsid w:val="4EC00FAD"/>
    <w:rsid w:val="4EC866B8"/>
    <w:rsid w:val="4ECC0B5C"/>
    <w:rsid w:val="4EE96D5A"/>
    <w:rsid w:val="4EFA2326"/>
    <w:rsid w:val="4EFE20DA"/>
    <w:rsid w:val="4F03160B"/>
    <w:rsid w:val="4F073684"/>
    <w:rsid w:val="4F075432"/>
    <w:rsid w:val="4F4977F9"/>
    <w:rsid w:val="4F4F2935"/>
    <w:rsid w:val="4F52624D"/>
    <w:rsid w:val="4F6F0BB5"/>
    <w:rsid w:val="4F7B7D1B"/>
    <w:rsid w:val="4F7F464C"/>
    <w:rsid w:val="4F824AB9"/>
    <w:rsid w:val="4F8B0FCB"/>
    <w:rsid w:val="4F8E7901"/>
    <w:rsid w:val="4F9843DC"/>
    <w:rsid w:val="4FC43323"/>
    <w:rsid w:val="4FC60E49"/>
    <w:rsid w:val="4FC62A8C"/>
    <w:rsid w:val="4FD654FD"/>
    <w:rsid w:val="4FD73056"/>
    <w:rsid w:val="4FDD2B51"/>
    <w:rsid w:val="4FE20F0D"/>
    <w:rsid w:val="4FE51552"/>
    <w:rsid w:val="4FE6773D"/>
    <w:rsid w:val="4FF37764"/>
    <w:rsid w:val="4FF76456"/>
    <w:rsid w:val="4FFC486B"/>
    <w:rsid w:val="4FFC6C46"/>
    <w:rsid w:val="4FFF435B"/>
    <w:rsid w:val="50067C44"/>
    <w:rsid w:val="50083210"/>
    <w:rsid w:val="500B4368"/>
    <w:rsid w:val="500B71A4"/>
    <w:rsid w:val="501778F7"/>
    <w:rsid w:val="50266E2F"/>
    <w:rsid w:val="5037533E"/>
    <w:rsid w:val="50412BC6"/>
    <w:rsid w:val="50484395"/>
    <w:rsid w:val="504A3ADE"/>
    <w:rsid w:val="50504C4B"/>
    <w:rsid w:val="505869A7"/>
    <w:rsid w:val="505E1082"/>
    <w:rsid w:val="50646A65"/>
    <w:rsid w:val="50715259"/>
    <w:rsid w:val="50722D7F"/>
    <w:rsid w:val="507F0A3C"/>
    <w:rsid w:val="50844624"/>
    <w:rsid w:val="5085016A"/>
    <w:rsid w:val="509C6E7C"/>
    <w:rsid w:val="509F70FC"/>
    <w:rsid w:val="50A078EC"/>
    <w:rsid w:val="50B55395"/>
    <w:rsid w:val="50CA2BBB"/>
    <w:rsid w:val="50CA7B55"/>
    <w:rsid w:val="50D852D8"/>
    <w:rsid w:val="50DB0924"/>
    <w:rsid w:val="50DB4082"/>
    <w:rsid w:val="50F80BA4"/>
    <w:rsid w:val="5103220C"/>
    <w:rsid w:val="510C4F82"/>
    <w:rsid w:val="51114346"/>
    <w:rsid w:val="51256043"/>
    <w:rsid w:val="512D6906"/>
    <w:rsid w:val="512D6CA6"/>
    <w:rsid w:val="515D57DD"/>
    <w:rsid w:val="5162104E"/>
    <w:rsid w:val="51844B18"/>
    <w:rsid w:val="518B0B98"/>
    <w:rsid w:val="518E1E3B"/>
    <w:rsid w:val="51900019"/>
    <w:rsid w:val="519A258E"/>
    <w:rsid w:val="519D7FB0"/>
    <w:rsid w:val="51AB479B"/>
    <w:rsid w:val="51B11685"/>
    <w:rsid w:val="51BD44CE"/>
    <w:rsid w:val="51D47005"/>
    <w:rsid w:val="51DB6702"/>
    <w:rsid w:val="51DC4954"/>
    <w:rsid w:val="51ED4DB3"/>
    <w:rsid w:val="51F33A5C"/>
    <w:rsid w:val="52027FA3"/>
    <w:rsid w:val="520E0886"/>
    <w:rsid w:val="52102F60"/>
    <w:rsid w:val="52493F12"/>
    <w:rsid w:val="525C0EF1"/>
    <w:rsid w:val="525C5331"/>
    <w:rsid w:val="52727066"/>
    <w:rsid w:val="52770B21"/>
    <w:rsid w:val="527E1EAF"/>
    <w:rsid w:val="527F3531"/>
    <w:rsid w:val="528E7932"/>
    <w:rsid w:val="529C0F2B"/>
    <w:rsid w:val="52AD561D"/>
    <w:rsid w:val="52B0193D"/>
    <w:rsid w:val="52B07B8F"/>
    <w:rsid w:val="52E635B0"/>
    <w:rsid w:val="53000B16"/>
    <w:rsid w:val="53061A90"/>
    <w:rsid w:val="530F48B5"/>
    <w:rsid w:val="532D3F9C"/>
    <w:rsid w:val="533B1B4E"/>
    <w:rsid w:val="534A6576"/>
    <w:rsid w:val="534C0C6B"/>
    <w:rsid w:val="5354676C"/>
    <w:rsid w:val="5355425E"/>
    <w:rsid w:val="535D2A86"/>
    <w:rsid w:val="536D09C7"/>
    <w:rsid w:val="53786C46"/>
    <w:rsid w:val="537A4860"/>
    <w:rsid w:val="537F6AFC"/>
    <w:rsid w:val="53A039CC"/>
    <w:rsid w:val="53A1505A"/>
    <w:rsid w:val="53A41952"/>
    <w:rsid w:val="53A45945"/>
    <w:rsid w:val="53A476F3"/>
    <w:rsid w:val="53AC0356"/>
    <w:rsid w:val="53AE0572"/>
    <w:rsid w:val="53BF10AE"/>
    <w:rsid w:val="53CC27A6"/>
    <w:rsid w:val="53D9222B"/>
    <w:rsid w:val="53E75832"/>
    <w:rsid w:val="54063E08"/>
    <w:rsid w:val="543437E8"/>
    <w:rsid w:val="5438093C"/>
    <w:rsid w:val="544929FF"/>
    <w:rsid w:val="5462443E"/>
    <w:rsid w:val="54665336"/>
    <w:rsid w:val="54680721"/>
    <w:rsid w:val="5477021B"/>
    <w:rsid w:val="547F78DD"/>
    <w:rsid w:val="5486504B"/>
    <w:rsid w:val="548E0C37"/>
    <w:rsid w:val="548E5275"/>
    <w:rsid w:val="548E5CAE"/>
    <w:rsid w:val="5492579E"/>
    <w:rsid w:val="54AF45A2"/>
    <w:rsid w:val="54BB6290"/>
    <w:rsid w:val="54BE47E5"/>
    <w:rsid w:val="54BE6593"/>
    <w:rsid w:val="54C067AF"/>
    <w:rsid w:val="54C321CA"/>
    <w:rsid w:val="54CD38DC"/>
    <w:rsid w:val="54EA1131"/>
    <w:rsid w:val="54F156A6"/>
    <w:rsid w:val="54F73313"/>
    <w:rsid w:val="54F80955"/>
    <w:rsid w:val="55012924"/>
    <w:rsid w:val="550146D2"/>
    <w:rsid w:val="55052414"/>
    <w:rsid w:val="55115B0E"/>
    <w:rsid w:val="551E5284"/>
    <w:rsid w:val="55204C0D"/>
    <w:rsid w:val="552575E9"/>
    <w:rsid w:val="553C395C"/>
    <w:rsid w:val="5540169E"/>
    <w:rsid w:val="555170A7"/>
    <w:rsid w:val="555D5DAC"/>
    <w:rsid w:val="55621ED9"/>
    <w:rsid w:val="557650C0"/>
    <w:rsid w:val="55780E38"/>
    <w:rsid w:val="55855303"/>
    <w:rsid w:val="5587536D"/>
    <w:rsid w:val="55960129"/>
    <w:rsid w:val="559B174B"/>
    <w:rsid w:val="559E5C49"/>
    <w:rsid w:val="55B47996"/>
    <w:rsid w:val="55CB6607"/>
    <w:rsid w:val="55CE0CF4"/>
    <w:rsid w:val="55D21F04"/>
    <w:rsid w:val="55D44A96"/>
    <w:rsid w:val="55DF4A13"/>
    <w:rsid w:val="55EC35D4"/>
    <w:rsid w:val="561103E5"/>
    <w:rsid w:val="5612585D"/>
    <w:rsid w:val="56167488"/>
    <w:rsid w:val="561C0F9A"/>
    <w:rsid w:val="561F368A"/>
    <w:rsid w:val="561F7505"/>
    <w:rsid w:val="56321CEE"/>
    <w:rsid w:val="564231F4"/>
    <w:rsid w:val="56496330"/>
    <w:rsid w:val="567333AD"/>
    <w:rsid w:val="567710EF"/>
    <w:rsid w:val="567D13ED"/>
    <w:rsid w:val="569021B1"/>
    <w:rsid w:val="569E667C"/>
    <w:rsid w:val="56A33C92"/>
    <w:rsid w:val="56A619D5"/>
    <w:rsid w:val="56A814DF"/>
    <w:rsid w:val="56B22A9C"/>
    <w:rsid w:val="56BC6B02"/>
    <w:rsid w:val="56BF45EE"/>
    <w:rsid w:val="56C0750E"/>
    <w:rsid w:val="56D76C98"/>
    <w:rsid w:val="56D77DE0"/>
    <w:rsid w:val="56E33295"/>
    <w:rsid w:val="56FB3ACE"/>
    <w:rsid w:val="57004D88"/>
    <w:rsid w:val="57186F1A"/>
    <w:rsid w:val="571E77BD"/>
    <w:rsid w:val="572F65AD"/>
    <w:rsid w:val="573544B7"/>
    <w:rsid w:val="57482A8C"/>
    <w:rsid w:val="574A2360"/>
    <w:rsid w:val="574F5BC8"/>
    <w:rsid w:val="5754114A"/>
    <w:rsid w:val="57665E20"/>
    <w:rsid w:val="577C44E3"/>
    <w:rsid w:val="577F67A5"/>
    <w:rsid w:val="57825F9E"/>
    <w:rsid w:val="578F06BB"/>
    <w:rsid w:val="579212DA"/>
    <w:rsid w:val="57A372B9"/>
    <w:rsid w:val="57AA2DFF"/>
    <w:rsid w:val="57B72A76"/>
    <w:rsid w:val="57BC34E8"/>
    <w:rsid w:val="57C32112"/>
    <w:rsid w:val="57C3426C"/>
    <w:rsid w:val="57CA524F"/>
    <w:rsid w:val="57CC546B"/>
    <w:rsid w:val="57CE1F93"/>
    <w:rsid w:val="57CE2F91"/>
    <w:rsid w:val="57EA769F"/>
    <w:rsid w:val="5806097D"/>
    <w:rsid w:val="58183175"/>
    <w:rsid w:val="581F37ED"/>
    <w:rsid w:val="58207565"/>
    <w:rsid w:val="5822508B"/>
    <w:rsid w:val="5828257F"/>
    <w:rsid w:val="582F1556"/>
    <w:rsid w:val="58337298"/>
    <w:rsid w:val="58393FB0"/>
    <w:rsid w:val="583F3E8F"/>
    <w:rsid w:val="58403763"/>
    <w:rsid w:val="584303A3"/>
    <w:rsid w:val="5851771E"/>
    <w:rsid w:val="58692CBA"/>
    <w:rsid w:val="588673C8"/>
    <w:rsid w:val="588743D1"/>
    <w:rsid w:val="5887701A"/>
    <w:rsid w:val="588A4874"/>
    <w:rsid w:val="588C0F10"/>
    <w:rsid w:val="588F084D"/>
    <w:rsid w:val="589305D4"/>
    <w:rsid w:val="58B96C2F"/>
    <w:rsid w:val="58C064AB"/>
    <w:rsid w:val="58C06C50"/>
    <w:rsid w:val="58C16059"/>
    <w:rsid w:val="58D8399B"/>
    <w:rsid w:val="58DA7713"/>
    <w:rsid w:val="58DC348C"/>
    <w:rsid w:val="58F00CE5"/>
    <w:rsid w:val="58FD36D6"/>
    <w:rsid w:val="59034EBC"/>
    <w:rsid w:val="59091DA7"/>
    <w:rsid w:val="590D462B"/>
    <w:rsid w:val="590E560F"/>
    <w:rsid w:val="5915074C"/>
    <w:rsid w:val="591744C4"/>
    <w:rsid w:val="591A3FB4"/>
    <w:rsid w:val="59213594"/>
    <w:rsid w:val="59226C72"/>
    <w:rsid w:val="592941F7"/>
    <w:rsid w:val="5932754F"/>
    <w:rsid w:val="593E7CA2"/>
    <w:rsid w:val="594D4389"/>
    <w:rsid w:val="59561490"/>
    <w:rsid w:val="595A75AF"/>
    <w:rsid w:val="595B468D"/>
    <w:rsid w:val="5973567C"/>
    <w:rsid w:val="59747B68"/>
    <w:rsid w:val="59975605"/>
    <w:rsid w:val="59995821"/>
    <w:rsid w:val="59A044B9"/>
    <w:rsid w:val="59B12B6A"/>
    <w:rsid w:val="59C0439F"/>
    <w:rsid w:val="59DD395F"/>
    <w:rsid w:val="59DE4880"/>
    <w:rsid w:val="59DF262E"/>
    <w:rsid w:val="59F91E1B"/>
    <w:rsid w:val="5A025174"/>
    <w:rsid w:val="5A132EDD"/>
    <w:rsid w:val="5A3E3CD2"/>
    <w:rsid w:val="5A4265F1"/>
    <w:rsid w:val="5A5748DD"/>
    <w:rsid w:val="5A6220B6"/>
    <w:rsid w:val="5A716F6C"/>
    <w:rsid w:val="5A867B53"/>
    <w:rsid w:val="5A897643"/>
    <w:rsid w:val="5AA27F0E"/>
    <w:rsid w:val="5AA314BD"/>
    <w:rsid w:val="5AA507B9"/>
    <w:rsid w:val="5AA73D19"/>
    <w:rsid w:val="5AB53F94"/>
    <w:rsid w:val="5ABE2233"/>
    <w:rsid w:val="5ACB37B8"/>
    <w:rsid w:val="5ACE5056"/>
    <w:rsid w:val="5AD11A1E"/>
    <w:rsid w:val="5AE00452"/>
    <w:rsid w:val="5AE34FA5"/>
    <w:rsid w:val="5AF80325"/>
    <w:rsid w:val="5AFF7905"/>
    <w:rsid w:val="5B0D2022"/>
    <w:rsid w:val="5B0E2CFF"/>
    <w:rsid w:val="5B4026A7"/>
    <w:rsid w:val="5B41097C"/>
    <w:rsid w:val="5B461090"/>
    <w:rsid w:val="5B5B0FE0"/>
    <w:rsid w:val="5B645FD5"/>
    <w:rsid w:val="5B6D2AC1"/>
    <w:rsid w:val="5B7F5422"/>
    <w:rsid w:val="5B914A01"/>
    <w:rsid w:val="5B98139A"/>
    <w:rsid w:val="5BA327BD"/>
    <w:rsid w:val="5BBD57F6"/>
    <w:rsid w:val="5BDF5D95"/>
    <w:rsid w:val="5BE03933"/>
    <w:rsid w:val="5BEC60DC"/>
    <w:rsid w:val="5BFA7F56"/>
    <w:rsid w:val="5BFE7528"/>
    <w:rsid w:val="5C215797"/>
    <w:rsid w:val="5C2A6C04"/>
    <w:rsid w:val="5C2C64D8"/>
    <w:rsid w:val="5C2D3FFE"/>
    <w:rsid w:val="5C2F7D76"/>
    <w:rsid w:val="5C386982"/>
    <w:rsid w:val="5C391106"/>
    <w:rsid w:val="5C6739B4"/>
    <w:rsid w:val="5C702869"/>
    <w:rsid w:val="5C7702A4"/>
    <w:rsid w:val="5C7A5495"/>
    <w:rsid w:val="5C7F0CFE"/>
    <w:rsid w:val="5C8356CE"/>
    <w:rsid w:val="5C8A466B"/>
    <w:rsid w:val="5C8E7193"/>
    <w:rsid w:val="5C930305"/>
    <w:rsid w:val="5C961BA3"/>
    <w:rsid w:val="5C965A71"/>
    <w:rsid w:val="5CAE3765"/>
    <w:rsid w:val="5CB36BF9"/>
    <w:rsid w:val="5CB517AE"/>
    <w:rsid w:val="5CB70498"/>
    <w:rsid w:val="5CBA7F88"/>
    <w:rsid w:val="5CBC2DF3"/>
    <w:rsid w:val="5CC6692D"/>
    <w:rsid w:val="5CC93D27"/>
    <w:rsid w:val="5CE172C2"/>
    <w:rsid w:val="5CE20332"/>
    <w:rsid w:val="5CF3349A"/>
    <w:rsid w:val="5D0134C1"/>
    <w:rsid w:val="5D120928"/>
    <w:rsid w:val="5D1A0A26"/>
    <w:rsid w:val="5D211DB5"/>
    <w:rsid w:val="5D227715"/>
    <w:rsid w:val="5D2C47DA"/>
    <w:rsid w:val="5D3A352A"/>
    <w:rsid w:val="5D41020E"/>
    <w:rsid w:val="5D420BED"/>
    <w:rsid w:val="5D432EBB"/>
    <w:rsid w:val="5D485594"/>
    <w:rsid w:val="5D557CB0"/>
    <w:rsid w:val="5D5C284C"/>
    <w:rsid w:val="5D864442"/>
    <w:rsid w:val="5D881E34"/>
    <w:rsid w:val="5D8D2FA6"/>
    <w:rsid w:val="5DA87DE0"/>
    <w:rsid w:val="5DAC3C43"/>
    <w:rsid w:val="5DB07781"/>
    <w:rsid w:val="5DB55C19"/>
    <w:rsid w:val="5DC0337C"/>
    <w:rsid w:val="5DC34C1A"/>
    <w:rsid w:val="5DCD7847"/>
    <w:rsid w:val="5DD619A0"/>
    <w:rsid w:val="5DE057CC"/>
    <w:rsid w:val="5DE74F24"/>
    <w:rsid w:val="5DEE1774"/>
    <w:rsid w:val="5DF179D9"/>
    <w:rsid w:val="5DFE4E9C"/>
    <w:rsid w:val="5E2467F1"/>
    <w:rsid w:val="5E2733FB"/>
    <w:rsid w:val="5E337FF2"/>
    <w:rsid w:val="5E386B92"/>
    <w:rsid w:val="5E4609CA"/>
    <w:rsid w:val="5E4A2C98"/>
    <w:rsid w:val="5E510478"/>
    <w:rsid w:val="5E5341F0"/>
    <w:rsid w:val="5E5B3B59"/>
    <w:rsid w:val="5E5D1874"/>
    <w:rsid w:val="5E60690D"/>
    <w:rsid w:val="5E6B6FC3"/>
    <w:rsid w:val="5E6F75FB"/>
    <w:rsid w:val="5E734892"/>
    <w:rsid w:val="5E8F1076"/>
    <w:rsid w:val="5E8F6E5A"/>
    <w:rsid w:val="5E992E09"/>
    <w:rsid w:val="5E993BCD"/>
    <w:rsid w:val="5EA0600D"/>
    <w:rsid w:val="5EA42C9D"/>
    <w:rsid w:val="5EB24BEC"/>
    <w:rsid w:val="5EC468F4"/>
    <w:rsid w:val="5ED54C05"/>
    <w:rsid w:val="5EDA66BF"/>
    <w:rsid w:val="5EE019F7"/>
    <w:rsid w:val="5EF157B7"/>
    <w:rsid w:val="5EF332DD"/>
    <w:rsid w:val="5EFE6D4C"/>
    <w:rsid w:val="5F0C439F"/>
    <w:rsid w:val="5F132B85"/>
    <w:rsid w:val="5F1700EE"/>
    <w:rsid w:val="5F1A2B43"/>
    <w:rsid w:val="5F1C1A53"/>
    <w:rsid w:val="5F4A0AB9"/>
    <w:rsid w:val="5F530220"/>
    <w:rsid w:val="5F764569"/>
    <w:rsid w:val="5F7E34EF"/>
    <w:rsid w:val="5F7F2B6C"/>
    <w:rsid w:val="5F8623A3"/>
    <w:rsid w:val="5F904FD0"/>
    <w:rsid w:val="5F906D7E"/>
    <w:rsid w:val="5F97608B"/>
    <w:rsid w:val="5F9E149B"/>
    <w:rsid w:val="5F9E4C0A"/>
    <w:rsid w:val="5FA45E73"/>
    <w:rsid w:val="5FAD16DE"/>
    <w:rsid w:val="5FB837BB"/>
    <w:rsid w:val="5FDE5D3B"/>
    <w:rsid w:val="5FE80039"/>
    <w:rsid w:val="5FFC6435"/>
    <w:rsid w:val="602120CC"/>
    <w:rsid w:val="602441E8"/>
    <w:rsid w:val="60255718"/>
    <w:rsid w:val="602C4CF9"/>
    <w:rsid w:val="604A33D1"/>
    <w:rsid w:val="60561904"/>
    <w:rsid w:val="60663D73"/>
    <w:rsid w:val="606B3D5B"/>
    <w:rsid w:val="6081759E"/>
    <w:rsid w:val="60854409"/>
    <w:rsid w:val="60B44CEE"/>
    <w:rsid w:val="60B8658C"/>
    <w:rsid w:val="60C40D94"/>
    <w:rsid w:val="60C55551"/>
    <w:rsid w:val="60CC405A"/>
    <w:rsid w:val="60D13AF2"/>
    <w:rsid w:val="60D74C59"/>
    <w:rsid w:val="60D777F7"/>
    <w:rsid w:val="60EE0A30"/>
    <w:rsid w:val="60FE1D96"/>
    <w:rsid w:val="611F660B"/>
    <w:rsid w:val="612773A9"/>
    <w:rsid w:val="612F3D3B"/>
    <w:rsid w:val="61406582"/>
    <w:rsid w:val="6146785F"/>
    <w:rsid w:val="614918DA"/>
    <w:rsid w:val="6151078F"/>
    <w:rsid w:val="616B6FD2"/>
    <w:rsid w:val="616C7377"/>
    <w:rsid w:val="617D74C2"/>
    <w:rsid w:val="61840B64"/>
    <w:rsid w:val="6189617B"/>
    <w:rsid w:val="618B1EF3"/>
    <w:rsid w:val="61907509"/>
    <w:rsid w:val="6198581A"/>
    <w:rsid w:val="619C7C5C"/>
    <w:rsid w:val="61A94127"/>
    <w:rsid w:val="61BC553D"/>
    <w:rsid w:val="61D94A0C"/>
    <w:rsid w:val="61E0223F"/>
    <w:rsid w:val="61E215D8"/>
    <w:rsid w:val="6209072B"/>
    <w:rsid w:val="620A72BB"/>
    <w:rsid w:val="620C7A33"/>
    <w:rsid w:val="621B3775"/>
    <w:rsid w:val="621E2D67"/>
    <w:rsid w:val="62287742"/>
    <w:rsid w:val="622B4A57"/>
    <w:rsid w:val="623375C8"/>
    <w:rsid w:val="62364782"/>
    <w:rsid w:val="623C295B"/>
    <w:rsid w:val="623E6F65"/>
    <w:rsid w:val="624520A2"/>
    <w:rsid w:val="624C1682"/>
    <w:rsid w:val="62571DD5"/>
    <w:rsid w:val="62764951"/>
    <w:rsid w:val="628856E8"/>
    <w:rsid w:val="62923D2B"/>
    <w:rsid w:val="6297662A"/>
    <w:rsid w:val="629848C7"/>
    <w:rsid w:val="62C70D09"/>
    <w:rsid w:val="62D7305A"/>
    <w:rsid w:val="62DC6C2D"/>
    <w:rsid w:val="62DD4DD7"/>
    <w:rsid w:val="62E80F92"/>
    <w:rsid w:val="62ED39C7"/>
    <w:rsid w:val="62ED4D5D"/>
    <w:rsid w:val="62FF008B"/>
    <w:rsid w:val="62FF66F4"/>
    <w:rsid w:val="63092F98"/>
    <w:rsid w:val="630C0E11"/>
    <w:rsid w:val="631657EC"/>
    <w:rsid w:val="63340BAB"/>
    <w:rsid w:val="6356208C"/>
    <w:rsid w:val="637B1AF3"/>
    <w:rsid w:val="637C5E05"/>
    <w:rsid w:val="637F5A87"/>
    <w:rsid w:val="63844E4C"/>
    <w:rsid w:val="6387565B"/>
    <w:rsid w:val="6394356A"/>
    <w:rsid w:val="639650C3"/>
    <w:rsid w:val="6397692D"/>
    <w:rsid w:val="639F494C"/>
    <w:rsid w:val="63A0369D"/>
    <w:rsid w:val="63A325F1"/>
    <w:rsid w:val="63BA086D"/>
    <w:rsid w:val="63C20127"/>
    <w:rsid w:val="63C61B2C"/>
    <w:rsid w:val="63D40BE9"/>
    <w:rsid w:val="63E2150E"/>
    <w:rsid w:val="63F36702"/>
    <w:rsid w:val="63F518A5"/>
    <w:rsid w:val="63F57AF7"/>
    <w:rsid w:val="64025D70"/>
    <w:rsid w:val="640F0BB9"/>
    <w:rsid w:val="64102431"/>
    <w:rsid w:val="641C5084"/>
    <w:rsid w:val="64236413"/>
    <w:rsid w:val="64433C50"/>
    <w:rsid w:val="644C15F9"/>
    <w:rsid w:val="645A4B51"/>
    <w:rsid w:val="64601415"/>
    <w:rsid w:val="648D5F82"/>
    <w:rsid w:val="64A00315"/>
    <w:rsid w:val="64A42766"/>
    <w:rsid w:val="64A5243A"/>
    <w:rsid w:val="64AF414A"/>
    <w:rsid w:val="64D03BF7"/>
    <w:rsid w:val="64DC71A8"/>
    <w:rsid w:val="64E249D5"/>
    <w:rsid w:val="64E47280"/>
    <w:rsid w:val="64F531DE"/>
    <w:rsid w:val="65071890"/>
    <w:rsid w:val="652878B4"/>
    <w:rsid w:val="65362175"/>
    <w:rsid w:val="65373578"/>
    <w:rsid w:val="65393A14"/>
    <w:rsid w:val="65575C39"/>
    <w:rsid w:val="655B7E2E"/>
    <w:rsid w:val="65622F6B"/>
    <w:rsid w:val="65670581"/>
    <w:rsid w:val="65757142"/>
    <w:rsid w:val="65872B6B"/>
    <w:rsid w:val="65A64782"/>
    <w:rsid w:val="65F938CF"/>
    <w:rsid w:val="660E4EA0"/>
    <w:rsid w:val="66154481"/>
    <w:rsid w:val="661F0E5C"/>
    <w:rsid w:val="663761A5"/>
    <w:rsid w:val="66384A6E"/>
    <w:rsid w:val="663A5C95"/>
    <w:rsid w:val="663F14FE"/>
    <w:rsid w:val="664803B2"/>
    <w:rsid w:val="66486278"/>
    <w:rsid w:val="664A6EB7"/>
    <w:rsid w:val="66541F53"/>
    <w:rsid w:val="665C746E"/>
    <w:rsid w:val="66600A94"/>
    <w:rsid w:val="6660394E"/>
    <w:rsid w:val="66644AC0"/>
    <w:rsid w:val="66660838"/>
    <w:rsid w:val="666D716E"/>
    <w:rsid w:val="66772A46"/>
    <w:rsid w:val="667C62AE"/>
    <w:rsid w:val="66B60E85"/>
    <w:rsid w:val="66BB11DE"/>
    <w:rsid w:val="66C35EB9"/>
    <w:rsid w:val="66D954AE"/>
    <w:rsid w:val="66F333EB"/>
    <w:rsid w:val="66F44096"/>
    <w:rsid w:val="66F52420"/>
    <w:rsid w:val="671D729B"/>
    <w:rsid w:val="671F124A"/>
    <w:rsid w:val="67424E02"/>
    <w:rsid w:val="674943E2"/>
    <w:rsid w:val="675039C2"/>
    <w:rsid w:val="67566EED"/>
    <w:rsid w:val="67605DAB"/>
    <w:rsid w:val="67642FCA"/>
    <w:rsid w:val="6764746E"/>
    <w:rsid w:val="676905E0"/>
    <w:rsid w:val="676B3CC3"/>
    <w:rsid w:val="677A33C6"/>
    <w:rsid w:val="679413D5"/>
    <w:rsid w:val="6796339F"/>
    <w:rsid w:val="67A21D44"/>
    <w:rsid w:val="67A41618"/>
    <w:rsid w:val="67A55390"/>
    <w:rsid w:val="67B47573"/>
    <w:rsid w:val="67CB129B"/>
    <w:rsid w:val="67E265E5"/>
    <w:rsid w:val="67EE6D37"/>
    <w:rsid w:val="68012F0F"/>
    <w:rsid w:val="68030A35"/>
    <w:rsid w:val="68151C28"/>
    <w:rsid w:val="68183DB4"/>
    <w:rsid w:val="681F6961"/>
    <w:rsid w:val="68262975"/>
    <w:rsid w:val="68324E76"/>
    <w:rsid w:val="685E34FA"/>
    <w:rsid w:val="685F3791"/>
    <w:rsid w:val="68610A2F"/>
    <w:rsid w:val="686B4ECE"/>
    <w:rsid w:val="686D2352"/>
    <w:rsid w:val="686F0765"/>
    <w:rsid w:val="687A006B"/>
    <w:rsid w:val="68805514"/>
    <w:rsid w:val="6884144A"/>
    <w:rsid w:val="6885369D"/>
    <w:rsid w:val="6898083B"/>
    <w:rsid w:val="68A11FFC"/>
    <w:rsid w:val="68A22941"/>
    <w:rsid w:val="68A25F89"/>
    <w:rsid w:val="68A77530"/>
    <w:rsid w:val="68AB69D7"/>
    <w:rsid w:val="68B166E3"/>
    <w:rsid w:val="68BD62AB"/>
    <w:rsid w:val="68C63810"/>
    <w:rsid w:val="68DC1286"/>
    <w:rsid w:val="68E51EE8"/>
    <w:rsid w:val="68F21E70"/>
    <w:rsid w:val="68F25B3B"/>
    <w:rsid w:val="68FE38A5"/>
    <w:rsid w:val="69014E39"/>
    <w:rsid w:val="69074555"/>
    <w:rsid w:val="690D42CF"/>
    <w:rsid w:val="69194288"/>
    <w:rsid w:val="69216C99"/>
    <w:rsid w:val="69316E2F"/>
    <w:rsid w:val="694D290B"/>
    <w:rsid w:val="694E2071"/>
    <w:rsid w:val="695F286C"/>
    <w:rsid w:val="69653029"/>
    <w:rsid w:val="696D1EDE"/>
    <w:rsid w:val="69766163"/>
    <w:rsid w:val="697A3B33"/>
    <w:rsid w:val="69825989"/>
    <w:rsid w:val="69854564"/>
    <w:rsid w:val="69877444"/>
    <w:rsid w:val="69881D9A"/>
    <w:rsid w:val="69912070"/>
    <w:rsid w:val="699833FF"/>
    <w:rsid w:val="69B0201F"/>
    <w:rsid w:val="69C77840"/>
    <w:rsid w:val="69CE05BE"/>
    <w:rsid w:val="69CF0130"/>
    <w:rsid w:val="69D44760"/>
    <w:rsid w:val="69E4676A"/>
    <w:rsid w:val="69F44086"/>
    <w:rsid w:val="69F525FF"/>
    <w:rsid w:val="6A164324"/>
    <w:rsid w:val="6A242EE4"/>
    <w:rsid w:val="6A294057"/>
    <w:rsid w:val="6A3450F5"/>
    <w:rsid w:val="6A3A4FE7"/>
    <w:rsid w:val="6A4569C2"/>
    <w:rsid w:val="6A4734B7"/>
    <w:rsid w:val="6A4964A7"/>
    <w:rsid w:val="6A503CD9"/>
    <w:rsid w:val="6A520EC7"/>
    <w:rsid w:val="6A5512F0"/>
    <w:rsid w:val="6A7259FE"/>
    <w:rsid w:val="6A9040D6"/>
    <w:rsid w:val="6A955B90"/>
    <w:rsid w:val="6A9E7E16"/>
    <w:rsid w:val="6ABC73B4"/>
    <w:rsid w:val="6ABE5197"/>
    <w:rsid w:val="6AC65D4A"/>
    <w:rsid w:val="6AC975E8"/>
    <w:rsid w:val="6ACA583A"/>
    <w:rsid w:val="6ADB6780"/>
    <w:rsid w:val="6AE61CA0"/>
    <w:rsid w:val="6AEA5EDC"/>
    <w:rsid w:val="6AF87E20"/>
    <w:rsid w:val="6B030D4C"/>
    <w:rsid w:val="6B062C41"/>
    <w:rsid w:val="6B0D2C0B"/>
    <w:rsid w:val="6B2D401B"/>
    <w:rsid w:val="6B322639"/>
    <w:rsid w:val="6B3C7DBA"/>
    <w:rsid w:val="6B3D24B0"/>
    <w:rsid w:val="6B4C26F3"/>
    <w:rsid w:val="6B514CA8"/>
    <w:rsid w:val="6B530350"/>
    <w:rsid w:val="6B5C30B1"/>
    <w:rsid w:val="6B5C74A3"/>
    <w:rsid w:val="6B6A2B79"/>
    <w:rsid w:val="6B7457A6"/>
    <w:rsid w:val="6B8E2D0B"/>
    <w:rsid w:val="6B9D6952"/>
    <w:rsid w:val="6BA75B7B"/>
    <w:rsid w:val="6BB12556"/>
    <w:rsid w:val="6BBB5183"/>
    <w:rsid w:val="6BD67D8A"/>
    <w:rsid w:val="6BF16DF6"/>
    <w:rsid w:val="6C037B9F"/>
    <w:rsid w:val="6C066D46"/>
    <w:rsid w:val="6C0C1E82"/>
    <w:rsid w:val="6C1765A4"/>
    <w:rsid w:val="6C281D8C"/>
    <w:rsid w:val="6C307E19"/>
    <w:rsid w:val="6C3E2441"/>
    <w:rsid w:val="6C47110C"/>
    <w:rsid w:val="6C513685"/>
    <w:rsid w:val="6C517895"/>
    <w:rsid w:val="6C5A7E3D"/>
    <w:rsid w:val="6C636C38"/>
    <w:rsid w:val="6C637940"/>
    <w:rsid w:val="6C714300"/>
    <w:rsid w:val="6C924135"/>
    <w:rsid w:val="6C9627FE"/>
    <w:rsid w:val="6C9854C4"/>
    <w:rsid w:val="6C9B4ADB"/>
    <w:rsid w:val="6C9F2CF6"/>
    <w:rsid w:val="6CA1081C"/>
    <w:rsid w:val="6CB9308B"/>
    <w:rsid w:val="6CCE0EE6"/>
    <w:rsid w:val="6CE66A13"/>
    <w:rsid w:val="6D057FB0"/>
    <w:rsid w:val="6D0A4A1B"/>
    <w:rsid w:val="6D1522FF"/>
    <w:rsid w:val="6D334136"/>
    <w:rsid w:val="6D392803"/>
    <w:rsid w:val="6D394EF9"/>
    <w:rsid w:val="6D417909"/>
    <w:rsid w:val="6D463172"/>
    <w:rsid w:val="6D4F2026"/>
    <w:rsid w:val="6D553E65"/>
    <w:rsid w:val="6D5C3A0C"/>
    <w:rsid w:val="6D5E495F"/>
    <w:rsid w:val="6D635AD2"/>
    <w:rsid w:val="6D6A6E60"/>
    <w:rsid w:val="6D79578F"/>
    <w:rsid w:val="6D8617C0"/>
    <w:rsid w:val="6D910891"/>
    <w:rsid w:val="6D9146F3"/>
    <w:rsid w:val="6D940381"/>
    <w:rsid w:val="6DA02882"/>
    <w:rsid w:val="6DA11DEA"/>
    <w:rsid w:val="6DA36DCB"/>
    <w:rsid w:val="6DA700B4"/>
    <w:rsid w:val="6DAF783D"/>
    <w:rsid w:val="6DB34098"/>
    <w:rsid w:val="6DB3433B"/>
    <w:rsid w:val="6DB545B6"/>
    <w:rsid w:val="6DC72505"/>
    <w:rsid w:val="6DCD1C39"/>
    <w:rsid w:val="6DE02FB4"/>
    <w:rsid w:val="6DE05374"/>
    <w:rsid w:val="6DF40E20"/>
    <w:rsid w:val="6DF8446C"/>
    <w:rsid w:val="6E020D73"/>
    <w:rsid w:val="6E0A23F1"/>
    <w:rsid w:val="6E1178AE"/>
    <w:rsid w:val="6E254AC2"/>
    <w:rsid w:val="6E3A2CD6"/>
    <w:rsid w:val="6E445903"/>
    <w:rsid w:val="6E475286"/>
    <w:rsid w:val="6E514CED"/>
    <w:rsid w:val="6E557B10"/>
    <w:rsid w:val="6E58315D"/>
    <w:rsid w:val="6E5D0773"/>
    <w:rsid w:val="6E6C6C08"/>
    <w:rsid w:val="6E755ABD"/>
    <w:rsid w:val="6E7F06E9"/>
    <w:rsid w:val="6E8C2E06"/>
    <w:rsid w:val="6E9E4D3C"/>
    <w:rsid w:val="6EB563D5"/>
    <w:rsid w:val="6EB843DF"/>
    <w:rsid w:val="6EBC193D"/>
    <w:rsid w:val="6EC16F54"/>
    <w:rsid w:val="6EC4046E"/>
    <w:rsid w:val="6ED8429D"/>
    <w:rsid w:val="6ED92677"/>
    <w:rsid w:val="6EDA5EDF"/>
    <w:rsid w:val="6EE21B89"/>
    <w:rsid w:val="6EF07839"/>
    <w:rsid w:val="6EFF7A7C"/>
    <w:rsid w:val="6F0A08FB"/>
    <w:rsid w:val="6F1D78C7"/>
    <w:rsid w:val="6F225983"/>
    <w:rsid w:val="6F2C357A"/>
    <w:rsid w:val="6F313B5E"/>
    <w:rsid w:val="6F35524C"/>
    <w:rsid w:val="6F361639"/>
    <w:rsid w:val="6F3A6957"/>
    <w:rsid w:val="6F467459"/>
    <w:rsid w:val="6F63000B"/>
    <w:rsid w:val="6F6F69B0"/>
    <w:rsid w:val="6F731F66"/>
    <w:rsid w:val="6F753A44"/>
    <w:rsid w:val="6F865AA7"/>
    <w:rsid w:val="6F8D32DA"/>
    <w:rsid w:val="6F96218E"/>
    <w:rsid w:val="6F9A6128"/>
    <w:rsid w:val="6FCF00DD"/>
    <w:rsid w:val="6FD04B14"/>
    <w:rsid w:val="6FE002A2"/>
    <w:rsid w:val="6FEA05B6"/>
    <w:rsid w:val="6FF57497"/>
    <w:rsid w:val="6FFC5590"/>
    <w:rsid w:val="700049DA"/>
    <w:rsid w:val="700A0487"/>
    <w:rsid w:val="70161521"/>
    <w:rsid w:val="70180DF5"/>
    <w:rsid w:val="70263589"/>
    <w:rsid w:val="70291255"/>
    <w:rsid w:val="7031098F"/>
    <w:rsid w:val="704115A9"/>
    <w:rsid w:val="704A2F79"/>
    <w:rsid w:val="70553DF8"/>
    <w:rsid w:val="706D1DD0"/>
    <w:rsid w:val="707A05BE"/>
    <w:rsid w:val="70856B87"/>
    <w:rsid w:val="708D6817"/>
    <w:rsid w:val="70983595"/>
    <w:rsid w:val="70BD1F2E"/>
    <w:rsid w:val="70BF74C3"/>
    <w:rsid w:val="70C8281B"/>
    <w:rsid w:val="70D527EE"/>
    <w:rsid w:val="70DE0702"/>
    <w:rsid w:val="70EA6715"/>
    <w:rsid w:val="70F74EAF"/>
    <w:rsid w:val="70FA674D"/>
    <w:rsid w:val="70FF5B11"/>
    <w:rsid w:val="710A4BB2"/>
    <w:rsid w:val="710B6BAC"/>
    <w:rsid w:val="71184E25"/>
    <w:rsid w:val="713678A9"/>
    <w:rsid w:val="713F0604"/>
    <w:rsid w:val="71526589"/>
    <w:rsid w:val="715B5300"/>
    <w:rsid w:val="71687B5B"/>
    <w:rsid w:val="717F31EE"/>
    <w:rsid w:val="71887D57"/>
    <w:rsid w:val="71A52B5D"/>
    <w:rsid w:val="71A846A0"/>
    <w:rsid w:val="71AD1A11"/>
    <w:rsid w:val="71B903B6"/>
    <w:rsid w:val="71D27F8A"/>
    <w:rsid w:val="71DB032D"/>
    <w:rsid w:val="71DB498E"/>
    <w:rsid w:val="71E52F59"/>
    <w:rsid w:val="71E847F7"/>
    <w:rsid w:val="72062ED0"/>
    <w:rsid w:val="72111FA0"/>
    <w:rsid w:val="721455EC"/>
    <w:rsid w:val="721D1C93"/>
    <w:rsid w:val="722107AC"/>
    <w:rsid w:val="72296E44"/>
    <w:rsid w:val="7235622E"/>
    <w:rsid w:val="723920F5"/>
    <w:rsid w:val="72436F04"/>
    <w:rsid w:val="72463832"/>
    <w:rsid w:val="724B4950"/>
    <w:rsid w:val="725400DF"/>
    <w:rsid w:val="72553024"/>
    <w:rsid w:val="725775EF"/>
    <w:rsid w:val="726522EC"/>
    <w:rsid w:val="7265409A"/>
    <w:rsid w:val="726F7C81"/>
    <w:rsid w:val="727A7B45"/>
    <w:rsid w:val="72822E9E"/>
    <w:rsid w:val="728325D4"/>
    <w:rsid w:val="729D3773"/>
    <w:rsid w:val="729F135A"/>
    <w:rsid w:val="72A608AE"/>
    <w:rsid w:val="72AE2D49"/>
    <w:rsid w:val="72B017B9"/>
    <w:rsid w:val="72B34143"/>
    <w:rsid w:val="72B9250E"/>
    <w:rsid w:val="72C45265"/>
    <w:rsid w:val="72ED47BB"/>
    <w:rsid w:val="72F83160"/>
    <w:rsid w:val="730218E9"/>
    <w:rsid w:val="73034C5A"/>
    <w:rsid w:val="730E64E0"/>
    <w:rsid w:val="731004DA"/>
    <w:rsid w:val="73122968"/>
    <w:rsid w:val="7315161C"/>
    <w:rsid w:val="7318110C"/>
    <w:rsid w:val="731D42F0"/>
    <w:rsid w:val="731F5D5E"/>
    <w:rsid w:val="731F693F"/>
    <w:rsid w:val="732775A1"/>
    <w:rsid w:val="73351CBE"/>
    <w:rsid w:val="733F48EB"/>
    <w:rsid w:val="73466D43"/>
    <w:rsid w:val="734C7C84"/>
    <w:rsid w:val="735F0AE9"/>
    <w:rsid w:val="736A33C8"/>
    <w:rsid w:val="736B125A"/>
    <w:rsid w:val="736F68EF"/>
    <w:rsid w:val="737A0737"/>
    <w:rsid w:val="737C78ED"/>
    <w:rsid w:val="7386076C"/>
    <w:rsid w:val="73914462"/>
    <w:rsid w:val="73964D3B"/>
    <w:rsid w:val="73A2698F"/>
    <w:rsid w:val="73A83AA8"/>
    <w:rsid w:val="73B31B9C"/>
    <w:rsid w:val="73C117A4"/>
    <w:rsid w:val="73C519F1"/>
    <w:rsid w:val="73C51AD5"/>
    <w:rsid w:val="73DA0D9F"/>
    <w:rsid w:val="73E13BF4"/>
    <w:rsid w:val="73E33100"/>
    <w:rsid w:val="73F63818"/>
    <w:rsid w:val="74083A63"/>
    <w:rsid w:val="74084FB0"/>
    <w:rsid w:val="741E793C"/>
    <w:rsid w:val="74212243"/>
    <w:rsid w:val="74312486"/>
    <w:rsid w:val="743C2237"/>
    <w:rsid w:val="744877CF"/>
    <w:rsid w:val="744B4491"/>
    <w:rsid w:val="745E3944"/>
    <w:rsid w:val="747405C4"/>
    <w:rsid w:val="747E1605"/>
    <w:rsid w:val="7482475B"/>
    <w:rsid w:val="74842EFD"/>
    <w:rsid w:val="74843E6D"/>
    <w:rsid w:val="74857F8A"/>
    <w:rsid w:val="7491561A"/>
    <w:rsid w:val="7499002B"/>
    <w:rsid w:val="749D5D6D"/>
    <w:rsid w:val="749F1762"/>
    <w:rsid w:val="74BF6F86"/>
    <w:rsid w:val="74D322FD"/>
    <w:rsid w:val="74D43E9C"/>
    <w:rsid w:val="74D80B53"/>
    <w:rsid w:val="74DF6386"/>
    <w:rsid w:val="74E31733"/>
    <w:rsid w:val="74F32C3C"/>
    <w:rsid w:val="74FB2A94"/>
    <w:rsid w:val="7504038C"/>
    <w:rsid w:val="751122B7"/>
    <w:rsid w:val="75181A1B"/>
    <w:rsid w:val="7521661D"/>
    <w:rsid w:val="75355FA6"/>
    <w:rsid w:val="753F3D52"/>
    <w:rsid w:val="753F6E24"/>
    <w:rsid w:val="75524DAA"/>
    <w:rsid w:val="755A3B56"/>
    <w:rsid w:val="757A4300"/>
    <w:rsid w:val="75956A44"/>
    <w:rsid w:val="75B275F6"/>
    <w:rsid w:val="75B810F1"/>
    <w:rsid w:val="75B90C17"/>
    <w:rsid w:val="75C537CD"/>
    <w:rsid w:val="75D02172"/>
    <w:rsid w:val="75D67789"/>
    <w:rsid w:val="75EA6D90"/>
    <w:rsid w:val="75ED062E"/>
    <w:rsid w:val="75F06371"/>
    <w:rsid w:val="75FE283B"/>
    <w:rsid w:val="76164029"/>
    <w:rsid w:val="762258C6"/>
    <w:rsid w:val="762D3121"/>
    <w:rsid w:val="7634625D"/>
    <w:rsid w:val="7635099D"/>
    <w:rsid w:val="76485F00"/>
    <w:rsid w:val="7649076D"/>
    <w:rsid w:val="76564426"/>
    <w:rsid w:val="7657019E"/>
    <w:rsid w:val="766B7545"/>
    <w:rsid w:val="767C32C1"/>
    <w:rsid w:val="7689365C"/>
    <w:rsid w:val="768E73FB"/>
    <w:rsid w:val="768F579D"/>
    <w:rsid w:val="768F5B89"/>
    <w:rsid w:val="76A31CB4"/>
    <w:rsid w:val="76A553AD"/>
    <w:rsid w:val="76A72ED3"/>
    <w:rsid w:val="76B949B4"/>
    <w:rsid w:val="76D016A8"/>
    <w:rsid w:val="76D929B1"/>
    <w:rsid w:val="76E00D51"/>
    <w:rsid w:val="76E71522"/>
    <w:rsid w:val="76EB0E39"/>
    <w:rsid w:val="770E2F52"/>
    <w:rsid w:val="771147F0"/>
    <w:rsid w:val="771310F4"/>
    <w:rsid w:val="77163BB5"/>
    <w:rsid w:val="7725452E"/>
    <w:rsid w:val="77336515"/>
    <w:rsid w:val="77383B2B"/>
    <w:rsid w:val="774249AA"/>
    <w:rsid w:val="7763540F"/>
    <w:rsid w:val="77762421"/>
    <w:rsid w:val="779060A8"/>
    <w:rsid w:val="779954A8"/>
    <w:rsid w:val="77A25449"/>
    <w:rsid w:val="77A94E52"/>
    <w:rsid w:val="77AB3A64"/>
    <w:rsid w:val="77B56B1F"/>
    <w:rsid w:val="77C054E1"/>
    <w:rsid w:val="77CE4490"/>
    <w:rsid w:val="77D00208"/>
    <w:rsid w:val="77D4078C"/>
    <w:rsid w:val="77E15677"/>
    <w:rsid w:val="77E660A5"/>
    <w:rsid w:val="7804180B"/>
    <w:rsid w:val="780F09F4"/>
    <w:rsid w:val="7816362F"/>
    <w:rsid w:val="783562BD"/>
    <w:rsid w:val="784C141F"/>
    <w:rsid w:val="784D3606"/>
    <w:rsid w:val="784F737E"/>
    <w:rsid w:val="786433E4"/>
    <w:rsid w:val="789B0816"/>
    <w:rsid w:val="78A90480"/>
    <w:rsid w:val="78AA2807"/>
    <w:rsid w:val="78AC657F"/>
    <w:rsid w:val="78C91C66"/>
    <w:rsid w:val="78D87374"/>
    <w:rsid w:val="78F10E72"/>
    <w:rsid w:val="78F63C9E"/>
    <w:rsid w:val="792A1B99"/>
    <w:rsid w:val="79426EE3"/>
    <w:rsid w:val="79707733"/>
    <w:rsid w:val="798B2638"/>
    <w:rsid w:val="799F60E4"/>
    <w:rsid w:val="79BD2A0E"/>
    <w:rsid w:val="79D43D96"/>
    <w:rsid w:val="79DB6C4A"/>
    <w:rsid w:val="79E05111"/>
    <w:rsid w:val="79E65AC0"/>
    <w:rsid w:val="79EB2921"/>
    <w:rsid w:val="79F958D2"/>
    <w:rsid w:val="7A0348C4"/>
    <w:rsid w:val="7A0F5434"/>
    <w:rsid w:val="7A364017"/>
    <w:rsid w:val="7A41719B"/>
    <w:rsid w:val="7A480529"/>
    <w:rsid w:val="7A523156"/>
    <w:rsid w:val="7A537B18"/>
    <w:rsid w:val="7A5549F4"/>
    <w:rsid w:val="7A6D7F90"/>
    <w:rsid w:val="7A715E12"/>
    <w:rsid w:val="7A7D1E45"/>
    <w:rsid w:val="7A8265E1"/>
    <w:rsid w:val="7AB20098"/>
    <w:rsid w:val="7AC51B7A"/>
    <w:rsid w:val="7ACC2F08"/>
    <w:rsid w:val="7ADC6EC3"/>
    <w:rsid w:val="7AED2E7F"/>
    <w:rsid w:val="7AF1296F"/>
    <w:rsid w:val="7B1A0118"/>
    <w:rsid w:val="7B1F572E"/>
    <w:rsid w:val="7B334D35"/>
    <w:rsid w:val="7B4A72CA"/>
    <w:rsid w:val="7B5B428C"/>
    <w:rsid w:val="7B5E33BF"/>
    <w:rsid w:val="7B672C31"/>
    <w:rsid w:val="7B686D42"/>
    <w:rsid w:val="7B6E5D6D"/>
    <w:rsid w:val="7B6F1AE6"/>
    <w:rsid w:val="7B841746"/>
    <w:rsid w:val="7B8657AD"/>
    <w:rsid w:val="7B87683D"/>
    <w:rsid w:val="7B9F061D"/>
    <w:rsid w:val="7BB73BB8"/>
    <w:rsid w:val="7BBC3EC2"/>
    <w:rsid w:val="7BC9569A"/>
    <w:rsid w:val="7BD007D6"/>
    <w:rsid w:val="7BE032BD"/>
    <w:rsid w:val="7BE67FFA"/>
    <w:rsid w:val="7C156B31"/>
    <w:rsid w:val="7C172EA1"/>
    <w:rsid w:val="7C1C0647"/>
    <w:rsid w:val="7C3743CF"/>
    <w:rsid w:val="7C3A20F4"/>
    <w:rsid w:val="7C3D1D15"/>
    <w:rsid w:val="7C541C34"/>
    <w:rsid w:val="7C55637E"/>
    <w:rsid w:val="7C572CA5"/>
    <w:rsid w:val="7C6963AC"/>
    <w:rsid w:val="7C6C5AC7"/>
    <w:rsid w:val="7C6D1D8D"/>
    <w:rsid w:val="7C725D31"/>
    <w:rsid w:val="7C8617DD"/>
    <w:rsid w:val="7C885D23"/>
    <w:rsid w:val="7C961A20"/>
    <w:rsid w:val="7CB92B03"/>
    <w:rsid w:val="7CC6544B"/>
    <w:rsid w:val="7CE7227B"/>
    <w:rsid w:val="7CEA3B1A"/>
    <w:rsid w:val="7D0239FF"/>
    <w:rsid w:val="7D032546"/>
    <w:rsid w:val="7D0473A7"/>
    <w:rsid w:val="7D0F532E"/>
    <w:rsid w:val="7D1B1F25"/>
    <w:rsid w:val="7D1D5C9D"/>
    <w:rsid w:val="7D3A7DEA"/>
    <w:rsid w:val="7D435CBF"/>
    <w:rsid w:val="7D495F50"/>
    <w:rsid w:val="7D4A2A43"/>
    <w:rsid w:val="7D5B0573"/>
    <w:rsid w:val="7D5E40CD"/>
    <w:rsid w:val="7D63567A"/>
    <w:rsid w:val="7D715FE9"/>
    <w:rsid w:val="7D7D2BE0"/>
    <w:rsid w:val="7D7F2F5C"/>
    <w:rsid w:val="7D8253F9"/>
    <w:rsid w:val="7D8555F0"/>
    <w:rsid w:val="7DA43CC8"/>
    <w:rsid w:val="7DC205F3"/>
    <w:rsid w:val="7DCD56F2"/>
    <w:rsid w:val="7DDB16B4"/>
    <w:rsid w:val="7DDD0295"/>
    <w:rsid w:val="7DE36DDF"/>
    <w:rsid w:val="7E01736D"/>
    <w:rsid w:val="7E0E014E"/>
    <w:rsid w:val="7E2D1F10"/>
    <w:rsid w:val="7E334E61"/>
    <w:rsid w:val="7E390F20"/>
    <w:rsid w:val="7E3C5579"/>
    <w:rsid w:val="7E3C65F7"/>
    <w:rsid w:val="7E413C0D"/>
    <w:rsid w:val="7E431733"/>
    <w:rsid w:val="7E464D80"/>
    <w:rsid w:val="7E4B3379"/>
    <w:rsid w:val="7E4E6EC7"/>
    <w:rsid w:val="7E5A4CCF"/>
    <w:rsid w:val="7E6756F0"/>
    <w:rsid w:val="7E6F2DC0"/>
    <w:rsid w:val="7E783356"/>
    <w:rsid w:val="7E960CFE"/>
    <w:rsid w:val="7EA128FE"/>
    <w:rsid w:val="7EB42631"/>
    <w:rsid w:val="7EB937A4"/>
    <w:rsid w:val="7EBC14E6"/>
    <w:rsid w:val="7EC34622"/>
    <w:rsid w:val="7EDE4887"/>
    <w:rsid w:val="7EE24E1D"/>
    <w:rsid w:val="7EE527EB"/>
    <w:rsid w:val="7EF1596E"/>
    <w:rsid w:val="7F001CE7"/>
    <w:rsid w:val="7F00697C"/>
    <w:rsid w:val="7F0E0053"/>
    <w:rsid w:val="7F0F5AB9"/>
    <w:rsid w:val="7F2C0419"/>
    <w:rsid w:val="7F3F0211"/>
    <w:rsid w:val="7F477001"/>
    <w:rsid w:val="7F4D213E"/>
    <w:rsid w:val="7F5E259D"/>
    <w:rsid w:val="7F606315"/>
    <w:rsid w:val="7F745116"/>
    <w:rsid w:val="7F7B4EFD"/>
    <w:rsid w:val="7F8042C1"/>
    <w:rsid w:val="7F947D6D"/>
    <w:rsid w:val="7F967F89"/>
    <w:rsid w:val="7FBD3A06"/>
    <w:rsid w:val="7FBE6AF7"/>
    <w:rsid w:val="7FD064A0"/>
    <w:rsid w:val="7FD10FC1"/>
    <w:rsid w:val="7FE40EC8"/>
    <w:rsid w:val="7FE47E50"/>
    <w:rsid w:val="7FF24CA8"/>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weight="0.5pt" color="#000000" endarrow="block" endarrowwidth="narrow" endarrowlength="long"/>
    </o:shapedefaults>
    <o:shapelayout v:ext="edit">
      <o:idmap v:ext="edit" data="1"/>
      <o:rules v:ext="edit">
        <o:r id="V:Rule1" type="connector" idref="#直接箭头连接符 3"/>
        <o:r id="V:Rule2" type="connector" idref="#直接箭头连接符 6"/>
        <o:r id="V:Rule3" type="connector" idref="#直接箭头连接符 9"/>
        <o:r id="V:Rule4" type="connector" idref="#直接箭头连接符 14"/>
        <o:r id="V:Rule5" type="connector" idref="#直接箭头连接符 15"/>
        <o:r id="V:Rule6" type="connector" idref="#直接箭头连接符 16"/>
        <o:r id="V:Rule7" type="connector" idref="#直接箭头连接符 19"/>
        <o:r id="V:Rule8" type="connector" idref="#肘形连接符 25"/>
        <o:r id="V:Rule9" type="connector" idref="#曲线连接符 33"/>
        <o:r id="V:Rule10" type="connector" idref="#曲线连接符 42"/>
        <o:r id="V:Rule11" type="connector" idref="#直接箭头连接符 24"/>
        <o:r id="V:Rule12" type="connector" idref="#_x0000_s1097"/>
      </o:rules>
    </o:shapelayout>
  </w:shapeDefaults>
  <w:doNotEmbedSmartTag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0" w:name="toc 1" w:locked="1"/>
    <w:lsdException w:qFormat="1" w:unhideWhenUsed="0" w:uiPriority="39"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unhideWhenUsed="0" w:uiPriority="0" w:semiHidden="0" w:name="footnote text" w:locked="1"/>
    <w:lsdException w:qFormat="1" w:unhideWhenUsed="0" w:uiPriority="0" w:name="annotation text"/>
    <w:lsdException w:qFormat="1" w:unhideWhenUsed="0" w:uiPriority="0" w:semiHidden="0" w:name="header"/>
    <w:lsdException w:qFormat="1" w:unhideWhenUsed="0" w:uiPriority="99" w:semiHidden="0" w:name="footer"/>
    <w:lsdException w:unhideWhenUsed="0" w:uiPriority="0" w:semiHidden="0" w:name="index heading" w:locked="1"/>
    <w:lsdException w:qFormat="1" w:unhideWhenUsed="0" w:uiPriority="0" w:semiHidden="0" w:name="caption" w:locked="1"/>
    <w:lsdException w:unhideWhenUsed="0" w:uiPriority="0" w:semiHidden="0" w:name="table of figures" w:locked="1"/>
    <w:lsdException w:unhideWhenUsed="0" w:uiPriority="0" w:semiHidden="0" w:name="envelope address" w:locked="1"/>
    <w:lsdException w:unhideWhenUsed="0" w:uiPriority="0" w:semiHidden="0" w:name="envelope return" w:locked="1"/>
    <w:lsdException w:unhideWhenUsed="0" w:uiPriority="0" w:semiHidden="0" w:name="footnote reference" w:locked="1"/>
    <w:lsdException w:qFormat="1" w:unhideWhenUsed="0" w:uiPriority="0" w:name="annotation reference"/>
    <w:lsdException w:unhideWhenUsed="0" w:uiPriority="0" w:semiHidden="0" w:name="line number" w:locked="1"/>
    <w:lsdException w:qFormat="1" w:unhideWhenUsed="0" w:uiPriority="0" w:semiHidden="0" w:name="page number" w:locked="1"/>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0" w:semiHidden="0" w:name="Title" w:locked="1"/>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sdException w:qFormat="1" w:unhideWhenUsed="0" w:uiPriority="0" w:semiHidden="0" w:name="Body Text First Indent" w:locked="1"/>
    <w:lsdException w:qFormat="1" w:unhideWhenUsed="0" w:uiPriority="0" w:semiHidden="0" w:name="Body Text First Indent 2" w:locked="1"/>
    <w:lsdException w:unhideWhenUsed="0" w:uiPriority="0" w:semiHidden="0" w:name="Note Heading" w:locked="1"/>
    <w:lsdException w:qFormat="1" w:unhideWhenUsed="0" w:uiPriority="0" w:semiHidden="0" w:name="Body Text 2" w:locked="1"/>
    <w:lsdException w:unhideWhenUsed="0" w:uiPriority="0" w:semiHidden="0" w:name="Body Text 3" w:locked="1"/>
    <w:lsdException w:qFormat="1" w:unhideWhenUsed="0" w:uiPriority="0" w:semiHidden="0" w:name="Body Text Indent 2" w:locked="1"/>
    <w:lsdException w:qFormat="1" w:unhideWhenUsed="0" w:uiPriority="0" w:semiHidden="0" w:name="Body Text Indent 3" w:locked="1"/>
    <w:lsdException w:unhideWhenUsed="0" w:uiPriority="0" w:semiHidden="0" w:name="Block Text" w:locked="1"/>
    <w:lsdException w:qFormat="1" w:unhideWhenUsed="0" w:uiPriority="0" w:semiHidden="0" w:name="Hyperlink" w:locked="1"/>
    <w:lsdException w:qFormat="1" w:unhideWhenUsed="0" w:uiPriority="0" w:semiHidden="0" w:name="FollowedHyperlink" w:locked="1"/>
    <w:lsdException w:qFormat="1" w:unhideWhenUsed="0" w:uiPriority="0" w:semiHidden="0" w:name="Strong" w:locked="1"/>
    <w:lsdException w:qFormat="1" w:unhideWhenUsed="0" w:uiPriority="0" w:semiHidden="0" w:name="Emphasis" w:locked="1"/>
    <w:lsdException w:unhideWhenUsed="0" w:uiPriority="0" w:semiHidden="0" w:name="Document Map" w:locked="1"/>
    <w:lsdException w:qFormat="1" w:unhideWhenUsed="0" w:uiPriority="0" w:semiHidden="0" w:name="Plain Text" w:locked="1"/>
    <w:lsdException w:unhideWhenUsed="0" w:uiPriority="0" w:semiHidden="0" w:name="E-mail Signature" w:locked="1"/>
    <w:lsdException w:qFormat="1" w:unhideWhenUsed="0" w:uiPriority="0" w:semiHidden="0" w:name="Normal (Web)"/>
    <w:lsdException w:unhideWhenUsed="0" w:uiPriority="0" w:semiHidden="0" w:name="HTML Acronym" w:locked="1"/>
    <w:lsdException w:unhideWhenUsed="0" w:uiPriority="0" w:semiHidden="0" w:name="HTML Address" w:locked="1"/>
    <w:lsdException w:unhideWhenUsed="0" w:uiPriority="0" w:semiHidden="0" w:name="HTML Cite" w:locked="1"/>
    <w:lsdException w:unhideWhenUsed="0" w:uiPriority="0" w:semiHidden="0" w:name="HTML Code" w:locked="1"/>
    <w:lsdException w:unhideWhenUsed="0" w:uiPriority="0" w:semiHidden="0" w:name="HTML Definition" w:locked="1"/>
    <w:lsdException w:unhideWhenUsed="0" w:uiPriority="0" w:semiHidden="0" w:name="HTML Keyboard" w:locked="1"/>
    <w:lsdException w:unhideWhenUsed="0" w:uiPriority="0" w:semiHidden="0" w:name="HTML Preformatted" w:locked="1"/>
    <w:lsdException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qFormat="1" w:unhideWhenUsed="0" w:uiPriority="0"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nhideWhenUsed="0" w:uiPriority="0" w:name="Balloon Text"/>
    <w:lsdException w:qFormat="1" w:unhideWhenUsed="0" w:uiPriority="0"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00"/>
    <w:qFormat/>
    <w:locked/>
    <w:uiPriority w:val="99"/>
    <w:pPr>
      <w:keepNext/>
      <w:overflowPunct w:val="0"/>
      <w:snapToGrid w:val="0"/>
      <w:spacing w:line="240" w:lineRule="auto"/>
      <w:ind w:left="0" w:firstLine="0"/>
      <w:outlineLvl w:val="0"/>
    </w:pPr>
    <w:rPr>
      <w:rFonts w:ascii="Times New Roman" w:hAnsi="Times New Roman" w:eastAsia="黑体"/>
      <w:b/>
      <w:bCs/>
      <w:color w:val="000000"/>
      <w:kern w:val="44"/>
      <w:sz w:val="30"/>
      <w:szCs w:val="30"/>
    </w:rPr>
  </w:style>
  <w:style w:type="paragraph" w:styleId="3">
    <w:name w:val="heading 2"/>
    <w:basedOn w:val="1"/>
    <w:next w:val="1"/>
    <w:qFormat/>
    <w:locked/>
    <w:uiPriority w:val="9"/>
    <w:pPr>
      <w:numPr>
        <w:ilvl w:val="1"/>
        <w:numId w:val="1"/>
      </w:numPr>
      <w:spacing w:line="360" w:lineRule="auto"/>
      <w:ind w:left="425" w:firstLine="0" w:firstLineChars="0"/>
      <w:outlineLvl w:val="1"/>
    </w:pPr>
    <w:rPr>
      <w:rFonts w:cs="Times New Roman"/>
      <w:b/>
      <w:szCs w:val="24"/>
    </w:rPr>
  </w:style>
  <w:style w:type="paragraph" w:styleId="4">
    <w:name w:val="heading 3"/>
    <w:basedOn w:val="1"/>
    <w:next w:val="1"/>
    <w:qFormat/>
    <w:locked/>
    <w:uiPriority w:val="0"/>
    <w:pPr>
      <w:keepNext/>
      <w:keepLines/>
      <w:spacing w:line="440" w:lineRule="exact"/>
      <w:ind w:left="0" w:firstLine="0" w:firstLineChars="0"/>
      <w:outlineLvl w:val="2"/>
    </w:pPr>
    <w:rPr>
      <w:b/>
      <w:szCs w:val="32"/>
    </w:rPr>
  </w:style>
  <w:style w:type="paragraph" w:styleId="5">
    <w:name w:val="heading 4"/>
    <w:basedOn w:val="1"/>
    <w:next w:val="1"/>
    <w:qFormat/>
    <w:locked/>
    <w:uiPriority w:val="0"/>
    <w:pPr>
      <w:keepNext/>
      <w:keepLines/>
      <w:spacing w:before="280" w:after="290" w:line="376" w:lineRule="auto"/>
      <w:outlineLvl w:val="3"/>
    </w:pPr>
    <w:rPr>
      <w:rFonts w:ascii="Arial" w:hAnsi="Arial" w:eastAsia="黑体"/>
      <w:b/>
      <w:bCs/>
      <w:sz w:val="28"/>
      <w:szCs w:val="28"/>
    </w:rPr>
  </w:style>
  <w:style w:type="character" w:default="1" w:styleId="28">
    <w:name w:val="Default Paragraph Font"/>
    <w:semiHidden/>
    <w:qFormat/>
    <w:uiPriority w:val="0"/>
  </w:style>
  <w:style w:type="table" w:default="1" w:styleId="26">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6">
    <w:name w:val="Normal Indent"/>
    <w:basedOn w:val="1"/>
    <w:next w:val="5"/>
    <w:link w:val="34"/>
    <w:qFormat/>
    <w:locked/>
    <w:uiPriority w:val="0"/>
    <w:pPr>
      <w:ind w:firstLine="420" w:firstLineChars="200"/>
    </w:pPr>
    <w:rPr>
      <w:rFonts w:ascii="Times New Roman" w:hAnsi="Times New Roman" w:eastAsia="宋体"/>
    </w:rPr>
  </w:style>
  <w:style w:type="paragraph" w:styleId="7">
    <w:name w:val="caption"/>
    <w:basedOn w:val="1"/>
    <w:next w:val="1"/>
    <w:qFormat/>
    <w:locked/>
    <w:uiPriority w:val="0"/>
    <w:pPr>
      <w:spacing w:before="152" w:after="160"/>
    </w:pPr>
    <w:rPr>
      <w:rFonts w:ascii="Arial" w:hAnsi="Arial" w:eastAsia="黑体" w:cs="Arial"/>
      <w:sz w:val="20"/>
      <w:szCs w:val="20"/>
    </w:rPr>
  </w:style>
  <w:style w:type="paragraph" w:styleId="8">
    <w:name w:val="annotation text"/>
    <w:basedOn w:val="1"/>
    <w:link w:val="37"/>
    <w:semiHidden/>
    <w:qFormat/>
    <w:uiPriority w:val="0"/>
    <w:pPr>
      <w:jc w:val="left"/>
    </w:pPr>
    <w:rPr>
      <w:kern w:val="0"/>
      <w:sz w:val="24"/>
      <w:szCs w:val="20"/>
    </w:rPr>
  </w:style>
  <w:style w:type="paragraph" w:styleId="9">
    <w:name w:val="Body Text"/>
    <w:basedOn w:val="1"/>
    <w:next w:val="1"/>
    <w:link w:val="36"/>
    <w:qFormat/>
    <w:uiPriority w:val="0"/>
    <w:pPr>
      <w:widowControl/>
      <w:snapToGrid w:val="0"/>
      <w:spacing w:before="60" w:after="160" w:line="259" w:lineRule="auto"/>
      <w:ind w:right="113"/>
    </w:pPr>
    <w:rPr>
      <w:kern w:val="0"/>
      <w:sz w:val="18"/>
      <w:szCs w:val="20"/>
    </w:rPr>
  </w:style>
  <w:style w:type="paragraph" w:styleId="10">
    <w:name w:val="Body Text Indent"/>
    <w:basedOn w:val="1"/>
    <w:next w:val="11"/>
    <w:link w:val="35"/>
    <w:qFormat/>
    <w:uiPriority w:val="0"/>
    <w:pPr>
      <w:spacing w:after="120"/>
      <w:ind w:left="420" w:leftChars="200"/>
    </w:pPr>
    <w:rPr>
      <w:kern w:val="0"/>
      <w:sz w:val="24"/>
      <w:szCs w:val="20"/>
    </w:rPr>
  </w:style>
  <w:style w:type="paragraph" w:styleId="11">
    <w:name w:val="header"/>
    <w:basedOn w:val="1"/>
    <w:next w:val="12"/>
    <w:link w:val="41"/>
    <w:qFormat/>
    <w:uiPriority w:val="0"/>
    <w:pPr>
      <w:pBdr>
        <w:bottom w:val="single" w:color="auto" w:sz="6" w:space="1"/>
      </w:pBdr>
      <w:tabs>
        <w:tab w:val="center" w:pos="4153"/>
        <w:tab w:val="right" w:pos="8306"/>
      </w:tabs>
      <w:snapToGrid w:val="0"/>
      <w:jc w:val="center"/>
    </w:pPr>
    <w:rPr>
      <w:kern w:val="0"/>
      <w:sz w:val="18"/>
      <w:szCs w:val="20"/>
    </w:rPr>
  </w:style>
  <w:style w:type="paragraph" w:customStyle="1" w:styleId="12">
    <w:name w:val="样式5"/>
    <w:basedOn w:val="6"/>
    <w:qFormat/>
    <w:uiPriority w:val="0"/>
    <w:pPr>
      <w:keepNext/>
      <w:tabs>
        <w:tab w:val="center" w:pos="4153"/>
        <w:tab w:val="right" w:pos="8306"/>
      </w:tabs>
      <w:spacing w:line="240" w:lineRule="auto"/>
      <w:jc w:val="left"/>
      <w:outlineLvl w:val="0"/>
    </w:pPr>
    <w:rPr>
      <w:rFonts w:ascii="黑体" w:hAnsi="黑体"/>
      <w:spacing w:val="5"/>
      <w:sz w:val="25"/>
      <w:szCs w:val="25"/>
    </w:rPr>
  </w:style>
  <w:style w:type="paragraph" w:styleId="13">
    <w:name w:val="Plain Text"/>
    <w:basedOn w:val="1"/>
    <w:qFormat/>
    <w:locked/>
    <w:uiPriority w:val="0"/>
    <w:rPr>
      <w:rFonts w:ascii="宋体" w:hAnsi="Courier New" w:eastAsia="宋体" w:cs="Times New Roman"/>
      <w:szCs w:val="20"/>
    </w:rPr>
  </w:style>
  <w:style w:type="paragraph" w:styleId="14">
    <w:name w:val="Date"/>
    <w:basedOn w:val="1"/>
    <w:next w:val="1"/>
    <w:link w:val="38"/>
    <w:qFormat/>
    <w:uiPriority w:val="0"/>
    <w:pPr>
      <w:ind w:left="100" w:leftChars="2500"/>
    </w:pPr>
    <w:rPr>
      <w:kern w:val="0"/>
      <w:sz w:val="24"/>
      <w:szCs w:val="20"/>
    </w:rPr>
  </w:style>
  <w:style w:type="paragraph" w:styleId="15">
    <w:name w:val="Body Text Indent 2"/>
    <w:basedOn w:val="1"/>
    <w:next w:val="1"/>
    <w:qFormat/>
    <w:locked/>
    <w:uiPriority w:val="0"/>
    <w:pPr>
      <w:spacing w:after="120" w:line="480" w:lineRule="auto"/>
      <w:ind w:left="420" w:leftChars="200"/>
    </w:pPr>
  </w:style>
  <w:style w:type="paragraph" w:styleId="16">
    <w:name w:val="Balloon Text"/>
    <w:basedOn w:val="1"/>
    <w:link w:val="39"/>
    <w:semiHidden/>
    <w:qFormat/>
    <w:uiPriority w:val="0"/>
    <w:rPr>
      <w:kern w:val="0"/>
      <w:sz w:val="18"/>
      <w:szCs w:val="20"/>
    </w:rPr>
  </w:style>
  <w:style w:type="paragraph" w:styleId="17">
    <w:name w:val="footer"/>
    <w:basedOn w:val="1"/>
    <w:link w:val="40"/>
    <w:qFormat/>
    <w:uiPriority w:val="99"/>
    <w:pPr>
      <w:tabs>
        <w:tab w:val="center" w:pos="4153"/>
        <w:tab w:val="right" w:pos="8306"/>
      </w:tabs>
      <w:snapToGrid w:val="0"/>
      <w:jc w:val="left"/>
    </w:pPr>
    <w:rPr>
      <w:kern w:val="0"/>
      <w:sz w:val="18"/>
      <w:szCs w:val="20"/>
    </w:rPr>
  </w:style>
  <w:style w:type="paragraph" w:styleId="18">
    <w:name w:val="toc 1"/>
    <w:basedOn w:val="1"/>
    <w:next w:val="1"/>
    <w:semiHidden/>
    <w:qFormat/>
    <w:locked/>
    <w:uiPriority w:val="0"/>
    <w:pPr>
      <w:spacing w:before="120" w:after="120"/>
      <w:jc w:val="left"/>
    </w:pPr>
    <w:rPr>
      <w:b/>
      <w:bCs/>
      <w:caps/>
      <w:sz w:val="20"/>
    </w:rPr>
  </w:style>
  <w:style w:type="paragraph" w:styleId="19">
    <w:name w:val="Body Text Indent 3"/>
    <w:basedOn w:val="1"/>
    <w:qFormat/>
    <w:locked/>
    <w:uiPriority w:val="0"/>
    <w:pPr>
      <w:spacing w:after="120"/>
      <w:ind w:left="420" w:leftChars="200"/>
    </w:pPr>
    <w:rPr>
      <w:sz w:val="16"/>
      <w:szCs w:val="16"/>
    </w:rPr>
  </w:style>
  <w:style w:type="paragraph" w:styleId="20">
    <w:name w:val="toc 2"/>
    <w:basedOn w:val="1"/>
    <w:next w:val="1"/>
    <w:qFormat/>
    <w:locked/>
    <w:uiPriority w:val="39"/>
    <w:pPr>
      <w:tabs>
        <w:tab w:val="left" w:pos="1050"/>
        <w:tab w:val="right" w:leader="dot" w:pos="9060"/>
      </w:tabs>
      <w:spacing w:line="360" w:lineRule="exact"/>
      <w:ind w:left="480" w:leftChars="200"/>
    </w:pPr>
    <w:rPr>
      <w:rFonts w:eastAsia="楷体"/>
    </w:rPr>
  </w:style>
  <w:style w:type="paragraph" w:styleId="21">
    <w:name w:val="Body Text 2"/>
    <w:basedOn w:val="1"/>
    <w:qFormat/>
    <w:locked/>
    <w:uiPriority w:val="0"/>
    <w:pPr>
      <w:spacing w:after="120" w:afterLines="0" w:line="480" w:lineRule="auto"/>
    </w:pPr>
  </w:style>
  <w:style w:type="paragraph" w:styleId="22">
    <w:name w:val="Normal (Web)"/>
    <w:basedOn w:val="1"/>
    <w:link w:val="42"/>
    <w:qFormat/>
    <w:uiPriority w:val="0"/>
    <w:pPr>
      <w:widowControl/>
      <w:spacing w:before="100" w:beforeAutospacing="1" w:after="100" w:afterAutospacing="1"/>
      <w:jc w:val="left"/>
    </w:pPr>
    <w:rPr>
      <w:rFonts w:ascii="宋体" w:hAnsi="宋体"/>
      <w:kern w:val="0"/>
      <w:sz w:val="24"/>
      <w:szCs w:val="20"/>
    </w:rPr>
  </w:style>
  <w:style w:type="paragraph" w:styleId="23">
    <w:name w:val="annotation subject"/>
    <w:basedOn w:val="8"/>
    <w:next w:val="8"/>
    <w:link w:val="43"/>
    <w:semiHidden/>
    <w:qFormat/>
    <w:uiPriority w:val="0"/>
    <w:rPr>
      <w:b/>
      <w:sz w:val="24"/>
      <w:szCs w:val="20"/>
    </w:rPr>
  </w:style>
  <w:style w:type="paragraph" w:styleId="24">
    <w:name w:val="Body Text First Indent"/>
    <w:basedOn w:val="9"/>
    <w:next w:val="1"/>
    <w:qFormat/>
    <w:locked/>
    <w:uiPriority w:val="0"/>
    <w:pPr>
      <w:spacing w:after="120"/>
      <w:ind w:left="0" w:firstLine="420" w:firstLineChars="100"/>
    </w:pPr>
    <w:rPr>
      <w:rFonts w:ascii="宋体" w:hAnsi="宋体" w:cs="宋体"/>
      <w:color w:val="FF0000"/>
      <w:kern w:val="0"/>
      <w:sz w:val="24"/>
      <w:szCs w:val="24"/>
    </w:rPr>
  </w:style>
  <w:style w:type="paragraph" w:styleId="25">
    <w:name w:val="Body Text First Indent 2"/>
    <w:basedOn w:val="10"/>
    <w:qFormat/>
    <w:locked/>
    <w:uiPriority w:val="0"/>
    <w:pPr>
      <w:ind w:left="420" w:leftChars="200" w:firstLine="420"/>
    </w:pPr>
    <w:rPr>
      <w:rFonts w:ascii="Times New Roman" w:hAnsi="Times New Roman"/>
      <w:sz w:val="21"/>
    </w:rPr>
  </w:style>
  <w:style w:type="table" w:styleId="27">
    <w:name w:val="Table Grid"/>
    <w:basedOn w:val="26"/>
    <w:qFormat/>
    <w:uiPriority w:val="0"/>
    <w:rPr>
      <w:lang w:val="en-US" w:eastAsia="zh-CN" w:bidi="ar-S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page number"/>
    <w:qFormat/>
    <w:locked/>
    <w:uiPriority w:val="0"/>
  </w:style>
  <w:style w:type="character" w:styleId="30">
    <w:name w:val="FollowedHyperlink"/>
    <w:basedOn w:val="28"/>
    <w:qFormat/>
    <w:locked/>
    <w:uiPriority w:val="0"/>
    <w:rPr>
      <w:color w:val="800080"/>
      <w:u w:val="single"/>
    </w:rPr>
  </w:style>
  <w:style w:type="character" w:styleId="31">
    <w:name w:val="Hyperlink"/>
    <w:qFormat/>
    <w:locked/>
    <w:uiPriority w:val="0"/>
    <w:rPr>
      <w:color w:val="0000FF"/>
      <w:u w:val="single"/>
    </w:rPr>
  </w:style>
  <w:style w:type="character" w:styleId="32">
    <w:name w:val="annotation reference"/>
    <w:basedOn w:val="28"/>
    <w:semiHidden/>
    <w:qFormat/>
    <w:uiPriority w:val="0"/>
    <w:rPr>
      <w:sz w:val="21"/>
    </w:rPr>
  </w:style>
  <w:style w:type="paragraph" w:customStyle="1" w:styleId="33">
    <w:name w:val="正文1"/>
    <w:basedOn w:val="21"/>
    <w:next w:val="1"/>
    <w:qFormat/>
    <w:uiPriority w:val="0"/>
    <w:pPr>
      <w:tabs>
        <w:tab w:val="center" w:pos="4153"/>
        <w:tab w:val="right" w:pos="8306"/>
      </w:tabs>
      <w:adjustRightInd w:val="0"/>
      <w:snapToGrid w:val="0"/>
      <w:spacing w:line="480" w:lineRule="exact"/>
      <w:ind w:firstLine="200" w:firstLineChars="200"/>
    </w:pPr>
    <w:rPr>
      <w:kern w:val="2"/>
      <w:sz w:val="24"/>
      <w:lang w:val="en-US" w:eastAsia="zh-CN" w:bidi="ar-SA"/>
    </w:rPr>
  </w:style>
  <w:style w:type="character" w:customStyle="1" w:styleId="34">
    <w:name w:val="正文缩进 字符"/>
    <w:link w:val="6"/>
    <w:qFormat/>
    <w:uiPriority w:val="0"/>
    <w:rPr>
      <w:rFonts w:ascii="Times New Roman" w:hAnsi="Times New Roman" w:eastAsia="宋体"/>
      <w:szCs w:val="24"/>
    </w:rPr>
  </w:style>
  <w:style w:type="character" w:customStyle="1" w:styleId="35">
    <w:name w:val="正文文本缩进 字符"/>
    <w:link w:val="10"/>
    <w:semiHidden/>
    <w:qFormat/>
    <w:locked/>
    <w:uiPriority w:val="0"/>
    <w:rPr>
      <w:rFonts w:ascii="Times New Roman" w:hAnsi="Times New Roman" w:eastAsia="宋体"/>
      <w:sz w:val="24"/>
    </w:rPr>
  </w:style>
  <w:style w:type="character" w:customStyle="1" w:styleId="36">
    <w:name w:val="正文文本 字符"/>
    <w:link w:val="9"/>
    <w:qFormat/>
    <w:locked/>
    <w:uiPriority w:val="0"/>
    <w:rPr>
      <w:sz w:val="18"/>
    </w:rPr>
  </w:style>
  <w:style w:type="character" w:customStyle="1" w:styleId="37">
    <w:name w:val="批注文字 字符"/>
    <w:link w:val="8"/>
    <w:qFormat/>
    <w:locked/>
    <w:uiPriority w:val="0"/>
    <w:rPr>
      <w:rFonts w:ascii="Times New Roman" w:hAnsi="Times New Roman" w:eastAsia="宋体"/>
      <w:sz w:val="24"/>
    </w:rPr>
  </w:style>
  <w:style w:type="character" w:customStyle="1" w:styleId="38">
    <w:name w:val="日期 字符1"/>
    <w:link w:val="14"/>
    <w:qFormat/>
    <w:locked/>
    <w:uiPriority w:val="0"/>
    <w:rPr>
      <w:rFonts w:ascii="Times New Roman" w:hAnsi="Times New Roman" w:eastAsia="宋体"/>
      <w:sz w:val="24"/>
    </w:rPr>
  </w:style>
  <w:style w:type="character" w:customStyle="1" w:styleId="39">
    <w:name w:val="批注框文本 字符"/>
    <w:link w:val="16"/>
    <w:semiHidden/>
    <w:qFormat/>
    <w:locked/>
    <w:uiPriority w:val="0"/>
    <w:rPr>
      <w:rFonts w:ascii="Times New Roman" w:hAnsi="Times New Roman" w:eastAsia="宋体"/>
      <w:sz w:val="18"/>
    </w:rPr>
  </w:style>
  <w:style w:type="character" w:customStyle="1" w:styleId="40">
    <w:name w:val="页脚 字符1"/>
    <w:link w:val="17"/>
    <w:qFormat/>
    <w:locked/>
    <w:uiPriority w:val="99"/>
    <w:rPr>
      <w:sz w:val="18"/>
    </w:rPr>
  </w:style>
  <w:style w:type="character" w:customStyle="1" w:styleId="41">
    <w:name w:val="页眉 字符"/>
    <w:link w:val="11"/>
    <w:qFormat/>
    <w:locked/>
    <w:uiPriority w:val="0"/>
    <w:rPr>
      <w:sz w:val="18"/>
    </w:rPr>
  </w:style>
  <w:style w:type="character" w:customStyle="1" w:styleId="42">
    <w:name w:val="普通(网站) 字符"/>
    <w:link w:val="22"/>
    <w:qFormat/>
    <w:locked/>
    <w:uiPriority w:val="0"/>
    <w:rPr>
      <w:rFonts w:ascii="宋体" w:hAnsi="宋体" w:eastAsia="宋体"/>
      <w:sz w:val="24"/>
    </w:rPr>
  </w:style>
  <w:style w:type="character" w:customStyle="1" w:styleId="43">
    <w:name w:val="批注主题 字符"/>
    <w:link w:val="23"/>
    <w:semiHidden/>
    <w:qFormat/>
    <w:locked/>
    <w:uiPriority w:val="0"/>
    <w:rPr>
      <w:rFonts w:ascii="Times New Roman" w:hAnsi="Times New Roman" w:eastAsia="宋体"/>
      <w:b/>
      <w:kern w:val="2"/>
      <w:sz w:val="24"/>
    </w:rPr>
  </w:style>
  <w:style w:type="paragraph" w:customStyle="1" w:styleId="44">
    <w:name w:val="0正文"/>
    <w:unhideWhenUsed/>
    <w:qFormat/>
    <w:uiPriority w:val="0"/>
    <w:pPr>
      <w:widowControl w:val="0"/>
      <w:spacing w:line="360" w:lineRule="auto"/>
      <w:ind w:firstLine="720" w:firstLineChars="200"/>
    </w:pPr>
    <w:rPr>
      <w:rFonts w:ascii="Calibri" w:hAnsi="Calibri" w:eastAsia="宋体" w:cs="Times New Roman"/>
      <w:sz w:val="24"/>
      <w:szCs w:val="22"/>
      <w:lang w:val="en-US" w:eastAsia="zh-CN" w:bidi="ar-SA"/>
    </w:rPr>
  </w:style>
  <w:style w:type="paragraph" w:customStyle="1" w:styleId="45">
    <w:name w:val="样式6"/>
    <w:basedOn w:val="1"/>
    <w:qFormat/>
    <w:uiPriority w:val="0"/>
    <w:pPr>
      <w:spacing w:line="240" w:lineRule="auto"/>
      <w:ind w:firstLine="0" w:firstLineChars="0"/>
      <w:jc w:val="center"/>
    </w:pPr>
    <w:rPr>
      <w:rFonts w:ascii="Times New Roman" w:hAnsi="Times New Roman" w:eastAsia="宋体"/>
    </w:rPr>
  </w:style>
  <w:style w:type="paragraph" w:customStyle="1" w:styleId="46">
    <w:name w:val="正文_10"/>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47">
    <w:name w:val="页脚 字符"/>
    <w:qFormat/>
    <w:uiPriority w:val="99"/>
  </w:style>
  <w:style w:type="character" w:customStyle="1" w:styleId="48">
    <w:name w:val="日期 字符"/>
    <w:semiHidden/>
    <w:qFormat/>
    <w:uiPriority w:val="0"/>
    <w:rPr>
      <w:rFonts w:ascii="Times New Roman" w:hAnsi="Times New Roman" w:eastAsia="宋体"/>
      <w:sz w:val="24"/>
    </w:rPr>
  </w:style>
  <w:style w:type="character" w:customStyle="1" w:styleId="49">
    <w:name w:val="正文文本 字符1"/>
    <w:semiHidden/>
    <w:qFormat/>
    <w:uiPriority w:val="0"/>
    <w:rPr>
      <w:rFonts w:ascii="Times New Roman" w:hAnsi="Times New Roman" w:eastAsia="宋体"/>
      <w:sz w:val="24"/>
    </w:rPr>
  </w:style>
  <w:style w:type="character" w:customStyle="1" w:styleId="50">
    <w:name w:val="批注文字 字符1"/>
    <w:semiHidden/>
    <w:qFormat/>
    <w:uiPriority w:val="0"/>
    <w:rPr>
      <w:rFonts w:ascii="Times New Roman" w:hAnsi="Times New Roman" w:eastAsia="宋体"/>
      <w:sz w:val="24"/>
    </w:rPr>
  </w:style>
  <w:style w:type="character" w:customStyle="1" w:styleId="51">
    <w:name w:val="表格 Char"/>
    <w:link w:val="52"/>
    <w:qFormat/>
    <w:locked/>
    <w:uiPriority w:val="0"/>
    <w:rPr>
      <w:rFonts w:ascii="宋体"/>
      <w:sz w:val="21"/>
    </w:rPr>
  </w:style>
  <w:style w:type="paragraph" w:customStyle="1" w:styleId="52">
    <w:name w:val="表格"/>
    <w:basedOn w:val="1"/>
    <w:next w:val="1"/>
    <w:link w:val="51"/>
    <w:qFormat/>
    <w:uiPriority w:val="0"/>
    <w:pPr>
      <w:adjustRightInd w:val="0"/>
      <w:snapToGrid w:val="0"/>
      <w:spacing w:beforeLines="10" w:afterLines="10" w:line="259" w:lineRule="auto"/>
      <w:jc w:val="center"/>
    </w:pPr>
    <w:rPr>
      <w:rFonts w:ascii="宋体"/>
      <w:kern w:val="0"/>
      <w:szCs w:val="20"/>
    </w:rPr>
  </w:style>
  <w:style w:type="paragraph" w:customStyle="1" w:styleId="53">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4">
    <w:name w:val="一级条标题"/>
    <w:basedOn w:val="55"/>
    <w:next w:val="53"/>
    <w:qFormat/>
    <w:uiPriority w:val="0"/>
    <w:pPr>
      <w:keepNext w:val="0"/>
      <w:keepLines w:val="0"/>
      <w:numPr>
        <w:ilvl w:val="0"/>
        <w:numId w:val="0"/>
      </w:numPr>
      <w:tabs>
        <w:tab w:val="left" w:pos="360"/>
        <w:tab w:val="left" w:pos="1983"/>
      </w:tabs>
      <w:adjustRightInd w:val="0"/>
      <w:spacing w:before="0" w:after="0" w:line="240" w:lineRule="auto"/>
      <w:ind w:left="1983" w:hanging="420"/>
      <w:jc w:val="both"/>
      <w:outlineLvl w:val="2"/>
    </w:pPr>
    <w:rPr>
      <w:rFonts w:ascii="黑体" w:eastAsia="黑体"/>
      <w:b/>
      <w:bCs/>
      <w:kern w:val="0"/>
      <w:sz w:val="21"/>
      <w:szCs w:val="20"/>
      <w:lang w:val="en-US" w:eastAsia="zh-CN"/>
    </w:rPr>
  </w:style>
  <w:style w:type="paragraph" w:customStyle="1" w:styleId="55">
    <w:name w:val="章标题"/>
    <w:next w:val="53"/>
    <w:qFormat/>
    <w:uiPriority w:val="0"/>
    <w:pPr>
      <w:tabs>
        <w:tab w:val="left" w:pos="360"/>
      </w:tabs>
      <w:spacing w:before="50" w:after="50"/>
      <w:jc w:val="both"/>
      <w:outlineLvl w:val="1"/>
    </w:pPr>
    <w:rPr>
      <w:rFonts w:ascii="黑体" w:hAnsi="Times New Roman" w:eastAsia="黑体" w:cs="Times New Roman"/>
      <w:sz w:val="21"/>
      <w:lang w:val="en-US" w:eastAsia="zh-CN" w:bidi="ar-SA"/>
    </w:rPr>
  </w:style>
  <w:style w:type="paragraph" w:customStyle="1" w:styleId="56">
    <w:name w:val="二级条标题"/>
    <w:basedOn w:val="54"/>
    <w:next w:val="53"/>
    <w:qFormat/>
    <w:uiPriority w:val="0"/>
    <w:pPr>
      <w:ind w:left="0" w:firstLine="0"/>
      <w:outlineLvl w:val="3"/>
    </w:pPr>
  </w:style>
  <w:style w:type="paragraph" w:customStyle="1" w:styleId="57">
    <w:name w:val="三级条标题"/>
    <w:basedOn w:val="56"/>
    <w:next w:val="53"/>
    <w:qFormat/>
    <w:uiPriority w:val="0"/>
    <w:pPr>
      <w:outlineLvl w:val="4"/>
    </w:pPr>
  </w:style>
  <w:style w:type="paragraph" w:customStyle="1" w:styleId="58">
    <w:name w:val="四级条标题"/>
    <w:basedOn w:val="57"/>
    <w:next w:val="53"/>
    <w:qFormat/>
    <w:uiPriority w:val="0"/>
    <w:pPr>
      <w:outlineLvl w:val="5"/>
    </w:pPr>
  </w:style>
  <w:style w:type="paragraph" w:customStyle="1" w:styleId="59">
    <w:name w:val="样式 小四 行距: 1.5 倍行距 首行缩进:  2 字符"/>
    <w:basedOn w:val="1"/>
    <w:qFormat/>
    <w:uiPriority w:val="0"/>
    <w:pPr>
      <w:spacing w:line="500" w:lineRule="exact"/>
      <w:ind w:firstLine="480" w:firstLineChars="200"/>
    </w:pPr>
    <w:rPr>
      <w:color w:val="4F81BD"/>
      <w:sz w:val="24"/>
      <w:szCs w:val="24"/>
    </w:rPr>
  </w:style>
  <w:style w:type="paragraph" w:customStyle="1" w:styleId="60">
    <w:name w:val="样式4"/>
    <w:basedOn w:val="5"/>
    <w:qFormat/>
    <w:uiPriority w:val="0"/>
    <w:pPr>
      <w:spacing w:before="0" w:beforeLines="0" w:after="0" w:afterLines="0" w:line="360" w:lineRule="auto"/>
    </w:pPr>
    <w:rPr>
      <w:rFonts w:ascii="宋体" w:hAnsi="宋体" w:eastAsia="宋体"/>
      <w:b w:val="0"/>
      <w:sz w:val="24"/>
      <w:szCs w:val="24"/>
    </w:rPr>
  </w:style>
  <w:style w:type="paragraph" w:customStyle="1" w:styleId="61">
    <w:name w:val="！正文ctrl-4 + 首行缩进:  2 字符 段前: 0.5 行1"/>
    <w:basedOn w:val="1"/>
    <w:qFormat/>
    <w:uiPriority w:val="0"/>
    <w:pPr>
      <w:adjustRightInd w:val="0"/>
      <w:snapToGrid w:val="0"/>
      <w:spacing w:line="460" w:lineRule="exact"/>
      <w:ind w:left="0" w:firstLine="491" w:firstLineChars="200"/>
      <w:jc w:val="left"/>
    </w:pPr>
    <w:rPr>
      <w:color w:val="000000"/>
      <w:sz w:val="24"/>
      <w:szCs w:val="24"/>
    </w:rPr>
  </w:style>
  <w:style w:type="paragraph" w:customStyle="1" w:styleId="62">
    <w:name w:val="表"/>
    <w:qFormat/>
    <w:uiPriority w:val="99"/>
    <w:pPr>
      <w:spacing w:line="440" w:lineRule="exact"/>
      <w:ind w:firstLine="200" w:firstLineChars="200"/>
      <w:jc w:val="both"/>
    </w:pPr>
    <w:rPr>
      <w:rFonts w:ascii="Times New Roman" w:hAnsi="Times New Roman" w:eastAsia="宋体" w:cs="Times New Roman"/>
      <w:sz w:val="24"/>
      <w:lang w:val="en-US" w:eastAsia="zh-CN" w:bidi="ar-SA"/>
    </w:rPr>
  </w:style>
  <w:style w:type="paragraph" w:customStyle="1" w:styleId="63">
    <w:name w:val="Normal Indent"/>
    <w:basedOn w:val="1"/>
    <w:qFormat/>
    <w:uiPriority w:val="0"/>
    <w:pPr>
      <w:spacing w:line="360" w:lineRule="auto"/>
      <w:ind w:firstLine="420"/>
    </w:pPr>
    <w:rPr>
      <w:sz w:val="21"/>
    </w:rPr>
  </w:style>
  <w:style w:type="paragraph" w:customStyle="1" w:styleId="64">
    <w:name w:val="Table Paragraph"/>
    <w:basedOn w:val="1"/>
    <w:qFormat/>
    <w:uiPriority w:val="1"/>
    <w:pPr>
      <w:spacing w:line="240" w:lineRule="auto"/>
      <w:ind w:firstLine="0" w:firstLineChars="0"/>
      <w:jc w:val="left"/>
    </w:pPr>
    <w:rPr>
      <w:rFonts w:ascii="Times New Roman" w:hAnsi="Times New Roman" w:eastAsia="宋体"/>
      <w:sz w:val="24"/>
    </w:rPr>
  </w:style>
  <w:style w:type="paragraph" w:customStyle="1" w:styleId="65">
    <w:name w:val="表头"/>
    <w:basedOn w:val="1"/>
    <w:qFormat/>
    <w:uiPriority w:val="0"/>
    <w:pPr>
      <w:snapToGrid w:val="0"/>
      <w:ind w:left="0"/>
      <w:jc w:val="center"/>
    </w:pPr>
    <w:rPr>
      <w:sz w:val="24"/>
    </w:rPr>
  </w:style>
  <w:style w:type="paragraph" w:customStyle="1" w:styleId="66">
    <w:name w:val="Default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7">
    <w:name w:val="2"/>
    <w:basedOn w:val="1"/>
    <w:next w:val="19"/>
    <w:qFormat/>
    <w:uiPriority w:val="0"/>
    <w:pPr>
      <w:ind w:firstLine="527" w:firstLineChars="200"/>
    </w:pPr>
    <w:rPr>
      <w:spacing w:val="5"/>
    </w:rPr>
  </w:style>
  <w:style w:type="paragraph" w:customStyle="1" w:styleId="68">
    <w:name w:val="段落"/>
    <w:basedOn w:val="1"/>
    <w:qFormat/>
    <w:uiPriority w:val="0"/>
    <w:pPr>
      <w:ind w:left="0" w:firstLine="480" w:firstLineChars="200"/>
    </w:pPr>
    <w:rPr>
      <w:sz w:val="24"/>
    </w:rPr>
  </w:style>
  <w:style w:type="paragraph" w:customStyle="1" w:styleId="69">
    <w:name w:val="普通(网站)2"/>
    <w:basedOn w:val="1"/>
    <w:qFormat/>
    <w:uiPriority w:val="0"/>
    <w:pPr>
      <w:widowControl/>
      <w:spacing w:before="100" w:beforeAutospacing="1" w:after="100" w:afterAutospacing="1"/>
      <w:jc w:val="left"/>
    </w:pPr>
    <w:rPr>
      <w:rFonts w:ascii="宋体" w:hAnsi="宋体"/>
      <w:sz w:val="24"/>
      <w:szCs w:val="20"/>
    </w:rPr>
  </w:style>
  <w:style w:type="paragraph" w:customStyle="1" w:styleId="70">
    <w:name w:val="Default"/>
    <w:basedOn w:val="71"/>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71">
    <w:name w:val="纯文本1"/>
    <w:basedOn w:val="1"/>
    <w:qFormat/>
    <w:uiPriority w:val="0"/>
    <w:rPr>
      <w:rFonts w:hint="eastAsia" w:ascii="宋体" w:hAnsi="Courier New"/>
      <w:szCs w:val="24"/>
    </w:rPr>
  </w:style>
  <w:style w:type="paragraph" w:customStyle="1" w:styleId="72">
    <w:name w:val="表格内-MB"/>
    <w:basedOn w:val="1"/>
    <w:qFormat/>
    <w:uiPriority w:val="0"/>
    <w:pPr>
      <w:widowControl/>
      <w:adjustRightInd w:val="0"/>
      <w:snapToGrid w:val="0"/>
      <w:contextualSpacing/>
      <w:jc w:val="center"/>
    </w:pPr>
    <w:rPr>
      <w:rFonts w:ascii="Times New Roman" w:hAnsi="Times New Roman" w:eastAsia="宋体"/>
    </w:rPr>
  </w:style>
  <w:style w:type="paragraph" w:customStyle="1" w:styleId="73">
    <w:name w:val="Table Text"/>
    <w:basedOn w:val="1"/>
    <w:semiHidden/>
    <w:qFormat/>
    <w:uiPriority w:val="0"/>
    <w:pPr>
      <w:spacing w:line="360" w:lineRule="auto"/>
      <w:ind w:firstLine="420" w:firstLineChars="200"/>
    </w:pPr>
    <w:rPr>
      <w:rFonts w:ascii="Times New Roman" w:hAnsi="Times New Roman" w:eastAsia="宋体" w:cs="宋体"/>
      <w:sz w:val="24"/>
      <w:szCs w:val="18"/>
      <w:lang w:eastAsia="en-US"/>
    </w:rPr>
  </w:style>
  <w:style w:type="table" w:customStyle="1" w:styleId="74">
    <w:name w:val="Table Normal"/>
    <w:basedOn w:val="26"/>
    <w:unhideWhenUsed/>
    <w:qFormat/>
    <w:uiPriority w:val="0"/>
    <w:tblPr>
      <w:tblCellMar>
        <w:top w:w="0" w:type="dxa"/>
        <w:left w:w="0" w:type="dxa"/>
        <w:bottom w:w="0" w:type="dxa"/>
        <w:right w:w="0" w:type="dxa"/>
      </w:tblCellMar>
    </w:tblPr>
  </w:style>
  <w:style w:type="paragraph" w:customStyle="1" w:styleId="75">
    <w:name w:val="精为表"/>
    <w:basedOn w:val="1"/>
    <w:qFormat/>
    <w:uiPriority w:val="0"/>
    <w:pPr>
      <w:spacing w:line="480" w:lineRule="exact"/>
      <w:ind w:left="105" w:leftChars="50" w:right="105" w:rightChars="50"/>
      <w:jc w:val="center"/>
    </w:pPr>
    <w:rPr>
      <w:rFonts w:ascii="Calibri"/>
      <w:b/>
      <w:bCs/>
      <w:kern w:val="2"/>
      <w:sz w:val="21"/>
      <w:szCs w:val="24"/>
    </w:rPr>
  </w:style>
  <w:style w:type="paragraph" w:customStyle="1" w:styleId="76">
    <w:name w:val="表格&amp;图标题"/>
    <w:basedOn w:val="1"/>
    <w:qFormat/>
    <w:uiPriority w:val="0"/>
    <w:pPr>
      <w:jc w:val="center"/>
    </w:pPr>
    <w:rPr>
      <w:b/>
      <w:sz w:val="24"/>
    </w:rPr>
  </w:style>
  <w:style w:type="paragraph" w:customStyle="1" w:styleId="77">
    <w:name w:val="biao"/>
    <w:basedOn w:val="1"/>
    <w:qFormat/>
    <w:uiPriority w:val="0"/>
    <w:pPr>
      <w:autoSpaceDE w:val="0"/>
      <w:autoSpaceDN w:val="0"/>
      <w:spacing w:line="240" w:lineRule="auto"/>
      <w:ind w:firstLine="0" w:firstLineChars="0"/>
      <w:jc w:val="center"/>
    </w:pPr>
    <w:rPr>
      <w:kern w:val="0"/>
      <w:sz w:val="21"/>
    </w:rPr>
  </w:style>
  <w:style w:type="paragraph" w:customStyle="1" w:styleId="78">
    <w:name w:val="报告书表格"/>
    <w:basedOn w:val="1"/>
    <w:qFormat/>
    <w:uiPriority w:val="0"/>
    <w:pPr>
      <w:adjustRightInd w:val="0"/>
      <w:spacing w:before="60" w:after="60" w:line="240" w:lineRule="atLeast"/>
      <w:jc w:val="center"/>
      <w:textAlignment w:val="baseline"/>
    </w:pPr>
    <w:rPr>
      <w:kern w:val="0"/>
    </w:rPr>
  </w:style>
  <w:style w:type="paragraph" w:customStyle="1" w:styleId="79">
    <w:name w:val="表内容"/>
    <w:basedOn w:val="1"/>
    <w:next w:val="1"/>
    <w:qFormat/>
    <w:uiPriority w:val="0"/>
    <w:pPr>
      <w:jc w:val="center"/>
    </w:pPr>
    <w:rPr>
      <w:rFonts w:ascii="Times New Roman" w:hAnsi="Times New Roman"/>
    </w:rPr>
  </w:style>
  <w:style w:type="paragraph" w:customStyle="1" w:styleId="80">
    <w:name w:val="精为１"/>
    <w:basedOn w:val="81"/>
    <w:qFormat/>
    <w:uiPriority w:val="0"/>
    <w:pPr>
      <w:adjustRightInd w:val="0"/>
      <w:spacing w:before="100" w:beforeAutospacing="1" w:after="100" w:afterAutospacing="1" w:line="480" w:lineRule="exact"/>
      <w:ind w:left="560"/>
      <w:textAlignment w:val="baseline"/>
    </w:pPr>
    <w:rPr>
      <w:rFonts w:eastAsia="黑体"/>
      <w:b/>
      <w:bCs/>
      <w:szCs w:val="28"/>
    </w:rPr>
  </w:style>
  <w:style w:type="paragraph" w:customStyle="1" w:styleId="81">
    <w:name w:val="正文格式"/>
    <w:basedOn w:val="1"/>
    <w:qFormat/>
    <w:uiPriority w:val="0"/>
    <w:pPr>
      <w:spacing w:line="360" w:lineRule="auto"/>
      <w:ind w:firstLine="560" w:firstLineChars="200"/>
    </w:pPr>
    <w:rPr>
      <w:rFonts w:eastAsia="楷体_GB2312"/>
      <w:sz w:val="28"/>
    </w:rPr>
  </w:style>
  <w:style w:type="paragraph" w:customStyle="1" w:styleId="82">
    <w:name w:val="正文_11"/>
    <w:qFormat/>
    <w:uiPriority w:val="0"/>
    <w:pPr>
      <w:widowControl w:val="0"/>
      <w:jc w:val="both"/>
    </w:pPr>
    <w:rPr>
      <w:rFonts w:ascii="Calibri" w:hAnsi="Calibri" w:eastAsia="宋体" w:cs="Times New Roman"/>
      <w:kern w:val="2"/>
      <w:sz w:val="21"/>
      <w:lang w:val="en-US" w:eastAsia="zh-CN" w:bidi="ar-SA"/>
    </w:rPr>
  </w:style>
  <w:style w:type="paragraph" w:customStyle="1" w:styleId="83">
    <w:name w:val="正文缩进3"/>
    <w:basedOn w:val="1"/>
    <w:qFormat/>
    <w:uiPriority w:val="0"/>
    <w:pPr>
      <w:ind w:firstLine="420" w:firstLineChars="200"/>
    </w:pPr>
    <w:rPr>
      <w:rFonts w:cs="黑体"/>
    </w:rPr>
  </w:style>
  <w:style w:type="paragraph" w:customStyle="1" w:styleId="84">
    <w:name w:val="正文2"/>
    <w:qFormat/>
    <w:uiPriority w:val="0"/>
    <w:pPr>
      <w:jc w:val="both"/>
    </w:pPr>
    <w:rPr>
      <w:rFonts w:ascii="Calibri" w:hAnsi="Calibri" w:eastAsia="宋体" w:cs="Times New Roman"/>
      <w:kern w:val="2"/>
      <w:sz w:val="21"/>
      <w:szCs w:val="21"/>
      <w:lang w:val="en-US" w:eastAsia="zh-CN" w:bidi="ar-SA"/>
    </w:rPr>
  </w:style>
  <w:style w:type="paragraph" w:customStyle="1" w:styleId="85">
    <w:name w:val="正文内容"/>
    <w:basedOn w:val="1"/>
    <w:qFormat/>
    <w:uiPriority w:val="0"/>
    <w:pPr>
      <w:spacing w:line="360" w:lineRule="auto"/>
      <w:ind w:firstLine="200" w:firstLineChars="200"/>
    </w:pPr>
    <w:rPr>
      <w:sz w:val="24"/>
      <w:szCs w:val="24"/>
    </w:rPr>
  </w:style>
  <w:style w:type="paragraph" w:customStyle="1" w:styleId="86">
    <w:name w:val="列出段落2"/>
    <w:basedOn w:val="1"/>
    <w:qFormat/>
    <w:uiPriority w:val="34"/>
    <w:pPr>
      <w:ind w:firstLine="420" w:firstLineChars="200"/>
    </w:pPr>
  </w:style>
  <w:style w:type="paragraph" w:customStyle="1" w:styleId="87">
    <w:name w:val="正文4"/>
    <w:qFormat/>
    <w:uiPriority w:val="0"/>
    <w:pPr>
      <w:jc w:val="both"/>
    </w:pPr>
    <w:rPr>
      <w:rFonts w:ascii="Calibri" w:hAnsi="Calibri" w:eastAsia="宋体" w:cs="Times New Roman"/>
      <w:kern w:val="2"/>
      <w:sz w:val="21"/>
      <w:szCs w:val="21"/>
      <w:lang w:val="en-US" w:eastAsia="zh-CN" w:bidi="ar-SA"/>
    </w:rPr>
  </w:style>
  <w:style w:type="paragraph" w:customStyle="1" w:styleId="88">
    <w:name w:val="报告书正文"/>
    <w:basedOn w:val="1"/>
    <w:qFormat/>
    <w:uiPriority w:val="0"/>
    <w:pPr>
      <w:adjustRightInd w:val="0"/>
      <w:snapToGrid w:val="0"/>
      <w:ind w:firstLine="425"/>
      <w:textAlignment w:val="baseline"/>
    </w:pPr>
    <w:rPr>
      <w:rFonts w:ascii="Arial" w:hAnsi="Arial" w:cs="Arial"/>
      <w:kern w:val="0"/>
      <w:szCs w:val="24"/>
    </w:rPr>
  </w:style>
  <w:style w:type="paragraph" w:customStyle="1" w:styleId="89">
    <w:name w:val="表格正本"/>
    <w:basedOn w:val="1"/>
    <w:qFormat/>
    <w:uiPriority w:val="1"/>
    <w:pPr>
      <w:spacing w:line="360" w:lineRule="auto"/>
      <w:ind w:firstLine="480" w:firstLineChars="200"/>
      <w:jc w:val="both"/>
    </w:pPr>
  </w:style>
  <w:style w:type="paragraph" w:customStyle="1" w:styleId="90">
    <w:name w:val="_Style 1"/>
    <w:qFormat/>
    <w:uiPriority w:val="1"/>
    <w:pPr>
      <w:adjustRightInd w:val="0"/>
      <w:snapToGrid w:val="0"/>
      <w:spacing w:line="480" w:lineRule="exact"/>
      <w:ind w:firstLine="480" w:firstLineChars="200"/>
    </w:pPr>
    <w:rPr>
      <w:rFonts w:ascii="Times New Roman" w:hAnsi="Times New Roman" w:eastAsia="宋体" w:cs="Times New Roman"/>
      <w:sz w:val="24"/>
      <w:szCs w:val="22"/>
      <w:lang w:val="en-US" w:eastAsia="zh-CN" w:bidi="ar-SA"/>
    </w:rPr>
  </w:style>
  <w:style w:type="paragraph" w:customStyle="1" w:styleId="91">
    <w:name w:val="_Style 4"/>
    <w:basedOn w:val="1"/>
    <w:next w:val="1"/>
    <w:qFormat/>
    <w:uiPriority w:val="0"/>
    <w:pPr>
      <w:tabs>
        <w:tab w:val="left" w:pos="4665"/>
        <w:tab w:val="left" w:pos="8970"/>
      </w:tabs>
      <w:ind w:firstLine="400"/>
    </w:pPr>
    <w:rPr>
      <w:rFonts w:ascii="宋体" w:hAnsi="宋体"/>
      <w:sz w:val="30"/>
      <w:szCs w:val="30"/>
    </w:rPr>
  </w:style>
  <w:style w:type="paragraph" w:customStyle="1" w:styleId="92">
    <w:name w:val="p0"/>
    <w:basedOn w:val="1"/>
    <w:qFormat/>
    <w:uiPriority w:val="0"/>
    <w:pPr>
      <w:widowControl/>
    </w:pPr>
    <w:rPr>
      <w:kern w:val="0"/>
      <w:szCs w:val="21"/>
    </w:rPr>
  </w:style>
  <w:style w:type="paragraph" w:customStyle="1" w:styleId="93">
    <w:name w:val="style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94">
    <w:name w:val="表内字"/>
    <w:qFormat/>
    <w:uiPriority w:val="0"/>
    <w:pPr>
      <w:jc w:val="center"/>
    </w:pPr>
    <w:rPr>
      <w:rFonts w:ascii="Times New Roman" w:hAnsi="Times New Roman" w:eastAsia="宋体" w:cs="Times New Roman"/>
      <w:color w:val="000000"/>
      <w:sz w:val="21"/>
      <w:szCs w:val="21"/>
      <w:lang w:val="en-US" w:eastAsia="zh-CN" w:bidi="ar-SA"/>
    </w:rPr>
  </w:style>
  <w:style w:type="paragraph" w:customStyle="1" w:styleId="95">
    <w:name w:val="表内 字体"/>
    <w:basedOn w:val="9"/>
    <w:next w:val="1"/>
    <w:qFormat/>
    <w:uiPriority w:val="0"/>
    <w:pPr>
      <w:keepNext w:val="0"/>
      <w:keepLines w:val="0"/>
      <w:widowControl w:val="0"/>
      <w:suppressLineNumbers w:val="0"/>
      <w:spacing w:before="0" w:beforeAutospacing="0" w:after="0" w:afterAutospacing="0"/>
      <w:ind w:left="0" w:right="0"/>
      <w:jc w:val="left"/>
    </w:pPr>
    <w:rPr>
      <w:rFonts w:hint="default" w:ascii="Times New Roman" w:hAnsi="Times New Roman" w:eastAsia="宋体" w:cs="Times New Roman"/>
      <w:kern w:val="0"/>
      <w:sz w:val="24"/>
      <w:szCs w:val="20"/>
      <w:lang w:val="en-US" w:eastAsia="zh-CN" w:bidi="ar"/>
    </w:rPr>
  </w:style>
  <w:style w:type="character" w:customStyle="1" w:styleId="96">
    <w:name w:val=" Char Char Char Char1"/>
    <w:qFormat/>
    <w:uiPriority w:val="0"/>
    <w:rPr>
      <w:rFonts w:ascii="宋体" w:hAnsi="宋体" w:eastAsia="宋体" w:cs="宋体"/>
      <w:kern w:val="2"/>
      <w:sz w:val="24"/>
      <w:szCs w:val="24"/>
      <w:lang w:val="en-US" w:eastAsia="zh-CN" w:bidi="ar-SA"/>
    </w:rPr>
  </w:style>
  <w:style w:type="paragraph" w:customStyle="1" w:styleId="97">
    <w:name w:val="表格内容"/>
    <w:basedOn w:val="13"/>
    <w:next w:val="1"/>
    <w:qFormat/>
    <w:uiPriority w:val="99"/>
    <w:pPr>
      <w:adjustRightInd w:val="0"/>
      <w:snapToGrid w:val="0"/>
      <w:jc w:val="center"/>
    </w:pPr>
    <w:rPr>
      <w:color w:val="000000"/>
      <w:sz w:val="21"/>
      <w:szCs w:val="24"/>
      <w:lang w:val="en-US" w:eastAsia="zh-CN" w:bidi="ar-SA"/>
    </w:rPr>
  </w:style>
  <w:style w:type="paragraph" w:customStyle="1" w:styleId="98">
    <w:name w:val="表格中文字"/>
    <w:basedOn w:val="1"/>
    <w:qFormat/>
    <w:uiPriority w:val="0"/>
    <w:pPr>
      <w:adjustRightInd w:val="0"/>
      <w:snapToGrid w:val="0"/>
      <w:jc w:val="center"/>
    </w:pPr>
    <w:rPr>
      <w:rFonts w:ascii="Calibri" w:hAnsi="Calibri"/>
      <w:kern w:val="18"/>
      <w:szCs w:val="21"/>
    </w:rPr>
  </w:style>
  <w:style w:type="paragraph" w:customStyle="1" w:styleId="99">
    <w:name w:val="文本"/>
    <w:basedOn w:val="1"/>
    <w:qFormat/>
    <w:uiPriority w:val="0"/>
    <w:pPr>
      <w:adjustRightInd w:val="0"/>
      <w:snapToGrid w:val="0"/>
      <w:spacing w:line="360" w:lineRule="auto"/>
      <w:ind w:firstLine="200" w:firstLineChars="200"/>
      <w:jc w:val="left"/>
    </w:pPr>
  </w:style>
  <w:style w:type="character" w:customStyle="1" w:styleId="100">
    <w:name w:val="标题 1 Char"/>
    <w:link w:val="2"/>
    <w:qFormat/>
    <w:uiPriority w:val="99"/>
    <w:rPr>
      <w:rFonts w:ascii="Times New Roman" w:hAnsi="Times New Roman" w:eastAsia="黑体"/>
      <w:b/>
      <w:bCs/>
      <w:color w:val="000000"/>
      <w:kern w:val="44"/>
      <w:sz w:val="30"/>
      <w:szCs w:val="3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schemas.openxmlformats.org/officeDocument/2006/relationships/image" Target="media/image1.png"/><Relationship Id="rId74" Type="http://schemas.openxmlformats.org/officeDocument/2006/relationships/fontTable" Target="fontTable.xml"/><Relationship Id="rId73" Type="http://schemas.openxmlformats.org/officeDocument/2006/relationships/customXml" Target="../customXml/item2.xml"/><Relationship Id="rId72" Type="http://schemas.openxmlformats.org/officeDocument/2006/relationships/numbering" Target="numbering.xml"/><Relationship Id="rId71" Type="http://schemas.openxmlformats.org/officeDocument/2006/relationships/customXml" Target="../customXml/item1.xml"/><Relationship Id="rId70" Type="http://schemas.openxmlformats.org/officeDocument/2006/relationships/image" Target="media/image63.png"/><Relationship Id="rId7" Type="http://schemas.openxmlformats.org/officeDocument/2006/relationships/theme" Target="theme/theme1.xml"/><Relationship Id="rId69" Type="http://schemas.openxmlformats.org/officeDocument/2006/relationships/image" Target="media/image62.png"/><Relationship Id="rId68" Type="http://schemas.openxmlformats.org/officeDocument/2006/relationships/image" Target="media/image61.png"/><Relationship Id="rId67" Type="http://schemas.openxmlformats.org/officeDocument/2006/relationships/image" Target="media/image60.png"/><Relationship Id="rId66" Type="http://schemas.openxmlformats.org/officeDocument/2006/relationships/image" Target="media/image59.png"/><Relationship Id="rId65" Type="http://schemas.openxmlformats.org/officeDocument/2006/relationships/image" Target="media/image58.png"/><Relationship Id="rId64" Type="http://schemas.openxmlformats.org/officeDocument/2006/relationships/image" Target="media/image57.png"/><Relationship Id="rId63" Type="http://schemas.openxmlformats.org/officeDocument/2006/relationships/image" Target="media/image56.png"/><Relationship Id="rId62" Type="http://schemas.openxmlformats.org/officeDocument/2006/relationships/image" Target="media/image55.png"/><Relationship Id="rId61" Type="http://schemas.openxmlformats.org/officeDocument/2006/relationships/image" Target="media/image54.png"/><Relationship Id="rId60" Type="http://schemas.openxmlformats.org/officeDocument/2006/relationships/image" Target="media/image53.png"/><Relationship Id="rId6" Type="http://schemas.openxmlformats.org/officeDocument/2006/relationships/footer" Target="footer4.xml"/><Relationship Id="rId59" Type="http://schemas.openxmlformats.org/officeDocument/2006/relationships/image" Target="media/image52.png"/><Relationship Id="rId58" Type="http://schemas.openxmlformats.org/officeDocument/2006/relationships/image" Target="media/image51.png"/><Relationship Id="rId57" Type="http://schemas.openxmlformats.org/officeDocument/2006/relationships/image" Target="media/image50.jpeg"/><Relationship Id="rId56" Type="http://schemas.openxmlformats.org/officeDocument/2006/relationships/image" Target="media/image49.jpeg"/><Relationship Id="rId55" Type="http://schemas.openxmlformats.org/officeDocument/2006/relationships/image" Target="media/image48.png"/><Relationship Id="rId54" Type="http://schemas.openxmlformats.org/officeDocument/2006/relationships/image" Target="media/image47.png"/><Relationship Id="rId53" Type="http://schemas.openxmlformats.org/officeDocument/2006/relationships/image" Target="media/image46.png"/><Relationship Id="rId52" Type="http://schemas.openxmlformats.org/officeDocument/2006/relationships/image" Target="media/image45.png"/><Relationship Id="rId51" Type="http://schemas.openxmlformats.org/officeDocument/2006/relationships/image" Target="media/image44.jpeg"/><Relationship Id="rId50" Type="http://schemas.openxmlformats.org/officeDocument/2006/relationships/image" Target="media/image43.png"/><Relationship Id="rId5" Type="http://schemas.openxmlformats.org/officeDocument/2006/relationships/footer" Target="footer3.xml"/><Relationship Id="rId49" Type="http://schemas.openxmlformats.org/officeDocument/2006/relationships/image" Target="media/image42.png"/><Relationship Id="rId48" Type="http://schemas.openxmlformats.org/officeDocument/2006/relationships/image" Target="media/image41.png"/><Relationship Id="rId47" Type="http://schemas.openxmlformats.org/officeDocument/2006/relationships/image" Target="media/image40.png"/><Relationship Id="rId46" Type="http://schemas.openxmlformats.org/officeDocument/2006/relationships/image" Target="media/image39.png"/><Relationship Id="rId45" Type="http://schemas.openxmlformats.org/officeDocument/2006/relationships/image" Target="media/image38.jpeg"/><Relationship Id="rId44" Type="http://schemas.openxmlformats.org/officeDocument/2006/relationships/image" Target="media/image37.jpeg"/><Relationship Id="rId43" Type="http://schemas.openxmlformats.org/officeDocument/2006/relationships/image" Target="media/image36.png"/><Relationship Id="rId42" Type="http://schemas.openxmlformats.org/officeDocument/2006/relationships/image" Target="media/image35.png"/><Relationship Id="rId41" Type="http://schemas.openxmlformats.org/officeDocument/2006/relationships/image" Target="media/image34.png"/><Relationship Id="rId40" Type="http://schemas.openxmlformats.org/officeDocument/2006/relationships/image" Target="media/image33.png"/><Relationship Id="rId4" Type="http://schemas.openxmlformats.org/officeDocument/2006/relationships/footer" Target="footer2.xml"/><Relationship Id="rId39" Type="http://schemas.openxmlformats.org/officeDocument/2006/relationships/image" Target="media/image32.png"/><Relationship Id="rId38" Type="http://schemas.openxmlformats.org/officeDocument/2006/relationships/image" Target="media/image31.png"/><Relationship Id="rId37" Type="http://schemas.openxmlformats.org/officeDocument/2006/relationships/image" Target="media/image30.jpeg"/><Relationship Id="rId36" Type="http://schemas.openxmlformats.org/officeDocument/2006/relationships/image" Target="media/image29.png"/><Relationship Id="rId35" Type="http://schemas.openxmlformats.org/officeDocument/2006/relationships/image" Target="media/image28.png"/><Relationship Id="rId34" Type="http://schemas.openxmlformats.org/officeDocument/2006/relationships/image" Target="media/image27.png"/><Relationship Id="rId33" Type="http://schemas.openxmlformats.org/officeDocument/2006/relationships/image" Target="media/image26.png"/><Relationship Id="rId32" Type="http://schemas.openxmlformats.org/officeDocument/2006/relationships/image" Target="media/image25.png"/><Relationship Id="rId31" Type="http://schemas.openxmlformats.org/officeDocument/2006/relationships/image" Target="media/image24.png"/><Relationship Id="rId30" Type="http://schemas.openxmlformats.org/officeDocument/2006/relationships/image" Target="media/image23.png"/><Relationship Id="rId3" Type="http://schemas.openxmlformats.org/officeDocument/2006/relationships/footer" Target="footer1.xml"/><Relationship Id="rId29" Type="http://schemas.openxmlformats.org/officeDocument/2006/relationships/image" Target="media/image22.png"/><Relationship Id="rId28" Type="http://schemas.openxmlformats.org/officeDocument/2006/relationships/image" Target="media/image21.png"/><Relationship Id="rId27" Type="http://schemas.openxmlformats.org/officeDocument/2006/relationships/image" Target="media/image20.png"/><Relationship Id="rId26" Type="http://schemas.openxmlformats.org/officeDocument/2006/relationships/image" Target="media/image19.png"/><Relationship Id="rId25" Type="http://schemas.openxmlformats.org/officeDocument/2006/relationships/image" Target="media/image18.png"/><Relationship Id="rId24" Type="http://schemas.openxmlformats.org/officeDocument/2006/relationships/image" Target="media/image17.png"/><Relationship Id="rId23" Type="http://schemas.openxmlformats.org/officeDocument/2006/relationships/image" Target="media/image16.png"/><Relationship Id="rId22" Type="http://schemas.openxmlformats.org/officeDocument/2006/relationships/image" Target="media/image15.png"/><Relationship Id="rId21" Type="http://schemas.openxmlformats.org/officeDocument/2006/relationships/image" Target="media/image14.png"/><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jpe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textRotate="1"/>
    <customShpInfo spid="_x0000_s2050" textRotate="1"/>
    <customShpInfo spid="_x0000_s1027"/>
    <customShpInfo spid="_x0000_s1028"/>
    <customShpInfo spid="_x0000_s1029"/>
    <customShpInfo spid="_x0000_s1030"/>
    <customShpInfo spid="_x0000_s1031"/>
    <customShpInfo spid="_x0000_s1032"/>
    <customShpInfo spid="_x0000_s1033"/>
    <customShpInfo spid="_x0000_s1034"/>
    <customShpInfo spid="_x0000_s1035"/>
    <customShpInfo spid="_x0000_s1026"/>
    <customShpInfo spid="_x0000_s1037"/>
    <customShpInfo spid="_x0000_s1038"/>
    <customShpInfo spid="_x0000_s1040"/>
    <customShpInfo spid="_x0000_s1041"/>
    <customShpInfo spid="_x0000_s1042"/>
    <customShpInfo spid="_x0000_s1043"/>
    <customShpInfo spid="_x0000_s1044"/>
    <customShpInfo spid="_x0000_s1045"/>
    <customShpInfo spid="_x0000_s1046"/>
    <customShpInfo spid="_x0000_s1047"/>
    <customShpInfo spid="_x0000_s1048"/>
    <customShpInfo spid="_x0000_s1039"/>
    <customShpInfo spid="_x0000_s1036"/>
    <customShpInfo spid="_x0000_s2052"/>
    <customShpInfo spid="_x0000_s1050"/>
    <customShpInfo spid="_x0000_s1051"/>
    <customShpInfo spid="_x0000_s1052"/>
    <customShpInfo spid="_x0000_s1053"/>
    <customShpInfo spid="_x0000_s1054"/>
    <customShpInfo spid="_x0000_s1055"/>
    <customShpInfo spid="_x0000_s1056"/>
    <customShpInfo spid="_x0000_s1057"/>
    <customShpInfo spid="_x0000_s1058"/>
    <customShpInfo spid="_x0000_s1059"/>
    <customShpInfo spid="_x0000_s1060"/>
    <customShpInfo spid="_x0000_s1061"/>
    <customShpInfo spid="_x0000_s1062"/>
    <customShpInfo spid="_x0000_s1063"/>
    <customShpInfo spid="_x0000_s1064"/>
    <customShpInfo spid="_x0000_s1065"/>
    <customShpInfo spid="_x0000_s1066"/>
    <customShpInfo spid="_x0000_s1067"/>
    <customShpInfo spid="_x0000_s1068"/>
    <customShpInfo spid="_x0000_s1069"/>
    <customShpInfo spid="_x0000_s1070"/>
    <customShpInfo spid="_x0000_s1071"/>
    <customShpInfo spid="_x0000_s1072"/>
    <customShpInfo spid="_x0000_s1073"/>
    <customShpInfo spid="_x0000_s1074"/>
    <customShpInfo spid="_x0000_s1075"/>
    <customShpInfo spid="_x0000_s1076"/>
    <customShpInfo spid="_x0000_s1077"/>
    <customShpInfo spid="_x0000_s1078"/>
    <customShpInfo spid="_x0000_s1079"/>
    <customShpInfo spid="_x0000_s1080"/>
    <customShpInfo spid="_x0000_s1081"/>
    <customShpInfo spid="_x0000_s1049"/>
    <customShpInfo spid="_x0000_s1144"/>
    <customShpInfo spid="_x0000_s1082"/>
    <customShpInfo spid="_x0000_s1083"/>
    <customShpInfo spid="_x0000_s1145"/>
    <customShpInfo spid="_x0000_s1084"/>
    <customShpInfo spid="_x0000_s1085"/>
    <customShpInfo spid="_x0000_s1086"/>
    <customShpInfo spid="_x0000_s1087"/>
    <customShpInfo spid="_x0000_s1088"/>
    <customShpInfo spid="_x0000_s1089"/>
    <customShpInfo spid="_x0000_s1090"/>
    <customShpInfo spid="_x0000_s1091"/>
    <customShpInfo spid="_x0000_s1092"/>
    <customShpInfo spid="_x0000_s1093"/>
    <customShpInfo spid="_x0000_s1314"/>
    <customShpInfo spid="_x0000_s1094"/>
    <customShpInfo spid="_x0000_s1095"/>
    <customShpInfo spid="_x0000_s1146"/>
    <customShpInfo spid="_x0000_s1096"/>
    <customShpInfo spid="_x0000_s1097"/>
    <customShpInfo spid="_x0000_s1103"/>
    <customShpInfo spid="_x0000_s1104"/>
    <customShpInfo spid="_x0000_s1098"/>
    <customShpInfo spid="_x0000_s1100"/>
    <customShpInfo spid="_x0000_s1105"/>
    <customShpInfo spid="_x0000_s1106"/>
    <customShpInfo spid="_x0000_s1102"/>
    <customShpInfo spid="_x0000_s1099"/>
    <customShpInfo spid="_x0000_s1101"/>
    <customShpInfo spid="_x0000_s1147"/>
    <customShpInfo spid="_x0000_s1384"/>
    <customShpInfo spid="_x0000_s1383"/>
    <customShpInfo spid="_x0000_s1382"/>
    <customShpInfo spid="_x0000_s1110"/>
    <customShpInfo spid="_x0000_s1121"/>
    <customShpInfo spid="_x0000_s1107"/>
    <customShpInfo spid="_x0000_s1108"/>
    <customShpInfo spid="_x0000_s1109"/>
    <customShpInfo spid="_x0000_s1111"/>
    <customShpInfo spid="_x0000_s1114"/>
    <customShpInfo spid="_x0000_s1116"/>
    <customShpInfo spid="_x0000_s1118"/>
    <customShpInfo spid="_x0000_s1119"/>
    <customShpInfo spid="_x0000_s1148"/>
    <customShpInfo spid="_x0000_s1122"/>
    <customShpInfo spid="_x0000_s1381"/>
    <customShpInfo spid="_x0000_s1115"/>
    <customShpInfo spid="_x0000_s1129"/>
    <customShpInfo spid="_x0000_s1127"/>
    <customShpInfo spid="_x0000_s1126"/>
    <customShpInfo spid="_x0000_s1124"/>
    <customShpInfo spid="_x0000_s1125"/>
    <customShpInfo spid="_x0000_s1128"/>
    <customShpInfo spid="_x0000_s1117"/>
    <customShpInfo spid="_x0000_s1123"/>
    <customShpInfo spid="_x0000_s1296"/>
    <customShpInfo spid="_x0000_s1297"/>
    <customShpInfo spid="_x0000_s1298"/>
    <customShpInfo spid="_x0000_s1299"/>
    <customShpInfo spid="_x0000_s1300"/>
    <customShpInfo spid="_x0000_s1301"/>
    <customShpInfo spid="_x0000_s1149"/>
    <customShpInfo spid="_x0000_s1134"/>
    <customShpInfo spid="_x0000_s1315"/>
    <customShpInfo spid="_x0000_s1316"/>
    <customShpInfo spid="_x0000_s1317"/>
    <customShpInfo spid="_x0000_s1318"/>
    <customShpInfo spid="_x0000_s1319"/>
    <customShpInfo spid="_x0000_s1320"/>
    <customShpInfo spid="_x0000_s1321"/>
    <customShpInfo spid="_x0000_s1322"/>
    <customShpInfo spid="_x0000_s1323"/>
    <customShpInfo spid="_x0000_s1324"/>
    <customShpInfo spid="_x0000_s1325"/>
    <customShpInfo spid="_x0000_s1326"/>
    <customShpInfo spid="_x0000_s1327"/>
    <customShpInfo spid="_x0000_s1328"/>
    <customShpInfo spid="_x0000_s1329"/>
    <customShpInfo spid="_x0000_s1330"/>
    <customShpInfo spid="_x0000_s1331"/>
    <customShpInfo spid="_x0000_s1333"/>
    <customShpInfo spid="_x0000_s1334"/>
    <customShpInfo spid="_x0000_s1335"/>
    <customShpInfo spid="_x0000_s1336"/>
    <customShpInfo spid="_x0000_s1337"/>
    <customShpInfo spid="_x0000_s1340"/>
    <customShpInfo spid="_x0000_s1341"/>
    <customShpInfo spid="_x0000_s1342"/>
    <customShpInfo spid="_x0000_s1343"/>
    <customShpInfo spid="_x0000_s1344"/>
    <customShpInfo spid="_x0000_s1345"/>
    <customShpInfo spid="_x0000_s1346"/>
    <customShpInfo spid="_x0000_s1397"/>
    <customShpInfo spid="_x0000_s1398"/>
    <customShpInfo spid="_x0000_s1399"/>
    <customShpInfo spid="_x0000_s1400"/>
    <customShpInfo spid="_x0000_s1396"/>
    <customShpInfo spid="_x0000_s1391"/>
    <customShpInfo spid="_x0000_s1390"/>
    <customShpInfo spid="_x0000_s1371"/>
    <customShpInfo spid="_x0000_s1370"/>
    <customShpInfo spid="_x0000_s1366"/>
    <customShpInfo spid="_x0000_s1365"/>
    <customShpInfo spid="_x0000_s1350"/>
    <customShpInfo spid="_x0000_s1349"/>
    <customShpInfo spid="_x0000_s1348"/>
    <customShpInfo spid="_x0000_s1181"/>
    <customShpInfo spid="_x0000_s1377"/>
    <customShpInfo spid="_x0000_s1376"/>
    <customShpInfo spid="_x0000_s1360"/>
    <customShpInfo spid="_x0000_s1357"/>
    <customShpInfo spid="_x0000_s1354"/>
    <customShpInfo spid="_x0000_s1352"/>
    <customShpInfo spid="_x0000_s1355"/>
    <customShpInfo spid="_x0000_s1375"/>
    <customShpInfo spid="_x0000_s1374"/>
    <customShpInfo spid="_x0000_s1368"/>
    <customShpInfo spid="_x0000_s1367"/>
    <customShpInfo spid="_x0000_s1364"/>
    <customShpInfo spid="_x0000_s1363"/>
    <customShpInfo spid="_x0000_s1356"/>
    <customShpInfo spid="_x0000_s1372"/>
    <customShpInfo spid="_x0000_s1351"/>
    <customShpInfo spid="_x0000_s1373"/>
    <customShpInfo spid="_x0000_s1358"/>
    <customShpInfo spid="_x0000_s1359"/>
    <customShpInfo spid="_x0000_s1386"/>
    <customShpInfo spid="_x0000_s1385"/>
    <customShpInfo spid="_x0000_s1388"/>
    <customShpInfo spid="_x0000_s1387"/>
    <customShpInfo spid="_x0000_s1389"/>
    <customShpInfo spid="_x0000_s1392"/>
    <customShpInfo spid="_x0000_s1393"/>
    <customShpInfo spid="_x0000_s1394"/>
    <customShpInfo spid="_x0000_s1395"/>
    <customShpInfo spid="_x0000_s1369"/>
    <customShpInfo spid="_x0000_s1362"/>
    <customShpInfo spid="_x0000_s1379"/>
    <customShpInfo spid="_x0000_s1353"/>
    <customShpInfo spid="_x0000_s1378"/>
    <customShpInfo spid="_x0000_s1361"/>
  </customShpExts>
  <extobjs>
    <extobj name="ECB019B1-382A-4266-B25C-5B523AA43C14-1">
      <extobjdata type="ECB019B1-382A-4266-B25C-5B523AA43C14" data="ewoJIkZpbGVJZCIgOiAiNTQwMjI1MTA5OTU3IiwKCSJHcm91cElkIiA6ICIyNzAzNjU4MjEiLAoJIkltYWdlIiA6ICIiLAoJIlRoZW1lIiA6ICIiLAoJIlR5cGUiIDogImZsb3ciLAoJIlVzZXJJZCIgOiAiIiwKCSJWZXJzaW9uIiA6ICIiCn0K"/>
    </extobj>
    <extobj name="ECB019B1-382A-4266-B25C-5B523AA43C14-2">
      <extobjdata type="ECB019B1-382A-4266-B25C-5B523AA43C14" data="ewoJIkZpbGVJZCIgOiAiNTQwMjk2OTk5NjQxIiwKCSJHcm91cElkIiA6ICIyNzAzNjU4MjEiLAoJIkltYWdlIiA6ICIiLAoJIlRoZW1lIiA6ICIiLAoJIlR5cGUiIDogImZsb3ciLAoJIlVzZXJJZCIgOiAiIiwKCSJWZXJzaW9uIiA6ICIiCn0K"/>
    </extobj>
    <extobj name="ECB019B1-382A-4266-B25C-5B523AA43C14-3">
      <extobjdata type="ECB019B1-382A-4266-B25C-5B523AA43C14" data="ewoJIkZpbGVJZCIgOiAiNTQwMzE0Njg0MjczIiwKCSJHcm91cElkIiA6ICIyNzAzNjU4MjEiLAoJIkltYWdlIiA6ICIiLAoJIlRoZW1lIiA6ICIiLAoJIlR5cGUiIDogImZsb3ciLAoJIlVzZXJJZCIgOiAiIiwKCSJWZXJzaW9uIiA6ICIiCn0K"/>
    </extobj>
    <extobj name="ECB019B1-382A-4266-B25C-5B523AA43C14-4">
      <extobjdata type="ECB019B1-382A-4266-B25C-5B523AA43C14" data="ewoJIkZpbGVJZCIgOiAiNTQwMzM3NzUwNzU1IiwKCSJHcm91cElkIiA6ICIyNzAzNjU4MjEiLAoJIkltYWdlIiA6ICIiLAoJIlRoZW1lIiA6ICIiLAoJIlR5cGUiIDogImZsb3ciLAoJIlVzZXJJZCIgOiAiIiwKCSJWZXJzaW9uIiA6ICIiCn0K"/>
    </extobj>
    <extobj name="ECB019B1-382A-4266-B25C-5B523AA43C14-5">
      <extobjdata type="ECB019B1-382A-4266-B25C-5B523AA43C14" data="ewoJIkZpbGVJZCIgOiAiNTUyOTE3MzM2NzcyIiwKCSJHcm91cElkIiA6ICIyNzAzNjU4MjEiLAoJIkltYWdlIiA6ICIiLAoJIlRoZW1lIiA6ICIiLAoJIlR5cGUiIDogImZsb3ciLAoJIlVzZXJJZCIgOiAiIiwKCSJWZXJzaW9uIiA6ICIiCn0K"/>
    </extobj>
  </extobjs>
</s:customData>
</file>

<file path=customXml/item2.xml><?xml version="1.0" encoding="utf-8"?>
<contractReview xmlns="http://schemas.wps.cn/vas-ai-hub/contract-review">
  <reviewItems>
    <reviewItem>
      <errorID>86da3488-abce-4730-b392-52a00556f738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4777A74B</paraID>
      <start>82</start>
      <end>83</end>
      <status>ignored</status>
      <modifiedWord/>
      <trackRevisions>false</trackRevisions>
    </reviewItem>
    <reviewItem>
      <errorID>e8c2a5f5-3565-4109-a1de-2d6f8834dcc6</errorID>
      <errorWord>固废物</errorWord>
      <group>L1_Word</group>
      <groupName>字词问题</groupName>
      <ability>L2_Typo</ability>
      <abilityName>字词错误</abilityName>
      <candidateList>
        <item>固体废物</item>
      </candidateList>
      <explain/>
      <paraID>6C0B5765</paraID>
      <start>57</start>
      <end>61</end>
      <status>modified</status>
      <modifiedWord>固体废物</modifiedWord>
      <trackRevisions>false</trackRevisions>
    </reviewItem>
    <reviewItem>
      <errorID>cdc2bd93-23bd-4c0d-bc27-7485b28c56cc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4EF00C88</paraID>
      <start>32</start>
      <end>33</end>
      <status>ignored</status>
      <modifiedWord/>
      <trackRevisions>false</trackRevisions>
    </reviewItem>
    <reviewItem>
      <errorID>49335cb3-1259-4fa5-941c-530ecdf011d0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78D86B64</paraID>
      <start>24</start>
      <end>25</end>
      <status>ignored</status>
      <modifiedWord/>
      <trackRevisions>false</trackRevisions>
    </reviewItem>
    <reviewItem>
      <errorID>6889356c-2589-4277-a466-18ced8c7031c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4CEA815B</paraID>
      <start>0</start>
      <end>1</end>
      <status>ignored</status>
      <modifiedWord/>
      <trackRevisions>false</trackRevisions>
    </reviewItem>
    <reviewItem>
      <errorID>e86c0931-9402-427b-8f45-27950ce0529d</errorID>
      <errorWord>.</errorWord>
      <group>L1_Punc</group>
      <groupName>标点问题</groupName>
      <ability>L2_Punc_CN</ability>
      <abilityName>标点符号问题</abilityName>
      <candidateList/>
      <explain/>
      <paraID>599D3809</paraID>
      <start>0</start>
      <end>1</end>
      <status>ignored</status>
      <modifiedWord/>
      <trackRevisions>false</trackRevisions>
    </reviewItem>
    <reviewItem>
      <errorID>3486e3d5-3373-4c00-9890-9f36d7614703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5D6CE413</paraID>
      <start>80</start>
      <end>81</end>
      <status>ignored</status>
      <modifiedWord/>
      <trackRevisions>false</trackRevisions>
    </reviewItem>
    <reviewItem>
      <errorID>1233adf7-29c5-4f18-aa27-2ffcaaf7615c</errorID>
      <errorWord>(</errorWord>
      <group>L1_Format</group>
      <groupName>格式问题</groupName>
      <ability>L2_HalfPunc_CN</ability>
      <abilityName>全半角问题</abilityName>
      <candidateList>
        <item>（</item>
      </candidateList>
      <explain>文本全半角错误。</explain>
      <paraID>2E1A42AB</paraID>
      <start>184</start>
      <end>185</end>
      <status>modified</status>
      <modifiedWord>（</modifiedWord>
      <trackRevisions>false</trackRevisions>
    </reviewItem>
    <reviewItem>
      <errorID>054d90e3-80dd-4afc-b4aa-47abe99ff187</errorID>
      <errorWord>高速故转</errorWord>
      <group>L1_Word</group>
      <groupName>字词问题</groupName>
      <ability>L2_Typo</ability>
      <abilityName>字词错误</abilityName>
      <candidateList>
        <item>高速旋转</item>
      </candidateList>
      <explain/>
      <paraID>167DD1ED</paraID>
      <start>149</start>
      <end>153</end>
      <status>modified</status>
      <modifiedWord>高速旋转</modifiedWord>
      <trackRevisions>false</trackRevisions>
    </reviewItem>
    <reviewItem>
      <errorID>885f82de-fb45-4f0b-af35-cc0ed85d8e16</errorID>
      <errorWord>增强</errorWord>
      <group>L1_Grammar</group>
      <groupName>语法问题</groupName>
      <ability>L2_Grammar</ability>
      <abilityName>语法错误</abilityName>
      <candidateList>
        <item>强化</item>
      </candidateList>
      <explain>“增强～管理”搭配不当，建议修改为“强化～管理”。</explain>
      <paraID>2CC21D32</paraID>
      <start>182</start>
      <end>184</end>
      <status>modified</status>
      <modifiedWord>强化</modifiedWord>
      <trackRevisions>false</trackRevisions>
    </reviewItem>
    <reviewItem>
      <errorID>f5738bf3-6784-4fce-b68e-f9ff74668380</errorID>
      <errorWord>.</errorWord>
      <group>L1_Format</group>
      <groupName>格式问题</groupName>
      <ability>L2_HalfPunc_CN</ability>
      <abilityName>全半角问题</abilityName>
      <candidateList>
        <item>。</item>
      </candidateList>
      <explain>文本全半角错误。</explain>
      <paraID>1EE8458A</paraID>
      <start>77</start>
      <end>78</end>
      <status>modified</status>
      <modifiedWord>。</modifiedWord>
      <trackRevisions>false</trackRevisions>
    </reviewItem>
    <reviewItem>
      <errorID>4e589f03-d697-4ccf-81b6-a682a3912ec0</errorID>
      <errorWord>(</errorWord>
      <group>L1_Format</group>
      <groupName>格式问题</groupName>
      <ability>L2_HalfPunc_CN</ability>
      <abilityName>全半角问题</abilityName>
      <candidateList>
        <item>（</item>
      </candidateList>
      <explain>文本全半角错误。</explain>
      <paraID> D9DF6D5</paraID>
      <start>38</start>
      <end>39</end>
      <status>modified</status>
      <modifiedWord>（</modifiedWord>
      <trackRevisions>false</trackRevisions>
    </reviewItem>
    <reviewItem>
      <errorID>01e066ab-6a34-4ee2-b0ac-9a561024a0f7</errorID>
      <errorWord>固废物</errorWord>
      <group>L1_Word</group>
      <groupName>字词问题</groupName>
      <ability>L2_Typo</ability>
      <abilityName>字词错误</abilityName>
      <candidateList>
        <item>固体废物</item>
      </candidateList>
      <explain/>
      <paraID>411B65F4</paraID>
      <start>3</start>
      <end>7</end>
      <status>modified</status>
      <modifiedWord>固体废物</modifiedWord>
      <trackRevisions>false</trackRevisions>
    </reviewItem>
    <reviewItem>
      <errorID>d1e8f214-0033-46c4-be68-639aa35debce</errorID>
      <errorWord>》</errorWord>
      <group>L1_Word</group>
      <groupName>字词问题</groupName>
      <ability>L2_Typo</ability>
      <abilityName>字词错误</abilityName>
      <candidateList>
        <item>》和</item>
      </candidateList>
      <explain/>
      <paraID>1899DEBD</paraID>
      <start>37</start>
      <end>39</end>
      <status>modified</status>
      <modifiedWord>》和</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37baa4-29a3-4f2c-ba42-5d99b1d8f670}">
  <ds:schemaRefs/>
</ds:datastoreItem>
</file>

<file path=docProps/app.xml><?xml version="1.0" encoding="utf-8"?>
<Properties xmlns="http://schemas.openxmlformats.org/officeDocument/2006/extended-properties" xmlns:vt="http://schemas.openxmlformats.org/officeDocument/2006/docPropsVTypes">
  <Template>wdzx97.dot</Template>
  <Pages>157</Pages>
  <Words>28850</Words>
  <Characters>30233</Characters>
  <Lines>1</Lines>
  <Paragraphs>1</Paragraphs>
  <TotalTime>250</TotalTime>
  <ScaleCrop>false</ScaleCrop>
  <LinksUpToDate>false</LinksUpToDate>
  <CharactersWithSpaces>30529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2020-12-24T01:29:00Z</dcterms:created>
  <dc:creator>尚云环境</dc:creator>
  <cp:lastModifiedBy>乔</cp:lastModifiedBy>
  <cp:lastPrinted>2024-10-10T03:19:00Z</cp:lastPrinted>
  <dcterms:modified xsi:type="dcterms:W3CDTF">2026-09-09T03:10:52Z</dcterms:modified>
  <dc:title>建设项目环境影响报告表（污染影响类）</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4149C114CB0D498B943B45E612EDFA16_13</vt:lpwstr>
  </property>
  <property fmtid="{D5CDD505-2E9C-101B-9397-08002B2CF9AE}" pid="4" name="KSOTemplateDocerSaveRecord">
    <vt:lpwstr>eyJoZGlkIjoiMTJkOTlkNDgzNzRiMjNhYmRiNjcxZTJjOTlhMjU5NDYiLCJ1c2VySWQiOiIzMTQyOTk5NjkifQ==</vt:lpwstr>
  </property>
</Properties>
</file>