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仿宋_GB2312" w:hAnsi="仿宋_GB2312" w:eastAsia="仿宋_GB2312" w:cs="仿宋_GB2312"/>
          <w:sz w:val="44"/>
          <w:szCs w:val="44"/>
        </w:rPr>
      </w:pPr>
    </w:p>
    <w:p>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pPr>
        <w:rPr>
          <w:rFonts w:ascii="仿宋_GB2312" w:hAnsi="仿宋_GB2312" w:eastAsia="仿宋_GB2312" w:cs="仿宋_GB2312"/>
          <w:sz w:val="48"/>
          <w:szCs w:val="48"/>
        </w:rPr>
      </w:pPr>
    </w:p>
    <w:p>
      <w:pPr>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w:t>
      </w:r>
      <w:r>
        <w:rPr>
          <w:rFonts w:ascii="Times New Roman" w:hAnsi="Times New Roman" w:eastAsia="仿宋_GB2312" w:cs="Times New Roman"/>
          <w:sz w:val="32"/>
        </w:rPr>
        <w:t>202</w:t>
      </w:r>
      <w:r>
        <w:rPr>
          <w:rFonts w:hint="eastAsia" w:ascii="Times New Roman" w:hAnsi="Times New Roman" w:eastAsia="仿宋_GB2312" w:cs="Times New Roman"/>
          <w:sz w:val="32"/>
          <w:lang w:val="en-US" w:eastAsia="zh-CN"/>
        </w:rPr>
        <w:t>6</w:t>
      </w:r>
      <w:r>
        <w:rPr>
          <w:rFonts w:hint="eastAsia" w:ascii="仿宋_GB2312" w:hAnsi="仿宋_GB2312" w:eastAsia="仿宋_GB2312" w:cs="仿宋_GB2312"/>
          <w:sz w:val="32"/>
        </w:rPr>
        <w:t>〕</w:t>
      </w:r>
      <w:r>
        <w:rPr>
          <w:rFonts w:hint="eastAsia" w:ascii="Times New Roman" w:hAnsi="Times New Roman" w:eastAsia="仿宋_GB2312" w:cs="Times New Roman"/>
          <w:sz w:val="32"/>
          <w:lang w:val="en-US" w:eastAsia="zh-CN"/>
        </w:rPr>
        <w:t>22</w:t>
      </w:r>
      <w:r>
        <w:rPr>
          <w:rFonts w:hint="eastAsia" w:ascii="仿宋_GB2312" w:hAnsi="仿宋_GB2312" w:eastAsia="仿宋_GB2312" w:cs="仿宋_GB2312"/>
          <w:color w:val="000000"/>
          <w:sz w:val="32"/>
        </w:rPr>
        <w:t>号</w:t>
      </w:r>
    </w:p>
    <w:p>
      <w:pPr>
        <w:spacing w:line="660" w:lineRule="exact"/>
        <w:jc w:val="center"/>
        <w:rPr>
          <w:rFonts w:hint="eastAsia" w:ascii="方正小标宋简体" w:hAnsi="方正小标宋简体" w:eastAsia="方正小标宋简体" w:cs="方正小标宋简体"/>
          <w:color w:val="000000"/>
          <w:sz w:val="44"/>
          <w:szCs w:val="44"/>
          <w:lang w:val="en-US" w:eastAsia="zh-CN"/>
        </w:rPr>
      </w:pPr>
      <w:r>
        <w:rPr>
          <w:rFonts w:hint="eastAsia" w:ascii="方正小标宋简体" w:hAnsi="方正小标宋简体" w:eastAsia="方正小标宋简体" w:cs="方正小标宋简体"/>
          <w:color w:val="000000"/>
          <w:sz w:val="44"/>
          <w:szCs w:val="44"/>
        </w:rPr>
        <w:t>关于《彰武丰田储能电站项目</w:t>
      </w:r>
      <w:r>
        <w:rPr>
          <w:rFonts w:hint="eastAsia" w:ascii="方正小标宋简体" w:hAnsi="方正小标宋简体" w:eastAsia="方正小标宋简体" w:cs="方正小标宋简体"/>
          <w:color w:val="000000"/>
          <w:sz w:val="44"/>
          <w:szCs w:val="44"/>
          <w:lang w:eastAsia="zh-CN"/>
        </w:rPr>
        <w:t>（</w:t>
      </w:r>
      <w:r>
        <w:rPr>
          <w:rFonts w:hint="eastAsia" w:ascii="方正小标宋简体" w:hAnsi="方正小标宋简体" w:eastAsia="方正小标宋简体" w:cs="方正小标宋简体"/>
          <w:color w:val="000000"/>
          <w:sz w:val="44"/>
          <w:szCs w:val="44"/>
          <w:lang w:val="en-US" w:eastAsia="zh-CN"/>
        </w:rPr>
        <w:t>二期）</w:t>
      </w:r>
    </w:p>
    <w:p>
      <w:pPr>
        <w:spacing w:line="66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环境影响报告表》的批复</w:t>
      </w:r>
    </w:p>
    <w:p>
      <w:pPr>
        <w:jc w:val="center"/>
        <w:rPr>
          <w:rFonts w:ascii="宋体" w:hAnsi="宋体" w:eastAsia="宋体" w:cs="宋体"/>
          <w:sz w:val="32"/>
          <w:szCs w:val="32"/>
        </w:rPr>
      </w:pPr>
    </w:p>
    <w:p>
      <w:pPr>
        <w:tabs>
          <w:tab w:val="left" w:pos="3500"/>
        </w:tabs>
        <w:spacing w:line="560" w:lineRule="exact"/>
        <w:rPr>
          <w:rFonts w:ascii="仿宋_GB2312" w:hAnsi="Times New Roman" w:eastAsia="仿宋_GB2312" w:cs="Times New Roman"/>
          <w:spacing w:val="-10"/>
          <w:sz w:val="32"/>
          <w:szCs w:val="32"/>
        </w:rPr>
      </w:pPr>
      <w:r>
        <w:rPr>
          <w:rFonts w:ascii="仿宋_GB2312" w:hAnsi="Times New Roman" w:eastAsia="仿宋_GB2312" w:cs="Times New Roman"/>
          <w:spacing w:val="-10"/>
          <w:sz w:val="32"/>
          <w:szCs w:val="32"/>
        </w:rPr>
        <w:t>阜新鼎轩储能技术有限公司：</w:t>
      </w:r>
    </w:p>
    <w:p>
      <w:pPr>
        <w:tabs>
          <w:tab w:val="left" w:pos="3500"/>
        </w:tabs>
        <w:spacing w:line="56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你单位报送的《彰武丰田储能电站项目</w:t>
      </w:r>
      <w:r>
        <w:rPr>
          <w:rFonts w:hint="eastAsia" w:ascii="仿宋_GB2312" w:hAnsi="Times New Roman" w:eastAsia="仿宋_GB2312" w:cs="Times New Roman"/>
          <w:spacing w:val="-10"/>
          <w:sz w:val="32"/>
          <w:szCs w:val="32"/>
          <w:lang w:eastAsia="zh-CN"/>
        </w:rPr>
        <w:t>（</w:t>
      </w:r>
      <w:r>
        <w:rPr>
          <w:rFonts w:hint="eastAsia" w:ascii="仿宋_GB2312" w:hAnsi="Times New Roman" w:eastAsia="仿宋_GB2312" w:cs="Times New Roman"/>
          <w:spacing w:val="-10"/>
          <w:sz w:val="32"/>
          <w:szCs w:val="32"/>
          <w:lang w:val="en-US" w:eastAsia="zh-CN"/>
        </w:rPr>
        <w:t>二期）</w:t>
      </w:r>
      <w:r>
        <w:rPr>
          <w:rFonts w:hint="eastAsia" w:ascii="仿宋_GB2312" w:hAnsi="Times New Roman" w:eastAsia="仿宋_GB2312" w:cs="Times New Roman"/>
          <w:spacing w:val="-10"/>
          <w:sz w:val="32"/>
          <w:szCs w:val="32"/>
        </w:rPr>
        <w:t>环境影响报告表》（以下简称《报告表》）及申请收悉，经我局建设项目审查委员会研究，批复如下：</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600" w:firstLineChars="200"/>
        <w:textAlignment w:val="auto"/>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一、本</w:t>
      </w:r>
      <w:r>
        <w:rPr>
          <w:rFonts w:ascii="仿宋_GB2312" w:hAnsi="Times New Roman" w:eastAsia="仿宋_GB2312" w:cs="Times New Roman"/>
          <w:spacing w:val="-10"/>
          <w:sz w:val="32"/>
          <w:szCs w:val="32"/>
        </w:rPr>
        <w:t>项目位</w:t>
      </w:r>
      <w:r>
        <w:rPr>
          <w:rFonts w:hint="eastAsia" w:ascii="仿宋_GB2312" w:hAnsi="Times New Roman" w:eastAsia="仿宋_GB2312" w:cs="Times New Roman"/>
          <w:spacing w:val="-10"/>
          <w:sz w:val="32"/>
          <w:szCs w:val="32"/>
        </w:rPr>
        <w:t>于辽宁省彰武县丰田乡四间房村西马家屯</w:t>
      </w:r>
      <w:r>
        <w:rPr>
          <w:rFonts w:hint="eastAsia" w:ascii="仿宋_GB2312" w:hAnsi="Times New Roman" w:eastAsia="仿宋_GB2312" w:cs="Times New Roman"/>
          <w:spacing w:val="-10"/>
          <w:sz w:val="32"/>
          <w:szCs w:val="32"/>
          <w:lang w:eastAsia="zh-CN"/>
        </w:rPr>
        <w:t>，</w:t>
      </w:r>
      <w:r>
        <w:rPr>
          <w:rFonts w:hint="default" w:ascii="仿宋_GB2312" w:hAnsi="Times New Roman" w:eastAsia="仿宋_GB2312" w:cs="Times New Roman"/>
          <w:spacing w:val="-10"/>
          <w:kern w:val="2"/>
          <w:sz w:val="32"/>
          <w:szCs w:val="32"/>
          <w:lang w:val="en-US" w:eastAsia="zh-CN" w:bidi="ar-SA"/>
        </w:rPr>
        <w:t>本储能电站项目作为其承诺配置的二期储能项目，利用彰武丰田储能电站内部预留用地进行建设，预留用地已由一期工程清表平整，占地面积约9333</w:t>
      </w:r>
      <w:r>
        <w:rPr>
          <w:rFonts w:hint="eastAsia" w:ascii="仿宋_GB2312" w:hAnsi="Times New Roman" w:eastAsia="仿宋_GB2312" w:cs="Times New Roman"/>
          <w:spacing w:val="-10"/>
          <w:kern w:val="2"/>
          <w:sz w:val="32"/>
          <w:szCs w:val="32"/>
          <w:lang w:val="en-US" w:eastAsia="zh-CN" w:bidi="ar-SA"/>
        </w:rPr>
        <w:t>平方米</w:t>
      </w:r>
      <w:r>
        <w:rPr>
          <w:rFonts w:hint="default" w:ascii="仿宋_GB2312" w:hAnsi="Times New Roman" w:eastAsia="仿宋_GB2312" w:cs="Times New Roman"/>
          <w:spacing w:val="-10"/>
          <w:kern w:val="2"/>
          <w:sz w:val="32"/>
          <w:szCs w:val="32"/>
          <w:lang w:val="en-US" w:eastAsia="zh-CN" w:bidi="ar-SA"/>
        </w:rPr>
        <w:t>，总建筑面积18764</w:t>
      </w:r>
      <w:r>
        <w:rPr>
          <w:rFonts w:hint="eastAsia" w:ascii="仿宋_GB2312" w:hAnsi="Times New Roman" w:eastAsia="仿宋_GB2312" w:cs="Times New Roman"/>
          <w:spacing w:val="-10"/>
          <w:kern w:val="2"/>
          <w:sz w:val="32"/>
          <w:szCs w:val="32"/>
          <w:lang w:val="en-US" w:eastAsia="zh-CN" w:bidi="ar-SA"/>
        </w:rPr>
        <w:t>平方米</w:t>
      </w:r>
      <w:r>
        <w:rPr>
          <w:rFonts w:hint="default" w:ascii="仿宋_GB2312" w:hAnsi="Times New Roman" w:eastAsia="仿宋_GB2312" w:cs="Times New Roman"/>
          <w:spacing w:val="-10"/>
          <w:kern w:val="2"/>
          <w:sz w:val="32"/>
          <w:szCs w:val="32"/>
          <w:lang w:val="en-US" w:eastAsia="zh-CN" w:bidi="ar-SA"/>
        </w:rPr>
        <w:t>。项目储能区总储能规模为65MW/260MWh，28个2322kW/9288kWh全钒液流储能单元。升压站新增3个进线间隔，出线依托储能电站一期工程，以1回220kV线路送至阜新220kV丰田开关站。</w:t>
      </w:r>
      <w:r>
        <w:rPr>
          <w:rFonts w:hint="eastAsia" w:ascii="仿宋_GB2312" w:hAnsi="Times New Roman" w:eastAsia="仿宋_GB2312" w:cs="Times New Roman"/>
          <w:spacing w:val="-10"/>
          <w:sz w:val="32"/>
          <w:szCs w:val="32"/>
        </w:rPr>
        <w:t>项目总投资为</w:t>
      </w:r>
      <w:r>
        <w:rPr>
          <w:rFonts w:hint="eastAsia" w:ascii="仿宋_GB2312" w:hAnsi="Times New Roman" w:eastAsia="仿宋_GB2312" w:cs="Times New Roman"/>
          <w:spacing w:val="-10"/>
          <w:sz w:val="32"/>
          <w:szCs w:val="32"/>
          <w:lang w:val="en-US" w:eastAsia="zh-CN"/>
        </w:rPr>
        <w:t>98000</w:t>
      </w:r>
      <w:r>
        <w:rPr>
          <w:rFonts w:ascii="仿宋_GB2312" w:hAnsi="Times New Roman" w:eastAsia="仿宋_GB2312" w:cs="Times New Roman"/>
          <w:spacing w:val="-10"/>
          <w:sz w:val="32"/>
          <w:szCs w:val="32"/>
        </w:rPr>
        <w:t>万元，其中环保投资为</w:t>
      </w:r>
      <w:r>
        <w:rPr>
          <w:rFonts w:hint="eastAsia" w:ascii="仿宋_GB2312" w:hAnsi="Times New Roman" w:eastAsia="仿宋_GB2312" w:cs="Times New Roman"/>
          <w:spacing w:val="-10"/>
          <w:sz w:val="32"/>
          <w:szCs w:val="32"/>
          <w:lang w:val="en-US" w:eastAsia="zh-CN"/>
        </w:rPr>
        <w:t>117</w:t>
      </w:r>
      <w:r>
        <w:rPr>
          <w:rFonts w:ascii="仿宋_GB2312" w:hAnsi="Times New Roman" w:eastAsia="仿宋_GB2312" w:cs="Times New Roman"/>
          <w:spacing w:val="-10"/>
          <w:sz w:val="32"/>
          <w:szCs w:val="32"/>
        </w:rPr>
        <w:t>万元</w:t>
      </w:r>
      <w:r>
        <w:rPr>
          <w:rFonts w:hint="eastAsia" w:ascii="仿宋_GB2312" w:hAnsi="Times New Roman" w:eastAsia="仿宋_GB2312" w:cs="Times New Roman"/>
          <w:spacing w:val="-10"/>
          <w:sz w:val="32"/>
          <w:szCs w:val="32"/>
        </w:rPr>
        <w:t>。</w:t>
      </w:r>
    </w:p>
    <w:p>
      <w:pPr>
        <w:spacing w:line="560" w:lineRule="exact"/>
        <w:ind w:firstLine="600" w:firstLineChars="200"/>
        <w:jc w:val="left"/>
        <w:rPr>
          <w:rFonts w:ascii="仿宋_GB2312" w:hAnsi="仿宋" w:eastAsia="仿宋_GB2312" w:cs="仿宋_GB2312"/>
          <w:sz w:val="32"/>
          <w:szCs w:val="32"/>
        </w:rPr>
      </w:pPr>
      <w:r>
        <w:rPr>
          <w:rFonts w:ascii="Times New Roman" w:hAnsi="Times New Roman" w:eastAsia="仿宋_GB2312" w:cs="Times New Roman"/>
          <w:color w:val="000000" w:themeColor="text1"/>
          <w:spacing w:val="-10"/>
          <w:sz w:val="32"/>
          <w:szCs w:val="32"/>
        </w:rPr>
        <w:t>二、阜新市</w:t>
      </w:r>
      <w:r>
        <w:rPr>
          <w:rFonts w:hint="eastAsia" w:ascii="Times New Roman" w:hAnsi="Times New Roman" w:eastAsia="仿宋_GB2312" w:cs="Times New Roman"/>
          <w:color w:val="000000" w:themeColor="text1"/>
          <w:spacing w:val="-10"/>
          <w:sz w:val="32"/>
          <w:szCs w:val="32"/>
        </w:rPr>
        <w:t>生态</w:t>
      </w:r>
      <w:r>
        <w:rPr>
          <w:rFonts w:ascii="Times New Roman" w:hAnsi="Times New Roman" w:eastAsia="仿宋_GB2312" w:cs="Times New Roman"/>
          <w:color w:val="000000" w:themeColor="text1"/>
          <w:spacing w:val="-10"/>
          <w:sz w:val="32"/>
          <w:szCs w:val="32"/>
        </w:rPr>
        <w:t>环境保护服务中心以《关于</w:t>
      </w:r>
      <w:r>
        <w:rPr>
          <w:rFonts w:hint="eastAsia" w:ascii="仿宋_GB2312" w:hAnsi="Times New Roman" w:eastAsia="仿宋_GB2312" w:cs="Times New Roman"/>
          <w:spacing w:val="-10"/>
          <w:sz w:val="32"/>
          <w:szCs w:val="32"/>
        </w:rPr>
        <w:t>彰武丰田储能电站项目</w:t>
      </w:r>
      <w:r>
        <w:rPr>
          <w:rFonts w:hint="eastAsia" w:ascii="仿宋_GB2312" w:hAnsi="Times New Roman" w:eastAsia="仿宋_GB2312" w:cs="Times New Roman"/>
          <w:spacing w:val="-10"/>
          <w:sz w:val="32"/>
          <w:szCs w:val="32"/>
          <w:lang w:eastAsia="zh-CN"/>
        </w:rPr>
        <w:t>（</w:t>
      </w:r>
      <w:r>
        <w:rPr>
          <w:rFonts w:hint="eastAsia" w:ascii="仿宋_GB2312" w:hAnsi="Times New Roman" w:eastAsia="仿宋_GB2312" w:cs="Times New Roman"/>
          <w:spacing w:val="-10"/>
          <w:sz w:val="32"/>
          <w:szCs w:val="32"/>
          <w:lang w:val="en-US" w:eastAsia="zh-CN"/>
        </w:rPr>
        <w:t>二期）</w:t>
      </w:r>
      <w:r>
        <w:rPr>
          <w:rFonts w:hint="eastAsia" w:ascii="仿宋_GB2312" w:hAnsi="仿宋_GB2312" w:eastAsia="仿宋_GB2312" w:cs="仿宋_GB2312"/>
          <w:color w:val="000000"/>
          <w:sz w:val="32"/>
          <w:szCs w:val="32"/>
        </w:rPr>
        <w:t>环境影响报告表</w:t>
      </w:r>
      <w:r>
        <w:rPr>
          <w:rFonts w:ascii="Times New Roman" w:hAnsi="Times New Roman" w:eastAsia="仿宋_GB2312" w:cs="Times New Roman"/>
          <w:color w:val="000000" w:themeColor="text1"/>
          <w:spacing w:val="-10"/>
          <w:sz w:val="32"/>
          <w:szCs w:val="32"/>
        </w:rPr>
        <w:t>的评估意见》（阜环评估〔202</w:t>
      </w:r>
      <w:r>
        <w:rPr>
          <w:rFonts w:hint="eastAsia" w:ascii="Times New Roman" w:hAnsi="Times New Roman" w:eastAsia="仿宋_GB2312" w:cs="Times New Roman"/>
          <w:color w:val="000000" w:themeColor="text1"/>
          <w:spacing w:val="-10"/>
          <w:sz w:val="32"/>
          <w:szCs w:val="32"/>
          <w:lang w:val="en-US" w:eastAsia="zh-CN"/>
        </w:rPr>
        <w:t>6</w:t>
      </w:r>
      <w:r>
        <w:rPr>
          <w:rFonts w:ascii="Times New Roman" w:hAnsi="Times New Roman" w:eastAsia="仿宋_GB2312" w:cs="Times New Roman"/>
          <w:color w:val="000000" w:themeColor="text1"/>
          <w:spacing w:val="-10"/>
          <w:sz w:val="32"/>
          <w:szCs w:val="32"/>
        </w:rPr>
        <w:t>〕</w:t>
      </w:r>
      <w:r>
        <w:rPr>
          <w:rFonts w:hint="eastAsia" w:ascii="Times New Roman" w:hAnsi="Times New Roman" w:eastAsia="仿宋_GB2312" w:cs="Times New Roman"/>
          <w:color w:val="000000" w:themeColor="text1"/>
          <w:spacing w:val="-10"/>
          <w:sz w:val="32"/>
          <w:szCs w:val="32"/>
          <w:lang w:val="en-US" w:eastAsia="zh-CN"/>
        </w:rPr>
        <w:t xml:space="preserve"> 71</w:t>
      </w:r>
      <w:r>
        <w:rPr>
          <w:rFonts w:ascii="Times New Roman" w:hAnsi="Times New Roman" w:eastAsia="仿宋_GB2312" w:cs="Times New Roman"/>
          <w:color w:val="000000" w:themeColor="text1"/>
          <w:spacing w:val="-10"/>
          <w:sz w:val="32"/>
          <w:szCs w:val="32"/>
        </w:rPr>
        <w:t>号）出具项目建设可行</w:t>
      </w:r>
      <w:r>
        <w:rPr>
          <w:rFonts w:hint="eastAsia" w:ascii="Times New Roman" w:hAnsi="Times New Roman" w:eastAsia="仿宋_GB2312" w:cs="Times New Roman"/>
          <w:color w:val="000000" w:themeColor="text1"/>
          <w:spacing w:val="-10"/>
          <w:sz w:val="32"/>
          <w:szCs w:val="32"/>
          <w:lang w:eastAsia="zh-CN"/>
        </w:rPr>
        <w:t>性</w:t>
      </w:r>
      <w:r>
        <w:rPr>
          <w:rFonts w:ascii="Times New Roman" w:hAnsi="Times New Roman" w:eastAsia="仿宋_GB2312" w:cs="Times New Roman"/>
          <w:color w:val="000000" w:themeColor="text1"/>
          <w:spacing w:val="-10"/>
          <w:sz w:val="32"/>
          <w:szCs w:val="32"/>
        </w:rPr>
        <w:t>意见</w:t>
      </w:r>
      <w:r>
        <w:rPr>
          <w:rFonts w:ascii="Times New Roman" w:hAnsi="Times New Roman" w:eastAsia="仿宋_GB2312" w:cs="Times New Roman"/>
          <w:spacing w:val="-10"/>
          <w:sz w:val="32"/>
          <w:szCs w:val="32"/>
        </w:rPr>
        <w:t>。</w:t>
      </w:r>
      <w:r>
        <w:rPr>
          <w:rFonts w:hint="eastAsia" w:ascii="仿宋_GB2312" w:hAnsi="仿宋" w:eastAsia="仿宋_GB2312" w:cs="仿宋_GB2312"/>
          <w:sz w:val="32"/>
          <w:szCs w:val="32"/>
        </w:rPr>
        <w:t>项目符合国家产业政策，选址经涉及的各部门同意。经我局建设项目审查委员会研究，在严格落实各项环境保护措施，做到污染物达标排放、有效防控生态破坏的条件下，项目在环境保护方面是</w:t>
      </w:r>
      <w:bookmarkStart w:id="0" w:name="_GoBack"/>
      <w:bookmarkEnd w:id="0"/>
      <w:r>
        <w:rPr>
          <w:rFonts w:hint="eastAsia" w:ascii="仿宋_GB2312" w:hAnsi="仿宋" w:eastAsia="仿宋_GB2312" w:cs="仿宋_GB2312"/>
          <w:sz w:val="32"/>
          <w:szCs w:val="32"/>
        </w:rPr>
        <w:t>可行的。</w:t>
      </w:r>
    </w:p>
    <w:p>
      <w:pPr>
        <w:spacing w:line="56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三、本项目应严格按照《报告</w:t>
      </w:r>
      <w:r>
        <w:rPr>
          <w:rFonts w:hint="eastAsia" w:ascii="Times New Roman" w:hAnsi="Times New Roman" w:eastAsia="仿宋_GB2312" w:cs="Times New Roman"/>
          <w:spacing w:val="-10"/>
          <w:sz w:val="32"/>
          <w:szCs w:val="32"/>
        </w:rPr>
        <w:t>表</w:t>
      </w:r>
      <w:r>
        <w:rPr>
          <w:rFonts w:ascii="Times New Roman" w:hAnsi="Times New Roman" w:eastAsia="仿宋_GB2312" w:cs="Times New Roman"/>
          <w:spacing w:val="-10"/>
          <w:sz w:val="32"/>
          <w:szCs w:val="32"/>
        </w:rPr>
        <w:t xml:space="preserve">》提出的各项污染防治措施进行工程设计、建设与管理，严格执行环境保护“三同时”，应重点做好以下工作： </w:t>
      </w:r>
    </w:p>
    <w:p>
      <w:pPr>
        <w:spacing w:line="56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 xml:space="preserve">（一）严格落实项目施工期的废气、废水、噪声、固废污染防治措施，保证各类污染物达标排放。 </w:t>
      </w:r>
    </w:p>
    <w:p>
      <w:pPr>
        <w:pStyle w:val="15"/>
        <w:keepNext w:val="0"/>
        <w:keepLines w:val="0"/>
        <w:pageBreakBefore w:val="0"/>
        <w:widowControl w:val="0"/>
        <w:kinsoku/>
        <w:wordWrap/>
        <w:overflowPunct/>
        <w:topLinePunct w:val="0"/>
        <w:autoSpaceDE/>
        <w:autoSpaceDN/>
        <w:bidi w:val="0"/>
        <w:adjustRightInd/>
        <w:snapToGrid/>
        <w:spacing w:line="360" w:lineRule="auto"/>
        <w:ind w:left="0" w:firstLine="640" w:firstLineChars="200"/>
        <w:jc w:val="both"/>
        <w:textAlignment w:val="auto"/>
        <w:rPr>
          <w:rFonts w:hint="default" w:ascii="仿宋_GB2312" w:hAnsi="仿宋" w:eastAsia="仿宋_GB2312" w:cs="仿宋_GB2312"/>
          <w:kern w:val="2"/>
          <w:sz w:val="32"/>
          <w:szCs w:val="32"/>
          <w:lang w:val="zh-CN" w:eastAsia="zh-CN" w:bidi="ar-SA"/>
        </w:rPr>
      </w:pPr>
      <w:r>
        <w:rPr>
          <w:rFonts w:hint="eastAsia" w:ascii="仿宋_GB2312" w:hAnsi="仿宋" w:eastAsia="仿宋_GB2312" w:cs="仿宋_GB2312"/>
          <w:sz w:val="32"/>
          <w:szCs w:val="32"/>
        </w:rPr>
        <w:t>（二）严格落实生态保护措施，</w:t>
      </w:r>
      <w:r>
        <w:rPr>
          <w:rFonts w:hint="default" w:ascii="仿宋_GB2312" w:hAnsi="仿宋" w:eastAsia="仿宋_GB2312" w:cs="仿宋_GB2312"/>
          <w:kern w:val="2"/>
          <w:sz w:val="32"/>
          <w:szCs w:val="32"/>
          <w:lang w:val="zh-CN" w:eastAsia="zh-CN" w:bidi="ar-SA"/>
        </w:rPr>
        <w:t>本项目在施工时土方开挖、回填以及临时堆土等导致地表裸露和土层结构破坏，若遇大风或降雨天气将加剧水土流失。施工时通过先行修建排水设施；合理安排施工工期，避开雨季土建施工；施工结束后，对临时占地采取工程措施恢复水土保持功能等措施，最大程度地减少水土流失。</w:t>
      </w:r>
    </w:p>
    <w:p>
      <w:pPr>
        <w:spacing w:line="560" w:lineRule="exact"/>
        <w:ind w:firstLine="640" w:firstLineChars="200"/>
        <w:rPr>
          <w:rFonts w:ascii="仿宋_GB2312" w:hAnsi="仿宋_GB2312" w:eastAsia="仿宋_GB2312" w:cs="仿宋_GB2312"/>
          <w:sz w:val="32"/>
          <w:szCs w:val="32"/>
          <w:lang w:val="zh-CN" w:bidi="zh-CN"/>
        </w:rPr>
      </w:pPr>
      <w:r>
        <w:rPr>
          <w:rFonts w:hint="eastAsia" w:ascii="仿宋_GB2312" w:hAnsi="仿宋" w:eastAsia="仿宋_GB2312" w:cs="仿宋_GB2312"/>
          <w:sz w:val="32"/>
          <w:szCs w:val="32"/>
        </w:rPr>
        <w:t>（三）按照国家相应技术规范和设计要求进行建设，并严格落实防治工频电场、工频磁场辐射等环保措施，确保变电站周边</w:t>
      </w:r>
      <w:r>
        <w:rPr>
          <w:rFonts w:hint="eastAsia" w:ascii="仿宋_GB2312" w:hAnsi="仿宋_GB2312" w:eastAsia="仿宋_GB2312" w:cs="仿宋_GB2312"/>
          <w:sz w:val="32"/>
          <w:szCs w:val="32"/>
          <w:lang w:val="zh-CN" w:bidi="zh-CN"/>
        </w:rPr>
        <w:t>工频电场强度和工频磁感应强度符合《电磁环境控制限值》（</w:t>
      </w:r>
      <w:r>
        <w:rPr>
          <w:rFonts w:hint="eastAsia" w:ascii="仿宋_GB2312" w:hAnsi="仿宋_GB2312" w:eastAsia="仿宋_GB2312" w:cs="仿宋_GB2312"/>
          <w:sz w:val="32"/>
          <w:szCs w:val="32"/>
          <w:lang w:bidi="zh-CN"/>
        </w:rPr>
        <w:t>GB8702-2014</w:t>
      </w:r>
      <w:r>
        <w:rPr>
          <w:rFonts w:hint="eastAsia" w:ascii="仿宋_GB2312" w:hAnsi="仿宋_GB2312" w:eastAsia="仿宋_GB2312" w:cs="仿宋_GB2312"/>
          <w:sz w:val="32"/>
          <w:szCs w:val="32"/>
          <w:lang w:val="zh-CN" w:bidi="zh-CN"/>
        </w:rPr>
        <w:t>）要求。</w:t>
      </w:r>
    </w:p>
    <w:p>
      <w:pPr>
        <w:spacing w:line="560" w:lineRule="exact"/>
        <w:ind w:firstLine="640" w:firstLineChars="200"/>
        <w:rPr>
          <w:rFonts w:ascii="仿宋_GB2312" w:hAnsi="仿宋_GB2312" w:eastAsia="仿宋_GB2312" w:cs="仿宋_GB2312"/>
          <w:sz w:val="32"/>
          <w:szCs w:val="32"/>
          <w:lang w:val="zh-CN" w:bidi="zh-CN"/>
        </w:rPr>
      </w:pPr>
      <w:r>
        <w:rPr>
          <w:rFonts w:hint="eastAsia" w:ascii="仿宋_GB2312" w:hAnsi="仿宋_GB2312" w:eastAsia="仿宋_GB2312" w:cs="仿宋_GB2312"/>
          <w:bCs/>
          <w:color w:val="000000"/>
          <w:kern w:val="0"/>
          <w:sz w:val="32"/>
          <w:szCs w:val="32"/>
          <w:lang w:val="zh-CN"/>
        </w:rPr>
        <w:t>（四）项目通过选取低噪声设备，采取基础减震、隔声处理后通过距离衰减，厂界噪声应满足《工业企业厂界</w:t>
      </w:r>
      <w:r>
        <w:rPr>
          <w:rFonts w:hint="eastAsia" w:ascii="仿宋_GB2312" w:hAnsi="仿宋_GB2312" w:eastAsia="仿宋_GB2312" w:cs="仿宋_GB2312"/>
          <w:color w:val="000000"/>
          <w:kern w:val="0"/>
          <w:sz w:val="32"/>
          <w:szCs w:val="32"/>
          <w:lang w:val="zh-CN"/>
        </w:rPr>
        <w:t>环境噪声排放标准》（GB12348－2008）</w:t>
      </w:r>
      <w:r>
        <w:rPr>
          <w:rFonts w:hint="eastAsia"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lang w:val="zh-CN"/>
        </w:rPr>
        <w:t>类标准。</w:t>
      </w:r>
    </w:p>
    <w:p>
      <w:pPr>
        <w:pStyle w:val="14"/>
        <w:spacing w:line="360" w:lineRule="auto"/>
        <w:ind w:firstLine="640" w:firstLineChars="200"/>
        <w:jc w:val="both"/>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sz w:val="32"/>
          <w:szCs w:val="32"/>
          <w:lang w:val="zh-CN" w:bidi="zh-CN"/>
        </w:rPr>
        <w:t>（五）</w:t>
      </w:r>
      <w:r>
        <w:rPr>
          <w:rFonts w:ascii="仿宋_GB2312" w:eastAsia="仿宋_GB2312" w:cs="Times New Roman"/>
          <w:bCs/>
          <w:snapToGrid w:val="0"/>
          <w:color w:val="auto"/>
          <w:sz w:val="32"/>
          <w:szCs w:val="32"/>
        </w:rPr>
        <w:t>本项目运营期间</w:t>
      </w:r>
      <w:r>
        <w:rPr>
          <w:rFonts w:hint="eastAsia" w:ascii="仿宋_GB2312" w:eastAsia="仿宋_GB2312" w:cs="Times New Roman"/>
          <w:bCs/>
          <w:snapToGrid w:val="0"/>
          <w:color w:val="auto"/>
          <w:sz w:val="32"/>
          <w:szCs w:val="32"/>
          <w:lang w:val="en-US" w:eastAsia="zh-CN"/>
        </w:rPr>
        <w:t>无</w:t>
      </w:r>
      <w:r>
        <w:rPr>
          <w:rFonts w:ascii="仿宋_GB2312" w:eastAsia="仿宋_GB2312" w:cs="Times New Roman"/>
          <w:bCs/>
          <w:snapToGrid w:val="0"/>
          <w:color w:val="auto"/>
          <w:sz w:val="32"/>
          <w:szCs w:val="32"/>
        </w:rPr>
        <w:t>废气</w:t>
      </w:r>
      <w:r>
        <w:rPr>
          <w:rFonts w:hint="eastAsia" w:ascii="仿宋_GB2312" w:eastAsia="仿宋_GB2312" w:cs="Times New Roman"/>
          <w:bCs/>
          <w:snapToGrid w:val="0"/>
          <w:color w:val="auto"/>
          <w:sz w:val="32"/>
          <w:szCs w:val="32"/>
          <w:lang w:val="en-US" w:eastAsia="zh-CN"/>
        </w:rPr>
        <w:t>产生。</w:t>
      </w:r>
    </w:p>
    <w:p>
      <w:pPr>
        <w:spacing w:line="560" w:lineRule="exact"/>
        <w:ind w:firstLine="640" w:firstLineChars="200"/>
        <w:rPr>
          <w:rFonts w:ascii="仿宋_GB2312" w:hAnsi="仿宋" w:eastAsia="仿宋_GB2312" w:cs="仿宋_GB2312"/>
          <w:sz w:val="32"/>
          <w:szCs w:val="32"/>
        </w:rPr>
      </w:pPr>
      <w:r>
        <w:rPr>
          <w:rFonts w:hint="eastAsia" w:ascii="仿宋_GB2312" w:hAnsi="仿宋_GB2312" w:eastAsia="仿宋_GB2312" w:cs="仿宋_GB2312"/>
          <w:sz w:val="32"/>
          <w:szCs w:val="32"/>
          <w:lang w:val="zh-CN" w:bidi="zh-CN"/>
        </w:rPr>
        <w:t>（六）项目无生产废水，生活污水排至化粪池，定期清掏</w:t>
      </w:r>
      <w:r>
        <w:rPr>
          <w:rFonts w:hint="eastAsia" w:ascii="仿宋_GB2312" w:hAnsi="仿宋_GB2312" w:eastAsia="仿宋_GB2312" w:cs="仿宋_GB2312"/>
          <w:bCs/>
          <w:sz w:val="32"/>
          <w:szCs w:val="32"/>
        </w:rPr>
        <w:t>。</w:t>
      </w:r>
    </w:p>
    <w:p>
      <w:pPr>
        <w:spacing w:line="576"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（七）</w:t>
      </w:r>
      <w:r>
        <w:rPr>
          <w:rFonts w:hint="eastAsia" w:ascii="Times New Roman" w:hAnsi="Times New Roman" w:eastAsia="仿宋_GB2312" w:cs="仿宋_GB2312"/>
          <w:bCs/>
          <w:color w:val="auto"/>
          <w:spacing w:val="0"/>
          <w:sz w:val="32"/>
          <w:szCs w:val="32"/>
          <w:highlight w:val="none"/>
          <w:lang w:eastAsia="zh-CN"/>
        </w:rPr>
        <w:t>项目产生</w:t>
      </w:r>
      <w:r>
        <w:rPr>
          <w:rFonts w:hint="eastAsia" w:ascii="Times New Roman" w:hAnsi="Times New Roman" w:eastAsia="仿宋_GB2312" w:cs="仿宋_GB2312"/>
          <w:bCs/>
          <w:color w:val="auto"/>
          <w:spacing w:val="0"/>
          <w:sz w:val="32"/>
          <w:szCs w:val="32"/>
          <w:highlight w:val="none"/>
          <w:lang w:val="en-US" w:eastAsia="zh-CN"/>
        </w:rPr>
        <w:t>的</w:t>
      </w:r>
      <w:r>
        <w:rPr>
          <w:rFonts w:hint="eastAsia" w:ascii="Times New Roman" w:hAnsi="Times New Roman" w:eastAsia="仿宋_GB2312" w:cs="仿宋_GB2312"/>
          <w:bCs/>
          <w:color w:val="auto"/>
          <w:spacing w:val="0"/>
          <w:sz w:val="32"/>
          <w:szCs w:val="32"/>
          <w:highlight w:val="none"/>
          <w:lang w:eastAsia="zh-CN"/>
        </w:rPr>
        <w:t>固体废物为废电解液，属于危险废物，由生产厂家及时回收，</w:t>
      </w:r>
      <w:r>
        <w:rPr>
          <w:rFonts w:hint="default" w:ascii="Times New Roman" w:hAnsi="Times New Roman" w:eastAsia="仿宋_GB2312" w:cs="仿宋_GB2312"/>
          <w:bCs/>
          <w:color w:val="auto"/>
          <w:spacing w:val="0"/>
          <w:sz w:val="32"/>
          <w:szCs w:val="32"/>
          <w:highlight w:val="none"/>
          <w:lang w:val="en-US" w:eastAsia="zh-CN"/>
        </w:rPr>
        <w:t>交由有资质的单位处置</w:t>
      </w:r>
      <w:r>
        <w:rPr>
          <w:rFonts w:hint="eastAsia" w:ascii="Times New Roman" w:hAnsi="Times New Roman" w:eastAsia="仿宋_GB2312" w:cs="仿宋_GB2312"/>
          <w:bCs/>
          <w:color w:val="auto"/>
          <w:spacing w:val="0"/>
          <w:sz w:val="32"/>
          <w:szCs w:val="32"/>
          <w:highlight w:val="none"/>
          <w:lang w:eastAsia="zh-CN"/>
        </w:rPr>
        <w:t>。</w:t>
      </w:r>
      <w:r>
        <w:rPr>
          <w:rFonts w:hint="eastAsia" w:ascii="Times New Roman" w:hAnsi="Times New Roman" w:eastAsia="仿宋_GB2312" w:cs="仿宋_GB2312"/>
          <w:bCs/>
          <w:color w:val="auto"/>
          <w:spacing w:val="0"/>
          <w:sz w:val="32"/>
          <w:szCs w:val="32"/>
          <w:highlight w:val="none"/>
          <w:lang w:val="en-US" w:eastAsia="zh-CN"/>
        </w:rPr>
        <w:t>危险废物收集、贮存和处置要严格按照《危险废物贮存污染控制标准》（</w:t>
      </w:r>
      <w:r>
        <w:rPr>
          <w:rFonts w:hint="eastAsia" w:ascii="仿宋_GB2312" w:hAnsi="仿宋_GB2312" w:eastAsia="仿宋_GB2312" w:cs="仿宋_GB2312"/>
          <w:bCs/>
          <w:color w:val="auto"/>
          <w:spacing w:val="0"/>
          <w:sz w:val="32"/>
          <w:szCs w:val="32"/>
          <w:highlight w:val="none"/>
          <w:lang w:val="en-US" w:eastAsia="zh-CN"/>
        </w:rPr>
        <w:t>GB18597-2023）</w:t>
      </w:r>
      <w:r>
        <w:rPr>
          <w:rFonts w:hint="eastAsia" w:ascii="Times New Roman" w:hAnsi="Times New Roman" w:eastAsia="仿宋_GB2312" w:cs="仿宋_GB2312"/>
          <w:bCs/>
          <w:color w:val="auto"/>
          <w:spacing w:val="0"/>
          <w:sz w:val="32"/>
          <w:szCs w:val="32"/>
          <w:highlight w:val="none"/>
          <w:lang w:val="en-US" w:eastAsia="zh-CN"/>
        </w:rPr>
        <w:t>等相关要求执行。</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pPr>
        <w:spacing w:line="560" w:lineRule="exact"/>
        <w:ind w:firstLine="640"/>
        <w:rPr>
          <w:rFonts w:ascii="Times New Roman" w:hAnsi="Times New Roman" w:eastAsia="仿宋_GB2312" w:cs="Times New Roman"/>
          <w:spacing w:val="-10"/>
          <w:sz w:val="32"/>
          <w:szCs w:val="32"/>
        </w:rPr>
      </w:pPr>
      <w:r>
        <w:rPr>
          <w:rFonts w:hint="eastAsia" w:ascii="仿宋_GB2312" w:hAnsi="仿宋" w:eastAsia="仿宋_GB2312" w:cs="仿宋_GB2312"/>
          <w:sz w:val="32"/>
          <w:szCs w:val="32"/>
        </w:rPr>
        <w:t>（一）严格按照《报告表》所列建设内容进行建设，在建设地点、性质、规模、生产工艺、污染防治和生态保护等措施发生重大变动时需重新进行环境影响评价。</w:t>
      </w:r>
    </w:p>
    <w:p>
      <w:pPr>
        <w:spacing w:line="56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（二）在工程施工和运行过程中，需建立畅通的公众参与平台，及时解决公众担忧的环境问题，满足公众合理的环境诉求。定期发布环境信息，并主动接受社会监督。</w:t>
      </w:r>
    </w:p>
    <w:p>
      <w:pPr>
        <w:spacing w:line="56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w:t>
      </w:r>
    </w:p>
    <w:p>
      <w:pPr>
        <w:pStyle w:val="6"/>
        <w:widowControl/>
        <w:spacing w:line="560"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五、阜新生态环境局</w:t>
      </w:r>
      <w:r>
        <w:rPr>
          <w:rFonts w:hint="eastAsia" w:ascii="Times New Roman" w:hAnsi="Times New Roman" w:eastAsia="仿宋_GB2312"/>
          <w:spacing w:val="-10"/>
          <w:sz w:val="32"/>
          <w:szCs w:val="32"/>
        </w:rPr>
        <w:t>彰武县</w:t>
      </w:r>
      <w:r>
        <w:rPr>
          <w:rFonts w:ascii="Times New Roman" w:hAnsi="Times New Roman" w:eastAsia="仿宋_GB2312"/>
          <w:spacing w:val="-10"/>
          <w:sz w:val="32"/>
          <w:szCs w:val="32"/>
        </w:rPr>
        <w:t>分局负责该项目的环境保护“三同时”监督检查及管理工作。</w:t>
      </w:r>
    </w:p>
    <w:p>
      <w:pPr>
        <w:pStyle w:val="6"/>
        <w:widowControl/>
        <w:spacing w:line="590" w:lineRule="exact"/>
        <w:ind w:firstLine="600" w:firstLineChars="200"/>
        <w:rPr>
          <w:rFonts w:ascii="Times New Roman" w:hAnsi="Times New Roman" w:eastAsia="仿宋_GB2312"/>
          <w:spacing w:val="-10"/>
          <w:sz w:val="32"/>
          <w:szCs w:val="32"/>
        </w:rPr>
      </w:pPr>
    </w:p>
    <w:p>
      <w:pPr>
        <w:pStyle w:val="6"/>
        <w:widowControl/>
        <w:spacing w:line="590" w:lineRule="exact"/>
        <w:ind w:firstLine="600" w:firstLineChars="200"/>
        <w:rPr>
          <w:rFonts w:ascii="Times New Roman" w:hAnsi="Times New Roman" w:eastAsia="仿宋_GB2312"/>
          <w:spacing w:val="-10"/>
          <w:sz w:val="32"/>
          <w:szCs w:val="32"/>
        </w:rPr>
      </w:pPr>
    </w:p>
    <w:p>
      <w:pPr>
        <w:pStyle w:val="6"/>
        <w:widowControl/>
        <w:spacing w:line="590" w:lineRule="exact"/>
        <w:ind w:firstLine="600" w:firstLineChars="200"/>
        <w:rPr>
          <w:rFonts w:ascii="Times New Roman" w:hAnsi="Times New Roman" w:eastAsia="仿宋_GB2312"/>
          <w:spacing w:val="-10"/>
          <w:sz w:val="32"/>
          <w:szCs w:val="32"/>
        </w:rPr>
      </w:pPr>
    </w:p>
    <w:p>
      <w:pPr>
        <w:spacing w:line="560" w:lineRule="exact"/>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阜新市生态环境局</w:t>
      </w:r>
      <w:r>
        <w:rPr>
          <w:rFonts w:ascii="Times New Roman" w:hAnsi="Times New Roman" w:eastAsia="仿宋_GB2312" w:cs="Times New Roman"/>
          <w:color w:val="FFFFFF" w:themeColor="background1"/>
          <w:spacing w:val="-10"/>
          <w:sz w:val="32"/>
          <w:szCs w:val="32"/>
        </w:rPr>
        <w:t>空空空空</w:t>
      </w:r>
    </w:p>
    <w:p>
      <w:pPr>
        <w:spacing w:line="56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8</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11</w:t>
      </w:r>
      <w:r>
        <w:rPr>
          <w:rFonts w:ascii="Times New Roman" w:hAnsi="Times New Roman" w:eastAsia="仿宋_GB2312" w:cs="Times New Roman"/>
          <w:sz w:val="32"/>
          <w:szCs w:val="32"/>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2"/>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00" w:usb3="00000000" w:csb0="00040000" w:csb1="00000000"/>
  </w:font>
  <w:font w:name="TimesNewRomanPSMT">
    <w:altName w:val="DejaVu Sans"/>
    <w:panose1 w:val="00000000000000000000"/>
    <w:charset w:val="00"/>
    <w:family w:val="roman"/>
    <w:pitch w:val="default"/>
    <w:sig w:usb0="00000000" w:usb1="00000000" w:usb2="00000010" w:usb3="00000000" w:csb0="00060001"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WAAAAZHJzL1BLAQIU&#10;ABQAAAAIAIdO4kDOqXm5zwAAAAUBAAAPAAAAAAAAAAEAIAAAADgAAABkcnMvZG93bnJldi54bWxQ&#10;SwECFAAUAAAACACHTuJA0WrDzrEBAABRAwAADgAAAAAAAAABACAAAAA0AQAAZHJzL2Uyb0RvYy54&#10;bWxQSwUGAAAAAAYABgBZAQAAVwUAAAAA&#10;">
          <v:path/>
          <v:fill on="f" focussize="0,0"/>
          <v:stroke on="f" joinstyle="miter"/>
          <v:imagedata o:title=""/>
          <o:lock v:ext="edit"/>
          <v:textbox inset="0mm,0mm,0mm,0mm" style="mso-fit-shape-to-text:t;">
            <w:txbxContent>
              <w:p>
                <w:pPr>
                  <w:pStyle w:val="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380F54D5"/>
    <w:rsid w:val="000062D9"/>
    <w:rsid w:val="00007F22"/>
    <w:rsid w:val="00017719"/>
    <w:rsid w:val="00043BA5"/>
    <w:rsid w:val="0005407F"/>
    <w:rsid w:val="000623ED"/>
    <w:rsid w:val="00067CA0"/>
    <w:rsid w:val="000772DF"/>
    <w:rsid w:val="00077DE7"/>
    <w:rsid w:val="00087C75"/>
    <w:rsid w:val="00091389"/>
    <w:rsid w:val="0009609B"/>
    <w:rsid w:val="000B46C8"/>
    <w:rsid w:val="000B72A8"/>
    <w:rsid w:val="000D3F26"/>
    <w:rsid w:val="000E2BE0"/>
    <w:rsid w:val="000F03B8"/>
    <w:rsid w:val="000F41D6"/>
    <w:rsid w:val="000F53C5"/>
    <w:rsid w:val="000F5784"/>
    <w:rsid w:val="0010758B"/>
    <w:rsid w:val="00110AE0"/>
    <w:rsid w:val="00111C6F"/>
    <w:rsid w:val="00126122"/>
    <w:rsid w:val="00136E39"/>
    <w:rsid w:val="00140916"/>
    <w:rsid w:val="0014796A"/>
    <w:rsid w:val="00151995"/>
    <w:rsid w:val="00152547"/>
    <w:rsid w:val="00155F05"/>
    <w:rsid w:val="00162003"/>
    <w:rsid w:val="00165C2F"/>
    <w:rsid w:val="00171391"/>
    <w:rsid w:val="00172F82"/>
    <w:rsid w:val="001731AA"/>
    <w:rsid w:val="0017663A"/>
    <w:rsid w:val="0018776B"/>
    <w:rsid w:val="00191FDF"/>
    <w:rsid w:val="00194074"/>
    <w:rsid w:val="00197D84"/>
    <w:rsid w:val="001A6C6B"/>
    <w:rsid w:val="001B0B16"/>
    <w:rsid w:val="001C2A31"/>
    <w:rsid w:val="001C2CCB"/>
    <w:rsid w:val="001C50A0"/>
    <w:rsid w:val="001E2C70"/>
    <w:rsid w:val="001E3942"/>
    <w:rsid w:val="00206BA3"/>
    <w:rsid w:val="00225D8D"/>
    <w:rsid w:val="00241147"/>
    <w:rsid w:val="002456ED"/>
    <w:rsid w:val="00251255"/>
    <w:rsid w:val="00261BD0"/>
    <w:rsid w:val="00263397"/>
    <w:rsid w:val="002653A2"/>
    <w:rsid w:val="00274C2A"/>
    <w:rsid w:val="002940A1"/>
    <w:rsid w:val="00294F26"/>
    <w:rsid w:val="0029671E"/>
    <w:rsid w:val="002A0C67"/>
    <w:rsid w:val="002A47E0"/>
    <w:rsid w:val="002D40C3"/>
    <w:rsid w:val="002E067D"/>
    <w:rsid w:val="002E7EE1"/>
    <w:rsid w:val="002F78E6"/>
    <w:rsid w:val="003348DE"/>
    <w:rsid w:val="00334D97"/>
    <w:rsid w:val="0034667A"/>
    <w:rsid w:val="00353966"/>
    <w:rsid w:val="0036510C"/>
    <w:rsid w:val="0038131F"/>
    <w:rsid w:val="003817C2"/>
    <w:rsid w:val="003A1ABB"/>
    <w:rsid w:val="003C2DD5"/>
    <w:rsid w:val="003E2C10"/>
    <w:rsid w:val="003F5744"/>
    <w:rsid w:val="004020CD"/>
    <w:rsid w:val="00406FAC"/>
    <w:rsid w:val="004268C9"/>
    <w:rsid w:val="00431EB5"/>
    <w:rsid w:val="00436E35"/>
    <w:rsid w:val="00451962"/>
    <w:rsid w:val="00474D92"/>
    <w:rsid w:val="004936A2"/>
    <w:rsid w:val="004A1B68"/>
    <w:rsid w:val="004A24A1"/>
    <w:rsid w:val="004C0B50"/>
    <w:rsid w:val="004C28CA"/>
    <w:rsid w:val="004D0431"/>
    <w:rsid w:val="004E1A1D"/>
    <w:rsid w:val="004E2327"/>
    <w:rsid w:val="005234D4"/>
    <w:rsid w:val="00527D3D"/>
    <w:rsid w:val="00532829"/>
    <w:rsid w:val="00532DB4"/>
    <w:rsid w:val="0053649A"/>
    <w:rsid w:val="00553B48"/>
    <w:rsid w:val="00567E69"/>
    <w:rsid w:val="00572D23"/>
    <w:rsid w:val="00575605"/>
    <w:rsid w:val="00585051"/>
    <w:rsid w:val="005A1518"/>
    <w:rsid w:val="005A5FBE"/>
    <w:rsid w:val="005D0479"/>
    <w:rsid w:val="005D0F66"/>
    <w:rsid w:val="005F21FA"/>
    <w:rsid w:val="006005E9"/>
    <w:rsid w:val="00600F3B"/>
    <w:rsid w:val="006037D7"/>
    <w:rsid w:val="00615B33"/>
    <w:rsid w:val="006310D1"/>
    <w:rsid w:val="00633BF0"/>
    <w:rsid w:val="00655A32"/>
    <w:rsid w:val="00671F04"/>
    <w:rsid w:val="00682423"/>
    <w:rsid w:val="006910E7"/>
    <w:rsid w:val="00693153"/>
    <w:rsid w:val="006937DD"/>
    <w:rsid w:val="0069697F"/>
    <w:rsid w:val="006A3395"/>
    <w:rsid w:val="006A35C1"/>
    <w:rsid w:val="006C0252"/>
    <w:rsid w:val="006C6436"/>
    <w:rsid w:val="006C753A"/>
    <w:rsid w:val="006D2DE6"/>
    <w:rsid w:val="006D7401"/>
    <w:rsid w:val="006E00E2"/>
    <w:rsid w:val="006E16EB"/>
    <w:rsid w:val="006E1D53"/>
    <w:rsid w:val="007109FE"/>
    <w:rsid w:val="00721648"/>
    <w:rsid w:val="0072384C"/>
    <w:rsid w:val="007439EB"/>
    <w:rsid w:val="00755A13"/>
    <w:rsid w:val="0076595C"/>
    <w:rsid w:val="0076661D"/>
    <w:rsid w:val="00791A8D"/>
    <w:rsid w:val="0079373D"/>
    <w:rsid w:val="00795B47"/>
    <w:rsid w:val="007A4A4C"/>
    <w:rsid w:val="007A75A6"/>
    <w:rsid w:val="007B1FE6"/>
    <w:rsid w:val="007B5A10"/>
    <w:rsid w:val="007B7BE4"/>
    <w:rsid w:val="007D2281"/>
    <w:rsid w:val="007D2FB7"/>
    <w:rsid w:val="007F4873"/>
    <w:rsid w:val="00820031"/>
    <w:rsid w:val="00821153"/>
    <w:rsid w:val="00825318"/>
    <w:rsid w:val="00830584"/>
    <w:rsid w:val="00831141"/>
    <w:rsid w:val="00892B01"/>
    <w:rsid w:val="008932AC"/>
    <w:rsid w:val="008A4530"/>
    <w:rsid w:val="008D6311"/>
    <w:rsid w:val="008E1065"/>
    <w:rsid w:val="008E2169"/>
    <w:rsid w:val="008F4787"/>
    <w:rsid w:val="00904FA0"/>
    <w:rsid w:val="009144D4"/>
    <w:rsid w:val="00944C05"/>
    <w:rsid w:val="00952892"/>
    <w:rsid w:val="0095670C"/>
    <w:rsid w:val="00971968"/>
    <w:rsid w:val="00971CF8"/>
    <w:rsid w:val="00977B86"/>
    <w:rsid w:val="0098146A"/>
    <w:rsid w:val="0098294A"/>
    <w:rsid w:val="00997F8B"/>
    <w:rsid w:val="009A44ED"/>
    <w:rsid w:val="009C1C42"/>
    <w:rsid w:val="009C48EA"/>
    <w:rsid w:val="009C7C98"/>
    <w:rsid w:val="009D43F7"/>
    <w:rsid w:val="009E03AB"/>
    <w:rsid w:val="009E28AA"/>
    <w:rsid w:val="00A05E48"/>
    <w:rsid w:val="00A11FEC"/>
    <w:rsid w:val="00A20660"/>
    <w:rsid w:val="00A26E05"/>
    <w:rsid w:val="00A3220D"/>
    <w:rsid w:val="00A418E3"/>
    <w:rsid w:val="00A45F76"/>
    <w:rsid w:val="00A5305E"/>
    <w:rsid w:val="00A56C1B"/>
    <w:rsid w:val="00A6616D"/>
    <w:rsid w:val="00A740DA"/>
    <w:rsid w:val="00A83971"/>
    <w:rsid w:val="00A91084"/>
    <w:rsid w:val="00A93B7D"/>
    <w:rsid w:val="00A94A5D"/>
    <w:rsid w:val="00AA7F48"/>
    <w:rsid w:val="00AB1E2F"/>
    <w:rsid w:val="00AC63B0"/>
    <w:rsid w:val="00AE5DFA"/>
    <w:rsid w:val="00AF1B47"/>
    <w:rsid w:val="00AF3611"/>
    <w:rsid w:val="00AF3C50"/>
    <w:rsid w:val="00B04E5E"/>
    <w:rsid w:val="00B05393"/>
    <w:rsid w:val="00B06557"/>
    <w:rsid w:val="00B155B3"/>
    <w:rsid w:val="00B20D7C"/>
    <w:rsid w:val="00B340B3"/>
    <w:rsid w:val="00B37380"/>
    <w:rsid w:val="00B45AE3"/>
    <w:rsid w:val="00B62DB8"/>
    <w:rsid w:val="00B74C9F"/>
    <w:rsid w:val="00B8261A"/>
    <w:rsid w:val="00B94626"/>
    <w:rsid w:val="00B97DB3"/>
    <w:rsid w:val="00BA53D8"/>
    <w:rsid w:val="00BB15E2"/>
    <w:rsid w:val="00BB64DD"/>
    <w:rsid w:val="00BC2061"/>
    <w:rsid w:val="00BE3651"/>
    <w:rsid w:val="00BE3D59"/>
    <w:rsid w:val="00BE655D"/>
    <w:rsid w:val="00C00DAF"/>
    <w:rsid w:val="00C11786"/>
    <w:rsid w:val="00C16555"/>
    <w:rsid w:val="00C36D6C"/>
    <w:rsid w:val="00C422EA"/>
    <w:rsid w:val="00C4773E"/>
    <w:rsid w:val="00C50E21"/>
    <w:rsid w:val="00C544C6"/>
    <w:rsid w:val="00C56CCC"/>
    <w:rsid w:val="00C64E75"/>
    <w:rsid w:val="00C72620"/>
    <w:rsid w:val="00C747E0"/>
    <w:rsid w:val="00C751B7"/>
    <w:rsid w:val="00C838C5"/>
    <w:rsid w:val="00C93F4B"/>
    <w:rsid w:val="00CA44E1"/>
    <w:rsid w:val="00CA6119"/>
    <w:rsid w:val="00CA6A8D"/>
    <w:rsid w:val="00CB64E8"/>
    <w:rsid w:val="00CB7BED"/>
    <w:rsid w:val="00CC64E4"/>
    <w:rsid w:val="00CD5065"/>
    <w:rsid w:val="00CD7ED3"/>
    <w:rsid w:val="00CE05C7"/>
    <w:rsid w:val="00CE17B1"/>
    <w:rsid w:val="00CF429D"/>
    <w:rsid w:val="00D14EC1"/>
    <w:rsid w:val="00D17840"/>
    <w:rsid w:val="00D33BDD"/>
    <w:rsid w:val="00D372FE"/>
    <w:rsid w:val="00D410C3"/>
    <w:rsid w:val="00D413D1"/>
    <w:rsid w:val="00D4718C"/>
    <w:rsid w:val="00D52ECE"/>
    <w:rsid w:val="00D93082"/>
    <w:rsid w:val="00D96AA6"/>
    <w:rsid w:val="00DA4D1A"/>
    <w:rsid w:val="00DB3A0C"/>
    <w:rsid w:val="00DC7288"/>
    <w:rsid w:val="00DC74A2"/>
    <w:rsid w:val="00DD6305"/>
    <w:rsid w:val="00DE18EF"/>
    <w:rsid w:val="00DE3E87"/>
    <w:rsid w:val="00DE4724"/>
    <w:rsid w:val="00DF31E8"/>
    <w:rsid w:val="00DF3323"/>
    <w:rsid w:val="00DF3335"/>
    <w:rsid w:val="00E00AF7"/>
    <w:rsid w:val="00E01AC0"/>
    <w:rsid w:val="00E07BC2"/>
    <w:rsid w:val="00E31E6E"/>
    <w:rsid w:val="00E3480C"/>
    <w:rsid w:val="00E35605"/>
    <w:rsid w:val="00E419CF"/>
    <w:rsid w:val="00E43392"/>
    <w:rsid w:val="00E43393"/>
    <w:rsid w:val="00E52B86"/>
    <w:rsid w:val="00E52B93"/>
    <w:rsid w:val="00E74EEA"/>
    <w:rsid w:val="00E801DF"/>
    <w:rsid w:val="00E82E3C"/>
    <w:rsid w:val="00E87BDD"/>
    <w:rsid w:val="00EA2FDC"/>
    <w:rsid w:val="00EC40BD"/>
    <w:rsid w:val="00EE1422"/>
    <w:rsid w:val="00EE18B0"/>
    <w:rsid w:val="00EE2AE1"/>
    <w:rsid w:val="00EE4DB1"/>
    <w:rsid w:val="00EF0555"/>
    <w:rsid w:val="00F21668"/>
    <w:rsid w:val="00F21730"/>
    <w:rsid w:val="00F23B21"/>
    <w:rsid w:val="00F33E93"/>
    <w:rsid w:val="00F559CA"/>
    <w:rsid w:val="00F6267F"/>
    <w:rsid w:val="00F629DD"/>
    <w:rsid w:val="00F872D2"/>
    <w:rsid w:val="00FA7471"/>
    <w:rsid w:val="00FB459C"/>
    <w:rsid w:val="00FB7EC7"/>
    <w:rsid w:val="00FC1639"/>
    <w:rsid w:val="00FD76A4"/>
    <w:rsid w:val="00FF642D"/>
    <w:rsid w:val="044811AB"/>
    <w:rsid w:val="15DA7390"/>
    <w:rsid w:val="1A8D294F"/>
    <w:rsid w:val="1BC44A00"/>
    <w:rsid w:val="1FBD2CAF"/>
    <w:rsid w:val="24B5094F"/>
    <w:rsid w:val="25CE1675"/>
    <w:rsid w:val="29974297"/>
    <w:rsid w:val="2F9A5356"/>
    <w:rsid w:val="311331FC"/>
    <w:rsid w:val="380F54D5"/>
    <w:rsid w:val="42BB1FD9"/>
    <w:rsid w:val="45C67A8C"/>
    <w:rsid w:val="49904DB6"/>
    <w:rsid w:val="5D463024"/>
    <w:rsid w:val="64A35F68"/>
    <w:rsid w:val="64F26DFF"/>
    <w:rsid w:val="6A4D3FA6"/>
    <w:rsid w:val="6CF95D08"/>
    <w:rsid w:val="739754C2"/>
    <w:rsid w:val="76314207"/>
    <w:rsid w:val="79974DA2"/>
    <w:rsid w:val="FFD3DF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HTML Address"/>
    <w:basedOn w:val="1"/>
    <w:uiPriority w:val="0"/>
    <w:rPr>
      <w:i/>
    </w:r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 w:type="character" w:customStyle="1" w:styleId="12">
    <w:name w:val="fontstyle01"/>
    <w:basedOn w:val="8"/>
    <w:qFormat/>
    <w:uiPriority w:val="0"/>
    <w:rPr>
      <w:rFonts w:hint="eastAsia" w:ascii="宋体" w:hAnsi="宋体" w:eastAsia="宋体"/>
      <w:color w:val="000000"/>
      <w:sz w:val="22"/>
      <w:szCs w:val="22"/>
    </w:rPr>
  </w:style>
  <w:style w:type="character" w:customStyle="1" w:styleId="13">
    <w:name w:val="fontstyle21"/>
    <w:basedOn w:val="8"/>
    <w:qFormat/>
    <w:uiPriority w:val="0"/>
    <w:rPr>
      <w:rFonts w:hint="default" w:ascii="TimesNewRomanPSMT" w:hAnsi="TimesNewRomanPSMT"/>
      <w:color w:val="000000"/>
      <w:sz w:val="22"/>
      <w:szCs w:val="22"/>
    </w:rPr>
  </w:style>
  <w:style w:type="paragraph" w:customStyle="1" w:styleId="14">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1288</Words>
  <Characters>1372</Characters>
  <Lines>10</Lines>
  <Paragraphs>3</Paragraphs>
  <TotalTime>4</TotalTime>
  <ScaleCrop>false</ScaleCrop>
  <LinksUpToDate>false</LinksUpToDate>
  <CharactersWithSpaces>1436</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2019-04-29T19:18:00Z</dcterms:created>
  <dc:creator>Administrator</dc:creator>
  <cp:lastModifiedBy>user</cp:lastModifiedBy>
  <cp:lastPrinted>2025-04-08T11:17:00Z</cp:lastPrinted>
  <dcterms:modified xsi:type="dcterms:W3CDTF">2026-08-11T16:59:52Z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A065AFFA736E4FABB85A22C566A6B8D5</vt:lpwstr>
  </property>
  <property fmtid="{D5CDD505-2E9C-101B-9397-08002B2CF9AE}" pid="4" name="KSOTemplateDocerSaveRecord">
    <vt:lpwstr>eyJoZGlkIjoiZTU4ZTA4YjgzOTQzYWYyY2RhNWM3NGUzZjFmNGM0ODgifQ==</vt:lpwstr>
  </property>
</Properties>
</file>