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rPr>
          <w:rFonts w:ascii="仿宋_GB2312" w:hAnsi="仿宋_GB2312" w:eastAsia="仿宋_GB2312" w:cs="仿宋_GB2312"/>
          <w:sz w:val="44"/>
          <w:szCs w:val="44"/>
        </w:rPr>
      </w:pPr>
      <w:r>
        <w:rPr>
          <w:rFonts w:hint="eastAsia" w:ascii="仿宋_GB2312" w:hAnsi="仿宋_GB2312" w:eastAsia="仿宋_GB2312" w:cs="仿宋_GB2312"/>
          <w:sz w:val="32"/>
          <w:szCs w:val="32"/>
        </w:rPr>
        <w:t xml:space="preserve"> </w:t>
      </w:r>
    </w:p>
    <w:p>
      <w:pPr>
        <w:rPr>
          <w:rFonts w:ascii="仿宋_GB2312" w:hAnsi="仿宋_GB2312" w:eastAsia="仿宋_GB2312" w:cs="仿宋_GB2312"/>
          <w:sz w:val="52"/>
          <w:szCs w:val="52"/>
        </w:rPr>
      </w:pPr>
    </w:p>
    <w:p>
      <w:pPr>
        <w:jc w:val="center"/>
        <w:rPr>
          <w:rFonts w:ascii="仿宋_GB2312" w:hAnsi="仿宋_GB2312" w:eastAsia="仿宋_GB2312" w:cs="仿宋_GB2312"/>
          <w:color w:val="000000"/>
          <w:sz w:val="32"/>
        </w:rPr>
      </w:pPr>
      <w:r>
        <w:rPr>
          <w:rFonts w:hint="eastAsia" w:ascii="仿宋_GB2312" w:hAnsi="仿宋_GB2312" w:eastAsia="仿宋_GB2312" w:cs="仿宋_GB2312"/>
          <w:sz w:val="32"/>
        </w:rPr>
        <w:t xml:space="preserve">                            阜环审〔</w:t>
      </w:r>
      <w:r>
        <w:rPr>
          <w:rFonts w:ascii="仿宋_GB2312" w:hAnsi="仿宋_GB2312" w:eastAsia="仿宋_GB2312" w:cs="仿宋_GB2312"/>
          <w:sz w:val="32"/>
        </w:rPr>
        <w:t>202</w:t>
      </w:r>
      <w:r>
        <w:rPr>
          <w:rFonts w:hint="eastAsia" w:ascii="仿宋_GB2312" w:hAnsi="仿宋_GB2312" w:eastAsia="仿宋_GB2312" w:cs="仿宋_GB2312"/>
          <w:sz w:val="32"/>
          <w:lang w:val="en-US" w:eastAsia="zh-CN"/>
        </w:rPr>
        <w:t>6</w:t>
      </w:r>
      <w:r>
        <w:rPr>
          <w:rFonts w:hint="eastAsia" w:ascii="仿宋_GB2312" w:hAnsi="仿宋_GB2312" w:eastAsia="仿宋_GB2312" w:cs="仿宋_GB2312"/>
          <w:sz w:val="32"/>
        </w:rPr>
        <w:t>〕</w:t>
      </w:r>
      <w:r>
        <w:rPr>
          <w:rFonts w:hint="default" w:ascii="仿宋_GB2312" w:hAnsi="仿宋_GB2312" w:eastAsia="仿宋_GB2312" w:cs="仿宋_GB2312"/>
          <w:sz w:val="32"/>
          <w:lang w:val="en" w:eastAsia="zh-CN"/>
        </w:rPr>
        <w:t>20</w:t>
      </w:r>
      <w:r>
        <w:rPr>
          <w:rFonts w:hint="eastAsia" w:ascii="仿宋_GB2312" w:hAnsi="仿宋_GB2312" w:eastAsia="仿宋_GB2312" w:cs="仿宋_GB2312"/>
          <w:color w:val="000000"/>
          <w:sz w:val="32"/>
        </w:rPr>
        <w:t>号</w:t>
      </w:r>
    </w:p>
    <w:p>
      <w:pPr>
        <w:spacing w:line="660" w:lineRule="exact"/>
        <w:jc w:val="center"/>
        <w:rPr>
          <w:rFonts w:hint="eastAsia"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关于《华能阜新彰武50万千瓦光伏复合</w:t>
      </w:r>
    </w:p>
    <w:p>
      <w:pPr>
        <w:spacing w:line="66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治沙示范项目变更环境影响报告表》的批复</w:t>
      </w:r>
    </w:p>
    <w:p>
      <w:pPr>
        <w:jc w:val="center"/>
        <w:rPr>
          <w:rFonts w:ascii="宋体" w:hAnsi="宋体" w:eastAsia="宋体" w:cs="宋体"/>
          <w:sz w:val="32"/>
          <w:szCs w:val="32"/>
        </w:rPr>
      </w:pPr>
    </w:p>
    <w:p>
      <w:pPr>
        <w:spacing w:line="590" w:lineRule="exact"/>
        <w:rPr>
          <w:rFonts w:hint="eastAsia"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华能（彰武）新能源有限公司：</w:t>
      </w:r>
      <w:bookmarkStart w:id="0" w:name="_GoBack"/>
      <w:bookmarkEnd w:id="0"/>
    </w:p>
    <w:p>
      <w:pPr>
        <w:tabs>
          <w:tab w:val="left" w:pos="3500"/>
        </w:tabs>
        <w:spacing w:line="590" w:lineRule="exact"/>
        <w:ind w:firstLine="640"/>
        <w:rPr>
          <w:rFonts w:hint="eastAsia"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你单位报送的《华能阜新彰武50万千瓦光伏复合治沙示范项目变更环境影响报告表》（以下简称《报告表》）及申请收悉，经我局建设项目审查委员会研究，批复如下：</w:t>
      </w:r>
    </w:p>
    <w:p>
      <w:pPr>
        <w:tabs>
          <w:tab w:val="left" w:pos="3500"/>
        </w:tabs>
        <w:spacing w:line="590" w:lineRule="exact"/>
        <w:ind w:firstLine="640"/>
        <w:rPr>
          <w:rFonts w:hint="eastAsia"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一、本项目位于辽宁省阜新市彰武县章古台、兴隆堡、后新秋、冯家、四合城、大德镇。本项目变更</w:t>
      </w:r>
      <w:r>
        <w:rPr>
          <w:rFonts w:hint="eastAsia" w:ascii="仿宋_GB2312" w:hAnsi="Times New Roman" w:eastAsia="仿宋_GB2312" w:cs="Times New Roman"/>
          <w:spacing w:val="-10"/>
          <w:sz w:val="32"/>
          <w:szCs w:val="32"/>
          <w:lang w:eastAsia="zh-CN"/>
        </w:rPr>
        <w:t>内容</w:t>
      </w:r>
      <w:r>
        <w:rPr>
          <w:rFonts w:hint="eastAsia" w:ascii="仿宋_GB2312" w:hAnsi="Times New Roman" w:eastAsia="仿宋_GB2312" w:cs="Times New Roman"/>
          <w:spacing w:val="-10"/>
          <w:sz w:val="32"/>
          <w:szCs w:val="32"/>
        </w:rPr>
        <w:t>为光伏场地位置、边界</w:t>
      </w:r>
      <w:r>
        <w:rPr>
          <w:rFonts w:hint="eastAsia" w:ascii="仿宋_GB2312" w:hAnsi="Times New Roman" w:eastAsia="仿宋_GB2312" w:cs="Times New Roman"/>
          <w:spacing w:val="-10"/>
          <w:sz w:val="32"/>
          <w:szCs w:val="32"/>
          <w:lang w:eastAsia="zh-CN"/>
        </w:rPr>
        <w:t>及</w:t>
      </w:r>
      <w:r>
        <w:rPr>
          <w:rFonts w:hint="eastAsia" w:ascii="仿宋_GB2312" w:hAnsi="Times New Roman" w:eastAsia="仿宋_GB2312" w:cs="Times New Roman"/>
          <w:spacing w:val="-10"/>
          <w:sz w:val="32"/>
          <w:szCs w:val="32"/>
        </w:rPr>
        <w:t>数量，220</w:t>
      </w:r>
      <w:r>
        <w:rPr>
          <w:rFonts w:hint="eastAsia" w:ascii="仿宋_GB2312" w:hAnsi="Times New Roman" w:eastAsia="仿宋_GB2312" w:cs="Times New Roman"/>
          <w:spacing w:val="-10"/>
          <w:sz w:val="32"/>
          <w:szCs w:val="32"/>
          <w:lang w:eastAsia="zh-CN"/>
        </w:rPr>
        <w:t>千伏</w:t>
      </w:r>
      <w:r>
        <w:rPr>
          <w:rFonts w:hint="eastAsia" w:ascii="仿宋_GB2312" w:hAnsi="Times New Roman" w:eastAsia="仿宋_GB2312" w:cs="Times New Roman"/>
          <w:spacing w:val="-10"/>
          <w:sz w:val="32"/>
          <w:szCs w:val="32"/>
        </w:rPr>
        <w:t>集电线路路由发生变化，35</w:t>
      </w:r>
      <w:r>
        <w:rPr>
          <w:rFonts w:hint="eastAsia" w:ascii="仿宋_GB2312" w:hAnsi="Times New Roman" w:eastAsia="仿宋_GB2312" w:cs="Times New Roman"/>
          <w:spacing w:val="-10"/>
          <w:sz w:val="32"/>
          <w:szCs w:val="32"/>
          <w:lang w:eastAsia="zh-CN"/>
        </w:rPr>
        <w:t>千伏</w:t>
      </w:r>
      <w:r>
        <w:rPr>
          <w:rFonts w:hint="eastAsia" w:ascii="仿宋_GB2312" w:hAnsi="Times New Roman" w:eastAsia="仿宋_GB2312" w:cs="Times New Roman"/>
          <w:spacing w:val="-10"/>
          <w:sz w:val="32"/>
          <w:szCs w:val="32"/>
        </w:rPr>
        <w:t>集电线路路由发生变化，取消原有储能站。</w:t>
      </w:r>
      <w:r>
        <w:rPr>
          <w:rFonts w:hint="eastAsia" w:ascii="仿宋_GB2312" w:hAnsi="Times New Roman" w:eastAsia="仿宋_GB2312" w:cs="Times New Roman"/>
          <w:spacing w:val="-10"/>
          <w:sz w:val="32"/>
          <w:szCs w:val="32"/>
          <w:lang w:eastAsia="zh-CN"/>
        </w:rPr>
        <w:t>变更后</w:t>
      </w:r>
      <w:r>
        <w:rPr>
          <w:rFonts w:hint="eastAsia" w:ascii="仿宋_GB2312" w:hAnsi="Times New Roman" w:eastAsia="仿宋_GB2312" w:cs="Times New Roman"/>
          <w:spacing w:val="-10"/>
          <w:sz w:val="32"/>
          <w:szCs w:val="32"/>
        </w:rPr>
        <w:t>共建设30个光伏场区、220</w:t>
      </w:r>
      <w:r>
        <w:rPr>
          <w:rFonts w:hint="eastAsia" w:ascii="仿宋_GB2312" w:hAnsi="Times New Roman" w:eastAsia="仿宋_GB2312" w:cs="Times New Roman"/>
          <w:spacing w:val="-10"/>
          <w:sz w:val="32"/>
          <w:szCs w:val="32"/>
          <w:lang w:eastAsia="zh-CN"/>
        </w:rPr>
        <w:t>千伏</w:t>
      </w:r>
      <w:r>
        <w:rPr>
          <w:rFonts w:hint="eastAsia" w:ascii="仿宋_GB2312" w:hAnsi="Times New Roman" w:eastAsia="仿宋_GB2312" w:cs="Times New Roman"/>
          <w:spacing w:val="-10"/>
          <w:sz w:val="32"/>
          <w:szCs w:val="32"/>
        </w:rPr>
        <w:t>集电线路25.63</w:t>
      </w:r>
      <w:r>
        <w:rPr>
          <w:rFonts w:hint="eastAsia" w:ascii="仿宋_GB2312" w:hAnsi="Times New Roman" w:eastAsia="仿宋_GB2312" w:cs="Times New Roman"/>
          <w:spacing w:val="-10"/>
          <w:sz w:val="32"/>
          <w:szCs w:val="32"/>
          <w:lang w:eastAsia="zh-CN"/>
        </w:rPr>
        <w:t>千米</w:t>
      </w:r>
      <w:r>
        <w:rPr>
          <w:rFonts w:hint="eastAsia" w:ascii="仿宋_GB2312" w:hAnsi="Times New Roman" w:eastAsia="仿宋_GB2312" w:cs="Times New Roman"/>
          <w:spacing w:val="-10"/>
          <w:sz w:val="32"/>
          <w:szCs w:val="32"/>
        </w:rPr>
        <w:t>、35</w:t>
      </w:r>
      <w:r>
        <w:rPr>
          <w:rFonts w:hint="eastAsia" w:ascii="仿宋_GB2312" w:hAnsi="Times New Roman" w:eastAsia="仿宋_GB2312" w:cs="Times New Roman"/>
          <w:spacing w:val="-10"/>
          <w:sz w:val="32"/>
          <w:szCs w:val="32"/>
          <w:lang w:eastAsia="zh-CN"/>
        </w:rPr>
        <w:t>千伏</w:t>
      </w:r>
      <w:r>
        <w:rPr>
          <w:rFonts w:hint="eastAsia" w:ascii="仿宋_GB2312" w:hAnsi="Times New Roman" w:eastAsia="仿宋_GB2312" w:cs="Times New Roman"/>
          <w:spacing w:val="-10"/>
          <w:sz w:val="32"/>
          <w:szCs w:val="32"/>
        </w:rPr>
        <w:t>集电线路111.07</w:t>
      </w:r>
      <w:r>
        <w:rPr>
          <w:rFonts w:hint="eastAsia" w:ascii="仿宋_GB2312" w:hAnsi="Times New Roman" w:eastAsia="仿宋_GB2312" w:cs="Times New Roman"/>
          <w:spacing w:val="-10"/>
          <w:sz w:val="32"/>
          <w:szCs w:val="32"/>
          <w:lang w:eastAsia="zh-CN"/>
        </w:rPr>
        <w:t>千米，项目占地面积9002843.22平方米。</w:t>
      </w:r>
      <w:r>
        <w:rPr>
          <w:rFonts w:hint="eastAsia" w:ascii="仿宋_GB2312" w:hAnsi="Times New Roman" w:eastAsia="仿宋_GB2312" w:cs="Times New Roman"/>
          <w:spacing w:val="-10"/>
          <w:sz w:val="32"/>
          <w:szCs w:val="32"/>
        </w:rPr>
        <w:t>项目建成后，年均发电量为930065</w:t>
      </w:r>
      <w:r>
        <w:rPr>
          <w:rFonts w:hint="eastAsia" w:ascii="仿宋_GB2312" w:hAnsi="Times New Roman" w:eastAsia="仿宋_GB2312" w:cs="Times New Roman"/>
          <w:spacing w:val="-10"/>
          <w:sz w:val="32"/>
          <w:szCs w:val="32"/>
          <w:lang w:eastAsia="zh-CN"/>
        </w:rPr>
        <w:t>兆瓦时。</w:t>
      </w:r>
      <w:r>
        <w:rPr>
          <w:rFonts w:hint="eastAsia" w:ascii="仿宋_GB2312" w:hAnsi="Times New Roman" w:eastAsia="仿宋_GB2312" w:cs="Times New Roman"/>
          <w:spacing w:val="-10"/>
          <w:sz w:val="32"/>
          <w:szCs w:val="32"/>
        </w:rPr>
        <w:t>项目总投资为232746.82万元，其中环保投资</w:t>
      </w:r>
      <w:r>
        <w:rPr>
          <w:rFonts w:hint="eastAsia" w:ascii="仿宋_GB2312" w:hAnsi="Times New Roman" w:eastAsia="仿宋_GB2312" w:cs="Times New Roman"/>
          <w:spacing w:val="-10"/>
          <w:sz w:val="32"/>
          <w:szCs w:val="32"/>
          <w:lang w:val="en-US" w:eastAsia="zh-CN"/>
        </w:rPr>
        <w:t>465</w:t>
      </w:r>
      <w:r>
        <w:rPr>
          <w:rFonts w:hint="eastAsia" w:ascii="仿宋_GB2312" w:hAnsi="Times New Roman" w:eastAsia="仿宋_GB2312" w:cs="Times New Roman"/>
          <w:spacing w:val="-10"/>
          <w:sz w:val="32"/>
          <w:szCs w:val="32"/>
        </w:rPr>
        <w:t>万元。</w:t>
      </w:r>
    </w:p>
    <w:p>
      <w:pPr>
        <w:spacing w:line="600" w:lineRule="exact"/>
        <w:ind w:firstLine="600" w:firstLineChars="200"/>
        <w:rPr>
          <w:rFonts w:hint="eastAsia" w:ascii="仿宋_GB2312" w:hAnsi="仿宋" w:eastAsia="仿宋_GB2312" w:cs="仿宋_GB2312"/>
          <w:sz w:val="32"/>
          <w:szCs w:val="32"/>
        </w:rPr>
      </w:pPr>
      <w:r>
        <w:rPr>
          <w:rFonts w:hint="eastAsia" w:ascii="仿宋_GB2312" w:hAnsi="Times New Roman" w:eastAsia="仿宋_GB2312" w:cs="Times New Roman"/>
          <w:color w:val="000000" w:themeColor="text1"/>
          <w:spacing w:val="-10"/>
          <w:sz w:val="32"/>
          <w:szCs w:val="32"/>
          <w14:textFill>
            <w14:solidFill>
              <w14:schemeClr w14:val="tx1"/>
            </w14:solidFill>
          </w14:textFill>
        </w:rPr>
        <w:t>二、阜新市生态环境保护服务中心以《</w:t>
      </w:r>
      <w:r>
        <w:rPr>
          <w:rFonts w:hint="eastAsia" w:ascii="仿宋_GB2312" w:hAnsi="Times New Roman" w:eastAsia="仿宋_GB2312" w:cs="Times New Roman"/>
          <w:spacing w:val="-10"/>
          <w:sz w:val="32"/>
          <w:szCs w:val="32"/>
        </w:rPr>
        <w:t>华能阜新彰武50万千瓦光伏复合治沙示范项目变更环境影响报告表</w:t>
      </w:r>
      <w:r>
        <w:rPr>
          <w:rFonts w:hint="eastAsia" w:ascii="仿宋_GB2312" w:hAnsi="Times New Roman" w:eastAsia="仿宋_GB2312" w:cs="Times New Roman"/>
          <w:color w:val="000000" w:themeColor="text1"/>
          <w:spacing w:val="-10"/>
          <w:sz w:val="32"/>
          <w:szCs w:val="32"/>
          <w14:textFill>
            <w14:solidFill>
              <w14:schemeClr w14:val="tx1"/>
            </w14:solidFill>
          </w14:textFill>
        </w:rPr>
        <w:t>的评估意见》（阜环评估</w:t>
      </w:r>
      <w:r>
        <w:rPr>
          <w:rFonts w:hint="eastAsia" w:ascii="仿宋_GB2312" w:hAnsi="仿宋" w:eastAsia="仿宋_GB2312" w:cs="仿宋"/>
          <w:sz w:val="32"/>
          <w:szCs w:val="32"/>
        </w:rPr>
        <w:t>〔202</w:t>
      </w:r>
      <w:r>
        <w:rPr>
          <w:rFonts w:hint="eastAsia" w:ascii="仿宋_GB2312" w:hAnsi="仿宋" w:eastAsia="仿宋_GB2312" w:cs="仿宋"/>
          <w:sz w:val="32"/>
          <w:szCs w:val="32"/>
          <w:lang w:val="en-US" w:eastAsia="zh-CN"/>
        </w:rPr>
        <w:t>6</w:t>
      </w:r>
      <w:r>
        <w:rPr>
          <w:rFonts w:hint="eastAsia" w:ascii="仿宋_GB2312" w:hAnsi="仿宋" w:eastAsia="仿宋_GB2312" w:cs="仿宋"/>
          <w:sz w:val="32"/>
          <w:szCs w:val="32"/>
        </w:rPr>
        <w:t>〕</w:t>
      </w:r>
      <w:r>
        <w:rPr>
          <w:rFonts w:hint="default" w:ascii="仿宋_GB2312" w:hAnsi="仿宋" w:eastAsia="仿宋_GB2312" w:cs="仿宋"/>
          <w:sz w:val="32"/>
          <w:szCs w:val="32"/>
          <w:lang w:val="en" w:eastAsia="zh-CN"/>
        </w:rPr>
        <w:t>67</w:t>
      </w:r>
      <w:r>
        <w:rPr>
          <w:rFonts w:hint="eastAsia" w:ascii="仿宋_GB2312" w:hAnsi="仿宋" w:eastAsia="仿宋_GB2312" w:cs="仿宋"/>
          <w:sz w:val="32"/>
          <w:szCs w:val="32"/>
        </w:rPr>
        <w:t>号</w:t>
      </w:r>
      <w:r>
        <w:rPr>
          <w:rFonts w:hint="eastAsia" w:ascii="仿宋_GB2312" w:hAnsi="Times New Roman" w:eastAsia="仿宋_GB2312" w:cs="Times New Roman"/>
          <w:color w:val="000000" w:themeColor="text1"/>
          <w:spacing w:val="-10"/>
          <w:sz w:val="32"/>
          <w:szCs w:val="32"/>
          <w14:textFill>
            <w14:solidFill>
              <w14:schemeClr w14:val="tx1"/>
            </w14:solidFill>
          </w14:textFill>
        </w:rPr>
        <w:t>）出具项目建设可行意见</w:t>
      </w:r>
      <w:r>
        <w:rPr>
          <w:rFonts w:hint="eastAsia" w:ascii="仿宋_GB2312" w:hAnsi="Times New Roman" w:eastAsia="仿宋_GB2312" w:cs="Times New Roman"/>
          <w:spacing w:val="-10"/>
          <w:sz w:val="32"/>
          <w:szCs w:val="32"/>
        </w:rPr>
        <w:t>。</w:t>
      </w:r>
      <w:r>
        <w:rPr>
          <w:rFonts w:hint="eastAsia" w:ascii="仿宋_GB2312" w:hAnsi="仿宋" w:eastAsia="仿宋_GB2312" w:cs="仿宋_GB2312"/>
          <w:sz w:val="32"/>
          <w:szCs w:val="32"/>
        </w:rPr>
        <w:t>项目符合国家产业政策，选址经涉及的各部门同意。经我局建设项目审查委员会研究，在严格落实各项环境保护措施，做到污染物达标排放、有效防控生态破坏的条件下，项目在环境保护方面是可行的。</w:t>
      </w:r>
    </w:p>
    <w:p>
      <w:pPr>
        <w:spacing w:line="590" w:lineRule="exact"/>
        <w:ind w:firstLine="600" w:firstLineChars="200"/>
        <w:rPr>
          <w:rFonts w:hint="eastAsia"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 xml:space="preserve">三、本项目应严格按照《报告表》提出的各项污染防治措施进行工程设计、建设与管理，严格执行环境保护“三同时”，应重点做好以下工作： </w:t>
      </w:r>
    </w:p>
    <w:p>
      <w:pPr>
        <w:spacing w:line="60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 xml:space="preserve">（一）严格落实项目施工期的废气、废水、噪声、固废污染防治措施，保证各类污染物达标排放。 </w:t>
      </w:r>
    </w:p>
    <w:p>
      <w:pPr>
        <w:spacing w:line="60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（二）严格落实生态保护措施，合理设计施工工期，削减施工土石方扰动量，</w:t>
      </w:r>
      <w:r>
        <w:rPr>
          <w:rFonts w:hint="eastAsia" w:ascii="仿宋_GB2312" w:hAnsi="仿宋" w:eastAsia="仿宋_GB2312" w:cs="仿宋_GB2312"/>
          <w:color w:val="000000" w:themeColor="text1"/>
          <w:sz w:val="32"/>
          <w:szCs w:val="32"/>
          <w14:textFill>
            <w14:solidFill>
              <w14:schemeClr w14:val="tx1"/>
            </w14:solidFill>
          </w14:textFill>
        </w:rPr>
        <w:t>按</w:t>
      </w:r>
      <w:r>
        <w:rPr>
          <w:rFonts w:hint="eastAsia" w:ascii="仿宋_GB2312" w:hAnsi="仿宋" w:eastAsia="仿宋_GB2312" w:cs="仿宋_GB2312"/>
          <w:sz w:val="32"/>
          <w:szCs w:val="32"/>
        </w:rPr>
        <w:t>照“占补平衡”的原则做好生态补偿和恢复，及时恢复原有土地使用功能，有效防控生态破坏。</w:t>
      </w:r>
    </w:p>
    <w:p>
      <w:pPr>
        <w:pStyle w:val="2"/>
        <w:ind w:firstLine="640" w:firstLineChars="200"/>
        <w:rPr>
          <w:rFonts w:hint="eastAsia" w:ascii="仿宋_GB2312" w:hAnsi="仿宋" w:cs="仿宋_GB2312"/>
          <w:sz w:val="32"/>
          <w:szCs w:val="32"/>
        </w:rPr>
      </w:pPr>
      <w:r>
        <w:rPr>
          <w:rFonts w:hint="eastAsia" w:ascii="仿宋_GB2312" w:hAnsi="仿宋" w:cs="仿宋_GB2312"/>
          <w:sz w:val="32"/>
          <w:szCs w:val="32"/>
        </w:rPr>
        <w:t>（</w:t>
      </w:r>
      <w:r>
        <w:rPr>
          <w:rFonts w:hint="eastAsia" w:ascii="仿宋_GB2312" w:hAnsi="仿宋" w:cs="仿宋_GB2312"/>
          <w:sz w:val="32"/>
          <w:szCs w:val="32"/>
          <w:lang w:eastAsia="zh-CN"/>
        </w:rPr>
        <w:t>三</w:t>
      </w:r>
      <w:r>
        <w:rPr>
          <w:rFonts w:hint="eastAsia" w:ascii="仿宋_GB2312" w:hAnsi="仿宋" w:cs="仿宋_GB2312"/>
          <w:sz w:val="32"/>
          <w:szCs w:val="32"/>
        </w:rPr>
        <w:t>）按照国家相应技术规范和设计要求进行建设，并严格落实防治工频电场、工频磁场辐射等环保措施，确保项目周边的工频电场强度、工频磁感应强度符合《电磁环境控制限值》（GB 8702-2014）要求。</w:t>
      </w:r>
    </w:p>
    <w:p>
      <w:pPr>
        <w:pStyle w:val="2"/>
        <w:ind w:firstLine="640" w:firstLineChars="200"/>
        <w:rPr>
          <w:rFonts w:hint="eastAsia" w:ascii="仿宋_GB2312"/>
        </w:rPr>
      </w:pPr>
      <w:r>
        <w:rPr>
          <w:rFonts w:hint="eastAsia" w:ascii="仿宋_GB2312" w:hAnsi="仿宋" w:cs="仿宋_GB2312"/>
          <w:sz w:val="32"/>
          <w:szCs w:val="32"/>
        </w:rPr>
        <w:t>（</w:t>
      </w:r>
      <w:r>
        <w:rPr>
          <w:rFonts w:hint="eastAsia" w:ascii="仿宋_GB2312" w:hAnsi="仿宋" w:cs="仿宋_GB2312"/>
          <w:sz w:val="32"/>
          <w:szCs w:val="32"/>
          <w:lang w:eastAsia="zh-CN"/>
        </w:rPr>
        <w:t>四</w:t>
      </w:r>
      <w:r>
        <w:rPr>
          <w:rFonts w:hint="eastAsia" w:ascii="仿宋_GB2312" w:hAnsi="仿宋" w:cs="仿宋_GB2312"/>
          <w:sz w:val="32"/>
          <w:szCs w:val="32"/>
        </w:rPr>
        <w:t>）对本项目产生的固体废物</w:t>
      </w:r>
      <w:r>
        <w:rPr>
          <w:rFonts w:hint="eastAsia" w:ascii="仿宋_GB2312"/>
          <w:spacing w:val="-10"/>
          <w:sz w:val="32"/>
          <w:szCs w:val="32"/>
        </w:rPr>
        <w:t>实施分类处置处理，实现“减量化、资源化、无害化”。</w:t>
      </w:r>
      <w:r>
        <w:rPr>
          <w:rFonts w:hint="eastAsia" w:ascii="仿宋_GB2312" w:hAnsi="仿宋" w:cs="仿宋_GB2312"/>
          <w:sz w:val="32"/>
          <w:szCs w:val="32"/>
        </w:rPr>
        <w:t>严格按照《危险废物贮存污染控制标准》（GB18597-20</w:t>
      </w:r>
      <w:r>
        <w:rPr>
          <w:rFonts w:hint="eastAsia" w:ascii="仿宋_GB2312" w:hAnsi="仿宋" w:cs="仿宋_GB2312"/>
          <w:sz w:val="32"/>
          <w:szCs w:val="32"/>
          <w:lang w:val="en-US" w:eastAsia="zh-CN"/>
        </w:rPr>
        <w:t>23</w:t>
      </w:r>
      <w:r>
        <w:rPr>
          <w:rFonts w:hint="eastAsia" w:ascii="仿宋_GB2312" w:hAnsi="仿宋" w:cs="仿宋_GB2312"/>
          <w:sz w:val="32"/>
          <w:szCs w:val="32"/>
        </w:rPr>
        <w:t>）管理项目产生的危险废物，建设满足要求的危废暂存间，委托有资质的单位妥善处理危险废物，避免危险废物贮存、转移过程中污染环境。</w:t>
      </w:r>
    </w:p>
    <w:p>
      <w:pPr>
        <w:spacing w:line="60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w:t>
      </w:r>
      <w:r>
        <w:rPr>
          <w:rFonts w:hint="eastAsia" w:ascii="仿宋_GB2312" w:hAnsi="仿宋" w:eastAsia="仿宋_GB2312" w:cs="仿宋_GB2312"/>
          <w:sz w:val="32"/>
          <w:szCs w:val="32"/>
          <w:lang w:eastAsia="zh-CN"/>
        </w:rPr>
        <w:t>五</w:t>
      </w:r>
      <w:r>
        <w:rPr>
          <w:rFonts w:hint="eastAsia" w:ascii="仿宋_GB2312" w:hAnsi="仿宋" w:eastAsia="仿宋_GB2312" w:cs="仿宋_GB2312"/>
          <w:sz w:val="32"/>
          <w:szCs w:val="32"/>
        </w:rPr>
        <w:t>）选用合格的低噪声组件，采取相应的隔声、减振措施，升压站四周设置声屏障，确保声环境满足《工业企业厂界环境噪声排放标准》（GB12348-2008）1类标准要求。</w:t>
      </w:r>
    </w:p>
    <w:p>
      <w:pPr>
        <w:spacing w:line="60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w:t>
      </w:r>
      <w:r>
        <w:rPr>
          <w:rFonts w:hint="eastAsia" w:ascii="仿宋_GB2312" w:hAnsi="仿宋" w:eastAsia="仿宋_GB2312" w:cs="仿宋_GB2312"/>
          <w:sz w:val="32"/>
          <w:szCs w:val="32"/>
          <w:lang w:eastAsia="zh-CN"/>
        </w:rPr>
        <w:t>六</w:t>
      </w:r>
      <w:r>
        <w:rPr>
          <w:rFonts w:hint="eastAsia" w:ascii="仿宋_GB2312" w:hAnsi="仿宋" w:eastAsia="仿宋_GB2312" w:cs="仿宋_GB2312"/>
          <w:sz w:val="32"/>
          <w:szCs w:val="32"/>
        </w:rPr>
        <w:t>）强化环境风险防范和环保设施安全生产。应做好应急物资储备，按照相关规定编制和备案突发环境事件应急预案，并与当地政府及相关部门应急预案做好衔接，定期进行环境应急培训和演练，有效防范和应对突发环境事件。严格按照《中华人民共和国安全生产法》《建设工程安全生产管理条例》《建设项目安全设施“三同时”监督管理办法》等安全生产相关法律法规和部门规章要求，健全内部污染防治设施稳定运行和管理责任制度，在环境保护设施设计、施工、验收、使用和拆除等过程中，认真落实安全生产主体责任，做好安全风险辨识评估和隐患排查治理工作，并及时向相关部门报告有关情况。</w:t>
      </w:r>
    </w:p>
    <w:p>
      <w:pPr>
        <w:spacing w:line="590" w:lineRule="exact"/>
        <w:ind w:firstLine="640"/>
        <w:rPr>
          <w:rFonts w:hint="eastAsia"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四、其他相关要求</w:t>
      </w:r>
    </w:p>
    <w:p>
      <w:pPr>
        <w:spacing w:line="590" w:lineRule="exact"/>
        <w:ind w:firstLine="640"/>
        <w:rPr>
          <w:rFonts w:hint="eastAsia" w:ascii="仿宋_GB2312" w:hAnsi="Times New Roman" w:eastAsia="仿宋_GB2312" w:cs="Times New Roman"/>
          <w:spacing w:val="-10"/>
          <w:sz w:val="32"/>
          <w:szCs w:val="32"/>
        </w:rPr>
      </w:pPr>
      <w:r>
        <w:rPr>
          <w:rFonts w:hint="eastAsia" w:ascii="仿宋_GB2312" w:hAnsi="仿宋" w:eastAsia="仿宋_GB2312" w:cs="仿宋_GB2312"/>
          <w:sz w:val="32"/>
          <w:szCs w:val="32"/>
        </w:rPr>
        <w:t>（一）严格按照《报告表》所列建设内容进行建设，在建设地点、性质、规模、工艺、污染防治和生态保护等措施发生重大变动时需重新进行环境影响评价。</w:t>
      </w:r>
    </w:p>
    <w:p>
      <w:pPr>
        <w:pStyle w:val="2"/>
        <w:ind w:firstLine="600" w:firstLineChars="200"/>
        <w:rPr>
          <w:rFonts w:hint="eastAsia" w:ascii="仿宋_GB2312" w:hAnsi="Times New Roman" w:eastAsia="仿宋_GB2312" w:cs="Times New Roman"/>
          <w:spacing w:val="-10"/>
          <w:sz w:val="32"/>
          <w:szCs w:val="32"/>
        </w:rPr>
      </w:pPr>
      <w:r>
        <w:rPr>
          <w:rFonts w:hint="eastAsia" w:ascii="仿宋_GB2312"/>
          <w:spacing w:val="-10"/>
          <w:sz w:val="32"/>
          <w:szCs w:val="32"/>
        </w:rPr>
        <w:t>（二）</w:t>
      </w:r>
      <w:r>
        <w:rPr>
          <w:rFonts w:hint="eastAsia" w:ascii="仿宋_GB2312" w:hAnsi="Times New Roman" w:eastAsia="仿宋_GB2312" w:cs="Times New Roman"/>
          <w:spacing w:val="-10"/>
          <w:sz w:val="32"/>
          <w:szCs w:val="32"/>
        </w:rPr>
        <w:t>在工程施工和运行过程中，需建立畅通的公众参与平台，及时解决公众担忧的环境问题，满足公众合理的环境诉求。定期发布环境信息，并主动接受社会监督。建设期和运营期若发生环境扰民投诉案件，你单位须积极配合地方政府妥善解决。</w:t>
      </w:r>
    </w:p>
    <w:p>
      <w:pPr>
        <w:spacing w:line="600" w:lineRule="exact"/>
        <w:ind w:firstLine="600" w:firstLineChars="200"/>
        <w:rPr>
          <w:rFonts w:hint="eastAsia" w:ascii="仿宋_GB2312" w:hAnsi="Times New Roman" w:eastAsia="仿宋_GB2312" w:cs="Times New Roman"/>
          <w:sz w:val="32"/>
          <w:szCs w:val="32"/>
          <w:shd w:val="clear" w:color="auto" w:fill="FFFFFF"/>
        </w:rPr>
      </w:pPr>
      <w:r>
        <w:rPr>
          <w:rFonts w:hint="eastAsia" w:ascii="仿宋_GB2312" w:hAnsi="Times New Roman" w:eastAsia="仿宋_GB2312" w:cs="Times New Roman"/>
          <w:spacing w:val="-10"/>
          <w:sz w:val="32"/>
          <w:szCs w:val="32"/>
        </w:rPr>
        <w:t>（</w:t>
      </w:r>
      <w:r>
        <w:rPr>
          <w:rFonts w:hint="eastAsia" w:ascii="仿宋_GB2312" w:hAnsi="Times New Roman" w:eastAsia="仿宋_GB2312" w:cs="Times New Roman"/>
          <w:spacing w:val="-10"/>
          <w:sz w:val="32"/>
          <w:szCs w:val="32"/>
          <w:lang w:eastAsia="zh-CN"/>
        </w:rPr>
        <w:t>三</w:t>
      </w:r>
      <w:r>
        <w:rPr>
          <w:rFonts w:hint="eastAsia" w:ascii="仿宋_GB2312" w:hAnsi="Times New Roman" w:eastAsia="仿宋_GB2312" w:cs="Times New Roman"/>
          <w:spacing w:val="-10"/>
          <w:sz w:val="32"/>
          <w:szCs w:val="32"/>
        </w:rPr>
        <w:t>）</w:t>
      </w:r>
      <w:r>
        <w:rPr>
          <w:rFonts w:hint="eastAsia" w:ascii="仿宋_GB2312" w:hAnsi="Times New Roman" w:eastAsia="仿宋_GB2312" w:cs="Times New Roman"/>
          <w:sz w:val="32"/>
          <w:szCs w:val="32"/>
          <w:shd w:val="clear" w:color="auto" w:fill="FFFFFF"/>
        </w:rPr>
        <w:t>项目实施建设必须严格执行环境保护设施与主体工程同时设计、同时施工、同时投产使用的环境保护“三同时”制度，落实各项生态环境保护措施。项目建成后，应按规定程序实施竣工环境保护验收。</w:t>
      </w:r>
    </w:p>
    <w:p>
      <w:pPr>
        <w:pStyle w:val="6"/>
        <w:widowControl/>
        <w:spacing w:line="590" w:lineRule="exact"/>
        <w:ind w:firstLine="600" w:firstLineChars="200"/>
        <w:rPr>
          <w:rFonts w:hint="eastAsia" w:ascii="仿宋_GB2312" w:hAnsi="Times New Roman" w:eastAsia="仿宋_GB2312"/>
          <w:spacing w:val="-10"/>
          <w:sz w:val="32"/>
          <w:szCs w:val="32"/>
        </w:rPr>
      </w:pPr>
      <w:r>
        <w:rPr>
          <w:rFonts w:hint="eastAsia" w:ascii="仿宋_GB2312" w:hAnsi="Times New Roman" w:eastAsia="仿宋_GB2312"/>
          <w:spacing w:val="-10"/>
          <w:sz w:val="32"/>
          <w:szCs w:val="32"/>
        </w:rPr>
        <w:t>五、彰武县生态环境部门负责该项目的环境保护“三同时”监督检查及管理工作。</w:t>
      </w:r>
    </w:p>
    <w:p>
      <w:pPr>
        <w:pStyle w:val="6"/>
        <w:widowControl/>
        <w:spacing w:line="590" w:lineRule="exact"/>
        <w:rPr>
          <w:rFonts w:hint="eastAsia" w:ascii="仿宋_GB2312" w:hAnsi="Times New Roman" w:eastAsia="仿宋_GB2312"/>
          <w:spacing w:val="-10"/>
          <w:sz w:val="32"/>
          <w:szCs w:val="32"/>
        </w:rPr>
      </w:pPr>
    </w:p>
    <w:p>
      <w:pPr>
        <w:spacing w:line="590" w:lineRule="exact"/>
        <w:jc w:val="right"/>
        <w:rPr>
          <w:rFonts w:hint="eastAsia"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阜新市生态环境局</w:t>
      </w:r>
      <w:r>
        <w:rPr>
          <w:rFonts w:hint="eastAsia" w:ascii="仿宋_GB2312" w:hAnsi="Times New Roman" w:eastAsia="仿宋_GB2312" w:cs="Times New Roman"/>
          <w:color w:val="FFFFFF" w:themeColor="background1"/>
          <w:spacing w:val="-10"/>
          <w:sz w:val="32"/>
          <w:szCs w:val="32"/>
          <w14:textFill>
            <w14:solidFill>
              <w14:schemeClr w14:val="bg1"/>
            </w14:solidFill>
          </w14:textFill>
        </w:rPr>
        <w:t>空空空空</w:t>
      </w:r>
    </w:p>
    <w:p>
      <w:pPr>
        <w:spacing w:line="590" w:lineRule="exact"/>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 xml:space="preserve">                              </w:t>
      </w:r>
      <w:r>
        <w:rPr>
          <w:rFonts w:hint="eastAsia" w:ascii="仿宋_GB2312" w:hAnsi="仿宋_GB2312" w:eastAsia="仿宋_GB2312" w:cs="仿宋_GB2312"/>
          <w:sz w:val="32"/>
        </w:rPr>
        <w:t>202</w:t>
      </w:r>
      <w:r>
        <w:rPr>
          <w:rFonts w:hint="eastAsia" w:ascii="仿宋_GB2312" w:hAnsi="仿宋_GB2312" w:eastAsia="仿宋_GB2312" w:cs="仿宋_GB2312"/>
          <w:sz w:val="32"/>
          <w:lang w:val="en-US" w:eastAsia="zh-CN"/>
        </w:rPr>
        <w:t>6</w:t>
      </w:r>
      <w:r>
        <w:rPr>
          <w:rFonts w:hint="eastAsia" w:ascii="仿宋_GB2312" w:hAnsi="仿宋_GB2312" w:eastAsia="仿宋_GB2312" w:cs="仿宋_GB2312"/>
          <w:sz w:val="32"/>
        </w:rPr>
        <w:t>年</w:t>
      </w:r>
      <w:r>
        <w:rPr>
          <w:rFonts w:hint="eastAsia" w:ascii="仿宋_GB2312" w:hAnsi="仿宋_GB2312" w:eastAsia="仿宋_GB2312" w:cs="仿宋_GB2312"/>
          <w:sz w:val="32"/>
          <w:lang w:val="en-US" w:eastAsia="zh-CN"/>
        </w:rPr>
        <w:t>7</w:t>
      </w:r>
      <w:r>
        <w:rPr>
          <w:rFonts w:hint="eastAsia" w:ascii="仿宋_GB2312" w:hAnsi="仿宋_GB2312" w:eastAsia="仿宋_GB2312" w:cs="仿宋_GB2312"/>
          <w:sz w:val="32"/>
        </w:rPr>
        <w:t>月</w:t>
      </w:r>
      <w:r>
        <w:rPr>
          <w:rFonts w:hint="default" w:ascii="仿宋_GB2312" w:hAnsi="仿宋_GB2312" w:eastAsia="仿宋_GB2312" w:cs="仿宋_GB2312"/>
          <w:sz w:val="32"/>
          <w:lang w:val="en" w:eastAsia="zh-CN"/>
        </w:rPr>
        <w:t>27</w:t>
      </w:r>
      <w:r>
        <w:rPr>
          <w:rFonts w:hint="eastAsia" w:ascii="仿宋_GB2312" w:hAnsi="仿宋_GB2312" w:eastAsia="仿宋_GB2312" w:cs="仿宋_GB2312"/>
          <w:sz w:val="32"/>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a:effectLst/>
                    </wps:spPr>
                    <wps:txbx>
                      <w:txbxContent>
                        <w:p>
                          <w:pPr>
                            <w:pStyle w:val="4"/>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txbxContent>
                    </wps:txbx>
                    <wps:bodyPr wrap="none" lIns="0" tIns="0" rIns="0" bIns="0" upright="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FgAAAGRycy9Q&#10;SwECFAAUAAAACACHTuJAzql5uc8AAAAFAQAADwAAAAAAAAABACAAAAA4AAAAZHJzL2Rvd25yZXYu&#10;eG1sUEsBAhQAFAAAAAgAh07iQLZ5KVu1AQAAXwMAAA4AAAAAAAAAAQAgAAAANAEAAGRycy9lMm9E&#10;b2MueG1sUEsFBgAAAAAGAAYAWQEAAFsFAAAAAA==&#10;">
              <v:fill on="f" focussize="0,0"/>
              <v:stroke on="f"/>
              <v:imagedata o:title=""/>
              <o:lock v:ext="edit" aspectratio="f"/>
              <v:textbox inset="0mm,0mm,0mm,0mm" style="mso-fit-shape-to-text:t;">
                <w:txbxContent>
                  <w:p>
                    <w:pPr>
                      <w:pStyle w:val="4"/>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IyZThjNTM0YzY1YmVlYWM2YTgzMDFmZWEyZWRjZmYifQ=="/>
  </w:docVars>
  <w:rsids>
    <w:rsidRoot w:val="380F54D5"/>
    <w:rsid w:val="000062D9"/>
    <w:rsid w:val="00043BA5"/>
    <w:rsid w:val="0005407F"/>
    <w:rsid w:val="000772DF"/>
    <w:rsid w:val="00077DE7"/>
    <w:rsid w:val="0009609B"/>
    <w:rsid w:val="000B72A8"/>
    <w:rsid w:val="000E2BE0"/>
    <w:rsid w:val="000F41D6"/>
    <w:rsid w:val="000F53C5"/>
    <w:rsid w:val="0010758B"/>
    <w:rsid w:val="00111C6F"/>
    <w:rsid w:val="00136E39"/>
    <w:rsid w:val="00140916"/>
    <w:rsid w:val="0014796A"/>
    <w:rsid w:val="00155F05"/>
    <w:rsid w:val="00171391"/>
    <w:rsid w:val="001731AA"/>
    <w:rsid w:val="0018776B"/>
    <w:rsid w:val="00191FDF"/>
    <w:rsid w:val="00194074"/>
    <w:rsid w:val="001A6C6B"/>
    <w:rsid w:val="001C2CCB"/>
    <w:rsid w:val="001C50A0"/>
    <w:rsid w:val="001E3942"/>
    <w:rsid w:val="00225D8D"/>
    <w:rsid w:val="00241147"/>
    <w:rsid w:val="002456ED"/>
    <w:rsid w:val="002502CC"/>
    <w:rsid w:val="00261BD0"/>
    <w:rsid w:val="002653A2"/>
    <w:rsid w:val="00270B6E"/>
    <w:rsid w:val="00274C2A"/>
    <w:rsid w:val="002940A1"/>
    <w:rsid w:val="00294F26"/>
    <w:rsid w:val="002A0C67"/>
    <w:rsid w:val="002A47E0"/>
    <w:rsid w:val="002E7EE1"/>
    <w:rsid w:val="002F78E6"/>
    <w:rsid w:val="0034667A"/>
    <w:rsid w:val="0038131F"/>
    <w:rsid w:val="003817C2"/>
    <w:rsid w:val="003A1ABB"/>
    <w:rsid w:val="003E2C10"/>
    <w:rsid w:val="003F5744"/>
    <w:rsid w:val="004020CD"/>
    <w:rsid w:val="00451962"/>
    <w:rsid w:val="004936A2"/>
    <w:rsid w:val="004A1B68"/>
    <w:rsid w:val="004C0B50"/>
    <w:rsid w:val="004D0431"/>
    <w:rsid w:val="004E1A1D"/>
    <w:rsid w:val="00532829"/>
    <w:rsid w:val="0053649A"/>
    <w:rsid w:val="00542604"/>
    <w:rsid w:val="00575605"/>
    <w:rsid w:val="005A1518"/>
    <w:rsid w:val="005D0479"/>
    <w:rsid w:val="005F21FA"/>
    <w:rsid w:val="006037D7"/>
    <w:rsid w:val="00615B33"/>
    <w:rsid w:val="006310D1"/>
    <w:rsid w:val="00671F04"/>
    <w:rsid w:val="00682423"/>
    <w:rsid w:val="0069697F"/>
    <w:rsid w:val="006A35C1"/>
    <w:rsid w:val="006C6436"/>
    <w:rsid w:val="006C753A"/>
    <w:rsid w:val="006E16EB"/>
    <w:rsid w:val="0072384C"/>
    <w:rsid w:val="00755A13"/>
    <w:rsid w:val="0076595C"/>
    <w:rsid w:val="0076661D"/>
    <w:rsid w:val="00791A8D"/>
    <w:rsid w:val="0079373D"/>
    <w:rsid w:val="007A75A6"/>
    <w:rsid w:val="007B7BE4"/>
    <w:rsid w:val="007D2FB7"/>
    <w:rsid w:val="00820031"/>
    <w:rsid w:val="00831141"/>
    <w:rsid w:val="00892B01"/>
    <w:rsid w:val="008932AC"/>
    <w:rsid w:val="008A4530"/>
    <w:rsid w:val="008D6311"/>
    <w:rsid w:val="008E2169"/>
    <w:rsid w:val="008F4787"/>
    <w:rsid w:val="00904FA0"/>
    <w:rsid w:val="009144D4"/>
    <w:rsid w:val="00944C05"/>
    <w:rsid w:val="00952892"/>
    <w:rsid w:val="00971968"/>
    <w:rsid w:val="00971CF8"/>
    <w:rsid w:val="00977B86"/>
    <w:rsid w:val="0098146A"/>
    <w:rsid w:val="0098294A"/>
    <w:rsid w:val="00997F8B"/>
    <w:rsid w:val="009A44ED"/>
    <w:rsid w:val="009C1C42"/>
    <w:rsid w:val="009C48EA"/>
    <w:rsid w:val="009E03AB"/>
    <w:rsid w:val="009E28AA"/>
    <w:rsid w:val="00A11FEC"/>
    <w:rsid w:val="00A20660"/>
    <w:rsid w:val="00A26E05"/>
    <w:rsid w:val="00A5305E"/>
    <w:rsid w:val="00A740DA"/>
    <w:rsid w:val="00AB1E2F"/>
    <w:rsid w:val="00AF3C50"/>
    <w:rsid w:val="00B04E5E"/>
    <w:rsid w:val="00B06557"/>
    <w:rsid w:val="00B155B3"/>
    <w:rsid w:val="00B37380"/>
    <w:rsid w:val="00B45AE3"/>
    <w:rsid w:val="00B74C9F"/>
    <w:rsid w:val="00B8261A"/>
    <w:rsid w:val="00BB64DD"/>
    <w:rsid w:val="00BC2061"/>
    <w:rsid w:val="00C00DAF"/>
    <w:rsid w:val="00C11786"/>
    <w:rsid w:val="00C36D6C"/>
    <w:rsid w:val="00C422EA"/>
    <w:rsid w:val="00C50E21"/>
    <w:rsid w:val="00C56CCC"/>
    <w:rsid w:val="00C64E75"/>
    <w:rsid w:val="00C751B7"/>
    <w:rsid w:val="00C838C5"/>
    <w:rsid w:val="00C93F4B"/>
    <w:rsid w:val="00CA44E1"/>
    <w:rsid w:val="00CB7BED"/>
    <w:rsid w:val="00CC64E4"/>
    <w:rsid w:val="00D14EC1"/>
    <w:rsid w:val="00D866B4"/>
    <w:rsid w:val="00D96AA6"/>
    <w:rsid w:val="00DA4D1A"/>
    <w:rsid w:val="00DB3A0C"/>
    <w:rsid w:val="00DC7288"/>
    <w:rsid w:val="00DE4724"/>
    <w:rsid w:val="00DF31E8"/>
    <w:rsid w:val="00E00AF7"/>
    <w:rsid w:val="00E01AC0"/>
    <w:rsid w:val="00E31E6E"/>
    <w:rsid w:val="00E3480C"/>
    <w:rsid w:val="00E419CF"/>
    <w:rsid w:val="00E43392"/>
    <w:rsid w:val="00E52B86"/>
    <w:rsid w:val="00E74EEA"/>
    <w:rsid w:val="00E801DF"/>
    <w:rsid w:val="00E87BDD"/>
    <w:rsid w:val="00EA2FDC"/>
    <w:rsid w:val="00EC40BD"/>
    <w:rsid w:val="00EE1422"/>
    <w:rsid w:val="00F21730"/>
    <w:rsid w:val="00F23B21"/>
    <w:rsid w:val="00F559CA"/>
    <w:rsid w:val="00F629DD"/>
    <w:rsid w:val="00F872D2"/>
    <w:rsid w:val="00FA7471"/>
    <w:rsid w:val="00FB459C"/>
    <w:rsid w:val="00FB7EC7"/>
    <w:rsid w:val="00FC1639"/>
    <w:rsid w:val="00FD76A4"/>
    <w:rsid w:val="00FF642D"/>
    <w:rsid w:val="044811AB"/>
    <w:rsid w:val="14C95D71"/>
    <w:rsid w:val="15DA7390"/>
    <w:rsid w:val="1A8D294F"/>
    <w:rsid w:val="1F6A1B24"/>
    <w:rsid w:val="24B5094F"/>
    <w:rsid w:val="25CE1675"/>
    <w:rsid w:val="260B773B"/>
    <w:rsid w:val="29974297"/>
    <w:rsid w:val="2B9D5011"/>
    <w:rsid w:val="2F9A5356"/>
    <w:rsid w:val="311331FC"/>
    <w:rsid w:val="33731620"/>
    <w:rsid w:val="380F54D5"/>
    <w:rsid w:val="3AA16C40"/>
    <w:rsid w:val="3BA40541"/>
    <w:rsid w:val="3C9E707B"/>
    <w:rsid w:val="3EFED203"/>
    <w:rsid w:val="42BB1FD9"/>
    <w:rsid w:val="45C67A8C"/>
    <w:rsid w:val="4C9F6EE7"/>
    <w:rsid w:val="50B396C3"/>
    <w:rsid w:val="51E72905"/>
    <w:rsid w:val="57872FB9"/>
    <w:rsid w:val="5D463024"/>
    <w:rsid w:val="61E64934"/>
    <w:rsid w:val="64A35F68"/>
    <w:rsid w:val="64F26DFF"/>
    <w:rsid w:val="6A4D3FA6"/>
    <w:rsid w:val="6CF95D08"/>
    <w:rsid w:val="6E1334F1"/>
    <w:rsid w:val="6FDE66DA"/>
    <w:rsid w:val="732172ED"/>
    <w:rsid w:val="739754C2"/>
    <w:rsid w:val="75FE1E08"/>
    <w:rsid w:val="76314207"/>
    <w:rsid w:val="78570D8B"/>
    <w:rsid w:val="79974DA2"/>
    <w:rsid w:val="7FBF1D02"/>
    <w:rsid w:val="7FFF8832"/>
    <w:rsid w:val="B7FF7D08"/>
    <w:rsid w:val="BFDE2BA5"/>
    <w:rsid w:val="DBDCDF17"/>
    <w:rsid w:val="DC7FBACF"/>
    <w:rsid w:val="ED7F1D40"/>
    <w:rsid w:val="FD7DC45D"/>
    <w:rsid w:val="FDFFF8E1"/>
    <w:rsid w:val="FFEFAE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customStyle="1" w:styleId="2">
    <w:name w:val="_Style 4"/>
    <w:next w:val="1"/>
    <w:qFormat/>
    <w:uiPriority w:val="0"/>
    <w:pPr>
      <w:widowControl w:val="0"/>
      <w:jc w:val="both"/>
    </w:pPr>
    <w:rPr>
      <w:rFonts w:ascii="Times New Roman" w:hAnsi="Times New Roman" w:eastAsia="仿宋_GB2312" w:cs="Times New Roman"/>
      <w:kern w:val="2"/>
      <w:sz w:val="24"/>
      <w:szCs w:val="22"/>
      <w:lang w:val="en-US" w:eastAsia="zh-CN" w:bidi="ar-SA"/>
    </w:rPr>
  </w:style>
  <w:style w:type="paragraph" w:styleId="3">
    <w:name w:val="Body Text Indent"/>
    <w:basedOn w:val="1"/>
    <w:qFormat/>
    <w:uiPriority w:val="0"/>
    <w:pPr>
      <w:ind w:firstLine="640" w:firstLineChars="200"/>
    </w:pPr>
    <w:rPr>
      <w:rFonts w:ascii="仿宋_GB2312" w:hAnsi="Times New Roman" w:eastAsia="仿宋_GB2312" w:cs="Times New Roman"/>
      <w:sz w:val="32"/>
      <w:szCs w:val="24"/>
    </w:r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jc w:val="left"/>
    </w:pPr>
    <w:rPr>
      <w:rFonts w:cs="Times New Roman"/>
      <w:kern w:val="0"/>
      <w:sz w:val="16"/>
      <w:szCs w:val="16"/>
    </w:rPr>
  </w:style>
  <w:style w:type="character" w:styleId="9">
    <w:name w:val="Strong"/>
    <w:qFormat/>
    <w:uiPriority w:val="22"/>
    <w:rPr>
      <w:b/>
    </w:rPr>
  </w:style>
  <w:style w:type="character" w:customStyle="1" w:styleId="10">
    <w:name w:val="页眉 Char"/>
    <w:basedOn w:val="8"/>
    <w:link w:val="5"/>
    <w:qFormat/>
    <w:uiPriority w:val="0"/>
    <w:rPr>
      <w:kern w:val="2"/>
      <w:sz w:val="18"/>
      <w:szCs w:val="18"/>
    </w:rPr>
  </w:style>
  <w:style w:type="character" w:customStyle="1" w:styleId="11">
    <w:name w:val="页脚 Char"/>
    <w:basedOn w:val="8"/>
    <w:link w:val="4"/>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1</Pages>
  <Words>232</Words>
  <Characters>1325</Characters>
  <Lines>11</Lines>
  <Paragraphs>3</Paragraphs>
  <TotalTime>11</TotalTime>
  <ScaleCrop>false</ScaleCrop>
  <LinksUpToDate>false</LinksUpToDate>
  <CharactersWithSpaces>1554</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2019-05-01T11:18:00Z</dcterms:created>
  <dc:creator>Administrator</dc:creator>
  <cp:lastModifiedBy>user</cp:lastModifiedBy>
  <cp:lastPrinted>2023-03-30T10:08:00Z</cp:lastPrinted>
  <dcterms:modified xsi:type="dcterms:W3CDTF">2026-07-27T10:09:34Z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17221100EBFE47C4AEC78FA616C55263</vt:lpwstr>
  </property>
</Properties>
</file>