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4F8B15">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14:paraId="34792F58">
      <w:pPr>
        <w:rPr>
          <w:rFonts w:ascii="仿宋_GB2312" w:hAnsi="仿宋_GB2312" w:eastAsia="仿宋_GB2312" w:cs="仿宋_GB2312"/>
          <w:sz w:val="52"/>
          <w:szCs w:val="52"/>
        </w:rPr>
      </w:pPr>
    </w:p>
    <w:p w14:paraId="5EA79BF3">
      <w:pPr>
        <w:jc w:val="center"/>
        <w:rPr>
          <w:rFonts w:hint="eastAsia" w:ascii="仿宋_GB2312" w:hAnsi="仿宋_GB2312" w:eastAsia="仿宋_GB2312" w:cs="仿宋_GB2312"/>
          <w:color w:val="000000"/>
          <w:sz w:val="32"/>
        </w:rPr>
      </w:pPr>
      <w:r>
        <w:rPr>
          <w:rFonts w:hint="eastAsia" w:ascii="仿宋_GB2312" w:hAnsi="仿宋_GB2312" w:eastAsia="仿宋_GB2312" w:cs="仿宋_GB2312"/>
          <w:sz w:val="32"/>
        </w:rPr>
        <w:t xml:space="preserve">                            阜环审〔</w:t>
      </w:r>
      <w:r>
        <w:rPr>
          <w:rFonts w:hint="eastAsia" w:ascii="仿宋_GB2312" w:hAnsi="仿宋_GB2312" w:eastAsia="仿宋_GB2312" w:cs="仿宋_GB2312"/>
          <w:spacing w:val="-10"/>
          <w:sz w:val="32"/>
          <w:szCs w:val="32"/>
          <w:lang w:val="en-US" w:eastAsia="zh-CN"/>
        </w:rPr>
        <w:t>2026</w:t>
      </w:r>
      <w:r>
        <w:rPr>
          <w:rFonts w:hint="eastAsia" w:ascii="仿宋_GB2312" w:hAnsi="仿宋_GB2312" w:eastAsia="仿宋_GB2312" w:cs="仿宋_GB2312"/>
          <w:sz w:val="32"/>
        </w:rPr>
        <w:t>〕</w:t>
      </w:r>
      <w:r>
        <w:rPr>
          <w:rFonts w:hint="eastAsia" w:ascii="仿宋_GB2312" w:hAnsi="仿宋_GB2312" w:eastAsia="仿宋_GB2312" w:cs="仿宋_GB2312"/>
          <w:sz w:val="32"/>
          <w:lang w:val="en-US" w:eastAsia="zh-CN"/>
        </w:rPr>
        <w:t>19</w:t>
      </w:r>
      <w:r>
        <w:rPr>
          <w:rFonts w:hint="eastAsia" w:ascii="仿宋_GB2312" w:hAnsi="仿宋_GB2312" w:eastAsia="仿宋_GB2312" w:cs="仿宋_GB2312"/>
          <w:color w:val="000000"/>
          <w:sz w:val="32"/>
        </w:rPr>
        <w:t>号</w:t>
      </w:r>
    </w:p>
    <w:p w14:paraId="436A608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z w:val="44"/>
          <w:szCs w:val="44"/>
          <w:lang w:eastAsia="zh-CN"/>
        </w:rPr>
      </w:pPr>
      <w:r>
        <w:rPr>
          <w:rFonts w:hint="eastAsia" w:ascii="方正小标宋简体" w:hAnsi="方正小标宋简体" w:eastAsia="方正小标宋简体" w:cs="方正小标宋简体"/>
          <w:color w:val="000000"/>
          <w:sz w:val="44"/>
          <w:szCs w:val="44"/>
        </w:rPr>
        <w:t>关于《</w:t>
      </w:r>
      <w:r>
        <w:rPr>
          <w:rFonts w:hint="eastAsia" w:ascii="方正小标宋简体" w:hAnsi="方正小标宋简体" w:eastAsia="方正小标宋简体" w:cs="方正小标宋简体"/>
          <w:color w:val="000000"/>
          <w:sz w:val="44"/>
          <w:szCs w:val="44"/>
          <w:lang w:eastAsia="zh-CN"/>
        </w:rPr>
        <w:t>阜新承蓝年处理十万吨废旧铝塑循环再利用升级改造项目环境影响</w:t>
      </w:r>
    </w:p>
    <w:p w14:paraId="2A165C8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报告表</w:t>
      </w:r>
      <w:r>
        <w:rPr>
          <w:rFonts w:hint="eastAsia" w:ascii="方正小标宋简体" w:hAnsi="方正小标宋简体" w:eastAsia="方正小标宋简体" w:cs="方正小标宋简体"/>
          <w:color w:val="000000"/>
          <w:sz w:val="44"/>
          <w:szCs w:val="44"/>
        </w:rPr>
        <w:t>》的批复</w:t>
      </w:r>
      <w:bookmarkStart w:id="0" w:name="_GoBack"/>
      <w:bookmarkEnd w:id="0"/>
    </w:p>
    <w:p w14:paraId="29723282">
      <w:pPr>
        <w:jc w:val="center"/>
        <w:rPr>
          <w:rFonts w:ascii="宋体" w:hAnsi="宋体" w:eastAsia="宋体" w:cs="宋体"/>
          <w:sz w:val="32"/>
          <w:szCs w:val="32"/>
        </w:rPr>
      </w:pPr>
    </w:p>
    <w:p w14:paraId="1CF3C583">
      <w:pPr>
        <w:keepNext w:val="0"/>
        <w:keepLines w:val="0"/>
        <w:pageBreakBefore w:val="0"/>
        <w:kinsoku/>
        <w:wordWrap/>
        <w:overflowPunct/>
        <w:topLinePunct w:val="0"/>
        <w:autoSpaceDE/>
        <w:autoSpaceDN/>
        <w:bidi w:val="0"/>
        <w:adjustRightInd/>
        <w:snapToGrid/>
        <w:spacing w:line="584" w:lineRule="exact"/>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阜新承蓝环境工程有限公司：</w:t>
      </w:r>
    </w:p>
    <w:p w14:paraId="22498E89">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你单位报送的《阜新承蓝年处理十万吨废旧铝塑循环再利用升级改造项目环境影响报告表》（以下简称《报告</w:t>
      </w:r>
      <w:r>
        <w:rPr>
          <w:rFonts w:hint="eastAsia" w:ascii="仿宋_GB2312" w:hAnsi="仿宋_GB2312" w:eastAsia="仿宋_GB2312" w:cs="仿宋_GB2312"/>
          <w:color w:val="auto"/>
          <w:spacing w:val="-10"/>
          <w:sz w:val="32"/>
          <w:szCs w:val="32"/>
          <w:lang w:eastAsia="zh-CN"/>
        </w:rPr>
        <w:t>表</w:t>
      </w:r>
      <w:r>
        <w:rPr>
          <w:rFonts w:hint="eastAsia" w:ascii="仿宋_GB2312" w:hAnsi="仿宋_GB2312" w:eastAsia="仿宋_GB2312" w:cs="仿宋_GB2312"/>
          <w:color w:val="auto"/>
          <w:spacing w:val="-10"/>
          <w:sz w:val="32"/>
          <w:szCs w:val="32"/>
        </w:rPr>
        <w:t>》）及申请收悉，经我局建设项目审查委员会研究，批复如下：</w:t>
      </w:r>
    </w:p>
    <w:p w14:paraId="783F4CA0">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一、本项目拟建于辽宁省阜新</w:t>
      </w:r>
      <w:r>
        <w:rPr>
          <w:rFonts w:hint="eastAsia" w:ascii="仿宋_GB2312" w:hAnsi="仿宋_GB2312" w:eastAsia="仿宋_GB2312" w:cs="仿宋_GB2312"/>
          <w:color w:val="auto"/>
          <w:spacing w:val="-10"/>
          <w:sz w:val="32"/>
          <w:szCs w:val="32"/>
          <w:lang w:eastAsia="zh-CN"/>
        </w:rPr>
        <w:t>市太平区，占地面积10682.77平方米</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本项目主要建设内容包括生产1车间、生产2车间、破碎筛分车间、办公楼、原料库、成品库、储油区、配电室、门卫及其它配套附属设施，设置10条铝塑循环再利用生产线及配套设备，设计产能为年处理10万吨废旧铝塑膜。</w:t>
      </w:r>
      <w:r>
        <w:rPr>
          <w:rFonts w:hint="eastAsia" w:ascii="仿宋_GB2312" w:hAnsi="仿宋_GB2312" w:eastAsia="仿宋_GB2312" w:cs="仿宋_GB2312"/>
          <w:color w:val="auto"/>
          <w:spacing w:val="-10"/>
          <w:sz w:val="32"/>
          <w:szCs w:val="32"/>
        </w:rPr>
        <w:t>项目总投资</w:t>
      </w:r>
      <w:r>
        <w:rPr>
          <w:rFonts w:hint="eastAsia" w:ascii="仿宋_GB2312" w:hAnsi="仿宋_GB2312" w:eastAsia="仿宋_GB2312" w:cs="仿宋_GB2312"/>
          <w:color w:val="auto"/>
          <w:spacing w:val="-10"/>
          <w:sz w:val="32"/>
          <w:szCs w:val="32"/>
          <w:lang w:val="en-US" w:eastAsia="zh-CN"/>
        </w:rPr>
        <w:t>6500</w:t>
      </w:r>
      <w:r>
        <w:rPr>
          <w:rFonts w:hint="eastAsia" w:ascii="仿宋_GB2312" w:hAnsi="仿宋_GB2312" w:eastAsia="仿宋_GB2312" w:cs="仿宋_GB2312"/>
          <w:color w:val="auto"/>
          <w:spacing w:val="-10"/>
          <w:sz w:val="32"/>
          <w:szCs w:val="32"/>
        </w:rPr>
        <w:t>万元，其中环保投资为</w:t>
      </w:r>
      <w:r>
        <w:rPr>
          <w:rFonts w:hint="eastAsia" w:ascii="仿宋_GB2312" w:hAnsi="仿宋_GB2312" w:eastAsia="仿宋_GB2312" w:cs="仿宋_GB2312"/>
          <w:color w:val="auto"/>
          <w:spacing w:val="-10"/>
          <w:sz w:val="32"/>
          <w:szCs w:val="32"/>
          <w:lang w:val="en-US" w:eastAsia="zh-CN"/>
        </w:rPr>
        <w:t>228</w:t>
      </w:r>
      <w:r>
        <w:rPr>
          <w:rFonts w:hint="eastAsia" w:ascii="仿宋_GB2312" w:hAnsi="仿宋_GB2312" w:eastAsia="仿宋_GB2312" w:cs="仿宋_GB2312"/>
          <w:color w:val="auto"/>
          <w:spacing w:val="-10"/>
          <w:sz w:val="32"/>
          <w:szCs w:val="32"/>
        </w:rPr>
        <w:t>万元。</w:t>
      </w:r>
    </w:p>
    <w:p w14:paraId="34778039">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二、阜新市生态环境保护服务中心以《</w:t>
      </w:r>
      <w:r>
        <w:rPr>
          <w:rFonts w:hint="eastAsia" w:ascii="仿宋_GB2312" w:hAnsi="仿宋_GB2312" w:eastAsia="仿宋_GB2312" w:cs="仿宋_GB2312"/>
          <w:color w:val="auto"/>
          <w:spacing w:val="-10"/>
          <w:sz w:val="32"/>
          <w:szCs w:val="32"/>
          <w:lang w:eastAsia="zh-CN"/>
        </w:rPr>
        <w:t>阜新承蓝年处理十万吨废旧铝塑循环再利用升级改造项目环境影响报告表</w:t>
      </w:r>
      <w:r>
        <w:rPr>
          <w:rFonts w:hint="eastAsia" w:ascii="仿宋_GB2312" w:hAnsi="仿宋_GB2312" w:eastAsia="仿宋_GB2312" w:cs="仿宋_GB2312"/>
          <w:color w:val="auto"/>
          <w:spacing w:val="-10"/>
          <w:sz w:val="32"/>
          <w:szCs w:val="32"/>
        </w:rPr>
        <w:t>的评估意见》（阜环评估</w:t>
      </w:r>
      <w:r>
        <w:rPr>
          <w:rFonts w:hint="eastAsia" w:ascii="仿宋_GB2312" w:hAnsi="仿宋_GB2312" w:eastAsia="仿宋_GB2312" w:cs="仿宋_GB2312"/>
          <w:color w:val="auto"/>
          <w:spacing w:val="-10"/>
          <w:sz w:val="32"/>
          <w:szCs w:val="32"/>
          <w:lang w:eastAsia="zh-CN"/>
        </w:rPr>
        <w:t>〔2026〕66号</w:t>
      </w:r>
      <w:r>
        <w:rPr>
          <w:rFonts w:hint="eastAsia" w:ascii="仿宋_GB2312" w:hAnsi="仿宋_GB2312" w:eastAsia="仿宋_GB2312" w:cs="仿宋_GB2312"/>
          <w:color w:val="auto"/>
          <w:spacing w:val="-10"/>
          <w:sz w:val="32"/>
          <w:szCs w:val="32"/>
        </w:rPr>
        <w:t>）出具项目建设可</w:t>
      </w:r>
      <w:r>
        <w:rPr>
          <w:rFonts w:hint="eastAsia" w:ascii="仿宋_GB2312" w:hAnsi="仿宋_GB2312" w:eastAsia="仿宋_GB2312" w:cs="仿宋_GB2312"/>
          <w:color w:val="auto"/>
          <w:spacing w:val="-10"/>
          <w:sz w:val="32"/>
          <w:szCs w:val="32"/>
          <w:lang w:eastAsia="zh-CN"/>
        </w:rPr>
        <w:t>行性</w:t>
      </w:r>
      <w:r>
        <w:rPr>
          <w:rFonts w:hint="eastAsia" w:ascii="仿宋_GB2312" w:hAnsi="仿宋_GB2312" w:eastAsia="仿宋_GB2312" w:cs="仿宋_GB2312"/>
          <w:color w:val="auto"/>
          <w:spacing w:val="-10"/>
          <w:sz w:val="32"/>
          <w:szCs w:val="32"/>
        </w:rPr>
        <w:t>意见。项目符合国家产业政策，符合</w:t>
      </w:r>
      <w:r>
        <w:rPr>
          <w:rFonts w:hint="eastAsia" w:ascii="仿宋_GB2312" w:hAnsi="仿宋_GB2312" w:eastAsia="仿宋_GB2312" w:cs="仿宋_GB2312"/>
          <w:color w:val="auto"/>
          <w:spacing w:val="-10"/>
          <w:sz w:val="32"/>
          <w:szCs w:val="32"/>
          <w:lang w:eastAsia="zh-CN"/>
        </w:rPr>
        <w:t>相关</w:t>
      </w:r>
      <w:r>
        <w:rPr>
          <w:rFonts w:hint="eastAsia" w:ascii="仿宋_GB2312" w:hAnsi="仿宋_GB2312" w:eastAsia="仿宋_GB2312" w:cs="仿宋_GB2312"/>
          <w:color w:val="auto"/>
          <w:spacing w:val="-10"/>
          <w:sz w:val="32"/>
          <w:szCs w:val="32"/>
        </w:rPr>
        <w:t>规划。在严格落实各项环境保护措施，做到污染物达标排放、有效防控生态破坏的条件下，项目在环境保护方面是可行的。</w:t>
      </w:r>
    </w:p>
    <w:p w14:paraId="35C4524A">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三、本项目应严格按照《报告</w:t>
      </w:r>
      <w:r>
        <w:rPr>
          <w:rFonts w:hint="eastAsia" w:ascii="仿宋_GB2312" w:hAnsi="仿宋_GB2312" w:eastAsia="仿宋_GB2312" w:cs="仿宋_GB2312"/>
          <w:color w:val="auto"/>
          <w:spacing w:val="-10"/>
          <w:sz w:val="32"/>
          <w:szCs w:val="32"/>
          <w:lang w:eastAsia="zh-CN"/>
        </w:rPr>
        <w:t>表</w:t>
      </w:r>
      <w:r>
        <w:rPr>
          <w:rFonts w:hint="eastAsia" w:ascii="仿宋_GB2312" w:hAnsi="仿宋_GB2312" w:eastAsia="仿宋_GB2312" w:cs="仿宋_GB2312"/>
          <w:color w:val="auto"/>
          <w:spacing w:val="-10"/>
          <w:sz w:val="32"/>
          <w:szCs w:val="32"/>
        </w:rPr>
        <w:t>》提出的各项污染防治措施进行工程设计、建设与管理，严格执行环境保护“三同时”，应重点做好以下工作：</w:t>
      </w:r>
    </w:p>
    <w:p w14:paraId="50523C70">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 xml:space="preserve">（一）严格落实项目施工期的废气、废水、噪声、固废污染防治措施，保证各类污染物达标排放。 </w:t>
      </w:r>
    </w:p>
    <w:p w14:paraId="47B3FDF9">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二</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严格落实大气污染防治措施。本项目热风炉烟气经“低氮燃烧+袋式除尘器+二级活性炭吸附”处理后通过一根15米高排气筒（DA001）排放；出料、破碎、筛分工序产生的粉尘经袋式除尘器处理后通过一根15米高的排气筒（DA002）排放。对应满足《废橡胶废塑料裂解油化成套生产装备》（GB/T32662-2016）及《大气污染物综合排放标准》（GB16297-1996）中相关标准限值要求。</w:t>
      </w:r>
    </w:p>
    <w:p w14:paraId="13094C53">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lang w:eastAsia="zh-CN"/>
        </w:rPr>
        <w:t>通过设备密闭、油气回收等措施，确保厂界无组织颗粒物、非甲烷总烃满足《大气污染物综合排放标准》（GB16297-1996）要求；厂区内挥发性有机物满足《挥发性有机物无组织排放控制标准》（GB37822-2019）限值要求。</w:t>
      </w:r>
    </w:p>
    <w:p w14:paraId="681115BA">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三</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严格落实水污染防治措施。冷却系统废水、</w:t>
      </w:r>
      <w:r>
        <w:rPr>
          <w:rFonts w:hint="eastAsia" w:ascii="仿宋_GB2312" w:hAnsi="仿宋_GB2312" w:eastAsia="仿宋_GB2312" w:cs="仿宋_GB2312"/>
          <w:color w:val="auto"/>
          <w:spacing w:val="-10"/>
          <w:sz w:val="32"/>
          <w:szCs w:val="32"/>
          <w:lang w:val="en-US" w:eastAsia="zh-CN"/>
        </w:rPr>
        <w:t>反冲洗废水</w:t>
      </w:r>
      <w:r>
        <w:rPr>
          <w:rFonts w:hint="eastAsia" w:ascii="仿宋_GB2312" w:hAnsi="仿宋_GB2312" w:eastAsia="仿宋_GB2312" w:cs="仿宋_GB2312"/>
          <w:color w:val="auto"/>
          <w:spacing w:val="-10"/>
          <w:sz w:val="32"/>
          <w:szCs w:val="32"/>
          <w:lang w:eastAsia="zh-CN"/>
        </w:rPr>
        <w:t>和初期雨水，经隔油沉淀后排入阜新市太平区污水处理厂；生活污水经化粪池处理后进入市政管网，排入阜新市太平区污水处理厂，其中pH确保满足《污水综合排放标准》（GB8978-1996）要求，其他污染物满足《辽宁省污水综合排放标准》（DB21/1627-2008）要求。</w:t>
      </w:r>
    </w:p>
    <w:p w14:paraId="5BD8C34D">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val="en-US" w:eastAsia="zh-CN"/>
        </w:rPr>
      </w:pPr>
      <w:r>
        <w:rPr>
          <w:rFonts w:hint="eastAsia" w:ascii="仿宋_GB2312" w:hAnsi="仿宋_GB2312" w:eastAsia="仿宋_GB2312" w:cs="仿宋_GB2312"/>
          <w:color w:val="auto"/>
          <w:spacing w:val="-10"/>
          <w:sz w:val="32"/>
          <w:szCs w:val="32"/>
          <w:lang w:val="en-US" w:eastAsia="zh-CN"/>
        </w:rPr>
        <w:t>结合厂区平面布置采取分区防渗措施，严格防控地下水污染。储油罐区、危废贮存点为重点防渗区；生产车间、破碎筛分车间、原料库、成品库、一般固废间为一般防渗区。</w:t>
      </w:r>
    </w:p>
    <w:p w14:paraId="0631CE2E">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四</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严格落实噪声污染防治措施。选用低噪设备、对高噪声设备采取隔声、减振、厂房封闭等措施减少噪声对外环境的影响，确保厂界噪声满足《工业企业厂界环境噪声排放标准》（GB12348-2008）中的</w:t>
      </w:r>
      <w:r>
        <w:rPr>
          <w:rFonts w:hint="eastAsia" w:ascii="仿宋_GB2312" w:hAnsi="仿宋_GB2312" w:eastAsia="仿宋_GB2312" w:cs="仿宋_GB2312"/>
          <w:color w:val="auto"/>
          <w:spacing w:val="-10"/>
          <w:sz w:val="32"/>
          <w:szCs w:val="32"/>
          <w:lang w:val="en-US" w:eastAsia="zh-CN"/>
        </w:rPr>
        <w:t>3</w:t>
      </w:r>
      <w:r>
        <w:rPr>
          <w:rFonts w:hint="eastAsia" w:ascii="仿宋_GB2312" w:hAnsi="仿宋_GB2312" w:eastAsia="仿宋_GB2312" w:cs="仿宋_GB2312"/>
          <w:color w:val="auto"/>
          <w:spacing w:val="-10"/>
          <w:sz w:val="32"/>
          <w:szCs w:val="32"/>
          <w:lang w:eastAsia="zh-CN"/>
        </w:rPr>
        <w:t>类标准要求。</w:t>
      </w:r>
    </w:p>
    <w:p w14:paraId="1DB3D4FF">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五</w:t>
      </w: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严格落实固体废物污染防治措施。对固体废物实施分类处置，实现“减量化、资源化、无害化”。废活性炭、废机油、废油桶为危险废物，严格按照《危险废物贮存污染控制标准》（GB18597-2023）管理，建设满足要求的危废贮存设施，委托有资质的单位妥善处理危险废物，避免危险废物贮存、转移过程中污染环境；一般固废按《报告表》内要求分类回收或外售；生活垃圾由环卫部门清运。</w:t>
      </w:r>
    </w:p>
    <w:p w14:paraId="4B3DFB3B">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val="en-US" w:eastAsia="zh-CN"/>
        </w:rPr>
        <w:t>六</w:t>
      </w:r>
      <w:r>
        <w:rPr>
          <w:rFonts w:hint="eastAsia" w:ascii="仿宋_GB2312" w:hAnsi="仿宋_GB2312" w:eastAsia="仿宋_GB2312" w:cs="仿宋_GB2312"/>
          <w:color w:val="auto"/>
          <w:spacing w:val="-10"/>
          <w:sz w:val="32"/>
          <w:szCs w:val="32"/>
        </w:rPr>
        <w:t>）落实环境监测措施。你单位须按照国家污染源管理相关要求规范设置排污口及标识。按照《报告</w:t>
      </w:r>
      <w:r>
        <w:rPr>
          <w:rFonts w:hint="eastAsia" w:ascii="仿宋_GB2312" w:hAnsi="仿宋_GB2312" w:eastAsia="仿宋_GB2312" w:cs="仿宋_GB2312"/>
          <w:color w:val="auto"/>
          <w:spacing w:val="-10"/>
          <w:sz w:val="32"/>
          <w:szCs w:val="32"/>
          <w:lang w:eastAsia="zh-CN"/>
        </w:rPr>
        <w:t>表</w:t>
      </w:r>
      <w:r>
        <w:rPr>
          <w:rFonts w:hint="eastAsia" w:ascii="仿宋_GB2312" w:hAnsi="仿宋_GB2312" w:eastAsia="仿宋_GB2312" w:cs="仿宋_GB2312"/>
          <w:color w:val="auto"/>
          <w:spacing w:val="-10"/>
          <w:sz w:val="32"/>
          <w:szCs w:val="32"/>
        </w:rPr>
        <w:t>》提出的环境监测计划，委托有资质单位定期进行监测。</w:t>
      </w:r>
    </w:p>
    <w:p w14:paraId="053DCF92">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lang w:eastAsia="zh-CN"/>
        </w:rPr>
      </w:pPr>
      <w:r>
        <w:rPr>
          <w:rFonts w:hint="eastAsia" w:ascii="仿宋_GB2312" w:hAnsi="仿宋_GB2312" w:eastAsia="仿宋_GB2312" w:cs="仿宋_GB2312"/>
          <w:color w:val="auto"/>
          <w:spacing w:val="-10"/>
          <w:sz w:val="32"/>
          <w:szCs w:val="32"/>
        </w:rPr>
        <w:t>（七）</w:t>
      </w:r>
      <w:r>
        <w:rPr>
          <w:rFonts w:hint="eastAsia" w:ascii="仿宋_GB2312" w:hAnsi="仿宋_GB2312" w:eastAsia="仿宋_GB2312" w:cs="仿宋_GB2312"/>
          <w:color w:val="auto"/>
          <w:spacing w:val="-10"/>
          <w:sz w:val="32"/>
          <w:szCs w:val="32"/>
          <w:lang w:eastAsia="zh-CN"/>
        </w:rPr>
        <w:t>强化环境风险防范和环保设施安全生产。</w:t>
      </w:r>
      <w:r>
        <w:rPr>
          <w:rFonts w:hint="eastAsia" w:ascii="仿宋_GB2312" w:hAnsi="仿宋_GB2312" w:eastAsia="仿宋_GB2312" w:cs="仿宋_GB2312"/>
          <w:color w:val="auto"/>
          <w:spacing w:val="-10"/>
          <w:sz w:val="32"/>
          <w:szCs w:val="32"/>
        </w:rPr>
        <w:t>本项目应按照“企业自救、属地为主、分级响应、区域联动”的原则，针对本项目制定突发环境事故应急预案，分解责任具体落实到负责人，并实现与相关部门和各地区突发环境事件应急预案的有效衔接。建立应急队伍，配备相应的应急装备。</w:t>
      </w:r>
      <w:r>
        <w:rPr>
          <w:rFonts w:hint="eastAsia" w:ascii="仿宋_GB2312" w:hAnsi="仿宋_GB2312" w:eastAsia="仿宋_GB2312" w:cs="仿宋_GB2312"/>
          <w:color w:val="auto"/>
          <w:spacing w:val="-10"/>
          <w:sz w:val="32"/>
          <w:szCs w:val="32"/>
          <w:lang w:eastAsia="zh-CN"/>
        </w:rPr>
        <w:t>严格落实环保设施安全生产工作要求，健全企业内部污染防治设施稳定运行和管理责任制度，委托有相应资质的设计单位对重点环保设施进行设计，并定期做好环保设备设施安全风险辨识评估和隐患排查治理。</w:t>
      </w:r>
    </w:p>
    <w:p w14:paraId="68F2A8AF">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四、其他相关要求</w:t>
      </w:r>
    </w:p>
    <w:p w14:paraId="2F11219A">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（一）严格按照《报告</w:t>
      </w:r>
      <w:r>
        <w:rPr>
          <w:rFonts w:hint="eastAsia" w:ascii="仿宋_GB2312" w:hAnsi="仿宋_GB2312" w:eastAsia="仿宋_GB2312" w:cs="仿宋_GB2312"/>
          <w:color w:val="auto"/>
          <w:spacing w:val="-10"/>
          <w:sz w:val="32"/>
          <w:szCs w:val="32"/>
          <w:lang w:eastAsia="zh-CN"/>
        </w:rPr>
        <w:t>表</w:t>
      </w:r>
      <w:r>
        <w:rPr>
          <w:rFonts w:hint="eastAsia" w:ascii="仿宋_GB2312" w:hAnsi="仿宋_GB2312" w:eastAsia="仿宋_GB2312" w:cs="仿宋_GB2312"/>
          <w:color w:val="auto"/>
          <w:spacing w:val="-10"/>
          <w:sz w:val="32"/>
          <w:szCs w:val="32"/>
        </w:rPr>
        <w:t>》所列建设内容进行建设，在建设地点、性质、规模、工艺、污染防治和生态保护等措施发生重大变动时需重新进行环境影响评价。</w:t>
      </w:r>
    </w:p>
    <w:p w14:paraId="4C0889BD">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（二）在工程施工和运行过程中，需建立畅通的公众参与平台，及时解决公众担忧的环境问题，满足公众合理的环境诉求。定期发布环境信息，并主动接受社会监督。建设期和运营期若发生环境扰民投诉案件，你</w:t>
      </w:r>
      <w:r>
        <w:rPr>
          <w:rFonts w:hint="eastAsia" w:ascii="仿宋_GB2312" w:hAnsi="仿宋_GB2312" w:eastAsia="仿宋_GB2312" w:cs="仿宋_GB2312"/>
          <w:color w:val="auto"/>
          <w:spacing w:val="-10"/>
          <w:sz w:val="32"/>
          <w:szCs w:val="32"/>
          <w:lang w:eastAsia="zh-CN"/>
        </w:rPr>
        <w:t>单位</w:t>
      </w:r>
      <w:r>
        <w:rPr>
          <w:rFonts w:hint="eastAsia" w:ascii="仿宋_GB2312" w:hAnsi="仿宋_GB2312" w:eastAsia="仿宋_GB2312" w:cs="仿宋_GB2312"/>
          <w:color w:val="auto"/>
          <w:spacing w:val="-10"/>
          <w:sz w:val="32"/>
          <w:szCs w:val="32"/>
        </w:rPr>
        <w:t>须积极配合地方政府妥善解决。</w:t>
      </w:r>
    </w:p>
    <w:p w14:paraId="42B5AA8F">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（三）项目实施建设必须严格执行环境保护设施与主体工程同时设计、同时施工、同时投产使用的环境保护“三同时”制度，落实各项生态环境保护措施。项目建成后，应按规定程序实施竣工环境保护验收。</w:t>
      </w:r>
    </w:p>
    <w:p w14:paraId="3B62E16C">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w:t>
      </w:r>
      <w:r>
        <w:rPr>
          <w:rFonts w:hint="eastAsia" w:ascii="仿宋_GB2312" w:hAnsi="仿宋_GB2312" w:eastAsia="仿宋_GB2312" w:cs="仿宋_GB2312"/>
          <w:color w:val="auto"/>
          <w:spacing w:val="-10"/>
          <w:sz w:val="32"/>
          <w:szCs w:val="32"/>
          <w:lang w:eastAsia="zh-CN"/>
        </w:rPr>
        <w:t>四</w:t>
      </w:r>
      <w:r>
        <w:rPr>
          <w:rFonts w:hint="eastAsia" w:ascii="仿宋_GB2312" w:hAnsi="仿宋_GB2312" w:eastAsia="仿宋_GB2312" w:cs="仿宋_GB2312"/>
          <w:color w:val="auto"/>
          <w:spacing w:val="-10"/>
          <w:sz w:val="32"/>
          <w:szCs w:val="32"/>
        </w:rPr>
        <w:t>）在启动生产设施或者发生实际排污之前，按照相关要求</w:t>
      </w:r>
      <w:r>
        <w:rPr>
          <w:rFonts w:hint="eastAsia" w:ascii="仿宋_GB2312" w:hAnsi="仿宋_GB2312" w:eastAsia="仿宋_GB2312" w:cs="仿宋_GB2312"/>
          <w:color w:val="auto"/>
          <w:spacing w:val="-10"/>
          <w:sz w:val="32"/>
          <w:szCs w:val="32"/>
          <w:lang w:eastAsia="zh-CN"/>
        </w:rPr>
        <w:t>办理</w:t>
      </w:r>
      <w:r>
        <w:rPr>
          <w:rFonts w:hint="eastAsia" w:ascii="仿宋_GB2312" w:hAnsi="仿宋_GB2312" w:eastAsia="仿宋_GB2312" w:cs="仿宋_GB2312"/>
          <w:color w:val="auto"/>
          <w:spacing w:val="-10"/>
          <w:sz w:val="32"/>
          <w:szCs w:val="32"/>
        </w:rPr>
        <w:t>排污许可</w:t>
      </w:r>
      <w:r>
        <w:rPr>
          <w:rFonts w:hint="eastAsia" w:ascii="仿宋_GB2312" w:hAnsi="仿宋_GB2312" w:eastAsia="仿宋_GB2312" w:cs="仿宋_GB2312"/>
          <w:color w:val="auto"/>
          <w:spacing w:val="-10"/>
          <w:sz w:val="32"/>
          <w:szCs w:val="32"/>
          <w:lang w:eastAsia="zh-CN"/>
        </w:rPr>
        <w:t>手续</w:t>
      </w:r>
      <w:r>
        <w:rPr>
          <w:rFonts w:hint="eastAsia" w:ascii="仿宋_GB2312" w:hAnsi="仿宋_GB2312" w:eastAsia="仿宋_GB2312" w:cs="仿宋_GB2312"/>
          <w:color w:val="auto"/>
          <w:spacing w:val="-10"/>
          <w:sz w:val="32"/>
          <w:szCs w:val="32"/>
        </w:rPr>
        <w:t>。</w:t>
      </w:r>
    </w:p>
    <w:p w14:paraId="0040839C">
      <w:pPr>
        <w:keepNext w:val="0"/>
        <w:keepLines w:val="0"/>
        <w:pageBreakBefore w:val="0"/>
        <w:tabs>
          <w:tab w:val="left" w:pos="3500"/>
        </w:tabs>
        <w:kinsoku/>
        <w:wordWrap/>
        <w:overflowPunct/>
        <w:topLinePunct w:val="0"/>
        <w:autoSpaceDE/>
        <w:autoSpaceDN/>
        <w:bidi w:val="0"/>
        <w:adjustRightInd/>
        <w:snapToGrid/>
        <w:spacing w:line="584" w:lineRule="exact"/>
        <w:ind w:firstLine="640"/>
        <w:textAlignment w:val="auto"/>
        <w:rPr>
          <w:rFonts w:hint="eastAsia" w:ascii="仿宋_GB2312" w:hAnsi="仿宋_GB2312" w:eastAsia="仿宋_GB2312" w:cs="仿宋_GB2312"/>
          <w:color w:val="auto"/>
          <w:spacing w:val="-10"/>
          <w:sz w:val="32"/>
          <w:szCs w:val="32"/>
        </w:rPr>
      </w:pPr>
      <w:r>
        <w:rPr>
          <w:rFonts w:hint="eastAsia" w:ascii="仿宋_GB2312" w:hAnsi="仿宋_GB2312" w:eastAsia="仿宋_GB2312" w:cs="仿宋_GB2312"/>
          <w:color w:val="auto"/>
          <w:spacing w:val="-10"/>
          <w:sz w:val="32"/>
          <w:szCs w:val="32"/>
        </w:rPr>
        <w:t>五、阜新市生态环境保护综合行政执法队负责该项目的环境保护“三同时”监督检查及管理工作。</w:t>
      </w:r>
    </w:p>
    <w:p w14:paraId="700BABD2">
      <w:pPr>
        <w:pStyle w:val="6"/>
        <w:keepNext w:val="0"/>
        <w:keepLines w:val="0"/>
        <w:pageBreakBefore w:val="0"/>
        <w:widowControl/>
        <w:kinsoku/>
        <w:wordWrap/>
        <w:overflowPunct/>
        <w:topLinePunct w:val="0"/>
        <w:autoSpaceDE/>
        <w:autoSpaceDN/>
        <w:bidi w:val="0"/>
        <w:adjustRightInd/>
        <w:snapToGrid/>
        <w:spacing w:line="584" w:lineRule="exact"/>
        <w:textAlignment w:val="auto"/>
        <w:rPr>
          <w:rFonts w:hint="eastAsia" w:ascii="仿宋_GB2312" w:hAnsi="仿宋_GB2312" w:eastAsia="仿宋_GB2312" w:cs="仿宋_GB2312"/>
          <w:color w:val="auto"/>
          <w:spacing w:val="-10"/>
          <w:sz w:val="32"/>
          <w:szCs w:val="32"/>
        </w:rPr>
      </w:pPr>
    </w:p>
    <w:p w14:paraId="7567D9C4">
      <w:pPr>
        <w:keepNext w:val="0"/>
        <w:keepLines w:val="0"/>
        <w:pageBreakBefore w:val="0"/>
        <w:kinsoku/>
        <w:wordWrap/>
        <w:overflowPunct/>
        <w:topLinePunct w:val="0"/>
        <w:autoSpaceDE/>
        <w:autoSpaceDN/>
        <w:bidi w:val="0"/>
        <w:adjustRightInd/>
        <w:snapToGrid/>
        <w:spacing w:line="584" w:lineRule="exact"/>
        <w:jc w:val="right"/>
        <w:textAlignment w:val="auto"/>
        <w:rPr>
          <w:rFonts w:hint="eastAsia" w:ascii="仿宋_GB2312" w:hAnsi="仿宋_GB2312" w:eastAsia="仿宋_GB2312" w:cs="仿宋_GB2312"/>
          <w:color w:val="FFFFFF" w:themeColor="background1"/>
          <w:spacing w:val="-10"/>
          <w:sz w:val="32"/>
          <w:szCs w:val="32"/>
          <w14:textFill>
            <w14:solidFill>
              <w14:schemeClr w14:val="bg1"/>
            </w14:solidFill>
          </w14:textFill>
        </w:rPr>
      </w:pPr>
      <w:r>
        <w:rPr>
          <w:rFonts w:hint="eastAsia" w:ascii="仿宋_GB2312" w:hAnsi="仿宋_GB2312" w:eastAsia="仿宋_GB2312" w:cs="仿宋_GB2312"/>
          <w:color w:val="auto"/>
          <w:spacing w:val="-10"/>
          <w:sz w:val="32"/>
          <w:szCs w:val="32"/>
        </w:rPr>
        <w:t>阜新市生态环境局</w:t>
      </w:r>
      <w:r>
        <w:rPr>
          <w:rFonts w:hint="eastAsia" w:ascii="仿宋_GB2312" w:hAnsi="仿宋_GB2312" w:eastAsia="仿宋_GB2312" w:cs="仿宋_GB2312"/>
          <w:color w:val="FFFFFF" w:themeColor="background1"/>
          <w:spacing w:val="-10"/>
          <w:sz w:val="32"/>
          <w:szCs w:val="32"/>
          <w14:textFill>
            <w14:solidFill>
              <w14:schemeClr w14:val="bg1"/>
            </w14:solidFill>
          </w14:textFill>
        </w:rPr>
        <w:t>空空空空</w:t>
      </w:r>
    </w:p>
    <w:p w14:paraId="11D9A77F">
      <w:pPr>
        <w:keepNext w:val="0"/>
        <w:keepLines w:val="0"/>
        <w:pageBreakBefore w:val="0"/>
        <w:kinsoku/>
        <w:wordWrap/>
        <w:overflowPunct/>
        <w:topLinePunct w:val="0"/>
        <w:autoSpaceDE/>
        <w:autoSpaceDN/>
        <w:bidi w:val="0"/>
        <w:adjustRightInd/>
        <w:snapToGrid/>
        <w:spacing w:line="584" w:lineRule="exact"/>
        <w:textAlignment w:val="auto"/>
        <w:rPr>
          <w:rFonts w:hint="eastAsia" w:ascii="仿宋_GB2312" w:hAnsi="仿宋_GB2312" w:eastAsia="仿宋_GB2312" w:cs="仿宋_GB2312"/>
          <w:color w:val="auto"/>
          <w:spacing w:val="-10"/>
          <w:sz w:val="32"/>
          <w:szCs w:val="32"/>
          <w:lang w:val="en-US" w:eastAsia="zh-CN"/>
        </w:rPr>
      </w:pP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pacing w:val="-10"/>
          <w:sz w:val="32"/>
          <w:szCs w:val="32"/>
          <w:lang w:val="en-US" w:eastAsia="zh-CN"/>
        </w:rPr>
        <w:t>2026年7月24日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5336C">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25F6AE">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1725F6AE">
                    <w:pPr>
                      <w:pStyle w:val="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0ZGYwMDJmYWY5ZjNiMjUwZmZiNzg3MTEwMGM2OTIifQ=="/>
  </w:docVars>
  <w:rsids>
    <w:rsidRoot w:val="380F54D5"/>
    <w:rsid w:val="000062D9"/>
    <w:rsid w:val="00043BA5"/>
    <w:rsid w:val="0005407F"/>
    <w:rsid w:val="000772DF"/>
    <w:rsid w:val="00077DE7"/>
    <w:rsid w:val="0009609B"/>
    <w:rsid w:val="000B72A8"/>
    <w:rsid w:val="000E2BE0"/>
    <w:rsid w:val="000F41D6"/>
    <w:rsid w:val="000F53C5"/>
    <w:rsid w:val="0010758B"/>
    <w:rsid w:val="00111C6F"/>
    <w:rsid w:val="00136E39"/>
    <w:rsid w:val="00140916"/>
    <w:rsid w:val="0014796A"/>
    <w:rsid w:val="00155F05"/>
    <w:rsid w:val="00171391"/>
    <w:rsid w:val="001731AA"/>
    <w:rsid w:val="0018776B"/>
    <w:rsid w:val="00191FDF"/>
    <w:rsid w:val="00194074"/>
    <w:rsid w:val="001A6C6B"/>
    <w:rsid w:val="001C2CCB"/>
    <w:rsid w:val="001C50A0"/>
    <w:rsid w:val="001E3942"/>
    <w:rsid w:val="00225D8D"/>
    <w:rsid w:val="00241147"/>
    <w:rsid w:val="002456ED"/>
    <w:rsid w:val="00261BD0"/>
    <w:rsid w:val="002653A2"/>
    <w:rsid w:val="00274C2A"/>
    <w:rsid w:val="002940A1"/>
    <w:rsid w:val="00294F26"/>
    <w:rsid w:val="002A0C67"/>
    <w:rsid w:val="002A47E0"/>
    <w:rsid w:val="002E7EE1"/>
    <w:rsid w:val="002F78E6"/>
    <w:rsid w:val="0034667A"/>
    <w:rsid w:val="0038131F"/>
    <w:rsid w:val="003817C2"/>
    <w:rsid w:val="003A1ABB"/>
    <w:rsid w:val="003E2C10"/>
    <w:rsid w:val="003F5744"/>
    <w:rsid w:val="004020CD"/>
    <w:rsid w:val="00451962"/>
    <w:rsid w:val="004936A2"/>
    <w:rsid w:val="004A1B68"/>
    <w:rsid w:val="004C0B50"/>
    <w:rsid w:val="004D0431"/>
    <w:rsid w:val="004E1A1D"/>
    <w:rsid w:val="00532829"/>
    <w:rsid w:val="0053649A"/>
    <w:rsid w:val="00575605"/>
    <w:rsid w:val="005A1518"/>
    <w:rsid w:val="005D0479"/>
    <w:rsid w:val="005F21FA"/>
    <w:rsid w:val="006037D7"/>
    <w:rsid w:val="00615B33"/>
    <w:rsid w:val="006310D1"/>
    <w:rsid w:val="00671F04"/>
    <w:rsid w:val="00682423"/>
    <w:rsid w:val="0069697F"/>
    <w:rsid w:val="006A35C1"/>
    <w:rsid w:val="006C6436"/>
    <w:rsid w:val="006C753A"/>
    <w:rsid w:val="006E16EB"/>
    <w:rsid w:val="0072384C"/>
    <w:rsid w:val="00755A13"/>
    <w:rsid w:val="0076595C"/>
    <w:rsid w:val="0076661D"/>
    <w:rsid w:val="00791A8D"/>
    <w:rsid w:val="0079373D"/>
    <w:rsid w:val="007A75A6"/>
    <w:rsid w:val="007B7BE4"/>
    <w:rsid w:val="007D2FB7"/>
    <w:rsid w:val="00820031"/>
    <w:rsid w:val="00831141"/>
    <w:rsid w:val="00892B01"/>
    <w:rsid w:val="008932AC"/>
    <w:rsid w:val="008A4530"/>
    <w:rsid w:val="008D6311"/>
    <w:rsid w:val="008E2169"/>
    <w:rsid w:val="008F4787"/>
    <w:rsid w:val="00904FA0"/>
    <w:rsid w:val="009144D4"/>
    <w:rsid w:val="00944C05"/>
    <w:rsid w:val="00952892"/>
    <w:rsid w:val="00971968"/>
    <w:rsid w:val="00971CF8"/>
    <w:rsid w:val="00977B86"/>
    <w:rsid w:val="0098146A"/>
    <w:rsid w:val="0098294A"/>
    <w:rsid w:val="00997F8B"/>
    <w:rsid w:val="009A44ED"/>
    <w:rsid w:val="009C1C42"/>
    <w:rsid w:val="009C48EA"/>
    <w:rsid w:val="009E03AB"/>
    <w:rsid w:val="009E28AA"/>
    <w:rsid w:val="00A11FEC"/>
    <w:rsid w:val="00A20660"/>
    <w:rsid w:val="00A26E05"/>
    <w:rsid w:val="00A5305E"/>
    <w:rsid w:val="00A740DA"/>
    <w:rsid w:val="00AB1E2F"/>
    <w:rsid w:val="00AF3C50"/>
    <w:rsid w:val="00B04E5E"/>
    <w:rsid w:val="00B06557"/>
    <w:rsid w:val="00B155B3"/>
    <w:rsid w:val="00B37380"/>
    <w:rsid w:val="00B45AE3"/>
    <w:rsid w:val="00B74C9F"/>
    <w:rsid w:val="00B8261A"/>
    <w:rsid w:val="00BB64DD"/>
    <w:rsid w:val="00BC2061"/>
    <w:rsid w:val="00C00DAF"/>
    <w:rsid w:val="00C11786"/>
    <w:rsid w:val="00C36D6C"/>
    <w:rsid w:val="00C422EA"/>
    <w:rsid w:val="00C50E21"/>
    <w:rsid w:val="00C56CCC"/>
    <w:rsid w:val="00C64E75"/>
    <w:rsid w:val="00C751B7"/>
    <w:rsid w:val="00C838C5"/>
    <w:rsid w:val="00C93F4B"/>
    <w:rsid w:val="00CA44E1"/>
    <w:rsid w:val="00CB7BED"/>
    <w:rsid w:val="00CC64E4"/>
    <w:rsid w:val="00D14EC1"/>
    <w:rsid w:val="00D96AA6"/>
    <w:rsid w:val="00DA4D1A"/>
    <w:rsid w:val="00DB3A0C"/>
    <w:rsid w:val="00DC7288"/>
    <w:rsid w:val="00DE4724"/>
    <w:rsid w:val="00DF31E8"/>
    <w:rsid w:val="00E00AF7"/>
    <w:rsid w:val="00E01AC0"/>
    <w:rsid w:val="00E31E6E"/>
    <w:rsid w:val="00E3480C"/>
    <w:rsid w:val="00E419CF"/>
    <w:rsid w:val="00E43392"/>
    <w:rsid w:val="00E52B86"/>
    <w:rsid w:val="00E74EEA"/>
    <w:rsid w:val="00E801DF"/>
    <w:rsid w:val="00E87BDD"/>
    <w:rsid w:val="00EA2FDC"/>
    <w:rsid w:val="00EC40BD"/>
    <w:rsid w:val="00EE1422"/>
    <w:rsid w:val="00F21730"/>
    <w:rsid w:val="00F23B21"/>
    <w:rsid w:val="00F559CA"/>
    <w:rsid w:val="00F629DD"/>
    <w:rsid w:val="00F872D2"/>
    <w:rsid w:val="00FA7471"/>
    <w:rsid w:val="00FB459C"/>
    <w:rsid w:val="00FB7EC7"/>
    <w:rsid w:val="00FC1639"/>
    <w:rsid w:val="00FD76A4"/>
    <w:rsid w:val="00FF642D"/>
    <w:rsid w:val="044811AB"/>
    <w:rsid w:val="0E7FE316"/>
    <w:rsid w:val="102379E5"/>
    <w:rsid w:val="14C95D71"/>
    <w:rsid w:val="15DA7390"/>
    <w:rsid w:val="1A8D294F"/>
    <w:rsid w:val="1F6A1B24"/>
    <w:rsid w:val="24B5094F"/>
    <w:rsid w:val="25CE1675"/>
    <w:rsid w:val="29974297"/>
    <w:rsid w:val="2AE5275E"/>
    <w:rsid w:val="2B9D5011"/>
    <w:rsid w:val="2DF903D1"/>
    <w:rsid w:val="2F9A5356"/>
    <w:rsid w:val="311331FC"/>
    <w:rsid w:val="315E75B2"/>
    <w:rsid w:val="33731620"/>
    <w:rsid w:val="36BB3DBE"/>
    <w:rsid w:val="37FF555C"/>
    <w:rsid w:val="380F54D5"/>
    <w:rsid w:val="3B6F58C6"/>
    <w:rsid w:val="3C9E707B"/>
    <w:rsid w:val="3E8FAC4A"/>
    <w:rsid w:val="42BB1FD9"/>
    <w:rsid w:val="45BCE8ED"/>
    <w:rsid w:val="45C67A8C"/>
    <w:rsid w:val="490F5D2A"/>
    <w:rsid w:val="4C9F6EE7"/>
    <w:rsid w:val="51E72905"/>
    <w:rsid w:val="5CEA5C1C"/>
    <w:rsid w:val="5D463024"/>
    <w:rsid w:val="5F5D649F"/>
    <w:rsid w:val="5FD6357D"/>
    <w:rsid w:val="5FFD3CE8"/>
    <w:rsid w:val="61E64934"/>
    <w:rsid w:val="64A35F68"/>
    <w:rsid w:val="64F26DFF"/>
    <w:rsid w:val="654F577C"/>
    <w:rsid w:val="6A4D3FA6"/>
    <w:rsid w:val="6BFA183B"/>
    <w:rsid w:val="6CF95D08"/>
    <w:rsid w:val="732172ED"/>
    <w:rsid w:val="739754C2"/>
    <w:rsid w:val="73EE2B1A"/>
    <w:rsid w:val="75FE1E08"/>
    <w:rsid w:val="76314207"/>
    <w:rsid w:val="767B24D0"/>
    <w:rsid w:val="79974DA2"/>
    <w:rsid w:val="79DFE3CF"/>
    <w:rsid w:val="7B612E8D"/>
    <w:rsid w:val="7D7DA495"/>
    <w:rsid w:val="7D9F390B"/>
    <w:rsid w:val="7EAE9A31"/>
    <w:rsid w:val="7EDFF1A0"/>
    <w:rsid w:val="7EFF1DC7"/>
    <w:rsid w:val="7F39DE80"/>
    <w:rsid w:val="93FDC570"/>
    <w:rsid w:val="BDF99917"/>
    <w:rsid w:val="CF2E7032"/>
    <w:rsid w:val="D1314847"/>
    <w:rsid w:val="D1BFA29E"/>
    <w:rsid w:val="D7BF597C"/>
    <w:rsid w:val="DAFC90CB"/>
    <w:rsid w:val="E91F7F57"/>
    <w:rsid w:val="EFB74942"/>
    <w:rsid w:val="F5FF9D85"/>
    <w:rsid w:val="FCFD8F74"/>
    <w:rsid w:val="FD1ECD47"/>
    <w:rsid w:val="FD7789A8"/>
    <w:rsid w:val="FDFA9816"/>
    <w:rsid w:val="FECF8AD5"/>
    <w:rsid w:val="FEFF1ADE"/>
    <w:rsid w:val="FEFF3147"/>
    <w:rsid w:val="FFBF7622"/>
    <w:rsid w:val="FFCE25EC"/>
    <w:rsid w:val="FFFE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leftChars="200"/>
    </w:p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paragraph" w:customStyle="1" w:styleId="10">
    <w:name w:val="_Style 4"/>
    <w:next w:val="1"/>
    <w:qFormat/>
    <w:uiPriority w:val="0"/>
    <w:pPr>
      <w:widowControl w:val="0"/>
      <w:jc w:val="both"/>
    </w:pPr>
    <w:rPr>
      <w:rFonts w:ascii="Times New Roman" w:hAnsi="Times New Roman" w:eastAsia="仿宋_GB2312" w:cs="Times New Roman"/>
      <w:kern w:val="2"/>
      <w:sz w:val="24"/>
      <w:szCs w:val="22"/>
      <w:lang w:val="en-US" w:eastAsia="zh-CN" w:bidi="ar-SA"/>
    </w:rPr>
  </w:style>
  <w:style w:type="character" w:customStyle="1" w:styleId="11">
    <w:name w:val="页眉 Char"/>
    <w:basedOn w:val="8"/>
    <w:link w:val="5"/>
    <w:qFormat/>
    <w:uiPriority w:val="0"/>
    <w:rPr>
      <w:kern w:val="2"/>
      <w:sz w:val="18"/>
      <w:szCs w:val="18"/>
    </w:rPr>
  </w:style>
  <w:style w:type="character" w:customStyle="1" w:styleId="12">
    <w:name w:val="页脚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Pages>
  <Words>1920</Words>
  <Characters>2050</Characters>
  <Lines>10</Lines>
  <Paragraphs>3</Paragraphs>
  <TotalTime>70</TotalTime>
  <ScaleCrop>false</ScaleCrop>
  <LinksUpToDate>false</LinksUpToDate>
  <CharactersWithSpaces>2110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2019-05-07T11:18:00Z</dcterms:created>
  <dc:creator>Administrator</dc:creator>
  <cp:lastModifiedBy>XuZG</cp:lastModifiedBy>
  <cp:lastPrinted>2026-07-24T02:40:07Z</cp:lastPrinted>
  <dcterms:modified xsi:type="dcterms:W3CDTF">2026-07-24T02:40:19Z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14AAE2C7B7B141808FF7E2B4C70A8414</vt:lpwstr>
  </property>
  <property fmtid="{D5CDD505-2E9C-101B-9397-08002B2CF9AE}" pid="4" name="commondata">
    <vt:lpwstr>eyJoZGlkIjoiOTI0ZGYwMDJmYWY5ZjNiMjUwZmZiNzg3MTEwMGM2OTIifQ==</vt:lpwstr>
  </property>
  <property fmtid="{D5CDD505-2E9C-101B-9397-08002B2CF9AE}" pid="5" name="KSOTemplateDocerSaveRecord">
    <vt:lpwstr>eyJoZGlkIjoiOTI0ZGYwMDJmYWY5ZjNiMjUwZmZiNzg3MTEwMGM2OTIiLCJ1c2VySWQiOiIxNzMxOTA4NDg0In0=</vt:lpwstr>
  </property>
</Properties>
</file>