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48"/>
          <w:szCs w:val="48"/>
        </w:rPr>
      </w:pPr>
    </w:p>
    <w:p>
      <w:pPr>
        <w:spacing w:line="600" w:lineRule="exact"/>
        <w:jc w:val="right"/>
        <w:rPr>
          <w:rFonts w:ascii="仿宋_GB2312" w:hAnsi="仿宋_GB2312" w:eastAsia="仿宋_GB2312" w:cs="仿宋_GB2312"/>
          <w:color w:val="000000"/>
          <w:sz w:val="32"/>
        </w:rPr>
      </w:pPr>
      <w:r>
        <w:rPr>
          <w:rFonts w:hint="eastAsia" w:ascii="仿宋_GB2312" w:hAnsi="仿宋_GB2312" w:eastAsia="仿宋_GB2312" w:cs="仿宋_GB2312"/>
          <w:sz w:val="32"/>
        </w:rPr>
        <w:t>阜环审〔2026〕17</w:t>
      </w:r>
      <w:r>
        <w:rPr>
          <w:rFonts w:hint="eastAsia" w:ascii="仿宋_GB2312" w:hAnsi="仿宋_GB2312" w:eastAsia="仿宋_GB2312" w:cs="仿宋_GB2312"/>
          <w:color w:val="000000"/>
          <w:sz w:val="32"/>
        </w:rPr>
        <w:t>号</w:t>
      </w:r>
    </w:p>
    <w:p>
      <w:pPr>
        <w:snapToGrid w:val="0"/>
        <w:spacing w:line="66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w:t>
      </w:r>
      <w:r>
        <w:rPr>
          <w:rFonts w:ascii="方正小标宋简体" w:hAnsi="方正小标宋简体" w:eastAsia="方正小标宋简体" w:cs="方正小标宋简体"/>
          <w:color w:val="000000"/>
          <w:sz w:val="44"/>
          <w:szCs w:val="44"/>
        </w:rPr>
        <w:t>阜新正岭矿业发展有限公司周家店建筑用花岗岩矿30万m</w:t>
      </w:r>
      <w:r>
        <w:rPr>
          <w:rFonts w:ascii="方正小标宋简体" w:hAnsi="方正小标宋简体" w:eastAsia="方正小标宋简体" w:cs="方正小标宋简体"/>
          <w:color w:val="000000"/>
          <w:sz w:val="44"/>
          <w:szCs w:val="44"/>
          <w:vertAlign w:val="superscript"/>
        </w:rPr>
        <w:t>3</w:t>
      </w:r>
      <w:r>
        <w:rPr>
          <w:rFonts w:ascii="方正小标宋简体" w:hAnsi="方正小标宋简体" w:eastAsia="方正小标宋简体" w:cs="方正小标宋简体"/>
          <w:color w:val="000000"/>
          <w:sz w:val="44"/>
          <w:szCs w:val="44"/>
        </w:rPr>
        <w:t>/a采石加工</w:t>
      </w:r>
    </w:p>
    <w:p>
      <w:pPr>
        <w:snapToGrid w:val="0"/>
        <w:spacing w:line="660" w:lineRule="exact"/>
        <w:jc w:val="center"/>
        <w:rPr>
          <w:rFonts w:ascii="方正小标宋简体" w:hAnsi="方正小标宋简体" w:eastAsia="方正小标宋简体" w:cs="方正小标宋简体"/>
          <w:color w:val="000000"/>
          <w:sz w:val="44"/>
          <w:szCs w:val="44"/>
        </w:rPr>
      </w:pPr>
      <w:r>
        <w:rPr>
          <w:rFonts w:ascii="方正小标宋简体" w:hAnsi="方正小标宋简体" w:eastAsia="方正小标宋简体" w:cs="方正小标宋简体"/>
          <w:color w:val="000000"/>
          <w:sz w:val="44"/>
          <w:szCs w:val="44"/>
        </w:rPr>
        <w:t>项目</w:t>
      </w:r>
      <w:r>
        <w:rPr>
          <w:rFonts w:hint="eastAsia" w:ascii="方正小标宋简体" w:hAnsi="方正小标宋简体" w:eastAsia="方正小标宋简体" w:cs="方正小标宋简体"/>
          <w:color w:val="000000"/>
          <w:sz w:val="44"/>
          <w:szCs w:val="44"/>
        </w:rPr>
        <w:t>环境影响报告书》的批复</w:t>
      </w:r>
    </w:p>
    <w:p>
      <w:pPr>
        <w:jc w:val="center"/>
        <w:rPr>
          <w:rFonts w:ascii="宋体" w:hAnsi="宋体" w:eastAsia="宋体" w:cs="宋体"/>
          <w:sz w:val="18"/>
        </w:rPr>
      </w:pPr>
    </w:p>
    <w:p>
      <w:pPr>
        <w:widowControl/>
        <w:adjustRightInd w:val="0"/>
        <w:snapToGrid w:val="0"/>
        <w:spacing w:line="560" w:lineRule="exact"/>
        <w:jc w:val="left"/>
        <w:rPr>
          <w:rFonts w:ascii="仿宋_GB2312" w:hAnsi="仿宋" w:eastAsia="仿宋_GB2312" w:cs="仿宋"/>
          <w:color w:val="000000" w:themeColor="text1"/>
          <w:spacing w:val="-10"/>
          <w:sz w:val="32"/>
          <w:szCs w:val="32"/>
        </w:rPr>
      </w:pPr>
      <w:r>
        <w:rPr>
          <w:rFonts w:ascii="仿宋_GB2312" w:hAnsi="仿宋" w:eastAsia="仿宋_GB2312" w:cs="仿宋"/>
          <w:color w:val="000000" w:themeColor="text1"/>
          <w:spacing w:val="-10"/>
          <w:sz w:val="32"/>
          <w:szCs w:val="32"/>
        </w:rPr>
        <w:t>阜新正岭矿业发展有限公司</w:t>
      </w:r>
      <w:r>
        <w:rPr>
          <w:rFonts w:hint="eastAsia" w:ascii="仿宋_GB2312" w:hAnsi="仿宋" w:eastAsia="仿宋_GB2312" w:cs="仿宋"/>
          <w:color w:val="000000" w:themeColor="text1"/>
          <w:spacing w:val="-10"/>
          <w:sz w:val="32"/>
          <w:szCs w:val="32"/>
        </w:rPr>
        <w:t>：</w:t>
      </w:r>
    </w:p>
    <w:p>
      <w:pPr>
        <w:widowControl/>
        <w:adjustRightInd w:val="0"/>
        <w:snapToGrid w:val="0"/>
        <w:spacing w:line="560" w:lineRule="exact"/>
        <w:ind w:firstLine="600" w:firstLineChars="200"/>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你单位报送的《</w:t>
      </w:r>
      <w:r>
        <w:rPr>
          <w:rFonts w:ascii="仿宋_GB2312" w:hAnsi="仿宋" w:eastAsia="仿宋_GB2312" w:cs="仿宋"/>
          <w:color w:val="000000" w:themeColor="text1"/>
          <w:spacing w:val="-10"/>
          <w:sz w:val="32"/>
          <w:szCs w:val="32"/>
        </w:rPr>
        <w:t>阜新正岭矿业发展有限公司周家店建筑用花岗岩矿30万m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/a采石加工项目</w:t>
      </w:r>
      <w:r>
        <w:rPr>
          <w:rFonts w:hint="eastAsia" w:ascii="仿宋_GB2312" w:hAnsi="仿宋" w:eastAsia="仿宋_GB2312" w:cs="仿宋"/>
          <w:color w:val="000000" w:themeColor="text1"/>
          <w:spacing w:val="-10"/>
          <w:sz w:val="32"/>
          <w:szCs w:val="32"/>
        </w:rPr>
        <w:t>环境影响报告书》（以下简称《报告书》）及申请收悉，经我局建设项目审查委员会研究，批复如下：</w:t>
      </w:r>
    </w:p>
    <w:p>
      <w:pPr>
        <w:widowControl/>
        <w:adjustRightInd w:val="0"/>
        <w:snapToGrid w:val="0"/>
        <w:spacing w:line="560" w:lineRule="exact"/>
        <w:ind w:firstLine="600" w:firstLineChars="200"/>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一、本项目</w:t>
      </w:r>
      <w:r>
        <w:rPr>
          <w:rFonts w:ascii="仿宋_GB2312" w:hAnsi="仿宋" w:eastAsia="仿宋_GB2312" w:cs="仿宋"/>
          <w:color w:val="000000" w:themeColor="text1"/>
          <w:spacing w:val="-10"/>
          <w:sz w:val="32"/>
          <w:szCs w:val="32"/>
        </w:rPr>
        <w:t>位于辽宁省阜新县扎兰营子镇周家店</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本项目为新</w:t>
      </w:r>
      <w:r>
        <w:rPr>
          <w:rFonts w:hint="eastAsia" w:ascii="仿宋_GB2312" w:hAnsi="仿宋" w:eastAsia="仿宋_GB2312" w:cs="仿宋"/>
          <w:color w:val="000000" w:themeColor="text1"/>
          <w:spacing w:val="-10"/>
          <w:sz w:val="32"/>
          <w:szCs w:val="32"/>
        </w:rPr>
        <w:t>建</w:t>
      </w:r>
      <w:r>
        <w:rPr>
          <w:rFonts w:ascii="仿宋_GB2312" w:hAnsi="仿宋" w:eastAsia="仿宋_GB2312" w:cs="仿宋"/>
          <w:color w:val="000000" w:themeColor="text1"/>
          <w:spacing w:val="-10"/>
          <w:sz w:val="32"/>
          <w:szCs w:val="32"/>
        </w:rPr>
        <w:t>项目，矿区面积为0.189km</w:t>
      </w:r>
      <w:r>
        <w:rPr>
          <w:rFonts w:ascii="仿宋_GB2312" w:hAnsi="仿宋" w:eastAsia="仿宋_GB2312" w:cs="仿宋"/>
          <w:color w:val="000000" w:themeColor="text1"/>
          <w:spacing w:val="-10"/>
          <w:sz w:val="32"/>
          <w:szCs w:val="32"/>
          <w:vertAlign w:val="superscript"/>
        </w:rPr>
        <w:t>2</w:t>
      </w:r>
      <w:r>
        <w:rPr>
          <w:rFonts w:ascii="仿宋_GB2312" w:hAnsi="仿宋" w:eastAsia="仿宋_GB2312" w:cs="仿宋"/>
          <w:color w:val="000000" w:themeColor="text1"/>
          <w:spacing w:val="-10"/>
          <w:sz w:val="32"/>
          <w:szCs w:val="32"/>
        </w:rPr>
        <w:t>，开采标高+347m至+290m，开采方式为露天开采</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开采矿种为建筑用花岗岩</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生产规模为露天采取开采规模30万立方米/年，服务年限10年6个月（含基建期6个月），加工车间加工规模为30万立方米/年</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项目总投资</w:t>
      </w:r>
      <w:r>
        <w:rPr>
          <w:rFonts w:hint="eastAsia" w:ascii="仿宋_GB2312" w:hAnsi="仿宋" w:eastAsia="仿宋_GB2312" w:cs="仿宋"/>
          <w:color w:val="000000" w:themeColor="text1"/>
          <w:spacing w:val="-10"/>
          <w:sz w:val="32"/>
          <w:szCs w:val="32"/>
        </w:rPr>
        <w:t>3305</w:t>
      </w:r>
      <w:r>
        <w:rPr>
          <w:rFonts w:ascii="仿宋_GB2312" w:hAnsi="仿宋" w:eastAsia="仿宋_GB2312" w:cs="仿宋"/>
          <w:color w:val="000000" w:themeColor="text1"/>
          <w:spacing w:val="-10"/>
          <w:sz w:val="32"/>
          <w:szCs w:val="32"/>
        </w:rPr>
        <w:t>万元，环保投资</w:t>
      </w:r>
      <w:r>
        <w:rPr>
          <w:rFonts w:hint="eastAsia" w:ascii="仿宋_GB2312" w:hAnsi="仿宋" w:eastAsia="仿宋_GB2312" w:cs="仿宋"/>
          <w:color w:val="000000" w:themeColor="text1"/>
          <w:spacing w:val="-10"/>
          <w:sz w:val="32"/>
          <w:szCs w:val="32"/>
        </w:rPr>
        <w:t>615.31</w:t>
      </w:r>
      <w:r>
        <w:rPr>
          <w:rFonts w:ascii="仿宋_GB2312" w:hAnsi="仿宋" w:eastAsia="仿宋_GB2312" w:cs="仿宋"/>
          <w:color w:val="000000" w:themeColor="text1"/>
          <w:spacing w:val="-10"/>
          <w:sz w:val="32"/>
          <w:szCs w:val="32"/>
        </w:rPr>
        <w:t>万元人民币</w:t>
      </w:r>
      <w:r>
        <w:rPr>
          <w:rFonts w:hint="eastAsia" w:ascii="仿宋_GB2312" w:hAnsi="仿宋" w:eastAsia="仿宋_GB2312" w:cs="仿宋"/>
          <w:color w:val="000000" w:themeColor="text1"/>
          <w:spacing w:val="-10"/>
          <w:sz w:val="32"/>
          <w:szCs w:val="32"/>
        </w:rPr>
        <w:t>。</w:t>
      </w:r>
    </w:p>
    <w:p>
      <w:pPr>
        <w:spacing w:line="560" w:lineRule="exact"/>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二、阜新市生态环境保护服务中心以《关于</w:t>
      </w:r>
      <w:r>
        <w:rPr>
          <w:rFonts w:ascii="仿宋_GB2312" w:hAnsi="仿宋" w:eastAsia="仿宋_GB2312" w:cs="仿宋"/>
          <w:color w:val="000000" w:themeColor="text1"/>
          <w:spacing w:val="-10"/>
          <w:sz w:val="32"/>
          <w:szCs w:val="32"/>
        </w:rPr>
        <w:t>阜新正岭矿业发展有限公司周家店建筑用花岗岩矿30万m</w:t>
      </w:r>
      <w:r>
        <w:rPr>
          <w:rFonts w:ascii="仿宋_GB2312" w:hAnsi="仿宋" w:eastAsia="仿宋_GB2312" w:cs="仿宋"/>
          <w:color w:val="000000" w:themeColor="text1"/>
          <w:spacing w:val="-10"/>
          <w:sz w:val="32"/>
          <w:szCs w:val="32"/>
          <w:vertAlign w:val="superscript"/>
        </w:rPr>
        <w:t>3</w:t>
      </w:r>
      <w:r>
        <w:rPr>
          <w:rFonts w:ascii="仿宋_GB2312" w:hAnsi="仿宋" w:eastAsia="仿宋_GB2312" w:cs="仿宋"/>
          <w:color w:val="000000" w:themeColor="text1"/>
          <w:spacing w:val="-10"/>
          <w:sz w:val="32"/>
          <w:szCs w:val="32"/>
        </w:rPr>
        <w:t>/a采石加工项目</w:t>
      </w:r>
      <w:r>
        <w:rPr>
          <w:rFonts w:hint="eastAsia" w:ascii="仿宋_GB2312" w:hAnsi="仿宋" w:eastAsia="仿宋_GB2312" w:cs="仿宋"/>
          <w:color w:val="000000" w:themeColor="text1"/>
          <w:spacing w:val="-10"/>
          <w:sz w:val="32"/>
          <w:szCs w:val="32"/>
        </w:rPr>
        <w:t>环境影响报告书的评估意见》（阜环评估〔2026〕59</w:t>
      </w:r>
      <w:r>
        <w:rPr>
          <w:rFonts w:ascii="仿宋_GB2312" w:hAnsi="仿宋" w:eastAsia="仿宋_GB2312" w:cs="仿宋"/>
          <w:color w:val="000000" w:themeColor="text1"/>
          <w:spacing w:val="-10"/>
          <w:sz w:val="32"/>
          <w:szCs w:val="32"/>
        </w:rPr>
        <w:t>号</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出具项目建设可行</w:t>
      </w:r>
      <w:r>
        <w:rPr>
          <w:rFonts w:hint="eastAsia" w:ascii="仿宋_GB2312" w:hAnsi="仿宋" w:eastAsia="仿宋_GB2312" w:cs="仿宋"/>
          <w:color w:val="000000" w:themeColor="text1"/>
          <w:spacing w:val="-10"/>
          <w:sz w:val="32"/>
          <w:szCs w:val="32"/>
          <w:lang w:eastAsia="zh-CN"/>
        </w:rPr>
        <w:t>性</w:t>
      </w:r>
      <w:bookmarkStart w:id="0" w:name="_GoBack"/>
      <w:bookmarkEnd w:id="0"/>
      <w:r>
        <w:rPr>
          <w:rFonts w:ascii="仿宋_GB2312" w:hAnsi="仿宋" w:eastAsia="仿宋_GB2312" w:cs="仿宋"/>
          <w:color w:val="000000" w:themeColor="text1"/>
          <w:spacing w:val="-10"/>
          <w:sz w:val="32"/>
          <w:szCs w:val="32"/>
        </w:rPr>
        <w:t>意见</w:t>
      </w:r>
      <w:r>
        <w:rPr>
          <w:rFonts w:ascii="仿宋_GB2312" w:hAnsi="仿宋" w:eastAsia="仿宋_GB2312" w:cs="仿宋"/>
          <w:spacing w:val="-10"/>
          <w:sz w:val="32"/>
          <w:szCs w:val="32"/>
        </w:rPr>
        <w:t>。</w:t>
      </w:r>
      <w:r>
        <w:rPr>
          <w:rFonts w:hint="eastAsia" w:ascii="仿宋_GB2312" w:hAnsi="仿宋_GB2312" w:eastAsia="仿宋_GB2312" w:cs="仿宋_GB2312"/>
          <w:spacing w:val="-10"/>
          <w:sz w:val="32"/>
          <w:szCs w:val="32"/>
        </w:rPr>
        <w:t>项目符合国</w:t>
      </w:r>
      <w:r>
        <w:rPr>
          <w:rFonts w:hint="eastAsia" w:ascii="仿宋_GB2312" w:hAnsi="仿宋" w:eastAsia="仿宋_GB2312" w:cs="仿宋"/>
          <w:color w:val="000000" w:themeColor="text1"/>
          <w:spacing w:val="-10"/>
          <w:sz w:val="32"/>
          <w:szCs w:val="32"/>
        </w:rPr>
        <w:t>家产业政策，符合</w:t>
      </w:r>
      <w:r>
        <w:rPr>
          <w:rFonts w:ascii="仿宋_GB2312" w:hAnsi="仿宋" w:eastAsia="仿宋_GB2312" w:cs="仿宋"/>
          <w:color w:val="000000" w:themeColor="text1"/>
          <w:spacing w:val="-10"/>
          <w:sz w:val="32"/>
          <w:szCs w:val="32"/>
        </w:rPr>
        <w:t>矿产资源总体规划及规划环评，</w:t>
      </w:r>
      <w:r>
        <w:rPr>
          <w:rFonts w:hint="eastAsia" w:ascii="仿宋_GB2312" w:hAnsi="仿宋" w:eastAsia="仿宋_GB2312" w:cs="仿宋"/>
          <w:color w:val="000000" w:themeColor="text1"/>
          <w:spacing w:val="-10"/>
          <w:sz w:val="32"/>
          <w:szCs w:val="32"/>
        </w:rPr>
        <w:t>符合环境主管部门核定的总量控制要求，在严格</w:t>
      </w:r>
      <w:r>
        <w:rPr>
          <w:rFonts w:hint="eastAsia" w:ascii="仿宋_GB2312" w:hAnsi="仿宋" w:eastAsia="仿宋_GB2312" w:cs="仿宋"/>
          <w:sz w:val="32"/>
          <w:szCs w:val="32"/>
          <w:shd w:val="clear" w:color="auto" w:fill="FFFFFF"/>
        </w:rPr>
        <w:t>落实《报告书》和本批复提出的各项生态环境保护措施后，不利生态环境影响可以得到缓解或控制。我局原则同意《报告书》的环境影响评价总体结论和拟采取的各项生态环境保护措施。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pPr>
        <w:spacing w:line="56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本项目应严格按照《报告书》提出的各项污染防治措施进行工程设计、建设与管理，严格执行环境保护“三同时”，</w:t>
      </w:r>
      <w:r>
        <w:rPr>
          <w:rFonts w:ascii="仿宋" w:hAnsi="仿宋" w:eastAsia="仿宋" w:cs="Times New Roman"/>
          <w:snapToGrid w:val="0"/>
          <w:sz w:val="32"/>
          <w:szCs w:val="32"/>
        </w:rPr>
        <w:t xml:space="preserve"> </w:t>
      </w:r>
      <w:r>
        <w:rPr>
          <w:rFonts w:ascii="仿宋_GB2312" w:hAnsi="仿宋" w:eastAsia="仿宋_GB2312" w:cs="仿宋"/>
          <w:sz w:val="32"/>
          <w:szCs w:val="32"/>
          <w:shd w:val="clear" w:color="auto" w:fill="FFFFFF"/>
        </w:rPr>
        <w:t>依法做好征占土地手续办理工作</w:t>
      </w:r>
      <w:r>
        <w:rPr>
          <w:rFonts w:hint="eastAsia" w:ascii="仿宋_GB2312" w:hAnsi="仿宋" w:eastAsia="仿宋_GB2312" w:cs="仿宋"/>
          <w:sz w:val="32"/>
          <w:szCs w:val="32"/>
          <w:shd w:val="clear" w:color="auto" w:fill="FFFFFF"/>
        </w:rPr>
        <w:t>。</w:t>
      </w:r>
      <w:r>
        <w:rPr>
          <w:rFonts w:ascii="仿宋_GB2312" w:hAnsi="仿宋" w:eastAsia="仿宋_GB2312" w:cs="仿宋"/>
          <w:sz w:val="32"/>
          <w:szCs w:val="32"/>
          <w:shd w:val="clear" w:color="auto" w:fill="FFFFFF"/>
        </w:rPr>
        <w:t>同时，</w:t>
      </w:r>
      <w:r>
        <w:rPr>
          <w:rFonts w:ascii="Times New Roman" w:hAnsi="Times New Roman" w:eastAsia="仿宋_GB2312" w:cs="Times New Roman"/>
          <w:sz w:val="32"/>
          <w:szCs w:val="32"/>
          <w:shd w:val="clear" w:color="auto" w:fill="FFFFFF"/>
        </w:rPr>
        <w:t xml:space="preserve">应重点做好以下工作： </w:t>
      </w:r>
    </w:p>
    <w:p>
      <w:pPr>
        <w:spacing w:line="560" w:lineRule="exact"/>
        <w:ind w:firstLine="640"/>
        <w:rPr>
          <w:rFonts w:ascii="仿宋_GB2312" w:hAnsi="仿宋" w:eastAsia="仿宋_GB2312" w:cs="仿宋"/>
          <w:sz w:val="32"/>
          <w:szCs w:val="32"/>
          <w:shd w:val="clear" w:color="auto" w:fill="FFFFFF"/>
        </w:rPr>
      </w:pPr>
      <w:r>
        <w:rPr>
          <w:rFonts w:hint="eastAsia" w:ascii="仿宋_GB2312" w:hAnsi="Times New Roman" w:eastAsia="仿宋_GB2312" w:cs="Times New Roman"/>
          <w:spacing w:val="-10"/>
          <w:sz w:val="32"/>
          <w:szCs w:val="32"/>
        </w:rPr>
        <w:t>（一）</w:t>
      </w:r>
      <w:r>
        <w:rPr>
          <w:rFonts w:ascii="仿宋_GB2312" w:hAnsi="Times New Roman" w:eastAsia="仿宋_GB2312" w:cs="Times New Roman"/>
          <w:spacing w:val="-10"/>
          <w:sz w:val="32"/>
          <w:szCs w:val="32"/>
        </w:rPr>
        <w:t>严格落实大气污染防治措施。</w:t>
      </w:r>
      <w:r>
        <w:rPr>
          <w:rFonts w:hint="eastAsia" w:ascii="仿宋_GB2312" w:hAnsi="Times New Roman" w:eastAsia="仿宋_GB2312" w:cs="Times New Roman"/>
          <w:spacing w:val="-10"/>
          <w:sz w:val="32"/>
          <w:szCs w:val="32"/>
        </w:rPr>
        <w:t>同意采用《报告书》提出的处理工艺，最大程度降低大气污染物产生量及排放量</w:t>
      </w:r>
      <w:r>
        <w:rPr>
          <w:rFonts w:hint="eastAsia" w:ascii="Times New Roman" w:hAnsi="Times New Roman" w:eastAsia="仿宋_GB2312" w:cs="Times New Roman"/>
          <w:sz w:val="32"/>
          <w:szCs w:val="32"/>
          <w:shd w:val="clear" w:color="auto" w:fill="FFFFFF"/>
        </w:rPr>
        <w:t>。</w:t>
      </w:r>
      <w:r>
        <w:rPr>
          <w:rFonts w:ascii="仿宋_GB2312" w:hAnsi="仿宋" w:eastAsia="仿宋_GB2312" w:cs="仿宋"/>
          <w:sz w:val="32"/>
          <w:szCs w:val="32"/>
          <w:shd w:val="clear" w:color="auto" w:fill="FFFFFF"/>
        </w:rPr>
        <w:t>加工设备（破碎机、筛分机等）布置在封闭的加工厂房内（共设置6条生产线），上料、破碎、筛分工序产生的粉尘经集气装置收集后，通过3套旋风除尘器+布袋除尘器处理，处理达标后分别经15m高排气筒排放，废气排放执行《大气污染物综合排放标准》（GB16297-1996）表2标准。</w:t>
      </w:r>
    </w:p>
    <w:p>
      <w:pPr>
        <w:spacing w:line="560" w:lineRule="exact"/>
        <w:ind w:firstLine="640"/>
        <w:rPr>
          <w:rFonts w:ascii="仿宋_GB2312" w:hAnsi="仿宋" w:eastAsia="仿宋_GB2312" w:cs="仿宋"/>
          <w:sz w:val="32"/>
          <w:szCs w:val="32"/>
          <w:shd w:val="clear" w:color="auto" w:fill="FFFFFF"/>
        </w:rPr>
      </w:pPr>
      <w:r>
        <w:rPr>
          <w:rFonts w:ascii="Times New Roman" w:hAnsi="Times New Roman" w:eastAsia="仿宋_GB2312" w:cs="Times New Roman"/>
          <w:sz w:val="32"/>
          <w:szCs w:val="32"/>
          <w:shd w:val="clear" w:color="auto" w:fill="FFFFFF"/>
        </w:rPr>
        <w:t>表土堆存、</w:t>
      </w:r>
      <w:r>
        <w:rPr>
          <w:rFonts w:ascii="仿宋_GB2312" w:hAnsi="Times New Roman" w:eastAsia="仿宋_GB2312" w:cs="Times New Roman"/>
          <w:spacing w:val="-10"/>
          <w:sz w:val="32"/>
          <w:szCs w:val="32"/>
        </w:rPr>
        <w:t>凿岩穿孔粉尘、爆破废气</w:t>
      </w:r>
      <w:r>
        <w:rPr>
          <w:rFonts w:ascii="仿宋_GB2312" w:hAnsi="仿宋" w:eastAsia="仿宋_GB2312" w:cs="仿宋"/>
          <w:sz w:val="32"/>
          <w:szCs w:val="32"/>
          <w:shd w:val="clear" w:color="auto" w:fill="FFFFFF"/>
        </w:rPr>
        <w:t>、铲装、运输粉尘、花岗岩矿进场堆存粉尘等无组织废气采取洒水</w:t>
      </w:r>
      <w:r>
        <w:rPr>
          <w:rFonts w:hint="eastAsia" w:ascii="仿宋_GB2312" w:hAnsi="仿宋" w:eastAsia="仿宋_GB2312" w:cs="仿宋"/>
          <w:sz w:val="32"/>
          <w:szCs w:val="32"/>
          <w:shd w:val="clear" w:color="auto" w:fill="FFFFFF"/>
        </w:rPr>
        <w:t>降尘</w:t>
      </w:r>
      <w:r>
        <w:rPr>
          <w:rFonts w:ascii="仿宋_GB2312" w:hAnsi="仿宋" w:eastAsia="仿宋_GB2312" w:cs="仿宋"/>
          <w:sz w:val="32"/>
          <w:szCs w:val="32"/>
          <w:shd w:val="clear" w:color="auto" w:fill="FFFFFF"/>
        </w:rPr>
        <w:t>，堆存区域应进行苫盖并设置防风抑尘网，运输道路进行硬化处理，采用洒水抑尘+限制车速+出入车辆冲洗等抑尘方式控制扬尘产生。无组织废气排放执行《大气污染物综合排放标准》（GB16297-1996）表2标准</w:t>
      </w:r>
      <w:r>
        <w:rPr>
          <w:rFonts w:hint="eastAsia" w:ascii="仿宋_GB2312" w:hAnsi="仿宋" w:eastAsia="仿宋_GB2312" w:cs="仿宋"/>
          <w:sz w:val="32"/>
          <w:szCs w:val="32"/>
          <w:shd w:val="clear" w:color="auto" w:fill="FFFFFF"/>
        </w:rPr>
        <w:t>和</w:t>
      </w:r>
      <w:r>
        <w:rPr>
          <w:rFonts w:ascii="仿宋_GB2312" w:hAnsi="仿宋" w:eastAsia="仿宋_GB2312" w:cs="仿宋"/>
          <w:sz w:val="32"/>
          <w:szCs w:val="32"/>
          <w:shd w:val="clear" w:color="auto" w:fill="FFFFFF"/>
        </w:rPr>
        <w:t>《辽宁省施工及堆料场地扬尘排放标准》（DB21/2642-2016）要求。</w:t>
      </w:r>
    </w:p>
    <w:p>
      <w:pPr>
        <w:spacing w:line="560" w:lineRule="exact"/>
        <w:ind w:firstLine="640" w:firstLineChars="200"/>
        <w:rPr>
          <w:rFonts w:ascii="仿宋_GB2312" w:hAnsi="仿宋" w:eastAsia="仿宋_GB2312" w:cs="仿宋"/>
          <w:sz w:val="32"/>
          <w:szCs w:val="32"/>
          <w:shd w:val="clear" w:color="auto" w:fill="FFFFFF"/>
        </w:rPr>
      </w:pPr>
      <w:r>
        <w:rPr>
          <w:rFonts w:ascii="仿宋_GB2312" w:hAnsi="仿宋" w:eastAsia="仿宋_GB2312" w:cs="仿宋"/>
          <w:sz w:val="32"/>
          <w:szCs w:val="32"/>
          <w:shd w:val="clear" w:color="auto" w:fill="FFFFFF"/>
        </w:rPr>
        <w:t>建筑工地应按照“六个百分百”要求采取扬尘污染防治措施，施工场地应进行洒水抑尘、物料防尘网覆盖、湿法作业、运输道路地面硬化、车辆密闭运输、驶出施工区前清洗车辆等。施工扬尘应满足《辽宁省施工及堆料场地扬尘排放标准》（DB21/2642-2016）要求。</w:t>
      </w:r>
    </w:p>
    <w:p>
      <w:pPr>
        <w:spacing w:line="560" w:lineRule="exact"/>
        <w:ind w:firstLine="640" w:firstLineChars="200"/>
        <w:rPr>
          <w:rFonts w:ascii="仿宋_GB2312" w:hAnsi="仿宋" w:eastAsia="仿宋_GB2312" w:cs="仿宋"/>
          <w:sz w:val="32"/>
          <w:szCs w:val="32"/>
          <w:shd w:val="clear" w:color="auto" w:fill="FFFFFF"/>
        </w:rPr>
      </w:pPr>
      <w:r>
        <w:rPr>
          <w:rFonts w:hint="eastAsia" w:ascii="仿宋_GB2312" w:hAnsi="仿宋" w:eastAsia="仿宋_GB2312" w:cs="仿宋"/>
          <w:sz w:val="32"/>
          <w:szCs w:val="32"/>
          <w:shd w:val="clear" w:color="auto" w:fill="FFFFFF"/>
        </w:rPr>
        <w:t>（二）严格落实水污染防治措施。</w:t>
      </w:r>
      <w:r>
        <w:rPr>
          <w:rFonts w:ascii="仿宋_GB2312" w:hAnsi="仿宋" w:eastAsia="仿宋_GB2312" w:cs="仿宋"/>
          <w:sz w:val="32"/>
          <w:szCs w:val="32"/>
          <w:shd w:val="clear" w:color="auto" w:fill="FFFFFF"/>
        </w:rPr>
        <w:t>本项目运营期的洒水降尘用水均蒸发，不外排</w:t>
      </w:r>
      <w:r>
        <w:rPr>
          <w:rFonts w:hint="eastAsia" w:ascii="仿宋_GB2312" w:hAnsi="仿宋" w:eastAsia="仿宋_GB2312" w:cs="仿宋"/>
          <w:sz w:val="32"/>
          <w:szCs w:val="32"/>
          <w:shd w:val="clear" w:color="auto" w:fill="FFFFFF"/>
        </w:rPr>
        <w:t>。</w:t>
      </w:r>
      <w:r>
        <w:rPr>
          <w:rFonts w:ascii="仿宋_GB2312" w:hAnsi="仿宋" w:eastAsia="仿宋_GB2312" w:cs="仿宋"/>
          <w:sz w:val="32"/>
          <w:szCs w:val="32"/>
          <w:shd w:val="clear" w:color="auto" w:fill="FFFFFF"/>
        </w:rPr>
        <w:t>生活污水全部排入防渗旱厕，定期清掏。矿坑涌水，为防止雨天采场上部山坡流水进入采场，采区周围拟建设截排水，按照地势高低走向，在矿区底部设置550m</w:t>
      </w:r>
      <w:r>
        <w:rPr>
          <w:rFonts w:ascii="仿宋_GB2312" w:hAnsi="仿宋" w:eastAsia="仿宋_GB2312" w:cs="仿宋"/>
          <w:sz w:val="32"/>
          <w:szCs w:val="32"/>
          <w:shd w:val="clear" w:color="auto" w:fill="FFFFFF"/>
          <w:vertAlign w:val="superscript"/>
        </w:rPr>
        <w:t>3</w:t>
      </w:r>
      <w:r>
        <w:rPr>
          <w:rFonts w:ascii="仿宋_GB2312" w:hAnsi="仿宋" w:eastAsia="仿宋_GB2312" w:cs="仿宋"/>
          <w:sz w:val="32"/>
          <w:szCs w:val="32"/>
          <w:shd w:val="clear" w:color="auto" w:fill="FFFFFF"/>
        </w:rPr>
        <w:t>沉淀池，矿井涌水经自流入沉淀池内，均经沉淀处理后回用于洒水降尘</w:t>
      </w:r>
      <w:r>
        <w:rPr>
          <w:rFonts w:hint="eastAsia" w:ascii="仿宋_GB2312" w:hAnsi="仿宋" w:eastAsia="仿宋_GB2312" w:cs="仿宋"/>
          <w:sz w:val="32"/>
          <w:szCs w:val="32"/>
          <w:shd w:val="clear" w:color="auto" w:fill="FFFFFF"/>
        </w:rPr>
        <w:t>。</w:t>
      </w:r>
      <w:r>
        <w:rPr>
          <w:rFonts w:ascii="仿宋_GB2312" w:hAnsi="仿宋" w:eastAsia="仿宋_GB2312" w:cs="仿宋"/>
          <w:sz w:val="32"/>
          <w:szCs w:val="32"/>
          <w:shd w:val="clear" w:color="auto" w:fill="FFFFFF"/>
        </w:rPr>
        <w:t>本项目车辆轮胎清洗废水经水泵泵入沉淀池，经沉淀处理后，用于洒水降尘，不外排。工业场地应合理划分地下水污染防渗区域，并做好相应地下水及土壤的污染防控工作。</w:t>
      </w:r>
      <w:r>
        <w:rPr>
          <w:rFonts w:hint="eastAsia" w:ascii="仿宋_GB2312" w:hAnsi="仿宋" w:eastAsia="仿宋_GB2312" w:cs="仿宋"/>
          <w:sz w:val="32"/>
          <w:szCs w:val="32"/>
          <w:shd w:val="clear" w:color="auto" w:fill="FFFFFF"/>
        </w:rPr>
        <w:t>结合厂区平面布置采取分区防渗措施。发现异常情况应及时采取有效应对措施，防控地下水污染。</w:t>
      </w:r>
    </w:p>
    <w:p>
      <w:pPr>
        <w:spacing w:line="560" w:lineRule="exact"/>
        <w:ind w:firstLine="640" w:firstLineChars="200"/>
        <w:rPr>
          <w:rFonts w:ascii="仿宋_GB2312" w:hAnsi="仿宋" w:eastAsia="仿宋_GB2312" w:cs="仿宋"/>
          <w:sz w:val="32"/>
          <w:szCs w:val="32"/>
          <w:shd w:val="clear" w:color="auto" w:fill="FFFFFF"/>
        </w:rPr>
      </w:pPr>
      <w:r>
        <w:rPr>
          <w:rFonts w:ascii="仿宋_GB2312" w:hAnsi="仿宋" w:eastAsia="仿宋_GB2312" w:cs="仿宋"/>
          <w:sz w:val="32"/>
          <w:szCs w:val="32"/>
          <w:shd w:val="clear" w:color="auto" w:fill="FFFFFF"/>
        </w:rPr>
        <w:t>（三）强化噪声污染防治。选用低噪声设备，合理布置高噪声设备，加强设备保养，严禁车辆夜间运输作业，爆破要定时进行，提前通知周边人群，同时地面设置警戒线。通过基础减振、隔声、控制运输时间和车速等措施，噪声</w:t>
      </w:r>
      <w:r>
        <w:rPr>
          <w:rFonts w:hint="eastAsia" w:ascii="仿宋_GB2312" w:hAnsi="仿宋" w:eastAsia="仿宋_GB2312" w:cs="仿宋"/>
          <w:sz w:val="32"/>
          <w:szCs w:val="32"/>
          <w:shd w:val="clear" w:color="auto" w:fill="FFFFFF"/>
        </w:rPr>
        <w:t>执行</w:t>
      </w:r>
      <w:r>
        <w:rPr>
          <w:rFonts w:ascii="仿宋_GB2312" w:hAnsi="仿宋" w:eastAsia="仿宋_GB2312" w:cs="仿宋"/>
          <w:sz w:val="32"/>
          <w:szCs w:val="32"/>
          <w:shd w:val="clear" w:color="auto" w:fill="FFFFFF"/>
        </w:rPr>
        <w:t>《工业企业厂界环境噪声排放标准》（GB12348-2008）中1类标准中的昼间标准。</w:t>
      </w:r>
    </w:p>
    <w:p>
      <w:pPr>
        <w:spacing w:line="560" w:lineRule="exact"/>
        <w:ind w:firstLine="640"/>
        <w:rPr>
          <w:rFonts w:ascii="Times New Roman" w:hAnsi="Times New Roman" w:eastAsia="仿宋_GB2312" w:cs="Times New Roman"/>
          <w:spacing w:val="-10"/>
          <w:sz w:val="32"/>
          <w:szCs w:val="32"/>
        </w:rPr>
      </w:pPr>
      <w:r>
        <w:rPr>
          <w:rFonts w:hint="eastAsia" w:ascii="仿宋_GB2312" w:hAnsi="Times New Roman" w:eastAsia="仿宋_GB2312" w:cs="Times New Roman"/>
          <w:spacing w:val="-10"/>
          <w:sz w:val="32"/>
          <w:szCs w:val="32"/>
        </w:rPr>
        <w:t>（四）严格落实固体废物污染防治措施。对固体废物实施分类处置处理，实现“资源化、减量化、无害化”。危险废物交有资质的单位处置，危险废物贮存设施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标准要求</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沉淀池底泥、收尘灰、落地灰、除尘器废布袋暂存于一般固废暂存间，外售综合利用。生活垃圾定点收集后，运往当地环卫部门指定的场所统一处理。</w:t>
      </w:r>
    </w:p>
    <w:p>
      <w:pPr>
        <w:spacing w:line="560" w:lineRule="exact"/>
        <w:ind w:firstLine="640"/>
        <w:rPr>
          <w:rFonts w:hint="eastAsia" w:ascii="仿宋_GB2312" w:hAnsi="Times New Roman" w:eastAsia="仿宋_GB2312" w:cs="Times New Roman"/>
          <w:spacing w:val="-10"/>
          <w:sz w:val="32"/>
          <w:szCs w:val="32"/>
        </w:rPr>
      </w:pPr>
      <w:r>
        <w:rPr>
          <w:rFonts w:ascii="仿宋_GB2312" w:hAnsi="Times New Roman" w:eastAsia="仿宋_GB2312" w:cs="Times New Roman"/>
          <w:spacing w:val="-10"/>
          <w:sz w:val="32"/>
          <w:szCs w:val="32"/>
        </w:rPr>
        <w:t>（五）加强施工期环境管理。合理安排施工时间，优化施工工艺，防止工程施工造成环境污染或生态破坏。</w:t>
      </w:r>
    </w:p>
    <w:p>
      <w:pPr>
        <w:spacing w:line="576"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（六）本项目</w:t>
      </w:r>
      <w:r>
        <w:rPr>
          <w:rFonts w:ascii="仿宋_GB2312" w:hAnsi="Times New Roman" w:eastAsia="仿宋_GB2312" w:cs="Times New Roman"/>
          <w:spacing w:val="-10"/>
          <w:sz w:val="32"/>
          <w:szCs w:val="32"/>
        </w:rPr>
        <w:t>严格按照《矿产资源开发利用方案》设计的开采工艺、布局开采，严禁越界开采</w:t>
      </w:r>
      <w:r>
        <w:rPr>
          <w:rFonts w:hint="eastAsia" w:ascii="仿宋_GB2312" w:hAnsi="Times New Roman" w:eastAsia="仿宋_GB2312" w:cs="Times New Roman"/>
          <w:spacing w:val="-10"/>
          <w:sz w:val="32"/>
          <w:szCs w:val="32"/>
        </w:rPr>
        <w:t>，</w:t>
      </w:r>
      <w:r>
        <w:rPr>
          <w:rFonts w:ascii="仿宋_GB2312" w:hAnsi="Times New Roman" w:eastAsia="仿宋_GB2312" w:cs="Times New Roman"/>
          <w:spacing w:val="-10"/>
          <w:sz w:val="32"/>
          <w:szCs w:val="32"/>
        </w:rPr>
        <w:t>并采取避让及“就地保护”措施对评价范围内的动植物、土壤等资源进行保护，严禁乱砍滥伐等破坏生态环境的行为</w:t>
      </w:r>
      <w:r>
        <w:rPr>
          <w:rFonts w:hint="eastAsia" w:ascii="仿宋_GB2312" w:hAnsi="Times New Roman" w:eastAsia="仿宋_GB2312" w:cs="Times New Roman"/>
          <w:spacing w:val="-10"/>
          <w:sz w:val="32"/>
          <w:szCs w:val="32"/>
        </w:rPr>
        <w:t>。</w:t>
      </w:r>
      <w:r>
        <w:rPr>
          <w:rFonts w:ascii="仿宋_GB2312" w:hAnsi="Times New Roman" w:eastAsia="仿宋_GB2312" w:cs="Times New Roman"/>
          <w:spacing w:val="-10"/>
          <w:sz w:val="32"/>
          <w:szCs w:val="32"/>
        </w:rPr>
        <w:t>按照“以需定剥，不扰不剥”的原则，做好动植物保护，防止外来物种入侵和害虫的传入</w:t>
      </w:r>
      <w:r>
        <w:rPr>
          <w:rFonts w:hint="eastAsia" w:ascii="仿宋_GB2312" w:hAnsi="Times New Roman" w:eastAsia="仿宋_GB2312" w:cs="Times New Roman"/>
          <w:spacing w:val="-10"/>
          <w:sz w:val="32"/>
          <w:szCs w:val="32"/>
        </w:rPr>
        <w:t>。</w:t>
      </w:r>
      <w:r>
        <w:rPr>
          <w:rFonts w:ascii="仿宋_GB2312" w:hAnsi="Times New Roman" w:eastAsia="仿宋_GB2312" w:cs="Times New Roman"/>
          <w:spacing w:val="-10"/>
          <w:sz w:val="32"/>
          <w:szCs w:val="32"/>
        </w:rPr>
        <w:t>严格按照有关规定及项目设计和相关标准开展生态恢复各项工作，建设单位须按照《土地复垦方案》中的相关治理措施、进度安排、技术标准等要求，保质保量完成土地复垦、生态恢复的各项措施，</w:t>
      </w:r>
      <w:r>
        <w:rPr>
          <w:rFonts w:eastAsia="仿宋_GB2312" w:cs="仿宋_GB2312"/>
          <w:sz w:val="32"/>
          <w:szCs w:val="32"/>
        </w:rPr>
        <w:t>做到“边开采、边治理”、“以采代治”、“以采补治”，有计划有步骤地对已稳定区域及时进行生态环境恢复</w:t>
      </w:r>
      <w:r>
        <w:rPr>
          <w:rFonts w:ascii="仿宋_GB2312" w:hAnsi="Times New Roman" w:eastAsia="仿宋_GB2312" w:cs="Times New Roman"/>
          <w:spacing w:val="-10"/>
          <w:sz w:val="32"/>
          <w:szCs w:val="32"/>
        </w:rPr>
        <w:t>。期采矿活动结束后，对矿区内的露天采场、运输道路及工业场地等进行综合治理恢复，恢复土地资源及生态植被。并继续进行矿山地质环境及土地复垦监测，对完成的恢复治理与复垦工程进行管护。</w:t>
      </w:r>
    </w:p>
    <w:p>
      <w:pPr>
        <w:spacing w:line="56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（七）</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按照环境影响报告书提出的环境监测计划，委托有资质单位定期进行监测，需安装自动监测设备的应与生态环境主管部门的监控设备联网。</w:t>
      </w:r>
    </w:p>
    <w:p>
      <w:pPr>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（八）</w:t>
      </w:r>
      <w:r>
        <w:rPr>
          <w:rFonts w:ascii="仿宋_GB2312" w:hAnsi="Times New Roman" w:eastAsia="仿宋_GB2312" w:cs="Times New Roman"/>
          <w:spacing w:val="-10"/>
          <w:sz w:val="32"/>
          <w:szCs w:val="32"/>
        </w:rPr>
        <w:t>本项目应按照“企业自救、属地为主、分级响应、区域联动”的原则，针对本项目制定突发环境事故应急预案，分解责任具体落实到负责人，并实现与企业现有环境应急预案、相关部门和各地区突发环境事件应急预案的有效衔接。建立应急队伍，配备相应的应急装备。</w:t>
      </w:r>
      <w:r>
        <w:rPr>
          <w:rFonts w:hint="eastAsia" w:ascii="仿宋_GB2312" w:hAnsi="Times New Roman" w:eastAsia="仿宋_GB2312" w:cs="Times New Roman"/>
          <w:spacing w:val="-10"/>
          <w:sz w:val="32"/>
          <w:szCs w:val="32"/>
        </w:rPr>
        <w:t>严格落实环保设施安全生产工作要求，健全企业内部污染防治设施稳定运行和管理责任制度，委托有相应资质的设计单位对重点环保设施进行设计，并定期做好环保设备设施安全风险辨识评估和隐患排查治理。</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（一）在工程施工和运行过程中，需建立畅通的公众参与平台，及时解决公众担忧的环境问题，满足公众合理的环境诉求。定期发布环境信息，并主动接受社会监督。</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pPr>
        <w:spacing w:line="56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pPr>
        <w:pStyle w:val="6"/>
        <w:widowControl/>
        <w:spacing w:line="56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五、阜新生态环境局阜</w:t>
      </w:r>
      <w:r>
        <w:rPr>
          <w:rFonts w:hint="eastAsia" w:ascii="Times New Roman" w:hAnsi="Times New Roman" w:eastAsia="仿宋_GB2312"/>
          <w:spacing w:val="-10"/>
          <w:sz w:val="32"/>
          <w:szCs w:val="32"/>
        </w:rPr>
        <w:t>新</w:t>
      </w:r>
      <w:r>
        <w:rPr>
          <w:rFonts w:ascii="Times New Roman" w:hAnsi="Times New Roman" w:eastAsia="仿宋_GB2312"/>
          <w:spacing w:val="-10"/>
          <w:sz w:val="32"/>
          <w:szCs w:val="32"/>
        </w:rPr>
        <w:t xml:space="preserve">县分局负责该项目的环境保护“三同时”监督检查及管理工作。 </w:t>
      </w:r>
    </w:p>
    <w:p>
      <w:pPr>
        <w:pStyle w:val="6"/>
        <w:widowControl/>
        <w:spacing w:line="560" w:lineRule="exact"/>
        <w:ind w:firstLine="600" w:firstLineChars="200"/>
        <w:rPr>
          <w:rFonts w:hint="eastAsia" w:ascii="Times New Roman" w:hAnsi="Times New Roman" w:eastAsia="仿宋_GB2312"/>
          <w:spacing w:val="-10"/>
          <w:sz w:val="32"/>
          <w:szCs w:val="32"/>
        </w:rPr>
      </w:pPr>
    </w:p>
    <w:p>
      <w:pPr>
        <w:pStyle w:val="6"/>
        <w:widowControl/>
        <w:spacing w:line="560" w:lineRule="exact"/>
        <w:ind w:firstLine="600" w:firstLineChars="200"/>
        <w:rPr>
          <w:rFonts w:ascii="Times New Roman" w:hAnsi="Times New Roman" w:eastAsia="仿宋_GB2312"/>
          <w:spacing w:val="-10"/>
          <w:sz w:val="32"/>
          <w:szCs w:val="32"/>
        </w:rPr>
      </w:pPr>
    </w:p>
    <w:p>
      <w:pPr>
        <w:spacing w:line="56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pPr>
        <w:tabs>
          <w:tab w:val="left" w:pos="5103"/>
        </w:tabs>
        <w:spacing w:line="560" w:lineRule="exact"/>
        <w:ind w:left="210" w:leftChars="1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6</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rPr>
        <w:t>16日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10" w:usb3="00000000" w:csb0="00040000" w:csb1="00000000"/>
  </w:font>
  <w:font w:name="TimesNewRomanPSMT">
    <w:altName w:val="DejaVu Sans"/>
    <w:panose1 w:val="00000000000000000000"/>
    <w:charset w:val="00"/>
    <w:family w:val="roman"/>
    <w:pitch w:val="default"/>
    <w:sig w:usb0="00000000" w:usb1="00000000" w:usb2="00000000" w:usb3="00000000" w:csb0="00000001"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0394"/>
    <w:rsid w:val="0004288B"/>
    <w:rsid w:val="0005407F"/>
    <w:rsid w:val="000772DF"/>
    <w:rsid w:val="00082C40"/>
    <w:rsid w:val="00086FCD"/>
    <w:rsid w:val="000A71FA"/>
    <w:rsid w:val="000B20D2"/>
    <w:rsid w:val="000B72A8"/>
    <w:rsid w:val="000C2331"/>
    <w:rsid w:val="000E2BE0"/>
    <w:rsid w:val="000F41D6"/>
    <w:rsid w:val="000F53C5"/>
    <w:rsid w:val="00104A5D"/>
    <w:rsid w:val="0010758B"/>
    <w:rsid w:val="00111C6F"/>
    <w:rsid w:val="001330FB"/>
    <w:rsid w:val="00157C8A"/>
    <w:rsid w:val="00171391"/>
    <w:rsid w:val="001731AA"/>
    <w:rsid w:val="0018776B"/>
    <w:rsid w:val="00191FDF"/>
    <w:rsid w:val="00193BBC"/>
    <w:rsid w:val="00194074"/>
    <w:rsid w:val="001A5B2D"/>
    <w:rsid w:val="001A6C6B"/>
    <w:rsid w:val="001A6EAC"/>
    <w:rsid w:val="001C2CCB"/>
    <w:rsid w:val="001C3647"/>
    <w:rsid w:val="001C50A0"/>
    <w:rsid w:val="001D47C6"/>
    <w:rsid w:val="001D7B66"/>
    <w:rsid w:val="001E0F98"/>
    <w:rsid w:val="002057F1"/>
    <w:rsid w:val="002456ED"/>
    <w:rsid w:val="00274C2A"/>
    <w:rsid w:val="002826E9"/>
    <w:rsid w:val="002940A1"/>
    <w:rsid w:val="00294F26"/>
    <w:rsid w:val="00297FDA"/>
    <w:rsid w:val="002A0C67"/>
    <w:rsid w:val="002A47E0"/>
    <w:rsid w:val="002A4DC6"/>
    <w:rsid w:val="002A51B1"/>
    <w:rsid w:val="002A5367"/>
    <w:rsid w:val="002B06E7"/>
    <w:rsid w:val="002B561C"/>
    <w:rsid w:val="002E5C75"/>
    <w:rsid w:val="002E7EE1"/>
    <w:rsid w:val="002F78E6"/>
    <w:rsid w:val="00333998"/>
    <w:rsid w:val="0034667A"/>
    <w:rsid w:val="003746BD"/>
    <w:rsid w:val="0037691A"/>
    <w:rsid w:val="0038131F"/>
    <w:rsid w:val="003A1ABB"/>
    <w:rsid w:val="003D7E65"/>
    <w:rsid w:val="003E2C10"/>
    <w:rsid w:val="003E6044"/>
    <w:rsid w:val="003F5744"/>
    <w:rsid w:val="004020CD"/>
    <w:rsid w:val="00426BF8"/>
    <w:rsid w:val="0042786A"/>
    <w:rsid w:val="00462E4C"/>
    <w:rsid w:val="00482EA7"/>
    <w:rsid w:val="00486C50"/>
    <w:rsid w:val="00491641"/>
    <w:rsid w:val="00494DEB"/>
    <w:rsid w:val="004B065A"/>
    <w:rsid w:val="004B21F9"/>
    <w:rsid w:val="004B667A"/>
    <w:rsid w:val="004C0B50"/>
    <w:rsid w:val="004D0431"/>
    <w:rsid w:val="004D308E"/>
    <w:rsid w:val="004E1A1D"/>
    <w:rsid w:val="004E2595"/>
    <w:rsid w:val="004E652E"/>
    <w:rsid w:val="004F34E7"/>
    <w:rsid w:val="00512841"/>
    <w:rsid w:val="00527F22"/>
    <w:rsid w:val="00530CFF"/>
    <w:rsid w:val="00532829"/>
    <w:rsid w:val="00540572"/>
    <w:rsid w:val="00590076"/>
    <w:rsid w:val="005B28C4"/>
    <w:rsid w:val="005D0479"/>
    <w:rsid w:val="005E4490"/>
    <w:rsid w:val="005F21FA"/>
    <w:rsid w:val="006037D7"/>
    <w:rsid w:val="00615B33"/>
    <w:rsid w:val="006310D1"/>
    <w:rsid w:val="00643748"/>
    <w:rsid w:val="00656B24"/>
    <w:rsid w:val="00663AD3"/>
    <w:rsid w:val="00671F04"/>
    <w:rsid w:val="00674DDA"/>
    <w:rsid w:val="00676887"/>
    <w:rsid w:val="00682423"/>
    <w:rsid w:val="0068503F"/>
    <w:rsid w:val="00691B10"/>
    <w:rsid w:val="00692991"/>
    <w:rsid w:val="00695732"/>
    <w:rsid w:val="0069697F"/>
    <w:rsid w:val="006B0FA9"/>
    <w:rsid w:val="006B669E"/>
    <w:rsid w:val="006B7BB4"/>
    <w:rsid w:val="006C6436"/>
    <w:rsid w:val="006C753A"/>
    <w:rsid w:val="006D4270"/>
    <w:rsid w:val="006E16EB"/>
    <w:rsid w:val="006F3E79"/>
    <w:rsid w:val="006F6248"/>
    <w:rsid w:val="0072384C"/>
    <w:rsid w:val="0073467E"/>
    <w:rsid w:val="00753C73"/>
    <w:rsid w:val="0075515A"/>
    <w:rsid w:val="00755A13"/>
    <w:rsid w:val="007577FD"/>
    <w:rsid w:val="00765153"/>
    <w:rsid w:val="0076595C"/>
    <w:rsid w:val="0076661D"/>
    <w:rsid w:val="007667AA"/>
    <w:rsid w:val="00791E61"/>
    <w:rsid w:val="0079373D"/>
    <w:rsid w:val="007A75A6"/>
    <w:rsid w:val="007B2D01"/>
    <w:rsid w:val="007B6AFA"/>
    <w:rsid w:val="007B7BE4"/>
    <w:rsid w:val="007C4465"/>
    <w:rsid w:val="007D2FB7"/>
    <w:rsid w:val="008042C2"/>
    <w:rsid w:val="00831141"/>
    <w:rsid w:val="008317E6"/>
    <w:rsid w:val="00853712"/>
    <w:rsid w:val="00880C89"/>
    <w:rsid w:val="008921AB"/>
    <w:rsid w:val="008932AC"/>
    <w:rsid w:val="008943E8"/>
    <w:rsid w:val="008D413E"/>
    <w:rsid w:val="008D6311"/>
    <w:rsid w:val="008D65B1"/>
    <w:rsid w:val="008E2169"/>
    <w:rsid w:val="008F4787"/>
    <w:rsid w:val="008F5281"/>
    <w:rsid w:val="00904FA0"/>
    <w:rsid w:val="009051AF"/>
    <w:rsid w:val="009144D4"/>
    <w:rsid w:val="0092604E"/>
    <w:rsid w:val="009260DF"/>
    <w:rsid w:val="00930DC3"/>
    <w:rsid w:val="00932145"/>
    <w:rsid w:val="009346BA"/>
    <w:rsid w:val="00944C05"/>
    <w:rsid w:val="00946F50"/>
    <w:rsid w:val="00971762"/>
    <w:rsid w:val="0098294A"/>
    <w:rsid w:val="00997F8B"/>
    <w:rsid w:val="009A27DF"/>
    <w:rsid w:val="009C1C42"/>
    <w:rsid w:val="009C48EA"/>
    <w:rsid w:val="009D53F0"/>
    <w:rsid w:val="009D79FC"/>
    <w:rsid w:val="009E28AA"/>
    <w:rsid w:val="00A04DB2"/>
    <w:rsid w:val="00A05FA7"/>
    <w:rsid w:val="00A11FEC"/>
    <w:rsid w:val="00A15E57"/>
    <w:rsid w:val="00A20660"/>
    <w:rsid w:val="00A3198F"/>
    <w:rsid w:val="00A54D28"/>
    <w:rsid w:val="00A6469C"/>
    <w:rsid w:val="00A67784"/>
    <w:rsid w:val="00A740DA"/>
    <w:rsid w:val="00A869D4"/>
    <w:rsid w:val="00A95583"/>
    <w:rsid w:val="00AA6496"/>
    <w:rsid w:val="00AB1E2F"/>
    <w:rsid w:val="00AB6E0F"/>
    <w:rsid w:val="00AD790A"/>
    <w:rsid w:val="00AF1208"/>
    <w:rsid w:val="00AF3C50"/>
    <w:rsid w:val="00AF5945"/>
    <w:rsid w:val="00B04E5E"/>
    <w:rsid w:val="00B05010"/>
    <w:rsid w:val="00B155B3"/>
    <w:rsid w:val="00B17E1B"/>
    <w:rsid w:val="00B30115"/>
    <w:rsid w:val="00B37380"/>
    <w:rsid w:val="00B44CD5"/>
    <w:rsid w:val="00B45AE3"/>
    <w:rsid w:val="00B476C7"/>
    <w:rsid w:val="00B52564"/>
    <w:rsid w:val="00B53D45"/>
    <w:rsid w:val="00B64F4F"/>
    <w:rsid w:val="00B70181"/>
    <w:rsid w:val="00B70763"/>
    <w:rsid w:val="00B73574"/>
    <w:rsid w:val="00B74C9F"/>
    <w:rsid w:val="00B74E75"/>
    <w:rsid w:val="00B8261A"/>
    <w:rsid w:val="00B95F3D"/>
    <w:rsid w:val="00B96924"/>
    <w:rsid w:val="00BA78CC"/>
    <w:rsid w:val="00BC2061"/>
    <w:rsid w:val="00BC5C23"/>
    <w:rsid w:val="00BD6798"/>
    <w:rsid w:val="00C022C6"/>
    <w:rsid w:val="00C11786"/>
    <w:rsid w:val="00C20BD7"/>
    <w:rsid w:val="00C3693C"/>
    <w:rsid w:val="00C36BC0"/>
    <w:rsid w:val="00C36D6C"/>
    <w:rsid w:val="00C4024E"/>
    <w:rsid w:val="00C422EA"/>
    <w:rsid w:val="00C42560"/>
    <w:rsid w:val="00C442F4"/>
    <w:rsid w:val="00C57AAE"/>
    <w:rsid w:val="00C62448"/>
    <w:rsid w:val="00C64E75"/>
    <w:rsid w:val="00C71F0B"/>
    <w:rsid w:val="00C731B7"/>
    <w:rsid w:val="00C751B7"/>
    <w:rsid w:val="00C85CD2"/>
    <w:rsid w:val="00C93F4B"/>
    <w:rsid w:val="00C95223"/>
    <w:rsid w:val="00CA44E1"/>
    <w:rsid w:val="00CD32DB"/>
    <w:rsid w:val="00CD60A8"/>
    <w:rsid w:val="00CE2BDA"/>
    <w:rsid w:val="00CE7A30"/>
    <w:rsid w:val="00CE7C7A"/>
    <w:rsid w:val="00CF6FEF"/>
    <w:rsid w:val="00D02682"/>
    <w:rsid w:val="00D0306D"/>
    <w:rsid w:val="00D10AB6"/>
    <w:rsid w:val="00D14EC1"/>
    <w:rsid w:val="00D21CD9"/>
    <w:rsid w:val="00D33A1E"/>
    <w:rsid w:val="00D4067C"/>
    <w:rsid w:val="00D541D0"/>
    <w:rsid w:val="00D72C21"/>
    <w:rsid w:val="00D808DE"/>
    <w:rsid w:val="00D96AA6"/>
    <w:rsid w:val="00DA4D1A"/>
    <w:rsid w:val="00DB3A0C"/>
    <w:rsid w:val="00DC3F60"/>
    <w:rsid w:val="00DC7288"/>
    <w:rsid w:val="00DD12A7"/>
    <w:rsid w:val="00DE0E54"/>
    <w:rsid w:val="00DE4724"/>
    <w:rsid w:val="00DF31E8"/>
    <w:rsid w:val="00DF3B25"/>
    <w:rsid w:val="00E00AF7"/>
    <w:rsid w:val="00E01AC0"/>
    <w:rsid w:val="00E3480C"/>
    <w:rsid w:val="00E43301"/>
    <w:rsid w:val="00E441F1"/>
    <w:rsid w:val="00E52B86"/>
    <w:rsid w:val="00E64810"/>
    <w:rsid w:val="00E72411"/>
    <w:rsid w:val="00E72BCB"/>
    <w:rsid w:val="00E74EEA"/>
    <w:rsid w:val="00E87BDD"/>
    <w:rsid w:val="00EA2FDC"/>
    <w:rsid w:val="00EC40BD"/>
    <w:rsid w:val="00EC604D"/>
    <w:rsid w:val="00EC7835"/>
    <w:rsid w:val="00ED7AF2"/>
    <w:rsid w:val="00EE1422"/>
    <w:rsid w:val="00EE6F60"/>
    <w:rsid w:val="00EF2551"/>
    <w:rsid w:val="00F00E3D"/>
    <w:rsid w:val="00F02277"/>
    <w:rsid w:val="00F05B1A"/>
    <w:rsid w:val="00F224C7"/>
    <w:rsid w:val="00F2280D"/>
    <w:rsid w:val="00F23B21"/>
    <w:rsid w:val="00F263A5"/>
    <w:rsid w:val="00F5130F"/>
    <w:rsid w:val="00F559CA"/>
    <w:rsid w:val="00F628DE"/>
    <w:rsid w:val="00F629DD"/>
    <w:rsid w:val="00F63716"/>
    <w:rsid w:val="00F767FE"/>
    <w:rsid w:val="00F877C7"/>
    <w:rsid w:val="00F93B3C"/>
    <w:rsid w:val="00F946F8"/>
    <w:rsid w:val="00FB2826"/>
    <w:rsid w:val="00FB459C"/>
    <w:rsid w:val="00FB74AD"/>
    <w:rsid w:val="00FB7EC7"/>
    <w:rsid w:val="00FC1639"/>
    <w:rsid w:val="00FE633D"/>
    <w:rsid w:val="00FF3E59"/>
    <w:rsid w:val="00FF563E"/>
    <w:rsid w:val="00FF642D"/>
    <w:rsid w:val="044811AB"/>
    <w:rsid w:val="1A8D294F"/>
    <w:rsid w:val="25CE1675"/>
    <w:rsid w:val="29974297"/>
    <w:rsid w:val="2F9A5356"/>
    <w:rsid w:val="311331FC"/>
    <w:rsid w:val="380F54D5"/>
    <w:rsid w:val="45C67A8C"/>
    <w:rsid w:val="5D463024"/>
    <w:rsid w:val="64F26DFF"/>
    <w:rsid w:val="6A4D3FA6"/>
    <w:rsid w:val="739754C2"/>
    <w:rsid w:val="76314207"/>
    <w:rsid w:val="79974DA2"/>
    <w:rsid w:val="7B6B3AC6"/>
    <w:rsid w:val="FF7CA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HTML Address"/>
    <w:basedOn w:val="1"/>
    <w:uiPriority w:val="0"/>
    <w:rPr>
      <w:i/>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fontstyle01"/>
    <w:basedOn w:val="8"/>
    <w:qFormat/>
    <w:uiPriority w:val="0"/>
    <w:rPr>
      <w:rFonts w:hint="eastAsia" w:ascii="宋体" w:hAnsi="宋体" w:eastAsia="宋体"/>
      <w:color w:val="000000"/>
      <w:sz w:val="24"/>
      <w:szCs w:val="24"/>
    </w:rPr>
  </w:style>
  <w:style w:type="character" w:customStyle="1" w:styleId="13">
    <w:name w:val="fontstyle21"/>
    <w:basedOn w:val="8"/>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Pages>
  <Words>451</Words>
  <Characters>2576</Characters>
  <Lines>21</Lines>
  <Paragraphs>6</Paragraphs>
  <TotalTime>8759</TotalTime>
  <ScaleCrop>false</ScaleCrop>
  <LinksUpToDate>false</LinksUpToDate>
  <CharactersWithSpaces>3021</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2019-04-29T11:18:00Z</dcterms:created>
  <dc:creator>Administrator</dc:creator>
  <cp:lastModifiedBy>user</cp:lastModifiedBy>
  <cp:lastPrinted>2026-03-05T09:51:00Z</cp:lastPrinted>
  <dcterms:modified xsi:type="dcterms:W3CDTF">2026-06-17T16:50:43Z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88536EA5530146328F4FECCF6F23773A</vt:lpwstr>
  </property>
</Properties>
</file>