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D8B77">
      <w:pPr>
        <w:spacing w:line="600" w:lineRule="exact"/>
        <w:jc w:val="center"/>
        <w:rPr>
          <w:rFonts w:hint="default" w:ascii="仿宋_GB2312" w:hAnsi="仿宋_GB2312" w:eastAsia="仿宋_GB2312" w:cs="仿宋_GB2312"/>
          <w:sz w:val="44"/>
          <w:szCs w:val="44"/>
          <w:lang w:val="en-US" w:eastAsia="zh-CN"/>
        </w:rPr>
      </w:pPr>
    </w:p>
    <w:p w14:paraId="52E90DA2">
      <w:pPr>
        <w:rPr>
          <w:rFonts w:hint="eastAsia" w:ascii="方正小标宋简体" w:hAnsi="方正小标宋简体" w:eastAsia="方正小标宋简体" w:cs="方正小标宋简体"/>
          <w:sz w:val="28"/>
          <w:szCs w:val="28"/>
        </w:rPr>
      </w:pPr>
    </w:p>
    <w:p w14:paraId="70F9E468">
      <w:pPr>
        <w:jc w:val="center"/>
        <w:rPr>
          <w:rFonts w:hint="eastAsia" w:ascii="方正小标宋简体" w:hAnsi="方正小标宋简体" w:eastAsia="方正小标宋简体" w:cs="方正小标宋简体"/>
          <w:color w:val="000000"/>
          <w:sz w:val="32"/>
          <w:highlight w:val="none"/>
        </w:rPr>
      </w:pPr>
      <w:r>
        <w:rPr>
          <w:rFonts w:hint="eastAsia" w:ascii="方正小标宋简体" w:hAnsi="方正小标宋简体" w:eastAsia="方正小标宋简体" w:cs="方正小标宋简体"/>
          <w:sz w:val="32"/>
        </w:rPr>
        <w:t xml:space="preserve">                          </w:t>
      </w:r>
      <w:r>
        <w:rPr>
          <w:rFonts w:hint="eastAsia" w:ascii="方正小标宋简体" w:hAnsi="方正小标宋简体" w:eastAsia="方正小标宋简体" w:cs="方正小标宋简体"/>
          <w:sz w:val="32"/>
          <w:highlight w:val="none"/>
        </w:rPr>
        <w:t xml:space="preserve">  </w:t>
      </w:r>
      <w:r>
        <w:rPr>
          <w:rFonts w:hint="eastAsia" w:ascii="仿宋_GB2312" w:hAnsi="仿宋_GB2312" w:eastAsia="仿宋_GB2312" w:cs="仿宋_GB2312"/>
          <w:color w:val="auto"/>
          <w:sz w:val="32"/>
          <w:highlight w:val="none"/>
        </w:rPr>
        <w:t>阜环审〔</w:t>
      </w:r>
      <w:r>
        <w:rPr>
          <w:rFonts w:hint="default" w:ascii="Times New Roman" w:hAnsi="Times New Roman" w:eastAsia="仿宋_GB2312" w:cs="Times New Roman"/>
          <w:color w:val="auto"/>
          <w:sz w:val="32"/>
          <w:highlight w:val="none"/>
        </w:rPr>
        <w:t>2026</w:t>
      </w:r>
      <w:r>
        <w:rPr>
          <w:rFonts w:hint="eastAsia" w:ascii="仿宋_GB2312" w:hAnsi="仿宋_GB2312" w:eastAsia="仿宋_GB2312" w:cs="仿宋_GB2312"/>
          <w:color w:val="auto"/>
          <w:sz w:val="32"/>
          <w:highlight w:val="none"/>
        </w:rPr>
        <w:t>〕</w:t>
      </w:r>
      <w:r>
        <w:rPr>
          <w:rFonts w:hint="default" w:ascii="Times New Roman" w:hAnsi="Times New Roman" w:eastAsia="仿宋_GB2312" w:cs="Times New Roman"/>
          <w:color w:val="auto"/>
          <w:sz w:val="32"/>
          <w:highlight w:val="none"/>
        </w:rPr>
        <w:t>1</w:t>
      </w:r>
      <w:r>
        <w:rPr>
          <w:rFonts w:hint="eastAsia" w:ascii="Times New Roman" w:hAnsi="Times New Roman" w:eastAsia="仿宋_GB2312" w:cs="Times New Roman"/>
          <w:color w:val="auto"/>
          <w:sz w:val="32"/>
          <w:highlight w:val="none"/>
          <w:lang w:val="en-US" w:eastAsia="zh-CN"/>
        </w:rPr>
        <w:t>16</w:t>
      </w:r>
      <w:r>
        <w:rPr>
          <w:rFonts w:hint="eastAsia" w:ascii="仿宋_GB2312" w:hAnsi="仿宋_GB2312" w:eastAsia="仿宋_GB2312" w:cs="仿宋_GB2312"/>
          <w:color w:val="auto"/>
          <w:sz w:val="32"/>
          <w:highlight w:val="none"/>
        </w:rPr>
        <w:t>号</w:t>
      </w:r>
    </w:p>
    <w:p w14:paraId="166D5279">
      <w:pPr>
        <w:jc w:val="center"/>
        <w:rPr>
          <w:rFonts w:hint="default" w:ascii="Times New Roman" w:hAnsi="Times New Roman" w:eastAsia="方正小标宋简体" w:cs="Times New Roman"/>
          <w:sz w:val="32"/>
          <w:szCs w:val="32"/>
        </w:rPr>
      </w:pPr>
      <w:r>
        <w:rPr>
          <w:rFonts w:hint="default" w:ascii="Times New Roman" w:hAnsi="Times New Roman" w:eastAsia="方正小标宋简体" w:cs="Times New Roman"/>
          <w:b w:val="0"/>
          <w:color w:val="auto"/>
          <w:kern w:val="2"/>
          <w:sz w:val="44"/>
          <w:szCs w:val="44"/>
          <w:lang w:val="en-US" w:eastAsia="zh-CN" w:bidi="ar-SA"/>
        </w:rPr>
        <w:t>关于《阜新市盛达资源循环利用有限公司煤矸石综合利用项目环境影响报告表》的批复</w:t>
      </w:r>
    </w:p>
    <w:p w14:paraId="60127DCA">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阜新市盛达资源循环利用有限公司：</w:t>
      </w:r>
    </w:p>
    <w:p w14:paraId="766817D7">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你单位报送的《阜新市盛达资源循环利用有限公司煤矸石综合利用项目环境影响报告表》(以下简称《报告表》)及审查申请收悉，经研究，批复如下。</w:t>
      </w:r>
    </w:p>
    <w:p w14:paraId="39275DB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一、项目基本情况</w:t>
      </w:r>
    </w:p>
    <w:p w14:paraId="0DA29D2A">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项目位于辽宁省阜新市阜新蒙古族自治县沙拉镇朝代营子村，面积约12205.249384m</w:t>
      </w:r>
      <w:r>
        <w:rPr>
          <w:rFonts w:hint="eastAsia" w:ascii="Times New Roman" w:hAnsi="Times New Roman" w:eastAsia="仿宋_GB2312" w:cs="Times New Roman"/>
          <w:color w:val="auto"/>
          <w:spacing w:val="-10"/>
          <w:sz w:val="32"/>
          <w:szCs w:val="32"/>
          <w:highlight w:val="none"/>
          <w:vertAlign w:val="superscript"/>
          <w:lang w:val="en-US" w:eastAsia="zh-CN"/>
        </w:rPr>
        <w:t>2</w:t>
      </w:r>
      <w:r>
        <w:rPr>
          <w:rFonts w:hint="default" w:ascii="Times New Roman" w:hAnsi="Times New Roman" w:eastAsia="仿宋_GB2312" w:cs="Times New Roman"/>
          <w:color w:val="auto"/>
          <w:spacing w:val="-10"/>
          <w:sz w:val="32"/>
          <w:szCs w:val="32"/>
          <w:highlight w:val="none"/>
          <w:lang w:val="en-US" w:eastAsia="zh-CN"/>
        </w:rPr>
        <w:t>。主要采用上料、洗煤、压滤的工艺，建设煤矸石洗选生产线2条及相关附属设施等。总投资300万元，环保投资43.11万元。</w:t>
      </w:r>
    </w:p>
    <w:p w14:paraId="28100FF0">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阜新蒙古族自治县发展和改革局以阜县发改备〔2026〕150号文件对本项目进行备案。</w:t>
      </w:r>
      <w:r>
        <w:rPr>
          <w:rFonts w:hint="default" w:ascii="Times New Roman" w:hAnsi="Times New Roman" w:eastAsia="仿宋_GB2312" w:cs="Times New Roman"/>
          <w:color w:val="auto"/>
          <w:spacing w:val="-10"/>
          <w:sz w:val="32"/>
          <w:szCs w:val="32"/>
          <w:highlight w:val="none"/>
          <w:lang w:val="en-US" w:eastAsia="zh-CN"/>
        </w:rPr>
        <w:t>阜新市生态环境保护服务中心以《阜新市盛达资源循环利用有限公司煤矸石综合利用项目环境影响报告表评估意见》（阜环评估〔202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57</w:t>
      </w:r>
      <w:r>
        <w:rPr>
          <w:rFonts w:hint="default" w:ascii="Times New Roman" w:hAnsi="Times New Roman" w:eastAsia="仿宋_GB2312" w:cs="Times New Roman"/>
          <w:color w:val="auto"/>
          <w:spacing w:val="-10"/>
          <w:sz w:val="32"/>
          <w:szCs w:val="32"/>
          <w:highlight w:val="none"/>
          <w:lang w:val="en-US" w:eastAsia="zh-CN"/>
        </w:rPr>
        <w:t>号）出具项目建设可行意见。该项目符合国家产业政策、行业规范要求，在全面落实《报告表》和本批复提出的各项环境保护措施后，工程建设对生态环境不利影响可以得到缓解和控制。我局原则同意《报告表》所列建设项目的性质、规模、工艺、地点和采取的生态环境保护措施。</w:t>
      </w:r>
    </w:p>
    <w:p w14:paraId="1CB7C9A0">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二、在项目设计、建设和运营管理中，你公司应严格落实《报告表》提出的各项生态环境保护和污染防治措施。同时，重点做好以下工作：</w:t>
      </w:r>
    </w:p>
    <w:p w14:paraId="06942B57">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（一）加强施工期环境管理。合理安排施工时间，优化施工工艺，防止工程施工造成环境污染或生态破坏。</w:t>
      </w:r>
    </w:p>
    <w:p w14:paraId="0A4BC105">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（二）强化大气污染防治措施。本项目废气主要为装卸及储存粉尘</w:t>
      </w:r>
      <w:r>
        <w:rPr>
          <w:rFonts w:hint="eastAsia" w:ascii="Times New Roman" w:hAnsi="Times New Roman" w:eastAsia="仿宋_GB2312" w:cs="Times New Roman"/>
          <w:color w:val="auto"/>
          <w:spacing w:val="-10"/>
          <w:sz w:val="32"/>
          <w:szCs w:val="32"/>
          <w:highlight w:val="none"/>
          <w:lang w:val="en-US" w:eastAsia="zh-CN"/>
        </w:rPr>
        <w:t>、上料粉尘、筛分粉尘、皮带输送粉尘、运输粉尘</w:t>
      </w:r>
      <w:r>
        <w:rPr>
          <w:rFonts w:hint="default" w:ascii="Times New Roman" w:hAnsi="Times New Roman" w:eastAsia="仿宋_GB2312" w:cs="Times New Roman"/>
          <w:color w:val="auto"/>
          <w:spacing w:val="-10"/>
          <w:sz w:val="32"/>
          <w:szCs w:val="32"/>
          <w:highlight w:val="none"/>
          <w:lang w:val="en-US" w:eastAsia="zh-CN"/>
        </w:rPr>
        <w:t>。</w:t>
      </w:r>
    </w:p>
    <w:p w14:paraId="6222DDC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eastAsia"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该项目原料及成品位于封闭库房，物料顶部用苫布遮盖，库内设有喷淋洒水装置；上料口上方安装喷淋装置；筛分机上方设置集气罩（收集效率为80%），筛分粉尘经集气罩收集后，通过布袋除尘器处理（处理效率99%），由一根15m高排气筒有组织排放；皮带运输机均为密闭式，并在机头和机尾设置喷淋装置进行洒水抑尘；运输车辆在进出场前进行轮胎冲洗，道路采用硬化处理，对运输车辆进行苫盖，路面洒水抑尘。</w:t>
      </w:r>
    </w:p>
    <w:p w14:paraId="02A35419">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有组织颗粒物满足《煤炭工业污染物排放标准》GB20426-2006表4煤炭工业大气污染物排放限值标准；无组织颗粒物满足《煤炭工业污染物排放标准》GB20426-2006表5煤炭工业无组织排放限值标准。</w:t>
      </w:r>
    </w:p>
    <w:p w14:paraId="11F32400">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严格落实水污染防治措施，严格防控地下水及土壤污染，结合厂区平面布置采取分区防渗措施。项目废水主要为生产废水、轮胎清洗废水、生活废水。生产废水和轮胎清洗废水经循环利用不外排；员工生活污水排入防渗旱厕内定期清掏</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不外排。</w:t>
      </w:r>
    </w:p>
    <w:p w14:paraId="0BFC30B2">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（四）强化噪声污染防治措施。要求建设单位合理布局，选用低噪音设备，采用有效减震、隔声措施，确保厂界噪声</w:t>
      </w:r>
      <w:r>
        <w:rPr>
          <w:rFonts w:hint="eastAsia" w:ascii="Times New Roman" w:hAnsi="Times New Roman" w:eastAsia="仿宋_GB2312" w:cs="Times New Roman"/>
          <w:color w:val="auto"/>
          <w:spacing w:val="-10"/>
          <w:sz w:val="32"/>
          <w:szCs w:val="32"/>
          <w:highlight w:val="none"/>
          <w:lang w:val="en-US" w:eastAsia="zh-CN"/>
        </w:rPr>
        <w:t>满足</w:t>
      </w:r>
      <w:r>
        <w:rPr>
          <w:rFonts w:hint="default" w:ascii="Times New Roman" w:hAnsi="Times New Roman" w:eastAsia="仿宋_GB2312" w:cs="Times New Roman"/>
          <w:color w:val="auto"/>
          <w:spacing w:val="-10"/>
          <w:sz w:val="32"/>
          <w:szCs w:val="32"/>
          <w:highlight w:val="none"/>
          <w:lang w:val="en-US" w:eastAsia="zh-CN"/>
        </w:rPr>
        <w:t>《工业企业厂界环境噪声排放标准》（GB12348-2008）中</w:t>
      </w:r>
      <w:r>
        <w:rPr>
          <w:rFonts w:hint="eastAsia" w:ascii="Times New Roman" w:hAnsi="Times New Roman" w:eastAsia="仿宋_GB2312" w:cs="Times New Roman"/>
          <w:color w:val="auto"/>
          <w:spacing w:val="-10"/>
          <w:sz w:val="32"/>
          <w:szCs w:val="32"/>
          <w:highlight w:val="none"/>
          <w:lang w:val="en-US" w:eastAsia="zh-CN"/>
        </w:rPr>
        <w:t>1</w:t>
      </w:r>
      <w:r>
        <w:rPr>
          <w:rFonts w:hint="default" w:ascii="Times New Roman" w:hAnsi="Times New Roman" w:eastAsia="仿宋_GB2312" w:cs="Times New Roman"/>
          <w:color w:val="auto"/>
          <w:spacing w:val="-10"/>
          <w:sz w:val="32"/>
          <w:szCs w:val="32"/>
          <w:highlight w:val="none"/>
          <w:lang w:val="en-US" w:eastAsia="zh-CN"/>
        </w:rPr>
        <w:t>类标准</w:t>
      </w:r>
      <w:r>
        <w:rPr>
          <w:rFonts w:hint="eastAsia" w:ascii="Times New Roman" w:hAnsi="Times New Roman" w:eastAsia="仿宋_GB2312" w:cs="Times New Roman"/>
          <w:color w:val="auto"/>
          <w:spacing w:val="-10"/>
          <w:sz w:val="32"/>
          <w:szCs w:val="32"/>
          <w:highlight w:val="none"/>
          <w:lang w:val="en-US" w:eastAsia="zh-CN"/>
        </w:rPr>
        <w:t>。</w:t>
      </w:r>
    </w:p>
    <w:p w14:paraId="5835760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（五）严格落实固体废物分类处置和综合利用措施。项目产生的固体废物主要为生活垃圾、废包装袋、地面收尘灰、废布袋、废机油和废机油桶。</w:t>
      </w:r>
    </w:p>
    <w:p w14:paraId="0FDAF117">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项目产生的废布袋交由厂家回收处置</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地面收尘灰</w:t>
      </w:r>
      <w:r>
        <w:rPr>
          <w:rFonts w:hint="eastAsia" w:ascii="Times New Roman" w:hAnsi="Times New Roman" w:eastAsia="仿宋_GB2312" w:cs="Times New Roman"/>
          <w:color w:val="auto"/>
          <w:spacing w:val="-10"/>
          <w:sz w:val="32"/>
          <w:szCs w:val="32"/>
          <w:highlight w:val="none"/>
          <w:lang w:val="en-US" w:eastAsia="zh-CN"/>
        </w:rPr>
        <w:t>收集后回用于生产；生活垃圾、废包装袋定期交由环卫部门统一处理</w:t>
      </w:r>
      <w:r>
        <w:rPr>
          <w:rFonts w:hint="default" w:ascii="Times New Roman" w:hAnsi="Times New Roman" w:eastAsia="仿宋_GB2312" w:cs="Times New Roman"/>
          <w:color w:val="auto"/>
          <w:spacing w:val="-10"/>
          <w:sz w:val="32"/>
          <w:szCs w:val="32"/>
          <w:highlight w:val="none"/>
          <w:lang w:val="zh-CN" w:eastAsia="zh-CN"/>
        </w:rPr>
        <w:t>；</w:t>
      </w:r>
      <w:r>
        <w:rPr>
          <w:rFonts w:hint="default" w:ascii="Times New Roman" w:hAnsi="Times New Roman" w:eastAsia="仿宋_GB2312" w:cs="Times New Roman"/>
          <w:color w:val="auto"/>
          <w:spacing w:val="-10"/>
          <w:sz w:val="32"/>
          <w:szCs w:val="32"/>
          <w:highlight w:val="none"/>
          <w:lang w:val="en-US" w:eastAsia="zh-CN"/>
        </w:rPr>
        <w:t>废</w:t>
      </w:r>
      <w:r>
        <w:rPr>
          <w:rFonts w:hint="eastAsia" w:ascii="Times New Roman" w:hAnsi="Times New Roman" w:eastAsia="仿宋_GB2312" w:cs="Times New Roman"/>
          <w:color w:val="auto"/>
          <w:spacing w:val="-10"/>
          <w:sz w:val="32"/>
          <w:szCs w:val="32"/>
          <w:highlight w:val="none"/>
          <w:lang w:val="en-US" w:eastAsia="zh-CN"/>
        </w:rPr>
        <w:t>机</w:t>
      </w:r>
      <w:r>
        <w:rPr>
          <w:rFonts w:hint="default" w:ascii="Times New Roman" w:hAnsi="Times New Roman" w:eastAsia="仿宋_GB2312" w:cs="Times New Roman"/>
          <w:color w:val="auto"/>
          <w:spacing w:val="-10"/>
          <w:sz w:val="32"/>
          <w:szCs w:val="32"/>
          <w:highlight w:val="none"/>
          <w:lang w:val="en-US" w:eastAsia="zh-CN"/>
        </w:rPr>
        <w:t>油、废</w:t>
      </w:r>
      <w:r>
        <w:rPr>
          <w:rFonts w:hint="eastAsia" w:ascii="Times New Roman" w:hAnsi="Times New Roman" w:eastAsia="仿宋_GB2312" w:cs="Times New Roman"/>
          <w:color w:val="auto"/>
          <w:spacing w:val="-10"/>
          <w:sz w:val="32"/>
          <w:szCs w:val="32"/>
          <w:highlight w:val="none"/>
          <w:lang w:val="en-US" w:eastAsia="zh-CN"/>
        </w:rPr>
        <w:t>机</w:t>
      </w:r>
      <w:r>
        <w:rPr>
          <w:rFonts w:hint="default" w:ascii="Times New Roman" w:hAnsi="Times New Roman" w:eastAsia="仿宋_GB2312" w:cs="Times New Roman"/>
          <w:color w:val="auto"/>
          <w:spacing w:val="-10"/>
          <w:sz w:val="32"/>
          <w:szCs w:val="32"/>
          <w:highlight w:val="none"/>
          <w:lang w:val="en-US" w:eastAsia="zh-CN"/>
        </w:rPr>
        <w:t>油桶</w:t>
      </w:r>
      <w:r>
        <w:rPr>
          <w:rFonts w:hint="eastAsia" w:ascii="Times New Roman" w:hAnsi="Times New Roman" w:eastAsia="仿宋_GB2312" w:cs="Times New Roman"/>
          <w:color w:val="auto"/>
          <w:spacing w:val="-10"/>
          <w:sz w:val="32"/>
          <w:szCs w:val="32"/>
          <w:highlight w:val="none"/>
          <w:lang w:val="en-US" w:eastAsia="zh-CN"/>
        </w:rPr>
        <w:t>属于</w:t>
      </w:r>
      <w:r>
        <w:rPr>
          <w:rFonts w:hint="default" w:ascii="Times New Roman" w:hAnsi="Times New Roman" w:eastAsia="仿宋_GB2312" w:cs="Times New Roman"/>
          <w:color w:val="auto"/>
          <w:spacing w:val="-10"/>
          <w:sz w:val="32"/>
          <w:szCs w:val="32"/>
          <w:highlight w:val="none"/>
          <w:lang w:val="en-US" w:eastAsia="zh-CN"/>
        </w:rPr>
        <w:t>危险废物，定期委托有资质单位处置，确保危险废物暂存、转运、处置满足《危险废物贮存污染控制标准》（GB18597-2023）和《危险废物识别标志设置技术规范》（HJ1276-2022）相关要求。</w:t>
      </w:r>
    </w:p>
    <w:p w14:paraId="4D27EED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六）强化环境风险防范和环保设施安全生产。做好应急物资储备，按照相关规定编制和备案突发环境事件应急预案，并与当地政府及其相关部门应急预案做好衔接，定期进行应急培训和演练，有效防范和应对环境风险。严格落实环保设施安全生产工作要求，健全企业内部污染防治设施稳定运行和管理责任制度，委托有相应资质的设计单位对重点环保设施进行设计，并定期做好环保设施安全风险隐患排查。</w:t>
      </w:r>
    </w:p>
    <w:p w14:paraId="3F8DCD13">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（七）落实环境监测措施。你单位须按照国家污染源管理相关要求设置排污口及标识，按照《报告表》提出的环境监测计划，委托有资质单位定期进行监测。</w:t>
      </w:r>
    </w:p>
    <w:p w14:paraId="75252C34">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你公司应落实生态环境保护主体责任，建立内部生态环境管理体系，明确机构、人员、职责和制度，加强生态环境管理，落实各项生态环境保护措施。项目建设应严格执行环境保护设施与主体工程同时设计、同时施工、同时投产使用的环境保护“三同时”制度，项目投产前，须按规定程序落实排污许可工作及进行竣工环境保护验收，编制验收报告应向社会公开。</w:t>
      </w:r>
    </w:p>
    <w:p w14:paraId="09C71A38">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四</w:t>
      </w:r>
      <w:r>
        <w:rPr>
          <w:rFonts w:hint="default" w:ascii="Times New Roman" w:hAnsi="Times New Roman" w:eastAsia="仿宋_GB2312" w:cs="Times New Roman"/>
          <w:color w:val="auto"/>
          <w:spacing w:val="-10"/>
          <w:sz w:val="32"/>
          <w:szCs w:val="32"/>
          <w:highlight w:val="none"/>
          <w:lang w:val="en-US" w:eastAsia="zh-CN"/>
        </w:rPr>
        <w:t>、环境影响报告经批准后，建设项目的性质、规模、地点、采用的生产工艺或者防治污染、防止生态破坏的措施等发生重大变动的，你公司应当重新报批环境影响报告。环境影响报告批准之日起超过五年，方决定项目开工建设的，应当报我局重新审核。</w:t>
      </w:r>
    </w:p>
    <w:p w14:paraId="131AFF35">
      <w:pPr>
        <w:pStyle w:val="11"/>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五</w:t>
      </w:r>
      <w:r>
        <w:rPr>
          <w:rFonts w:hint="default" w:ascii="Times New Roman" w:hAnsi="Times New Roman" w:eastAsia="仿宋_GB2312" w:cs="Times New Roman"/>
          <w:color w:val="auto"/>
          <w:spacing w:val="-10"/>
          <w:sz w:val="32"/>
          <w:szCs w:val="32"/>
          <w:highlight w:val="none"/>
          <w:lang w:val="en-US" w:eastAsia="zh-CN"/>
        </w:rPr>
        <w:t>、请阜新蒙古族自治县生态环境保护综合行政执法队负责该项目日常的环境保护监督检查工作。</w:t>
      </w:r>
    </w:p>
    <w:p w14:paraId="5710ADDC">
      <w:pPr>
        <w:pStyle w:val="11"/>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03D0945C">
      <w:pPr>
        <w:pStyle w:val="11"/>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5D854E40">
      <w:pPr>
        <w:pStyle w:val="11"/>
        <w:keepNext w:val="0"/>
        <w:keepLines w:val="0"/>
        <w:pageBreakBefore w:val="0"/>
        <w:widowControl/>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lang w:val="en-US" w:eastAsia="zh-CN"/>
        </w:rPr>
      </w:pPr>
    </w:p>
    <w:p w14:paraId="3B6EF9AA">
      <w:pPr>
        <w:pStyle w:val="11"/>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lang w:val="en-US" w:eastAsia="zh-CN"/>
        </w:rPr>
      </w:pPr>
    </w:p>
    <w:p w14:paraId="39381E85">
      <w:pPr>
        <w:pStyle w:val="11"/>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阜新市生态环境局</w:t>
      </w:r>
    </w:p>
    <w:p w14:paraId="4324493C">
      <w:pPr>
        <w:pStyle w:val="11"/>
        <w:keepNext w:val="0"/>
        <w:keepLines w:val="0"/>
        <w:pageBreakBefore w:val="0"/>
        <w:widowControl/>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yellow"/>
          <w:lang w:val="en-US" w:eastAsia="zh-CN"/>
        </w:rPr>
      </w:pPr>
      <w:r>
        <w:rPr>
          <w:rFonts w:hint="default" w:ascii="Times New Roman" w:hAnsi="Times New Roman" w:eastAsia="仿宋_GB2312" w:cs="Times New Roman"/>
          <w:color w:val="auto"/>
          <w:spacing w:val="-10"/>
          <w:sz w:val="32"/>
          <w:szCs w:val="32"/>
          <w:highlight w:val="none"/>
          <w:lang w:val="en-US" w:eastAsia="zh-CN"/>
        </w:rPr>
        <w:t xml:space="preserve">                                    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年</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月</w:t>
      </w:r>
      <w:r>
        <w:rPr>
          <w:rFonts w:hint="eastAsia" w:ascii="Times New Roman" w:hAnsi="Times New Roman" w:eastAsia="仿宋_GB2312" w:cs="Times New Roman"/>
          <w:color w:val="auto"/>
          <w:spacing w:val="-10"/>
          <w:sz w:val="32"/>
          <w:szCs w:val="32"/>
          <w:highlight w:val="none"/>
          <w:lang w:val="en-US" w:eastAsia="zh-CN"/>
        </w:rPr>
        <w:t>5</w:t>
      </w:r>
      <w:bookmarkStart w:id="0" w:name="_GoBack"/>
      <w:bookmarkEnd w:id="0"/>
      <w:r>
        <w:rPr>
          <w:rFonts w:hint="default" w:ascii="Times New Roman" w:hAnsi="Times New Roman" w:eastAsia="仿宋_GB2312" w:cs="Times New Roman"/>
          <w:color w:val="auto"/>
          <w:spacing w:val="-10"/>
          <w:sz w:val="32"/>
          <w:szCs w:val="32"/>
          <w:highlight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868F3F84-CC04-44F5-825E-18916BB1EBAA}"/>
  </w:font>
  <w:font w:name="仿宋_GB2312">
    <w:panose1 w:val="02010609030101010101"/>
    <w:charset w:val="86"/>
    <w:family w:val="modern"/>
    <w:pitch w:val="default"/>
    <w:sig w:usb0="00000001" w:usb1="080E0000" w:usb2="00000000" w:usb3="00000000" w:csb0="00040000" w:csb1="00000000"/>
    <w:embedRegular r:id="rId2" w:fontKey="{7A67A277-D88A-442C-B955-0137FFC20DF5}"/>
  </w:font>
  <w:font w:name="TimesNewRomanPSMT">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3" w:fontKey="{DE97FDBE-4FEA-4E86-93C2-9B421AE4062E}"/>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6AE1">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BD9C5B">
                          <w:pPr>
                            <w:pStyle w:val="8"/>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00BD9C5B">
                    <w:pPr>
                      <w:pStyle w:val="8"/>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F54D5"/>
    <w:rsid w:val="000062D9"/>
    <w:rsid w:val="00007F22"/>
    <w:rsid w:val="00043BA5"/>
    <w:rsid w:val="0005407F"/>
    <w:rsid w:val="000623ED"/>
    <w:rsid w:val="00073BF7"/>
    <w:rsid w:val="000772DF"/>
    <w:rsid w:val="00077350"/>
    <w:rsid w:val="00077DE7"/>
    <w:rsid w:val="00087C75"/>
    <w:rsid w:val="00094132"/>
    <w:rsid w:val="0009609B"/>
    <w:rsid w:val="000B72A8"/>
    <w:rsid w:val="000E0F2A"/>
    <w:rsid w:val="000E2BE0"/>
    <w:rsid w:val="000F41D6"/>
    <w:rsid w:val="000F53C5"/>
    <w:rsid w:val="0010758B"/>
    <w:rsid w:val="00111C6F"/>
    <w:rsid w:val="00126122"/>
    <w:rsid w:val="00136E39"/>
    <w:rsid w:val="00140916"/>
    <w:rsid w:val="0014796A"/>
    <w:rsid w:val="00151995"/>
    <w:rsid w:val="00155F05"/>
    <w:rsid w:val="00171391"/>
    <w:rsid w:val="001731AA"/>
    <w:rsid w:val="00183E2C"/>
    <w:rsid w:val="0018776B"/>
    <w:rsid w:val="00191FDF"/>
    <w:rsid w:val="00194074"/>
    <w:rsid w:val="001A6C6B"/>
    <w:rsid w:val="001C2CCB"/>
    <w:rsid w:val="001C50A0"/>
    <w:rsid w:val="001E3942"/>
    <w:rsid w:val="00225D8D"/>
    <w:rsid w:val="00241147"/>
    <w:rsid w:val="002456ED"/>
    <w:rsid w:val="00251255"/>
    <w:rsid w:val="00261BD0"/>
    <w:rsid w:val="002653A2"/>
    <w:rsid w:val="00274C2A"/>
    <w:rsid w:val="002940A1"/>
    <w:rsid w:val="00294F26"/>
    <w:rsid w:val="002A0C67"/>
    <w:rsid w:val="002A47E0"/>
    <w:rsid w:val="002C739C"/>
    <w:rsid w:val="002D511A"/>
    <w:rsid w:val="002E7EE1"/>
    <w:rsid w:val="002F78E6"/>
    <w:rsid w:val="003348DE"/>
    <w:rsid w:val="0034667A"/>
    <w:rsid w:val="0038131F"/>
    <w:rsid w:val="003817C2"/>
    <w:rsid w:val="003A1ABB"/>
    <w:rsid w:val="003C2812"/>
    <w:rsid w:val="003E2C10"/>
    <w:rsid w:val="003F5744"/>
    <w:rsid w:val="0040137E"/>
    <w:rsid w:val="004020CD"/>
    <w:rsid w:val="00422223"/>
    <w:rsid w:val="00432132"/>
    <w:rsid w:val="00451962"/>
    <w:rsid w:val="004673DA"/>
    <w:rsid w:val="004936A2"/>
    <w:rsid w:val="004A1B68"/>
    <w:rsid w:val="004C0B50"/>
    <w:rsid w:val="004D0431"/>
    <w:rsid w:val="004E1A1D"/>
    <w:rsid w:val="00532829"/>
    <w:rsid w:val="0053649A"/>
    <w:rsid w:val="005465E0"/>
    <w:rsid w:val="00575605"/>
    <w:rsid w:val="005A0888"/>
    <w:rsid w:val="005A1518"/>
    <w:rsid w:val="005A5FBE"/>
    <w:rsid w:val="005C4072"/>
    <w:rsid w:val="005D0479"/>
    <w:rsid w:val="005D0F66"/>
    <w:rsid w:val="005F21FA"/>
    <w:rsid w:val="006037D7"/>
    <w:rsid w:val="00615B33"/>
    <w:rsid w:val="006310D1"/>
    <w:rsid w:val="00655A32"/>
    <w:rsid w:val="00662F6A"/>
    <w:rsid w:val="00664AB1"/>
    <w:rsid w:val="00671F04"/>
    <w:rsid w:val="00682423"/>
    <w:rsid w:val="00693153"/>
    <w:rsid w:val="006937DD"/>
    <w:rsid w:val="0069697F"/>
    <w:rsid w:val="006A35C1"/>
    <w:rsid w:val="006B2756"/>
    <w:rsid w:val="006C6436"/>
    <w:rsid w:val="006C753A"/>
    <w:rsid w:val="006E16EB"/>
    <w:rsid w:val="007109FE"/>
    <w:rsid w:val="0072384C"/>
    <w:rsid w:val="00740F46"/>
    <w:rsid w:val="00755A13"/>
    <w:rsid w:val="0076595C"/>
    <w:rsid w:val="0076661D"/>
    <w:rsid w:val="00791A8D"/>
    <w:rsid w:val="0079373D"/>
    <w:rsid w:val="007A4A4C"/>
    <w:rsid w:val="007A75A6"/>
    <w:rsid w:val="007B7BE4"/>
    <w:rsid w:val="007D2FB7"/>
    <w:rsid w:val="00811642"/>
    <w:rsid w:val="00820031"/>
    <w:rsid w:val="00831141"/>
    <w:rsid w:val="00892B01"/>
    <w:rsid w:val="008932AC"/>
    <w:rsid w:val="008A4530"/>
    <w:rsid w:val="008B7656"/>
    <w:rsid w:val="008D6311"/>
    <w:rsid w:val="008E2169"/>
    <w:rsid w:val="008F4787"/>
    <w:rsid w:val="00904FA0"/>
    <w:rsid w:val="009144D4"/>
    <w:rsid w:val="00930C45"/>
    <w:rsid w:val="00944C05"/>
    <w:rsid w:val="00952892"/>
    <w:rsid w:val="009614C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3220D"/>
    <w:rsid w:val="00A5305E"/>
    <w:rsid w:val="00A740DA"/>
    <w:rsid w:val="00A83971"/>
    <w:rsid w:val="00A94971"/>
    <w:rsid w:val="00AB136B"/>
    <w:rsid w:val="00AB1E2F"/>
    <w:rsid w:val="00AE7AE5"/>
    <w:rsid w:val="00AF3C50"/>
    <w:rsid w:val="00B04E5E"/>
    <w:rsid w:val="00B06557"/>
    <w:rsid w:val="00B155B3"/>
    <w:rsid w:val="00B37380"/>
    <w:rsid w:val="00B45AE3"/>
    <w:rsid w:val="00B72D92"/>
    <w:rsid w:val="00B74C9F"/>
    <w:rsid w:val="00B80099"/>
    <w:rsid w:val="00B8261A"/>
    <w:rsid w:val="00BB15E2"/>
    <w:rsid w:val="00BB64DD"/>
    <w:rsid w:val="00BC2061"/>
    <w:rsid w:val="00BE3D59"/>
    <w:rsid w:val="00C00DAF"/>
    <w:rsid w:val="00C11786"/>
    <w:rsid w:val="00C36D6C"/>
    <w:rsid w:val="00C422EA"/>
    <w:rsid w:val="00C4773E"/>
    <w:rsid w:val="00C50E21"/>
    <w:rsid w:val="00C544C6"/>
    <w:rsid w:val="00C56CCC"/>
    <w:rsid w:val="00C64E75"/>
    <w:rsid w:val="00C747E0"/>
    <w:rsid w:val="00C751B7"/>
    <w:rsid w:val="00C838C5"/>
    <w:rsid w:val="00C93F4B"/>
    <w:rsid w:val="00CA44E1"/>
    <w:rsid w:val="00CB7BED"/>
    <w:rsid w:val="00CC3361"/>
    <w:rsid w:val="00CC41EF"/>
    <w:rsid w:val="00CC64E4"/>
    <w:rsid w:val="00CE4BC1"/>
    <w:rsid w:val="00D14EC1"/>
    <w:rsid w:val="00D212D6"/>
    <w:rsid w:val="00D413D1"/>
    <w:rsid w:val="00D45FB1"/>
    <w:rsid w:val="00D52ECE"/>
    <w:rsid w:val="00D96AA6"/>
    <w:rsid w:val="00DA4D1A"/>
    <w:rsid w:val="00DB3A0C"/>
    <w:rsid w:val="00DC7288"/>
    <w:rsid w:val="00DD6305"/>
    <w:rsid w:val="00DE4724"/>
    <w:rsid w:val="00DF31E8"/>
    <w:rsid w:val="00DF3335"/>
    <w:rsid w:val="00E00AF7"/>
    <w:rsid w:val="00E01AC0"/>
    <w:rsid w:val="00E31E6E"/>
    <w:rsid w:val="00E3480C"/>
    <w:rsid w:val="00E419CF"/>
    <w:rsid w:val="00E43392"/>
    <w:rsid w:val="00E52B86"/>
    <w:rsid w:val="00E63467"/>
    <w:rsid w:val="00E74EEA"/>
    <w:rsid w:val="00E801DF"/>
    <w:rsid w:val="00E82E3C"/>
    <w:rsid w:val="00E87BDD"/>
    <w:rsid w:val="00EA2FDC"/>
    <w:rsid w:val="00EC40BD"/>
    <w:rsid w:val="00EE1422"/>
    <w:rsid w:val="00F078CD"/>
    <w:rsid w:val="00F21730"/>
    <w:rsid w:val="00F23B21"/>
    <w:rsid w:val="00F559CA"/>
    <w:rsid w:val="00F629DD"/>
    <w:rsid w:val="00F77694"/>
    <w:rsid w:val="00F872D2"/>
    <w:rsid w:val="00FA7471"/>
    <w:rsid w:val="00FB459C"/>
    <w:rsid w:val="00FB7EC7"/>
    <w:rsid w:val="00FC1639"/>
    <w:rsid w:val="00FD76A4"/>
    <w:rsid w:val="00FF642D"/>
    <w:rsid w:val="015E0632"/>
    <w:rsid w:val="044811AB"/>
    <w:rsid w:val="046B5F2C"/>
    <w:rsid w:val="09C93D97"/>
    <w:rsid w:val="0BBC084E"/>
    <w:rsid w:val="0CC24E3B"/>
    <w:rsid w:val="0D3800C0"/>
    <w:rsid w:val="0F052C75"/>
    <w:rsid w:val="10072898"/>
    <w:rsid w:val="10E53FB5"/>
    <w:rsid w:val="10FC3152"/>
    <w:rsid w:val="111A19EB"/>
    <w:rsid w:val="11BD515C"/>
    <w:rsid w:val="150D71A2"/>
    <w:rsid w:val="154F7486"/>
    <w:rsid w:val="15DA7390"/>
    <w:rsid w:val="15DE293D"/>
    <w:rsid w:val="161A0F29"/>
    <w:rsid w:val="1A455362"/>
    <w:rsid w:val="1A8D294F"/>
    <w:rsid w:val="1B6F74AD"/>
    <w:rsid w:val="1C671E27"/>
    <w:rsid w:val="1E8A2011"/>
    <w:rsid w:val="1FDE241E"/>
    <w:rsid w:val="1FEF9279"/>
    <w:rsid w:val="20D84A5D"/>
    <w:rsid w:val="213F6EF0"/>
    <w:rsid w:val="21A007BF"/>
    <w:rsid w:val="24B5094F"/>
    <w:rsid w:val="25CE1675"/>
    <w:rsid w:val="26163119"/>
    <w:rsid w:val="27744CF4"/>
    <w:rsid w:val="288129C2"/>
    <w:rsid w:val="28C0664B"/>
    <w:rsid w:val="29974297"/>
    <w:rsid w:val="2B9A67B0"/>
    <w:rsid w:val="2F9A5356"/>
    <w:rsid w:val="30336191"/>
    <w:rsid w:val="311331FC"/>
    <w:rsid w:val="33C2173C"/>
    <w:rsid w:val="3675140E"/>
    <w:rsid w:val="37DF4FA9"/>
    <w:rsid w:val="380F54D5"/>
    <w:rsid w:val="384606DC"/>
    <w:rsid w:val="38B83202"/>
    <w:rsid w:val="39AF55F1"/>
    <w:rsid w:val="3A15352A"/>
    <w:rsid w:val="3AF52C95"/>
    <w:rsid w:val="3CD411CA"/>
    <w:rsid w:val="3D9A795C"/>
    <w:rsid w:val="3E1E1AE5"/>
    <w:rsid w:val="3E31557D"/>
    <w:rsid w:val="3F7D3D9E"/>
    <w:rsid w:val="401F22EA"/>
    <w:rsid w:val="41CE596A"/>
    <w:rsid w:val="42BB1FD9"/>
    <w:rsid w:val="44F82176"/>
    <w:rsid w:val="45C67A8C"/>
    <w:rsid w:val="45D52A60"/>
    <w:rsid w:val="4698326B"/>
    <w:rsid w:val="47626D48"/>
    <w:rsid w:val="48156A2B"/>
    <w:rsid w:val="48D365C5"/>
    <w:rsid w:val="4AB34B18"/>
    <w:rsid w:val="4BD15266"/>
    <w:rsid w:val="4D6079C6"/>
    <w:rsid w:val="4DAF0F0C"/>
    <w:rsid w:val="4E361A17"/>
    <w:rsid w:val="4E9A4C01"/>
    <w:rsid w:val="51931E7A"/>
    <w:rsid w:val="52CA425E"/>
    <w:rsid w:val="53837051"/>
    <w:rsid w:val="54103074"/>
    <w:rsid w:val="547C7429"/>
    <w:rsid w:val="57400C79"/>
    <w:rsid w:val="5763227D"/>
    <w:rsid w:val="589B24D1"/>
    <w:rsid w:val="58E90DD4"/>
    <w:rsid w:val="5AC83A37"/>
    <w:rsid w:val="5D463024"/>
    <w:rsid w:val="5DEC3252"/>
    <w:rsid w:val="5FD0613A"/>
    <w:rsid w:val="61961D88"/>
    <w:rsid w:val="6297662A"/>
    <w:rsid w:val="630C4BC8"/>
    <w:rsid w:val="64A35F68"/>
    <w:rsid w:val="64F26DFF"/>
    <w:rsid w:val="654425D5"/>
    <w:rsid w:val="673552EF"/>
    <w:rsid w:val="676263F9"/>
    <w:rsid w:val="6A4D3FA6"/>
    <w:rsid w:val="6B595847"/>
    <w:rsid w:val="6BA705EC"/>
    <w:rsid w:val="6CF95D08"/>
    <w:rsid w:val="6D6F5BB5"/>
    <w:rsid w:val="6EDC837C"/>
    <w:rsid w:val="6FA42FFA"/>
    <w:rsid w:val="6FD63656"/>
    <w:rsid w:val="7119657A"/>
    <w:rsid w:val="7184355E"/>
    <w:rsid w:val="71FB6048"/>
    <w:rsid w:val="739754C2"/>
    <w:rsid w:val="755F1973"/>
    <w:rsid w:val="76314207"/>
    <w:rsid w:val="76C63918"/>
    <w:rsid w:val="773F549E"/>
    <w:rsid w:val="78AE7E48"/>
    <w:rsid w:val="79974DA2"/>
    <w:rsid w:val="7D2F19A2"/>
    <w:rsid w:val="7D3B6CF8"/>
    <w:rsid w:val="7DF86AA5"/>
    <w:rsid w:val="7F060D40"/>
    <w:rsid w:val="7F6D07D6"/>
    <w:rsid w:val="7FBBCB82"/>
    <w:rsid w:val="7FDD1072"/>
    <w:rsid w:val="BCDF5D30"/>
    <w:rsid w:val="BFEF56B8"/>
    <w:rsid w:val="C7A75DEC"/>
    <w:rsid w:val="E7DF6848"/>
    <w:rsid w:val="EB0975AA"/>
    <w:rsid w:val="EEEF8FB7"/>
    <w:rsid w:val="FF6B18F6"/>
    <w:rsid w:val="FFEA5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contextualSpacing/>
      <w:outlineLvl w:val="1"/>
    </w:pPr>
    <w:rPr>
      <w:rFonts w:ascii="宋体" w:hAnsi="宋体" w:cs="宋体"/>
      <w:b/>
      <w:bCs/>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snapToGrid/>
      <w:spacing w:val="0"/>
      <w:kern w:val="2"/>
      <w:sz w:val="21"/>
      <w:szCs w:val="20"/>
    </w:rPr>
  </w:style>
  <w:style w:type="paragraph" w:styleId="4">
    <w:name w:val="Body Text"/>
    <w:basedOn w:val="1"/>
    <w:next w:val="1"/>
    <w:qFormat/>
    <w:uiPriority w:val="0"/>
    <w:pPr>
      <w:widowControl/>
      <w:snapToGrid w:val="0"/>
      <w:spacing w:before="60" w:after="160" w:line="259" w:lineRule="auto"/>
      <w:ind w:right="113"/>
    </w:pPr>
    <w:rPr>
      <w:kern w:val="0"/>
      <w:sz w:val="18"/>
      <w:szCs w:val="20"/>
    </w:rPr>
  </w:style>
  <w:style w:type="paragraph" w:styleId="5">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6">
    <w:name w:val="Body Text Indent 2"/>
    <w:basedOn w:val="1"/>
    <w:next w:val="7"/>
    <w:unhideWhenUsed/>
    <w:qFormat/>
    <w:uiPriority w:val="0"/>
    <w:pPr>
      <w:widowControl w:val="0"/>
      <w:spacing w:after="120" w:line="480" w:lineRule="auto"/>
      <w:ind w:left="420" w:leftChars="200"/>
      <w:jc w:val="both"/>
    </w:pPr>
    <w:rPr>
      <w:rFonts w:ascii="Times New Roman" w:hAnsi="Times New Roman" w:eastAsia="宋体" w:cs="Times New Roman"/>
      <w:kern w:val="2"/>
      <w:sz w:val="28"/>
      <w:szCs w:val="24"/>
      <w:lang w:val="en-US" w:eastAsia="zh-CN" w:bidi="ar-SA"/>
    </w:rPr>
  </w:style>
  <w:style w:type="paragraph" w:styleId="7">
    <w:name w:val="Body Text First Indent 2"/>
    <w:basedOn w:val="5"/>
    <w:qFormat/>
    <w:uiPriority w:val="0"/>
    <w:pPr>
      <w:ind w:firstLine="420" w:firstLineChars="200"/>
    </w:p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footnote text"/>
    <w:basedOn w:val="1"/>
    <w:unhideWhenUsed/>
    <w:qFormat/>
    <w:uiPriority w:val="99"/>
    <w:pPr>
      <w:snapToGrid w:val="0"/>
      <w:jc w:val="left"/>
    </w:pPr>
    <w:rPr>
      <w:rFonts w:cs="宋体"/>
      <w:sz w:val="18"/>
    </w:rPr>
  </w:style>
  <w:style w:type="paragraph" w:styleId="11">
    <w:name w:val="Normal (Web)"/>
    <w:basedOn w:val="1"/>
    <w:unhideWhenUsed/>
    <w:qFormat/>
    <w:uiPriority w:val="99"/>
    <w:pPr>
      <w:jc w:val="left"/>
    </w:pPr>
    <w:rPr>
      <w:rFonts w:cs="Times New Roman"/>
      <w:kern w:val="0"/>
      <w:sz w:val="16"/>
      <w:szCs w:val="16"/>
    </w:rPr>
  </w:style>
  <w:style w:type="paragraph" w:styleId="12">
    <w:name w:val="Body Text First Indent"/>
    <w:basedOn w:val="4"/>
    <w:next w:val="1"/>
    <w:qFormat/>
    <w:uiPriority w:val="0"/>
    <w:pPr>
      <w:spacing w:after="120"/>
      <w:ind w:firstLine="420" w:firstLineChars="100"/>
      <w:jc w:val="both"/>
    </w:pPr>
    <w:rPr>
      <w:rFonts w:ascii="Times New Roman" w:hAnsi="Times New Roman"/>
      <w:sz w:val="28"/>
    </w:rPr>
  </w:style>
  <w:style w:type="character" w:styleId="15">
    <w:name w:val="Strong"/>
    <w:qFormat/>
    <w:uiPriority w:val="22"/>
    <w:rPr>
      <w:b/>
    </w:rPr>
  </w:style>
  <w:style w:type="paragraph" w:customStyle="1" w:styleId="16">
    <w:name w:val="0正文"/>
    <w:basedOn w:val="5"/>
    <w:unhideWhenUsed/>
    <w:qFormat/>
    <w:uiPriority w:val="0"/>
    <w:pPr>
      <w:spacing w:line="300" w:lineRule="auto"/>
      <w:ind w:firstLine="480" w:firstLineChars="200"/>
    </w:pPr>
    <w:rPr>
      <w:sz w:val="24"/>
      <w:lang w:val="en-US" w:eastAsia="zh-CN" w:bidi="ar-SA"/>
    </w:rPr>
  </w:style>
  <w:style w:type="character" w:customStyle="1" w:styleId="17">
    <w:name w:val="页眉 Char"/>
    <w:basedOn w:val="14"/>
    <w:link w:val="9"/>
    <w:qFormat/>
    <w:uiPriority w:val="0"/>
    <w:rPr>
      <w:kern w:val="2"/>
      <w:sz w:val="18"/>
      <w:szCs w:val="18"/>
    </w:rPr>
  </w:style>
  <w:style w:type="character" w:customStyle="1" w:styleId="18">
    <w:name w:val="页脚 Char"/>
    <w:basedOn w:val="14"/>
    <w:link w:val="8"/>
    <w:qFormat/>
    <w:uiPriority w:val="0"/>
    <w:rPr>
      <w:kern w:val="2"/>
      <w:sz w:val="18"/>
      <w:szCs w:val="18"/>
    </w:rPr>
  </w:style>
  <w:style w:type="character" w:customStyle="1" w:styleId="19">
    <w:name w:val="fontstyle01"/>
    <w:basedOn w:val="14"/>
    <w:qFormat/>
    <w:uiPriority w:val="0"/>
    <w:rPr>
      <w:rFonts w:hint="eastAsia" w:ascii="宋体" w:hAnsi="宋体" w:eastAsia="宋体"/>
      <w:color w:val="000000"/>
      <w:sz w:val="22"/>
      <w:szCs w:val="22"/>
    </w:rPr>
  </w:style>
  <w:style w:type="character" w:customStyle="1" w:styleId="20">
    <w:name w:val="fontstyle21"/>
    <w:basedOn w:val="14"/>
    <w:qFormat/>
    <w:uiPriority w:val="0"/>
    <w:rPr>
      <w:rFonts w:hint="default" w:ascii="TimesNewRomanPSMT" w:hAnsi="TimesNewRomanPSMT"/>
      <w:color w:val="000000"/>
      <w:sz w:val="22"/>
      <w:szCs w:val="22"/>
    </w:rPr>
  </w:style>
  <w:style w:type="paragraph" w:customStyle="1" w:styleId="21">
    <w:name w:val="Table Text"/>
    <w:basedOn w:val="1"/>
    <w:semiHidden/>
    <w:qFormat/>
    <w:uiPriority w:val="0"/>
    <w:rPr>
      <w:rFonts w:ascii="宋体" w:hAnsi="宋体" w:eastAsia="宋体" w:cs="宋体"/>
      <w:sz w:val="24"/>
      <w:szCs w:val="24"/>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样式5"/>
    <w:basedOn w:val="3"/>
    <w:qFormat/>
    <w:uiPriority w:val="0"/>
    <w:pPr>
      <w:adjustRightInd w:val="0"/>
      <w:snapToGrid w:val="0"/>
      <w:spacing w:line="360" w:lineRule="auto"/>
      <w:jc w:val="left"/>
      <w:textAlignment w:val="baseline"/>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1833</Words>
  <Characters>1929</Characters>
  <Lines>9</Lines>
  <Paragraphs>2</Paragraphs>
  <TotalTime>2</TotalTime>
  <ScaleCrop>false</ScaleCrop>
  <LinksUpToDate>false</LinksUpToDate>
  <CharactersWithSpaces>1993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2019-05-02T03:18:00Z</dcterms:created>
  <dc:creator>Administrator</dc:creator>
  <cp:lastModifiedBy>王小强</cp:lastModifiedBy>
  <cp:lastPrinted>2025-12-17T03:09:00Z</cp:lastPrinted>
  <dcterms:modified xsi:type="dcterms:W3CDTF">2026-06-05T03:18:16Z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1F877B9205644484B9A20622EA0D2DEE_13</vt:lpwstr>
  </property>
  <property fmtid="{D5CDD505-2E9C-101B-9397-08002B2CF9AE}" pid="4" name="KSOTemplateDocerSaveRecord">
    <vt:lpwstr>eyJoZGlkIjoiODM2ZjNhMGNjYjg1NDk2MDJlMGQzYzliNzIxYWUwY2YiLCJ1c2VySWQiOiIyODU0MTcyMzkifQ==</vt:lpwstr>
  </property>
</Properties>
</file>