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D8B77">
      <w:pPr>
        <w:spacing w:line="600" w:lineRule="exact"/>
        <w:jc w:val="center"/>
        <w:rPr>
          <w:rFonts w:hint="default" w:ascii="仿宋_GB2312" w:hAnsi="仿宋_GB2312" w:eastAsia="仿宋_GB2312" w:cs="仿宋_GB2312"/>
          <w:sz w:val="44"/>
          <w:szCs w:val="44"/>
          <w:lang w:val="en-US" w:eastAsia="zh-CN"/>
        </w:rPr>
      </w:pPr>
    </w:p>
    <w:p w14:paraId="52E90DA2">
      <w:pPr>
        <w:rPr>
          <w:rFonts w:hint="eastAsia" w:ascii="方正小标宋简体" w:hAnsi="方正小标宋简体" w:eastAsia="方正小标宋简体" w:cs="方正小标宋简体"/>
          <w:sz w:val="28"/>
          <w:szCs w:val="28"/>
        </w:rPr>
      </w:pPr>
    </w:p>
    <w:p w14:paraId="70F9E468">
      <w:pPr>
        <w:jc w:val="center"/>
        <w:rPr>
          <w:rFonts w:hint="eastAsia" w:ascii="方正小标宋简体" w:hAnsi="方正小标宋简体" w:eastAsia="方正小标宋简体" w:cs="方正小标宋简体"/>
          <w:color w:val="000000"/>
          <w:sz w:val="32"/>
          <w:highlight w:val="none"/>
        </w:rPr>
      </w:pPr>
      <w:r>
        <w:rPr>
          <w:rFonts w:hint="eastAsia" w:ascii="方正小标宋简体" w:hAnsi="方正小标宋简体" w:eastAsia="方正小标宋简体" w:cs="方正小标宋简体"/>
          <w:sz w:val="32"/>
        </w:rPr>
        <w:t xml:space="preserve">                          </w:t>
      </w:r>
      <w:r>
        <w:rPr>
          <w:rFonts w:hint="eastAsia" w:ascii="方正小标宋简体" w:hAnsi="方正小标宋简体" w:eastAsia="方正小标宋简体" w:cs="方正小标宋简体"/>
          <w:sz w:val="32"/>
          <w:highlight w:val="none"/>
        </w:rPr>
        <w:t xml:space="preserve">  </w:t>
      </w:r>
      <w:r>
        <w:rPr>
          <w:rFonts w:hint="eastAsia" w:ascii="仿宋_GB2312" w:hAnsi="仿宋_GB2312" w:eastAsia="仿宋_GB2312" w:cs="仿宋_GB2312"/>
          <w:color w:val="auto"/>
          <w:sz w:val="32"/>
          <w:highlight w:val="none"/>
        </w:rPr>
        <w:t>阜环审〔</w:t>
      </w:r>
      <w:r>
        <w:rPr>
          <w:rFonts w:hint="default" w:ascii="Times New Roman" w:hAnsi="Times New Roman" w:eastAsia="仿宋_GB2312" w:cs="Times New Roman"/>
          <w:color w:val="auto"/>
          <w:sz w:val="32"/>
          <w:highlight w:val="none"/>
        </w:rPr>
        <w:t>2026</w:t>
      </w:r>
      <w:r>
        <w:rPr>
          <w:rFonts w:hint="eastAsia" w:ascii="仿宋_GB2312" w:hAnsi="仿宋_GB2312" w:eastAsia="仿宋_GB2312" w:cs="仿宋_GB2312"/>
          <w:color w:val="auto"/>
          <w:sz w:val="32"/>
          <w:highlight w:val="none"/>
        </w:rPr>
        <w:t>〕</w:t>
      </w:r>
      <w:r>
        <w:rPr>
          <w:rFonts w:hint="default" w:ascii="Times New Roman" w:hAnsi="Times New Roman" w:eastAsia="仿宋_GB2312" w:cs="Times New Roman"/>
          <w:color w:val="auto"/>
          <w:sz w:val="32"/>
          <w:highlight w:val="none"/>
        </w:rPr>
        <w:t>1</w:t>
      </w:r>
      <w:r>
        <w:rPr>
          <w:rFonts w:hint="eastAsia" w:ascii="Times New Roman" w:hAnsi="Times New Roman" w:eastAsia="仿宋_GB2312" w:cs="Times New Roman"/>
          <w:color w:val="auto"/>
          <w:sz w:val="32"/>
          <w:highlight w:val="none"/>
          <w:lang w:val="en-US" w:eastAsia="zh-CN"/>
        </w:rPr>
        <w:t>15</w:t>
      </w:r>
      <w:r>
        <w:rPr>
          <w:rFonts w:hint="eastAsia" w:ascii="仿宋_GB2312" w:hAnsi="仿宋_GB2312" w:eastAsia="仿宋_GB2312" w:cs="仿宋_GB2312"/>
          <w:color w:val="auto"/>
          <w:sz w:val="32"/>
          <w:highlight w:val="none"/>
        </w:rPr>
        <w:t>号</w:t>
      </w:r>
    </w:p>
    <w:p w14:paraId="166D5279">
      <w:pPr>
        <w:jc w:val="center"/>
        <w:rPr>
          <w:rFonts w:hint="default" w:ascii="Times New Roman" w:hAnsi="Times New Roman" w:eastAsia="方正小标宋简体" w:cs="Times New Roman"/>
          <w:sz w:val="32"/>
          <w:szCs w:val="32"/>
        </w:rPr>
      </w:pPr>
      <w:r>
        <w:rPr>
          <w:rFonts w:hint="default" w:ascii="Times New Roman" w:hAnsi="Times New Roman" w:eastAsia="方正小标宋简体" w:cs="Times New Roman"/>
          <w:b w:val="0"/>
          <w:color w:val="auto"/>
          <w:kern w:val="2"/>
          <w:sz w:val="44"/>
          <w:szCs w:val="44"/>
          <w:lang w:val="en-US" w:eastAsia="zh-CN" w:bidi="ar-SA"/>
        </w:rPr>
        <w:t>关于《辽宁省阜蒙县查马屯铁矿详查项目环境影响报告表》的批复</w:t>
      </w:r>
    </w:p>
    <w:p w14:paraId="60127DCA">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迁安市金岭新材料科技有限公司：</w:t>
      </w:r>
    </w:p>
    <w:p w14:paraId="766817D7">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你单位报送的《辽宁省阜蒙县查马屯铁矿详查项目环境影响报告表》(以下简称《报告表》)及审查申请收悉，经研究，批复如下。</w:t>
      </w:r>
    </w:p>
    <w:p w14:paraId="39275DB3">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一、项目基本情况</w:t>
      </w:r>
    </w:p>
    <w:p w14:paraId="019CC8D9">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项目位于辽宁省阜新市阜新蒙古族自治县泡子镇查马屯村，面积约2.6177km</w:t>
      </w:r>
      <w:r>
        <w:rPr>
          <w:rFonts w:hint="default" w:ascii="Times New Roman" w:hAnsi="Times New Roman" w:eastAsia="仿宋_GB2312" w:cs="Times New Roman"/>
          <w:color w:val="auto"/>
          <w:spacing w:val="-10"/>
          <w:sz w:val="32"/>
          <w:szCs w:val="32"/>
          <w:highlight w:val="none"/>
          <w:vertAlign w:val="superscript"/>
          <w:lang w:val="en-US" w:eastAsia="zh-CN"/>
        </w:rPr>
        <w:t>2</w:t>
      </w:r>
      <w:r>
        <w:rPr>
          <w:rFonts w:hint="default" w:ascii="Times New Roman" w:hAnsi="Times New Roman" w:eastAsia="仿宋_GB2312" w:cs="Times New Roman"/>
          <w:color w:val="auto"/>
          <w:spacing w:val="-10"/>
          <w:sz w:val="32"/>
          <w:szCs w:val="32"/>
          <w:highlight w:val="none"/>
          <w:lang w:val="en-US" w:eastAsia="zh-CN"/>
        </w:rPr>
        <w:t>，设77个钻孔（包含7个预留孔），钻探工作量19780m，预留钻探工作量5000m，总投资6653.49万元，环保投资258.15万元。</w:t>
      </w:r>
    </w:p>
    <w:p w14:paraId="28100FF0">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阜新市生态环境保护服务中心以《辽宁省阜蒙县查马屯铁矿详查项目环境影响报告表评估意见》（阜环评估〔202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w:t>
      </w:r>
      <w:r>
        <w:rPr>
          <w:rFonts w:hint="eastAsia" w:ascii="Times New Roman" w:hAnsi="Times New Roman" w:eastAsia="仿宋_GB2312" w:cs="Times New Roman"/>
          <w:color w:val="auto"/>
          <w:spacing w:val="-10"/>
          <w:sz w:val="32"/>
          <w:szCs w:val="32"/>
          <w:highlight w:val="none"/>
          <w:lang w:val="en-US" w:eastAsia="zh-CN"/>
        </w:rPr>
        <w:t>53</w:t>
      </w:r>
      <w:r>
        <w:rPr>
          <w:rFonts w:hint="default" w:ascii="Times New Roman" w:hAnsi="Times New Roman" w:eastAsia="仿宋_GB2312" w:cs="Times New Roman"/>
          <w:color w:val="auto"/>
          <w:spacing w:val="-10"/>
          <w:sz w:val="32"/>
          <w:szCs w:val="32"/>
          <w:highlight w:val="none"/>
          <w:lang w:val="en-US" w:eastAsia="zh-CN"/>
        </w:rPr>
        <w:t>号）出具项目建设可行意见。该项目符合国家产业政策、行业规范要求，在全面落实《报告表》和本批复提出的各项环境保护措施后，工程建设对生态环境不利影响可以得到缓解和控制。我局原则同意《报告表》所列建设项目的性质、规模、工艺、地点和采取的生态环境保护措施。</w:t>
      </w:r>
    </w:p>
    <w:p w14:paraId="68E53B35">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二、对项目勘察期间要求</w:t>
      </w:r>
    </w:p>
    <w:p w14:paraId="24C029F4">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yellow"/>
          <w:lang w:val="en-US" w:eastAsia="zh-CN"/>
        </w:rPr>
      </w:pPr>
      <w:r>
        <w:rPr>
          <w:rFonts w:hint="eastAsia" w:ascii="Times New Roman" w:hAnsi="Times New Roman" w:eastAsia="仿宋_GB2312" w:cs="Times New Roman"/>
          <w:color w:val="auto"/>
          <w:spacing w:val="-10"/>
          <w:sz w:val="32"/>
          <w:szCs w:val="32"/>
          <w:highlight w:val="none"/>
          <w:lang w:val="en-US" w:eastAsia="zh-CN"/>
        </w:rPr>
        <w:t>（一）</w:t>
      </w:r>
      <w:r>
        <w:rPr>
          <w:rFonts w:hint="default" w:ascii="Times New Roman" w:hAnsi="Times New Roman" w:eastAsia="仿宋_GB2312" w:cs="Times New Roman"/>
          <w:color w:val="auto"/>
          <w:spacing w:val="-10"/>
          <w:sz w:val="32"/>
          <w:szCs w:val="32"/>
          <w:highlight w:val="none"/>
          <w:lang w:val="en-US" w:eastAsia="zh-CN"/>
        </w:rPr>
        <w:t>勘察期间产生的废气主要为钻探等工程中产生的扬尘，运输车辆的废气及柴油发电机产生的废气。要求建设单位严格按照环境影响评价报告表所提出的防治措施和管理要求进行施工，加强施工现场管理，尽可能减少扬尘的产生。施工期所用车辆废气排放应达到国家规定的标准。车辆运行操作过程应文明驾驶，合理操作，降低废气排放浓度，减少废气排放量。</w:t>
      </w:r>
    </w:p>
    <w:p w14:paraId="260DA46E">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（二）</w:t>
      </w:r>
      <w:r>
        <w:rPr>
          <w:rFonts w:hint="default" w:ascii="Times New Roman" w:hAnsi="Times New Roman" w:eastAsia="仿宋_GB2312" w:cs="Times New Roman"/>
          <w:color w:val="auto"/>
          <w:spacing w:val="-10"/>
          <w:sz w:val="32"/>
          <w:szCs w:val="32"/>
          <w:highlight w:val="none"/>
          <w:lang w:val="en-US" w:eastAsia="zh-CN"/>
        </w:rPr>
        <w:t>勘察期间产生的废水主要为施工废水和生活废水。</w:t>
      </w:r>
      <w:r>
        <w:rPr>
          <w:rFonts w:hint="eastAsia" w:ascii="Times New Roman" w:hAnsi="Times New Roman" w:eastAsia="仿宋_GB2312" w:cs="Times New Roman"/>
          <w:color w:val="auto"/>
          <w:spacing w:val="-10"/>
          <w:sz w:val="32"/>
          <w:szCs w:val="32"/>
          <w:highlight w:val="none"/>
          <w:lang w:val="en-US" w:eastAsia="zh-CN"/>
        </w:rPr>
        <w:t>该项目</w:t>
      </w:r>
      <w:r>
        <w:rPr>
          <w:rFonts w:hint="default" w:ascii="Times New Roman" w:hAnsi="Times New Roman" w:eastAsia="仿宋_GB2312" w:cs="Times New Roman"/>
          <w:color w:val="auto"/>
          <w:spacing w:val="-10"/>
          <w:sz w:val="32"/>
          <w:szCs w:val="32"/>
          <w:highlight w:val="none"/>
          <w:lang w:val="en-US" w:eastAsia="zh-CN"/>
        </w:rPr>
        <w:t>每个钻孔平台设置1座有效容积约1m</w:t>
      </w:r>
      <w:r>
        <w:rPr>
          <w:rFonts w:hint="default" w:ascii="Times New Roman" w:hAnsi="Times New Roman" w:eastAsia="仿宋_GB2312" w:cs="Times New Roman"/>
          <w:color w:val="auto"/>
          <w:spacing w:val="-10"/>
          <w:sz w:val="32"/>
          <w:szCs w:val="32"/>
          <w:highlight w:val="none"/>
          <w:vertAlign w:val="superscript"/>
          <w:lang w:val="en-US" w:eastAsia="zh-CN"/>
        </w:rPr>
        <w:t>3</w:t>
      </w:r>
      <w:r>
        <w:rPr>
          <w:rFonts w:hint="default" w:ascii="Times New Roman" w:hAnsi="Times New Roman" w:eastAsia="仿宋_GB2312" w:cs="Times New Roman"/>
          <w:color w:val="auto"/>
          <w:spacing w:val="-10"/>
          <w:sz w:val="32"/>
          <w:szCs w:val="32"/>
          <w:highlight w:val="none"/>
          <w:lang w:val="en-US" w:eastAsia="zh-CN"/>
        </w:rPr>
        <w:t>的临时泥浆池</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处理钻探产生的泥浆废水，泥浆废水经泥浆池沉淀</w:t>
      </w:r>
      <w:r>
        <w:rPr>
          <w:rFonts w:hint="eastAsia" w:ascii="Times New Roman" w:hAnsi="Times New Roman" w:eastAsia="仿宋_GB2312" w:cs="Times New Roman"/>
          <w:color w:val="auto"/>
          <w:spacing w:val="-10"/>
          <w:sz w:val="32"/>
          <w:szCs w:val="32"/>
          <w:highlight w:val="none"/>
          <w:lang w:val="en-US" w:eastAsia="zh-CN"/>
        </w:rPr>
        <w:t>处理后，</w:t>
      </w:r>
      <w:r>
        <w:rPr>
          <w:rFonts w:hint="default" w:ascii="Times New Roman" w:hAnsi="Times New Roman" w:eastAsia="仿宋_GB2312" w:cs="Times New Roman"/>
          <w:color w:val="auto"/>
          <w:spacing w:val="-10"/>
          <w:sz w:val="32"/>
          <w:szCs w:val="32"/>
          <w:highlight w:val="none"/>
          <w:lang w:val="en-US" w:eastAsia="zh-CN"/>
        </w:rPr>
        <w:t>用于施工区域洒水降尘、植被恢复。生活废水</w:t>
      </w:r>
      <w:r>
        <w:rPr>
          <w:rFonts w:hint="eastAsia" w:ascii="Times New Roman" w:hAnsi="Times New Roman" w:eastAsia="仿宋_GB2312" w:cs="Times New Roman"/>
          <w:color w:val="auto"/>
          <w:spacing w:val="-10"/>
          <w:sz w:val="32"/>
          <w:szCs w:val="32"/>
          <w:highlight w:val="none"/>
          <w:lang w:val="en-US" w:eastAsia="zh-CN"/>
        </w:rPr>
        <w:t>排入防渗</w:t>
      </w:r>
      <w:r>
        <w:rPr>
          <w:rFonts w:hint="default" w:ascii="Times New Roman" w:hAnsi="Times New Roman" w:eastAsia="仿宋_GB2312" w:cs="Times New Roman"/>
          <w:color w:val="auto"/>
          <w:spacing w:val="-10"/>
          <w:sz w:val="32"/>
          <w:szCs w:val="32"/>
          <w:highlight w:val="none"/>
          <w:lang w:val="en-US" w:eastAsia="zh-CN"/>
        </w:rPr>
        <w:t>旱厕，定期清掏</w:t>
      </w:r>
      <w:r>
        <w:rPr>
          <w:rFonts w:hint="eastAsia" w:ascii="Times New Roman" w:hAnsi="Times New Roman" w:eastAsia="仿宋_GB2312" w:cs="Times New Roman"/>
          <w:color w:val="auto"/>
          <w:spacing w:val="-10"/>
          <w:sz w:val="32"/>
          <w:szCs w:val="32"/>
          <w:highlight w:val="none"/>
          <w:lang w:val="en-US" w:eastAsia="zh-CN"/>
        </w:rPr>
        <w:t>不外排。</w:t>
      </w:r>
    </w:p>
    <w:p w14:paraId="1F3D884D">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勘察期间各种机械设备、运输车辆工作时有噪声产生，要求建设单位加强管理，采用湿法作业，采取选择低噪声的施工机械，</w:t>
      </w:r>
      <w:r>
        <w:rPr>
          <w:rFonts w:hint="eastAsia" w:ascii="Times New Roman" w:hAnsi="Times New Roman" w:eastAsia="仿宋_GB2312" w:cs="Times New Roman"/>
          <w:color w:val="auto"/>
          <w:spacing w:val="-10"/>
          <w:sz w:val="32"/>
          <w:szCs w:val="32"/>
          <w:highlight w:val="none"/>
          <w:lang w:val="en-US" w:eastAsia="zh-CN"/>
        </w:rPr>
        <w:t>应</w:t>
      </w:r>
      <w:r>
        <w:rPr>
          <w:rFonts w:hint="default" w:ascii="Times New Roman" w:hAnsi="Times New Roman" w:eastAsia="仿宋_GB2312" w:cs="Times New Roman"/>
          <w:color w:val="auto"/>
          <w:spacing w:val="-10"/>
          <w:sz w:val="32"/>
          <w:szCs w:val="32"/>
          <w:highlight w:val="none"/>
          <w:lang w:val="en-US" w:eastAsia="zh-CN"/>
        </w:rPr>
        <w:t>满足《建筑施工场界环境噪声排放标准》（GB12523-2011）</w:t>
      </w:r>
      <w:r>
        <w:rPr>
          <w:rFonts w:hint="eastAsia" w:ascii="Times New Roman" w:hAnsi="Times New Roman" w:eastAsia="仿宋_GB2312" w:cs="Times New Roman"/>
          <w:color w:val="auto"/>
          <w:spacing w:val="-10"/>
          <w:sz w:val="32"/>
          <w:szCs w:val="32"/>
          <w:highlight w:val="none"/>
          <w:lang w:val="en-US" w:eastAsia="zh-CN"/>
        </w:rPr>
        <w:t>。</w:t>
      </w:r>
    </w:p>
    <w:p w14:paraId="4002EE52">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（四）</w:t>
      </w:r>
      <w:r>
        <w:rPr>
          <w:rFonts w:hint="default" w:ascii="Times New Roman" w:hAnsi="Times New Roman" w:eastAsia="仿宋_GB2312" w:cs="Times New Roman"/>
          <w:color w:val="auto"/>
          <w:spacing w:val="-10"/>
          <w:sz w:val="32"/>
          <w:szCs w:val="32"/>
          <w:highlight w:val="none"/>
          <w:lang w:val="en-US" w:eastAsia="zh-CN"/>
        </w:rPr>
        <w:t>勘察期间产生的固废主要为表土剥离产生的表土</w:t>
      </w:r>
      <w:r>
        <w:rPr>
          <w:rFonts w:hint="eastAsia" w:ascii="Times New Roman" w:hAnsi="Times New Roman" w:eastAsia="仿宋_GB2312" w:cs="Times New Roman"/>
          <w:color w:val="auto"/>
          <w:spacing w:val="-10"/>
          <w:sz w:val="32"/>
          <w:szCs w:val="32"/>
          <w:highlight w:val="none"/>
          <w:lang w:val="en-US" w:eastAsia="zh-CN"/>
        </w:rPr>
        <w:t>、泥浆池挖方、防渗混凝土、岩芯、泥浆池底泥和</w:t>
      </w:r>
      <w:r>
        <w:rPr>
          <w:rFonts w:hint="default" w:ascii="Times New Roman" w:hAnsi="Times New Roman" w:eastAsia="仿宋_GB2312" w:cs="Times New Roman"/>
          <w:color w:val="auto"/>
          <w:spacing w:val="-10"/>
          <w:sz w:val="32"/>
          <w:szCs w:val="32"/>
          <w:highlight w:val="none"/>
          <w:lang w:val="en-US" w:eastAsia="zh-CN"/>
        </w:rPr>
        <w:t>生活垃圾。表土</w:t>
      </w:r>
      <w:r>
        <w:rPr>
          <w:rFonts w:hint="eastAsia" w:ascii="Times New Roman" w:hAnsi="Times New Roman" w:eastAsia="仿宋_GB2312" w:cs="Times New Roman"/>
          <w:color w:val="auto"/>
          <w:spacing w:val="-10"/>
          <w:sz w:val="32"/>
          <w:szCs w:val="32"/>
          <w:highlight w:val="none"/>
          <w:lang w:val="en-US" w:eastAsia="zh-CN"/>
        </w:rPr>
        <w:t>、泥浆池挖方、干化后的泥浆池底泥</w:t>
      </w:r>
      <w:r>
        <w:rPr>
          <w:rFonts w:hint="default" w:ascii="Times New Roman" w:hAnsi="Times New Roman" w:eastAsia="仿宋_GB2312" w:cs="Times New Roman"/>
          <w:color w:val="auto"/>
          <w:spacing w:val="-10"/>
          <w:sz w:val="32"/>
          <w:szCs w:val="32"/>
          <w:highlight w:val="none"/>
          <w:lang w:val="en-US" w:eastAsia="zh-CN"/>
        </w:rPr>
        <w:t>临时堆放在堆土场，待钻探施工结束后立即回填夯实，并对场地进行植被恢复</w:t>
      </w:r>
      <w:r>
        <w:rPr>
          <w:rFonts w:hint="eastAsia" w:ascii="Times New Roman" w:hAnsi="Times New Roman" w:eastAsia="仿宋_GB2312" w:cs="Times New Roman"/>
          <w:color w:val="auto"/>
          <w:spacing w:val="-10"/>
          <w:sz w:val="32"/>
          <w:szCs w:val="32"/>
          <w:highlight w:val="none"/>
          <w:lang w:val="en-US" w:eastAsia="zh-CN"/>
        </w:rPr>
        <w:t>；防渗混凝土运至建筑垃圾填埋场进行填埋；岩芯带回实验室进行分析化验，剩余的岩芯及时存放到岩芯库，留以后用，日产日清，现场不进行存放；</w:t>
      </w:r>
      <w:r>
        <w:rPr>
          <w:rFonts w:hint="default" w:ascii="Times New Roman" w:hAnsi="Times New Roman" w:eastAsia="仿宋_GB2312" w:cs="Times New Roman"/>
          <w:color w:val="auto"/>
          <w:spacing w:val="-10"/>
          <w:sz w:val="32"/>
          <w:szCs w:val="32"/>
          <w:highlight w:val="none"/>
          <w:lang w:val="en-US" w:eastAsia="zh-CN"/>
        </w:rPr>
        <w:t>生活垃圾定期交由环卫部门统一处理</w:t>
      </w:r>
      <w:r>
        <w:rPr>
          <w:rFonts w:hint="eastAsia" w:ascii="Times New Roman" w:hAnsi="Times New Roman" w:eastAsia="仿宋_GB2312" w:cs="Times New Roman"/>
          <w:color w:val="auto"/>
          <w:spacing w:val="-10"/>
          <w:sz w:val="32"/>
          <w:szCs w:val="32"/>
          <w:highlight w:val="none"/>
          <w:lang w:val="en-US" w:eastAsia="zh-CN"/>
        </w:rPr>
        <w:t>。</w:t>
      </w:r>
    </w:p>
    <w:p w14:paraId="3FE29043">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yellow"/>
          <w:lang w:val="en-US" w:eastAsia="zh-CN"/>
        </w:rPr>
      </w:pPr>
      <w:r>
        <w:rPr>
          <w:rFonts w:hint="eastAsia" w:ascii="Times New Roman" w:hAnsi="Times New Roman" w:eastAsia="仿宋_GB2312" w:cs="Times New Roman"/>
          <w:color w:val="auto"/>
          <w:spacing w:val="-10"/>
          <w:sz w:val="32"/>
          <w:szCs w:val="32"/>
          <w:highlight w:val="none"/>
          <w:lang w:val="en-US" w:eastAsia="zh-CN"/>
        </w:rPr>
        <w:t>（五）</w:t>
      </w:r>
      <w:r>
        <w:rPr>
          <w:rFonts w:hint="default" w:ascii="Times New Roman" w:hAnsi="Times New Roman" w:eastAsia="仿宋_GB2312" w:cs="Times New Roman"/>
          <w:color w:val="auto"/>
          <w:spacing w:val="-10"/>
          <w:sz w:val="32"/>
          <w:szCs w:val="32"/>
          <w:highlight w:val="none"/>
          <w:lang w:val="en-US" w:eastAsia="zh-CN"/>
        </w:rPr>
        <w:t>要求建设单位加强生态保护，严格落实报告表所提出的各项防治措施及水土保持方案。同时，在施工过程中要尽可能减少对地表土壤及植被破坏，在施工结束后种植适宜植被，及时恢复生态环境，防止水土流失。</w:t>
      </w:r>
    </w:p>
    <w:p w14:paraId="1AD03549">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你公司应落实生态环境保护主体责任，建立内部生态环境管理体系，明确机构、人员、职责和制度，加强生态环境管理，落实各项生态环境保护措施。项目建设应严格执行环境保护设施与主体工程同时设计、同时施工、同时投产使用的环境保护“三同时”制度，项目投产前，须按规定程序落实排污许可工作及进行竣工环境保护验收，编制验收报告应向社会公开。</w:t>
      </w:r>
    </w:p>
    <w:p w14:paraId="7B8E5239">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四</w:t>
      </w:r>
      <w:r>
        <w:rPr>
          <w:rFonts w:hint="default" w:ascii="Times New Roman" w:hAnsi="Times New Roman" w:eastAsia="仿宋_GB2312" w:cs="Times New Roman"/>
          <w:color w:val="auto"/>
          <w:spacing w:val="-10"/>
          <w:sz w:val="32"/>
          <w:szCs w:val="32"/>
          <w:highlight w:val="none"/>
          <w:lang w:val="en-US" w:eastAsia="zh-CN"/>
        </w:rPr>
        <w:t>、环境影响报告经批准后，建设项目的性质、规模、地点、采用的生产工艺或者防治污染、防止生态破坏的措施等发生重大变动的，你公司应当重新报批环境影响报告。环境影响报告批准之日起超过五年，方决定项目开工建设的，应当报我局重新审核。</w:t>
      </w:r>
    </w:p>
    <w:p w14:paraId="3DFE631A">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五</w:t>
      </w:r>
      <w:r>
        <w:rPr>
          <w:rFonts w:hint="default" w:ascii="Times New Roman" w:hAnsi="Times New Roman" w:eastAsia="仿宋_GB2312" w:cs="Times New Roman"/>
          <w:color w:val="auto"/>
          <w:spacing w:val="-10"/>
          <w:sz w:val="32"/>
          <w:szCs w:val="32"/>
          <w:highlight w:val="none"/>
          <w:lang w:val="en-US" w:eastAsia="zh-CN"/>
        </w:rPr>
        <w:t>、请阜新蒙古族自治县生态环境保护综合行政执法队负责该项目日常的环境保护监督检查工作。</w:t>
      </w:r>
    </w:p>
    <w:p w14:paraId="4FB0C3AA">
      <w:pPr>
        <w:pStyle w:val="11"/>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03D0945C">
      <w:pPr>
        <w:pStyle w:val="11"/>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5D854E40">
      <w:pPr>
        <w:pStyle w:val="11"/>
        <w:keepNext w:val="0"/>
        <w:keepLines w:val="0"/>
        <w:pageBreakBefore w:val="0"/>
        <w:widowControl/>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lang w:val="en-US" w:eastAsia="zh-CN"/>
        </w:rPr>
      </w:pPr>
    </w:p>
    <w:p w14:paraId="3B6EF9AA">
      <w:pPr>
        <w:pStyle w:val="11"/>
        <w:keepNext w:val="0"/>
        <w:keepLines w:val="0"/>
        <w:pageBreakBefore w:val="0"/>
        <w:widowControl/>
        <w:kinsoku/>
        <w:wordWrap/>
        <w:overflowPunct/>
        <w:topLinePunct w:val="0"/>
        <w:autoSpaceDE/>
        <w:autoSpaceDN/>
        <w:bidi w:val="0"/>
        <w:adjustRightInd/>
        <w:snapToGrid/>
        <w:spacing w:line="576" w:lineRule="exact"/>
        <w:ind w:firstLine="5700" w:firstLineChars="1900"/>
        <w:textAlignment w:val="auto"/>
        <w:rPr>
          <w:rFonts w:hint="default" w:ascii="Times New Roman" w:hAnsi="Times New Roman" w:eastAsia="仿宋_GB2312" w:cs="Times New Roman"/>
          <w:color w:val="auto"/>
          <w:spacing w:val="-10"/>
          <w:sz w:val="32"/>
          <w:szCs w:val="32"/>
          <w:lang w:val="en-US" w:eastAsia="zh-CN"/>
        </w:rPr>
      </w:pPr>
    </w:p>
    <w:p w14:paraId="39381E85">
      <w:pPr>
        <w:pStyle w:val="11"/>
        <w:keepNext w:val="0"/>
        <w:keepLines w:val="0"/>
        <w:pageBreakBefore w:val="0"/>
        <w:widowControl/>
        <w:kinsoku/>
        <w:wordWrap/>
        <w:overflowPunct/>
        <w:topLinePunct w:val="0"/>
        <w:autoSpaceDE/>
        <w:autoSpaceDN/>
        <w:bidi w:val="0"/>
        <w:adjustRightInd/>
        <w:snapToGrid/>
        <w:spacing w:line="576" w:lineRule="exact"/>
        <w:ind w:firstLine="5700" w:firstLineChars="19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阜新市生态环境局</w:t>
      </w:r>
    </w:p>
    <w:p w14:paraId="4324493C">
      <w:pPr>
        <w:pStyle w:val="11"/>
        <w:keepNext w:val="0"/>
        <w:keepLines w:val="0"/>
        <w:pageBreakBefore w:val="0"/>
        <w:widowControl/>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yellow"/>
          <w:lang w:val="en-US" w:eastAsia="zh-CN"/>
        </w:rPr>
      </w:pPr>
      <w:r>
        <w:rPr>
          <w:rFonts w:hint="default" w:ascii="Times New Roman" w:hAnsi="Times New Roman" w:eastAsia="仿宋_GB2312" w:cs="Times New Roman"/>
          <w:color w:val="auto"/>
          <w:spacing w:val="-10"/>
          <w:sz w:val="32"/>
          <w:szCs w:val="32"/>
          <w:highlight w:val="none"/>
          <w:lang w:val="en-US" w:eastAsia="zh-CN"/>
        </w:rPr>
        <w:t xml:space="preserve">                                   </w:t>
      </w:r>
      <w:bookmarkStart w:id="0" w:name="_GoBack"/>
      <w:r>
        <w:rPr>
          <w:rFonts w:hint="default" w:ascii="Times New Roman" w:hAnsi="Times New Roman" w:eastAsia="仿宋_GB2312" w:cs="Times New Roman"/>
          <w:color w:val="auto"/>
          <w:spacing w:val="-10"/>
          <w:sz w:val="32"/>
          <w:szCs w:val="32"/>
          <w:highlight w:val="none"/>
          <w:lang w:val="en-US" w:eastAsia="zh-CN"/>
        </w:rPr>
        <w:t xml:space="preserve"> 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年</w:t>
      </w:r>
      <w:r>
        <w:rPr>
          <w:rFonts w:hint="eastAsia" w:ascii="Times New Roman" w:hAnsi="Times New Roman" w:eastAsia="仿宋_GB2312" w:cs="Times New Roman"/>
          <w:color w:val="auto"/>
          <w:spacing w:val="-10"/>
          <w:sz w:val="32"/>
          <w:szCs w:val="32"/>
          <w:highlight w:val="none"/>
          <w:lang w:val="en-US" w:eastAsia="zh-CN"/>
        </w:rPr>
        <w:t>5</w:t>
      </w:r>
      <w:r>
        <w:rPr>
          <w:rFonts w:hint="default" w:ascii="Times New Roman" w:hAnsi="Times New Roman" w:eastAsia="仿宋_GB2312" w:cs="Times New Roman"/>
          <w:color w:val="auto"/>
          <w:spacing w:val="-10"/>
          <w:sz w:val="32"/>
          <w:szCs w:val="32"/>
          <w:highlight w:val="none"/>
          <w:lang w:val="en-US" w:eastAsia="zh-CN"/>
        </w:rPr>
        <w:t>月</w:t>
      </w:r>
      <w:r>
        <w:rPr>
          <w:rFonts w:hint="eastAsia" w:ascii="Times New Roman" w:hAnsi="Times New Roman" w:eastAsia="仿宋_GB2312" w:cs="Times New Roman"/>
          <w:color w:val="auto"/>
          <w:spacing w:val="-10"/>
          <w:sz w:val="32"/>
          <w:szCs w:val="32"/>
          <w:highlight w:val="none"/>
          <w:lang w:val="en-US" w:eastAsia="zh-CN"/>
        </w:rPr>
        <w:t>19</w:t>
      </w:r>
      <w:r>
        <w:rPr>
          <w:rFonts w:hint="default" w:ascii="Times New Roman" w:hAnsi="Times New Roman" w:eastAsia="仿宋_GB2312" w:cs="Times New Roman"/>
          <w:color w:val="auto"/>
          <w:spacing w:val="-10"/>
          <w:sz w:val="32"/>
          <w:szCs w:val="32"/>
          <w:highlight w:val="none"/>
          <w:lang w:val="en-US" w:eastAsia="zh-CN"/>
        </w:rPr>
        <w:t>日</w:t>
      </w:r>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5FF233B7-C668-4149-A408-33D2C1E39882}"/>
  </w:font>
  <w:font w:name="仿宋_GB2312">
    <w:panose1 w:val="02010609030101010101"/>
    <w:charset w:val="86"/>
    <w:family w:val="modern"/>
    <w:pitch w:val="default"/>
    <w:sig w:usb0="00000001" w:usb1="080E0000" w:usb2="00000000" w:usb3="00000000" w:csb0="00040000" w:csb1="00000000"/>
    <w:embedRegular r:id="rId2" w:fontKey="{2A92289B-720A-4399-ABCC-5406204C1DBB}"/>
  </w:font>
  <w:font w:name="TimesNewRomanPSMT">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3" w:fontKey="{CD9CD2C0-25B4-4E6D-BF16-758C70B21A3B}"/>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6AE1">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BD9C5B">
                          <w:pPr>
                            <w:pStyle w:val="8"/>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00BD9C5B">
                    <w:pPr>
                      <w:pStyle w:val="8"/>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F54D5"/>
    <w:rsid w:val="000062D9"/>
    <w:rsid w:val="00007F22"/>
    <w:rsid w:val="00043BA5"/>
    <w:rsid w:val="0005407F"/>
    <w:rsid w:val="000623ED"/>
    <w:rsid w:val="00073BF7"/>
    <w:rsid w:val="000772DF"/>
    <w:rsid w:val="00077350"/>
    <w:rsid w:val="00077DE7"/>
    <w:rsid w:val="00087C75"/>
    <w:rsid w:val="00094132"/>
    <w:rsid w:val="0009609B"/>
    <w:rsid w:val="000B72A8"/>
    <w:rsid w:val="000E0F2A"/>
    <w:rsid w:val="000E2BE0"/>
    <w:rsid w:val="000F41D6"/>
    <w:rsid w:val="000F53C5"/>
    <w:rsid w:val="0010758B"/>
    <w:rsid w:val="00111C6F"/>
    <w:rsid w:val="00126122"/>
    <w:rsid w:val="00136E39"/>
    <w:rsid w:val="00140916"/>
    <w:rsid w:val="0014796A"/>
    <w:rsid w:val="00151995"/>
    <w:rsid w:val="00155F05"/>
    <w:rsid w:val="00171391"/>
    <w:rsid w:val="001731AA"/>
    <w:rsid w:val="00183E2C"/>
    <w:rsid w:val="0018776B"/>
    <w:rsid w:val="00191FDF"/>
    <w:rsid w:val="00194074"/>
    <w:rsid w:val="001A6C6B"/>
    <w:rsid w:val="001C2CCB"/>
    <w:rsid w:val="001C50A0"/>
    <w:rsid w:val="001E3942"/>
    <w:rsid w:val="00225D8D"/>
    <w:rsid w:val="00241147"/>
    <w:rsid w:val="002456ED"/>
    <w:rsid w:val="00251255"/>
    <w:rsid w:val="00261BD0"/>
    <w:rsid w:val="002653A2"/>
    <w:rsid w:val="00274C2A"/>
    <w:rsid w:val="002940A1"/>
    <w:rsid w:val="00294F26"/>
    <w:rsid w:val="002A0C67"/>
    <w:rsid w:val="002A47E0"/>
    <w:rsid w:val="002C739C"/>
    <w:rsid w:val="002D511A"/>
    <w:rsid w:val="002E7EE1"/>
    <w:rsid w:val="002F78E6"/>
    <w:rsid w:val="003348DE"/>
    <w:rsid w:val="0034667A"/>
    <w:rsid w:val="0038131F"/>
    <w:rsid w:val="003817C2"/>
    <w:rsid w:val="003A1ABB"/>
    <w:rsid w:val="003C2812"/>
    <w:rsid w:val="003E2C10"/>
    <w:rsid w:val="003F5744"/>
    <w:rsid w:val="0040137E"/>
    <w:rsid w:val="004020CD"/>
    <w:rsid w:val="00422223"/>
    <w:rsid w:val="00432132"/>
    <w:rsid w:val="00451962"/>
    <w:rsid w:val="004673DA"/>
    <w:rsid w:val="004936A2"/>
    <w:rsid w:val="004A1B68"/>
    <w:rsid w:val="004C0B50"/>
    <w:rsid w:val="004D0431"/>
    <w:rsid w:val="004E1A1D"/>
    <w:rsid w:val="00532829"/>
    <w:rsid w:val="0053649A"/>
    <w:rsid w:val="005465E0"/>
    <w:rsid w:val="00575605"/>
    <w:rsid w:val="005A0888"/>
    <w:rsid w:val="005A1518"/>
    <w:rsid w:val="005A5FBE"/>
    <w:rsid w:val="005C4072"/>
    <w:rsid w:val="005D0479"/>
    <w:rsid w:val="005D0F66"/>
    <w:rsid w:val="005F21FA"/>
    <w:rsid w:val="006037D7"/>
    <w:rsid w:val="00615B33"/>
    <w:rsid w:val="006310D1"/>
    <w:rsid w:val="00655A32"/>
    <w:rsid w:val="00662F6A"/>
    <w:rsid w:val="00664AB1"/>
    <w:rsid w:val="00671F04"/>
    <w:rsid w:val="00682423"/>
    <w:rsid w:val="00693153"/>
    <w:rsid w:val="006937DD"/>
    <w:rsid w:val="0069697F"/>
    <w:rsid w:val="006A35C1"/>
    <w:rsid w:val="006B2756"/>
    <w:rsid w:val="006C6436"/>
    <w:rsid w:val="006C753A"/>
    <w:rsid w:val="006E16EB"/>
    <w:rsid w:val="007109FE"/>
    <w:rsid w:val="0072384C"/>
    <w:rsid w:val="00740F46"/>
    <w:rsid w:val="00755A13"/>
    <w:rsid w:val="0076595C"/>
    <w:rsid w:val="0076661D"/>
    <w:rsid w:val="00791A8D"/>
    <w:rsid w:val="0079373D"/>
    <w:rsid w:val="007A4A4C"/>
    <w:rsid w:val="007A75A6"/>
    <w:rsid w:val="007B7BE4"/>
    <w:rsid w:val="007D2FB7"/>
    <w:rsid w:val="00811642"/>
    <w:rsid w:val="00820031"/>
    <w:rsid w:val="00831141"/>
    <w:rsid w:val="00892B01"/>
    <w:rsid w:val="008932AC"/>
    <w:rsid w:val="008A4530"/>
    <w:rsid w:val="008B7656"/>
    <w:rsid w:val="008D6311"/>
    <w:rsid w:val="008E2169"/>
    <w:rsid w:val="008F4787"/>
    <w:rsid w:val="00904FA0"/>
    <w:rsid w:val="009144D4"/>
    <w:rsid w:val="00930C45"/>
    <w:rsid w:val="00944C05"/>
    <w:rsid w:val="00952892"/>
    <w:rsid w:val="009614C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3220D"/>
    <w:rsid w:val="00A5305E"/>
    <w:rsid w:val="00A740DA"/>
    <w:rsid w:val="00A83971"/>
    <w:rsid w:val="00A94971"/>
    <w:rsid w:val="00AB136B"/>
    <w:rsid w:val="00AB1E2F"/>
    <w:rsid w:val="00AE7AE5"/>
    <w:rsid w:val="00AF3C50"/>
    <w:rsid w:val="00B04E5E"/>
    <w:rsid w:val="00B06557"/>
    <w:rsid w:val="00B155B3"/>
    <w:rsid w:val="00B37380"/>
    <w:rsid w:val="00B45AE3"/>
    <w:rsid w:val="00B72D92"/>
    <w:rsid w:val="00B74C9F"/>
    <w:rsid w:val="00B80099"/>
    <w:rsid w:val="00B8261A"/>
    <w:rsid w:val="00BB15E2"/>
    <w:rsid w:val="00BB64DD"/>
    <w:rsid w:val="00BC2061"/>
    <w:rsid w:val="00BE3D59"/>
    <w:rsid w:val="00C00DAF"/>
    <w:rsid w:val="00C11786"/>
    <w:rsid w:val="00C36D6C"/>
    <w:rsid w:val="00C422EA"/>
    <w:rsid w:val="00C4773E"/>
    <w:rsid w:val="00C50E21"/>
    <w:rsid w:val="00C544C6"/>
    <w:rsid w:val="00C56CCC"/>
    <w:rsid w:val="00C64E75"/>
    <w:rsid w:val="00C747E0"/>
    <w:rsid w:val="00C751B7"/>
    <w:rsid w:val="00C838C5"/>
    <w:rsid w:val="00C93F4B"/>
    <w:rsid w:val="00CA44E1"/>
    <w:rsid w:val="00CB7BED"/>
    <w:rsid w:val="00CC3361"/>
    <w:rsid w:val="00CC41EF"/>
    <w:rsid w:val="00CC64E4"/>
    <w:rsid w:val="00CE4BC1"/>
    <w:rsid w:val="00D14EC1"/>
    <w:rsid w:val="00D212D6"/>
    <w:rsid w:val="00D413D1"/>
    <w:rsid w:val="00D45FB1"/>
    <w:rsid w:val="00D52ECE"/>
    <w:rsid w:val="00D96AA6"/>
    <w:rsid w:val="00DA4D1A"/>
    <w:rsid w:val="00DB3A0C"/>
    <w:rsid w:val="00DC7288"/>
    <w:rsid w:val="00DD6305"/>
    <w:rsid w:val="00DE4724"/>
    <w:rsid w:val="00DF31E8"/>
    <w:rsid w:val="00DF3335"/>
    <w:rsid w:val="00E00AF7"/>
    <w:rsid w:val="00E01AC0"/>
    <w:rsid w:val="00E31E6E"/>
    <w:rsid w:val="00E3480C"/>
    <w:rsid w:val="00E419CF"/>
    <w:rsid w:val="00E43392"/>
    <w:rsid w:val="00E52B86"/>
    <w:rsid w:val="00E63467"/>
    <w:rsid w:val="00E74EEA"/>
    <w:rsid w:val="00E801DF"/>
    <w:rsid w:val="00E82E3C"/>
    <w:rsid w:val="00E87BDD"/>
    <w:rsid w:val="00EA2FDC"/>
    <w:rsid w:val="00EC40BD"/>
    <w:rsid w:val="00EE1422"/>
    <w:rsid w:val="00F078CD"/>
    <w:rsid w:val="00F21730"/>
    <w:rsid w:val="00F23B21"/>
    <w:rsid w:val="00F559CA"/>
    <w:rsid w:val="00F629DD"/>
    <w:rsid w:val="00F77694"/>
    <w:rsid w:val="00F872D2"/>
    <w:rsid w:val="00FA7471"/>
    <w:rsid w:val="00FB459C"/>
    <w:rsid w:val="00FB7EC7"/>
    <w:rsid w:val="00FC1639"/>
    <w:rsid w:val="00FD76A4"/>
    <w:rsid w:val="00FF642D"/>
    <w:rsid w:val="015E0632"/>
    <w:rsid w:val="044811AB"/>
    <w:rsid w:val="046B5F2C"/>
    <w:rsid w:val="09C93D97"/>
    <w:rsid w:val="0BBC084E"/>
    <w:rsid w:val="0CC24E3B"/>
    <w:rsid w:val="0D3800C0"/>
    <w:rsid w:val="0F052C75"/>
    <w:rsid w:val="10072898"/>
    <w:rsid w:val="10E53FB5"/>
    <w:rsid w:val="10FC3152"/>
    <w:rsid w:val="111A19EB"/>
    <w:rsid w:val="11BD515C"/>
    <w:rsid w:val="150D71A2"/>
    <w:rsid w:val="154F7486"/>
    <w:rsid w:val="15DA7390"/>
    <w:rsid w:val="15DE293D"/>
    <w:rsid w:val="161A0F29"/>
    <w:rsid w:val="1A455362"/>
    <w:rsid w:val="1A8D294F"/>
    <w:rsid w:val="1B6F74AD"/>
    <w:rsid w:val="1C671E27"/>
    <w:rsid w:val="1E8A2011"/>
    <w:rsid w:val="1FDE241E"/>
    <w:rsid w:val="1FEF9279"/>
    <w:rsid w:val="20D84A5D"/>
    <w:rsid w:val="213F6EF0"/>
    <w:rsid w:val="21A007BF"/>
    <w:rsid w:val="24B5094F"/>
    <w:rsid w:val="25CE1675"/>
    <w:rsid w:val="26163119"/>
    <w:rsid w:val="27744CF4"/>
    <w:rsid w:val="288129C2"/>
    <w:rsid w:val="28C0664B"/>
    <w:rsid w:val="29974297"/>
    <w:rsid w:val="2B9A67B0"/>
    <w:rsid w:val="2F9A5356"/>
    <w:rsid w:val="30336191"/>
    <w:rsid w:val="311331FC"/>
    <w:rsid w:val="33C2173C"/>
    <w:rsid w:val="3675140E"/>
    <w:rsid w:val="37DF4FA9"/>
    <w:rsid w:val="380F54D5"/>
    <w:rsid w:val="384606DC"/>
    <w:rsid w:val="38B83202"/>
    <w:rsid w:val="39AF55F1"/>
    <w:rsid w:val="3A15352A"/>
    <w:rsid w:val="3CD411CA"/>
    <w:rsid w:val="3D9A795C"/>
    <w:rsid w:val="3F7D3D9E"/>
    <w:rsid w:val="401F22EA"/>
    <w:rsid w:val="41CE596A"/>
    <w:rsid w:val="42BB1FD9"/>
    <w:rsid w:val="44F82176"/>
    <w:rsid w:val="45C67A8C"/>
    <w:rsid w:val="45D52A60"/>
    <w:rsid w:val="4698326B"/>
    <w:rsid w:val="47626D48"/>
    <w:rsid w:val="48156A2B"/>
    <w:rsid w:val="48D365C5"/>
    <w:rsid w:val="4AB34B18"/>
    <w:rsid w:val="4D6079C6"/>
    <w:rsid w:val="4DAF0F0C"/>
    <w:rsid w:val="4E361A17"/>
    <w:rsid w:val="4E9A4C01"/>
    <w:rsid w:val="51931E7A"/>
    <w:rsid w:val="52CA425E"/>
    <w:rsid w:val="53837051"/>
    <w:rsid w:val="54103074"/>
    <w:rsid w:val="57400C79"/>
    <w:rsid w:val="589B24D1"/>
    <w:rsid w:val="58E90DD4"/>
    <w:rsid w:val="5AC83A37"/>
    <w:rsid w:val="5D463024"/>
    <w:rsid w:val="5DEC3252"/>
    <w:rsid w:val="5FD0613A"/>
    <w:rsid w:val="61961D88"/>
    <w:rsid w:val="6297662A"/>
    <w:rsid w:val="630C4BC8"/>
    <w:rsid w:val="64A35F68"/>
    <w:rsid w:val="64F26DFF"/>
    <w:rsid w:val="654425D5"/>
    <w:rsid w:val="673552EF"/>
    <w:rsid w:val="676263F9"/>
    <w:rsid w:val="6A4D3FA6"/>
    <w:rsid w:val="6B595847"/>
    <w:rsid w:val="6CF95D08"/>
    <w:rsid w:val="6D6F5BB5"/>
    <w:rsid w:val="6EDC837C"/>
    <w:rsid w:val="6FA42FFA"/>
    <w:rsid w:val="6FD63656"/>
    <w:rsid w:val="7119657A"/>
    <w:rsid w:val="7184355E"/>
    <w:rsid w:val="71FB6048"/>
    <w:rsid w:val="739754C2"/>
    <w:rsid w:val="755F1973"/>
    <w:rsid w:val="76314207"/>
    <w:rsid w:val="76C63918"/>
    <w:rsid w:val="773F549E"/>
    <w:rsid w:val="78AE7E48"/>
    <w:rsid w:val="79974DA2"/>
    <w:rsid w:val="7D2F19A2"/>
    <w:rsid w:val="7D3B6CF8"/>
    <w:rsid w:val="7DF86AA5"/>
    <w:rsid w:val="7F060D40"/>
    <w:rsid w:val="7F6D07D6"/>
    <w:rsid w:val="7FBBCB82"/>
    <w:rsid w:val="7FDD1072"/>
    <w:rsid w:val="BCDF5D30"/>
    <w:rsid w:val="BFEF56B8"/>
    <w:rsid w:val="C7A75DEC"/>
    <w:rsid w:val="E7DF6848"/>
    <w:rsid w:val="EB0975AA"/>
    <w:rsid w:val="EEEF8FB7"/>
    <w:rsid w:val="FF6B18F6"/>
    <w:rsid w:val="FFEA5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contextualSpacing/>
      <w:outlineLvl w:val="1"/>
    </w:pPr>
    <w:rPr>
      <w:rFonts w:ascii="宋体" w:hAnsi="宋体" w:cs="宋体"/>
      <w:b/>
      <w:bCs/>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snapToGrid/>
      <w:spacing w:val="0"/>
      <w:kern w:val="2"/>
      <w:sz w:val="21"/>
      <w:szCs w:val="20"/>
    </w:rPr>
  </w:style>
  <w:style w:type="paragraph" w:styleId="4">
    <w:name w:val="Body Text"/>
    <w:basedOn w:val="1"/>
    <w:next w:val="1"/>
    <w:qFormat/>
    <w:uiPriority w:val="0"/>
    <w:pPr>
      <w:widowControl/>
      <w:snapToGrid w:val="0"/>
      <w:spacing w:before="60" w:after="160" w:line="259" w:lineRule="auto"/>
      <w:ind w:right="113"/>
    </w:pPr>
    <w:rPr>
      <w:kern w:val="0"/>
      <w:sz w:val="18"/>
      <w:szCs w:val="20"/>
    </w:rPr>
  </w:style>
  <w:style w:type="paragraph" w:styleId="5">
    <w:name w:val="Body Text Indent"/>
    <w:basedOn w:val="1"/>
    <w:next w:val="3"/>
    <w:qFormat/>
    <w:uiPriority w:val="0"/>
    <w:pPr>
      <w:ind w:firstLine="640" w:firstLineChars="200"/>
    </w:pPr>
    <w:rPr>
      <w:rFonts w:ascii="仿宋_GB2312" w:hAnsi="Times New Roman" w:eastAsia="仿宋_GB2312" w:cs="Times New Roman"/>
      <w:sz w:val="32"/>
      <w:szCs w:val="24"/>
    </w:rPr>
  </w:style>
  <w:style w:type="paragraph" w:styleId="6">
    <w:name w:val="Body Text Indent 2"/>
    <w:basedOn w:val="1"/>
    <w:next w:val="7"/>
    <w:unhideWhenUsed/>
    <w:qFormat/>
    <w:uiPriority w:val="0"/>
    <w:pPr>
      <w:widowControl w:val="0"/>
      <w:spacing w:after="120" w:line="480" w:lineRule="auto"/>
      <w:ind w:left="420" w:leftChars="200"/>
      <w:jc w:val="both"/>
    </w:pPr>
    <w:rPr>
      <w:rFonts w:ascii="Times New Roman" w:hAnsi="Times New Roman" w:eastAsia="宋体" w:cs="Times New Roman"/>
      <w:kern w:val="2"/>
      <w:sz w:val="28"/>
      <w:szCs w:val="24"/>
      <w:lang w:val="en-US" w:eastAsia="zh-CN" w:bidi="ar-SA"/>
    </w:rPr>
  </w:style>
  <w:style w:type="paragraph" w:styleId="7">
    <w:name w:val="Body Text First Indent"/>
    <w:basedOn w:val="4"/>
    <w:next w:val="1"/>
    <w:qFormat/>
    <w:uiPriority w:val="0"/>
    <w:pPr>
      <w:spacing w:after="120"/>
      <w:ind w:firstLine="420" w:firstLineChars="100"/>
      <w:jc w:val="both"/>
    </w:pPr>
    <w:rPr>
      <w:rFonts w:ascii="Times New Roman" w:hAnsi="Times New Roman"/>
      <w:sz w:val="28"/>
    </w:rPr>
  </w:style>
  <w:style w:type="paragraph" w:styleId="8">
    <w:name w:val="footer"/>
    <w:basedOn w:val="1"/>
    <w:link w:val="17"/>
    <w:qFormat/>
    <w:uiPriority w:val="0"/>
    <w:pPr>
      <w:tabs>
        <w:tab w:val="center" w:pos="4153"/>
        <w:tab w:val="right" w:pos="8306"/>
      </w:tabs>
      <w:snapToGrid w:val="0"/>
      <w:jc w:val="left"/>
    </w:pPr>
    <w:rPr>
      <w:sz w:val="18"/>
      <w:szCs w:val="18"/>
    </w:rPr>
  </w:style>
  <w:style w:type="paragraph" w:styleId="9">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10">
    <w:name w:val="footnote text"/>
    <w:basedOn w:val="1"/>
    <w:unhideWhenUsed/>
    <w:qFormat/>
    <w:uiPriority w:val="99"/>
    <w:pPr>
      <w:snapToGrid w:val="0"/>
      <w:jc w:val="left"/>
    </w:pPr>
    <w:rPr>
      <w:rFonts w:cs="宋体"/>
      <w:sz w:val="18"/>
    </w:rPr>
  </w:style>
  <w:style w:type="paragraph" w:styleId="11">
    <w:name w:val="Normal (Web)"/>
    <w:basedOn w:val="1"/>
    <w:unhideWhenUsed/>
    <w:qFormat/>
    <w:uiPriority w:val="99"/>
    <w:pPr>
      <w:jc w:val="left"/>
    </w:pPr>
    <w:rPr>
      <w:rFonts w:cs="Times New Roman"/>
      <w:kern w:val="0"/>
      <w:sz w:val="16"/>
      <w:szCs w:val="16"/>
    </w:rPr>
  </w:style>
  <w:style w:type="character" w:styleId="14">
    <w:name w:val="Strong"/>
    <w:qFormat/>
    <w:uiPriority w:val="22"/>
    <w:rPr>
      <w:b/>
    </w:rPr>
  </w:style>
  <w:style w:type="paragraph" w:customStyle="1" w:styleId="15">
    <w:name w:val="0正文"/>
    <w:basedOn w:val="5"/>
    <w:next w:val="1"/>
    <w:unhideWhenUsed/>
    <w:qFormat/>
    <w:uiPriority w:val="0"/>
    <w:pPr>
      <w:spacing w:line="300" w:lineRule="auto"/>
      <w:ind w:firstLine="480" w:firstLineChars="200"/>
    </w:pPr>
    <w:rPr>
      <w:sz w:val="24"/>
      <w:lang w:val="en-US" w:eastAsia="zh-CN" w:bidi="ar-SA"/>
    </w:rPr>
  </w:style>
  <w:style w:type="character" w:customStyle="1" w:styleId="16">
    <w:name w:val="页眉 Char"/>
    <w:basedOn w:val="13"/>
    <w:link w:val="9"/>
    <w:qFormat/>
    <w:uiPriority w:val="0"/>
    <w:rPr>
      <w:kern w:val="2"/>
      <w:sz w:val="18"/>
      <w:szCs w:val="18"/>
    </w:rPr>
  </w:style>
  <w:style w:type="character" w:customStyle="1" w:styleId="17">
    <w:name w:val="页脚 Char"/>
    <w:basedOn w:val="13"/>
    <w:link w:val="8"/>
    <w:qFormat/>
    <w:uiPriority w:val="0"/>
    <w:rPr>
      <w:kern w:val="2"/>
      <w:sz w:val="18"/>
      <w:szCs w:val="18"/>
    </w:rPr>
  </w:style>
  <w:style w:type="character" w:customStyle="1" w:styleId="18">
    <w:name w:val="fontstyle01"/>
    <w:basedOn w:val="13"/>
    <w:qFormat/>
    <w:uiPriority w:val="0"/>
    <w:rPr>
      <w:rFonts w:hint="eastAsia" w:ascii="宋体" w:hAnsi="宋体" w:eastAsia="宋体"/>
      <w:color w:val="000000"/>
      <w:sz w:val="22"/>
      <w:szCs w:val="22"/>
    </w:rPr>
  </w:style>
  <w:style w:type="character" w:customStyle="1" w:styleId="19">
    <w:name w:val="fontstyle21"/>
    <w:basedOn w:val="13"/>
    <w:qFormat/>
    <w:uiPriority w:val="0"/>
    <w:rPr>
      <w:rFonts w:hint="default" w:ascii="TimesNewRomanPSMT" w:hAnsi="TimesNewRomanPSMT"/>
      <w:color w:val="000000"/>
      <w:sz w:val="22"/>
      <w:szCs w:val="22"/>
    </w:rPr>
  </w:style>
  <w:style w:type="paragraph" w:customStyle="1" w:styleId="20">
    <w:name w:val="Table Text"/>
    <w:basedOn w:val="1"/>
    <w:semiHidden/>
    <w:qFormat/>
    <w:uiPriority w:val="0"/>
    <w:rPr>
      <w:rFonts w:ascii="宋体" w:hAnsi="宋体" w:eastAsia="宋体" w:cs="宋体"/>
      <w:sz w:val="24"/>
      <w:szCs w:val="24"/>
      <w:lang w:val="en-US" w:eastAsia="en-US" w:bidi="ar-SA"/>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1347</Words>
  <Characters>1402</Characters>
  <Lines>9</Lines>
  <Paragraphs>2</Paragraphs>
  <TotalTime>1</TotalTime>
  <ScaleCrop>false</ScaleCrop>
  <LinksUpToDate>false</LinksUpToDate>
  <CharactersWithSpaces>1466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2019-05-02T03:18:00Z</dcterms:created>
  <dc:creator>Administrator</dc:creator>
  <cp:lastModifiedBy>王小强</cp:lastModifiedBy>
  <cp:lastPrinted>2025-12-17T03:09:00Z</cp:lastPrinted>
  <dcterms:modified xsi:type="dcterms:W3CDTF">2026-05-12T01:36:00Z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1F877B9205644484B9A20622EA0D2DEE_13</vt:lpwstr>
  </property>
  <property fmtid="{D5CDD505-2E9C-101B-9397-08002B2CF9AE}" pid="4" name="KSOTemplateDocerSaveRecord">
    <vt:lpwstr>eyJoZGlkIjoiODM2ZjNhMGNjYjg1NDk2MDJlMGQzYzliNzIxYWUwY2YiLCJ1c2VySWQiOiIyODU0MTcyMzkifQ==</vt:lpwstr>
  </property>
</Properties>
</file>