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阜环审〔2026〕15</w:t>
      </w:r>
      <w:r>
        <w:rPr>
          <w:rFonts w:hint="eastAsia" w:ascii="仿宋_GB2312" w:hAnsi="仿宋_GB2312" w:eastAsia="仿宋_GB2312" w:cs="仿宋_GB2312"/>
          <w:color w:val="000000"/>
          <w:sz w:val="32"/>
        </w:rPr>
        <w:t>号</w:t>
      </w:r>
    </w:p>
    <w:p>
      <w:pPr>
        <w:snapToGrid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关于《阜新市新邱独立工矿区煤化工产业基地精细化工污水处理厂项目（重大变动）</w:t>
      </w:r>
    </w:p>
    <w:p>
      <w:pPr>
        <w:snapToGrid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环境影响报告书》的批复</w:t>
      </w:r>
    </w:p>
    <w:p>
      <w:pPr>
        <w:jc w:val="center"/>
        <w:rPr>
          <w:rFonts w:ascii="宋体" w:hAnsi="宋体" w:eastAsia="宋体" w:cs="宋体"/>
          <w:sz w:val="18"/>
        </w:rPr>
      </w:pPr>
    </w:p>
    <w:p>
      <w:pPr>
        <w:spacing w:line="590" w:lineRule="exac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阜新绿源环保有限公司：</w:t>
      </w:r>
    </w:p>
    <w:p>
      <w:pPr>
        <w:spacing w:line="590"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你单位报送的《阜新市新邱独立工矿区煤化工产业基地精细化工污水处理厂项目（重大变动）环境影响报告书》（以下简称《报告书》）及申请收悉，经我局建设项目审查委员会研究，批复如下：</w:t>
      </w:r>
    </w:p>
    <w:p>
      <w:pPr>
        <w:ind w:firstLine="600" w:firstLineChars="200"/>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 xml:space="preserve">一、本项目位于辽宁省阜新市新邱经济开发区大唐北路 </w:t>
      </w:r>
      <w:r>
        <w:rPr>
          <w:rFonts w:ascii="仿宋_GB2312" w:hAnsi="仿宋" w:eastAsia="仿宋_GB2312" w:cs="仿宋"/>
          <w:color w:val="000000" w:themeColor="text1"/>
          <w:spacing w:val="-10"/>
          <w:sz w:val="32"/>
          <w:szCs w:val="32"/>
        </w:rPr>
        <w:t xml:space="preserve">1 </w:t>
      </w:r>
      <w:r>
        <w:rPr>
          <w:rFonts w:hint="eastAsia" w:ascii="仿宋_GB2312" w:hAnsi="仿宋" w:eastAsia="仿宋_GB2312" w:cs="仿宋"/>
          <w:color w:val="000000" w:themeColor="text1"/>
          <w:spacing w:val="-10"/>
          <w:sz w:val="32"/>
          <w:szCs w:val="32"/>
        </w:rPr>
        <w:t>号，原有建设内容产生重大变动，变动内容为污水处理工艺发生变化，排水方式改为一期工程处理工艺和二期工程处理工艺由原来的并联运行模式，改为将一期和二期污水处理工艺串联运行，一期工程出水进入二期工程，废水排放方式改为不外排等。变动后污水处理厂总设计规模</w:t>
      </w:r>
      <w:r>
        <w:rPr>
          <w:rFonts w:ascii="仿宋_GB2312" w:hAnsi="仿宋" w:eastAsia="仿宋_GB2312" w:cs="仿宋"/>
          <w:color w:val="000000" w:themeColor="text1"/>
          <w:spacing w:val="-10"/>
          <w:sz w:val="32"/>
          <w:szCs w:val="32"/>
        </w:rPr>
        <w:t>5000m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/d</w:t>
      </w:r>
      <w:r>
        <w:rPr>
          <w:rFonts w:hint="eastAsia" w:ascii="仿宋_GB2312" w:hAnsi="仿宋" w:eastAsia="仿宋_GB2312" w:cs="仿宋"/>
          <w:color w:val="000000" w:themeColor="text1"/>
          <w:spacing w:val="-10"/>
          <w:sz w:val="32"/>
          <w:szCs w:val="32"/>
        </w:rPr>
        <w:t>，一期处理规模为</w:t>
      </w:r>
      <w:r>
        <w:rPr>
          <w:rFonts w:ascii="仿宋_GB2312" w:hAnsi="仿宋" w:eastAsia="仿宋_GB2312" w:cs="仿宋"/>
          <w:color w:val="000000" w:themeColor="text1"/>
          <w:spacing w:val="-10"/>
          <w:sz w:val="32"/>
          <w:szCs w:val="32"/>
        </w:rPr>
        <w:t>150m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 xml:space="preserve"> /d</w:t>
      </w:r>
      <w:r>
        <w:rPr>
          <w:rFonts w:hint="eastAsia" w:ascii="仿宋_GB2312" w:hAnsi="仿宋" w:eastAsia="仿宋_GB2312" w:cs="仿宋"/>
          <w:color w:val="000000" w:themeColor="text1"/>
          <w:spacing w:val="-10"/>
          <w:sz w:val="32"/>
          <w:szCs w:val="32"/>
        </w:rPr>
        <w:t>（其中高浓水</w:t>
      </w:r>
      <w:r>
        <w:rPr>
          <w:rFonts w:ascii="仿宋_GB2312" w:hAnsi="仿宋" w:eastAsia="仿宋_GB2312" w:cs="仿宋"/>
          <w:color w:val="000000" w:themeColor="text1"/>
          <w:spacing w:val="-10"/>
          <w:sz w:val="32"/>
          <w:szCs w:val="32"/>
        </w:rPr>
        <w:t>50m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/d</w:t>
      </w:r>
      <w:r>
        <w:rPr>
          <w:rFonts w:hint="eastAsia" w:ascii="仿宋_GB2312" w:hAnsi="仿宋" w:eastAsia="仿宋_GB2312" w:cs="仿宋"/>
          <w:color w:val="000000" w:themeColor="text1"/>
          <w:spacing w:val="-10"/>
          <w:sz w:val="32"/>
          <w:szCs w:val="32"/>
        </w:rPr>
        <w:t>，低浓水</w:t>
      </w:r>
      <w:r>
        <w:rPr>
          <w:rFonts w:ascii="仿宋_GB2312" w:hAnsi="仿宋" w:eastAsia="仿宋_GB2312" w:cs="仿宋"/>
          <w:color w:val="000000" w:themeColor="text1"/>
          <w:spacing w:val="-10"/>
          <w:sz w:val="32"/>
          <w:szCs w:val="32"/>
        </w:rPr>
        <w:t>100m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/d</w:t>
      </w:r>
      <w:r>
        <w:rPr>
          <w:rFonts w:hint="eastAsia" w:ascii="仿宋_GB2312" w:hAnsi="仿宋" w:eastAsia="仿宋_GB2312" w:cs="仿宋"/>
          <w:color w:val="000000" w:themeColor="text1"/>
          <w:spacing w:val="-10"/>
          <w:sz w:val="32"/>
          <w:szCs w:val="32"/>
        </w:rPr>
        <w:t xml:space="preserve">），二期处理规模为 </w:t>
      </w:r>
      <w:r>
        <w:rPr>
          <w:rFonts w:ascii="仿宋_GB2312" w:hAnsi="仿宋" w:eastAsia="仿宋_GB2312" w:cs="仿宋"/>
          <w:color w:val="000000" w:themeColor="text1"/>
          <w:spacing w:val="-10"/>
          <w:sz w:val="32"/>
          <w:szCs w:val="32"/>
        </w:rPr>
        <w:t>2000m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/d（包含一期150m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 xml:space="preserve"> /d）</w:t>
      </w:r>
      <w:r>
        <w:rPr>
          <w:rFonts w:hint="eastAsia" w:ascii="仿宋_GB2312" w:hAnsi="仿宋" w:eastAsia="仿宋_GB2312" w:cs="仿宋"/>
          <w:color w:val="000000" w:themeColor="text1"/>
          <w:spacing w:val="-10"/>
          <w:sz w:val="32"/>
          <w:szCs w:val="32"/>
        </w:rPr>
        <w:t>，三期处理规模为</w:t>
      </w:r>
      <w:r>
        <w:rPr>
          <w:rFonts w:ascii="仿宋_GB2312" w:hAnsi="仿宋" w:eastAsia="仿宋_GB2312" w:cs="仿宋"/>
          <w:color w:val="000000" w:themeColor="text1"/>
          <w:spacing w:val="-10"/>
          <w:sz w:val="32"/>
          <w:szCs w:val="32"/>
        </w:rPr>
        <w:t>3000m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/d</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项目总投资</w:t>
      </w:r>
      <w:r>
        <w:rPr>
          <w:rFonts w:hint="eastAsia" w:ascii="仿宋_GB2312" w:hAnsi="仿宋" w:eastAsia="仿宋_GB2312" w:cs="仿宋"/>
          <w:color w:val="000000" w:themeColor="text1"/>
          <w:spacing w:val="-10"/>
          <w:sz w:val="32"/>
          <w:szCs w:val="32"/>
        </w:rPr>
        <w:t>6738</w:t>
      </w:r>
      <w:r>
        <w:rPr>
          <w:rFonts w:ascii="仿宋_GB2312" w:hAnsi="仿宋" w:eastAsia="仿宋_GB2312" w:cs="仿宋"/>
          <w:color w:val="000000" w:themeColor="text1"/>
          <w:spacing w:val="-10"/>
          <w:sz w:val="32"/>
          <w:szCs w:val="32"/>
        </w:rPr>
        <w:t>万元，其中环保投资</w:t>
      </w:r>
      <w:r>
        <w:rPr>
          <w:rFonts w:hint="eastAsia" w:ascii="仿宋_GB2312" w:hAnsi="仿宋" w:eastAsia="仿宋_GB2312" w:cs="仿宋"/>
          <w:color w:val="000000" w:themeColor="text1"/>
          <w:spacing w:val="-10"/>
          <w:sz w:val="32"/>
          <w:szCs w:val="32"/>
        </w:rPr>
        <w:t>570</w:t>
      </w:r>
      <w:r>
        <w:rPr>
          <w:rFonts w:ascii="仿宋_GB2312" w:hAnsi="仿宋" w:eastAsia="仿宋_GB2312" w:cs="仿宋"/>
          <w:color w:val="000000" w:themeColor="text1"/>
          <w:spacing w:val="-10"/>
          <w:sz w:val="32"/>
          <w:szCs w:val="32"/>
        </w:rPr>
        <w:t>万元。</w:t>
      </w:r>
    </w:p>
    <w:p>
      <w:pPr>
        <w:spacing w:line="360" w:lineRule="auto"/>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二、阜新市生态环境保护服务中心以《关于阜新市新邱独立工矿区煤化工产业基地精细化工污水处理厂项目（重大变动）环境影响报告书的评估意见》（阜环评估〔2026〕48</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出具项目建设可行</w:t>
      </w:r>
      <w:r>
        <w:rPr>
          <w:rFonts w:hint="eastAsia" w:ascii="仿宋_GB2312" w:hAnsi="仿宋" w:eastAsia="仿宋_GB2312" w:cs="仿宋"/>
          <w:color w:val="000000" w:themeColor="text1"/>
          <w:spacing w:val="-10"/>
          <w:sz w:val="32"/>
          <w:szCs w:val="32"/>
          <w:lang w:eastAsia="zh-CN"/>
        </w:rPr>
        <w:t>性</w:t>
      </w:r>
      <w:bookmarkStart w:id="0" w:name="_GoBack"/>
      <w:bookmarkEnd w:id="0"/>
      <w:r>
        <w:rPr>
          <w:rFonts w:ascii="仿宋_GB2312" w:hAnsi="仿宋" w:eastAsia="仿宋_GB2312" w:cs="仿宋"/>
          <w:color w:val="000000" w:themeColor="text1"/>
          <w:spacing w:val="-10"/>
          <w:sz w:val="32"/>
          <w:szCs w:val="32"/>
        </w:rPr>
        <w:t>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项目符合国家产业政策，符合环境主管部门核定的总量控制要求，</w:t>
      </w:r>
      <w:r>
        <w:rPr>
          <w:rFonts w:hint="eastAsia" w:ascii="仿宋_GB2312" w:hAnsi="仿宋" w:eastAsia="仿宋_GB2312" w:cs="仿宋"/>
          <w:sz w:val="32"/>
          <w:szCs w:val="32"/>
          <w:shd w:val="clear" w:color="auto" w:fill="FFFFFF"/>
        </w:rPr>
        <w:t>在严格落实《报告书》和本批复提出的各项生态环境保护措施后，不利生态环境影响可以得到缓解或控制。我局原则同意《报告书》的环境影响评价总体结论和拟采取的各项生态环境保护措施。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pPr>
        <w:spacing w:line="59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 xml:space="preserve">本项目应严格按照《报告书》提出的各项污染防治措施进行工程设计、建设与管理，严格执行环境保护“三同时”，应重点做好以下工作： </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合理安排生产，确保排放污染物均能得到有效处理，达标排放。</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pPr>
        <w:spacing w:line="590" w:lineRule="exact"/>
        <w:ind w:firstLine="640"/>
        <w:rPr>
          <w:rFonts w:ascii="仿宋_GB2312" w:hAnsi="仿宋" w:eastAsia="仿宋_GB2312" w:cs="仿宋"/>
          <w:color w:val="000000" w:themeColor="text1"/>
          <w:spacing w:val="-10"/>
          <w:sz w:val="32"/>
          <w:szCs w:val="32"/>
        </w:rPr>
      </w:pPr>
      <w:r>
        <w:rPr>
          <w:rFonts w:hint="eastAsia" w:ascii="Times New Roman" w:hAnsi="Times New Roman" w:eastAsia="仿宋_GB2312" w:cs="Times New Roman"/>
          <w:spacing w:val="-10"/>
          <w:sz w:val="32"/>
          <w:szCs w:val="32"/>
        </w:rPr>
        <w:t>有组织废气：污水处理产生的</w:t>
      </w:r>
      <w:r>
        <w:rPr>
          <w:rFonts w:hint="eastAsia" w:ascii="仿宋_GB2312" w:hAnsi="Times New Roman" w:eastAsia="仿宋_GB2312" w:cs="Times New Roman"/>
          <w:spacing w:val="-10"/>
          <w:sz w:val="32"/>
          <w:szCs w:val="32"/>
        </w:rPr>
        <w:t>有组织排放废气，要求合理控制生产工艺及参数，同意采用《报告书》提出的处理工艺，最大程度降低大气污染物产生量及排放量。有组织废气</w:t>
      </w:r>
      <w:r>
        <w:rPr>
          <w:rFonts w:hint="eastAsia" w:ascii="Times New Roman" w:hAnsi="Times New Roman" w:eastAsia="仿宋_GB2312" w:cs="Times New Roman"/>
          <w:spacing w:val="-10"/>
          <w:sz w:val="32"/>
          <w:szCs w:val="32"/>
        </w:rPr>
        <w:t>中臭气浓度、氨及硫化氢有组织排放速率均执行《恶臭污染物排放标准》</w:t>
      </w:r>
      <w:r>
        <w:rPr>
          <w:rFonts w:hint="eastAsia" w:ascii="仿宋_GB2312" w:hAnsi="仿宋" w:eastAsia="仿宋_GB2312" w:cs="仿宋"/>
          <w:color w:val="000000" w:themeColor="text1"/>
          <w:spacing w:val="-10"/>
          <w:sz w:val="32"/>
          <w:szCs w:val="32"/>
        </w:rPr>
        <w:t>（GB14554-93）表2排放标准要求，非甲烷总烃及硫酸雾有组织排放浓度及排放速率均执行《大气污染物综合排放标准》（GB16297-1996）二级排放标准要求。</w:t>
      </w:r>
    </w:p>
    <w:p>
      <w:pPr>
        <w:wordWrap w:val="0"/>
        <w:spacing w:line="576" w:lineRule="exact"/>
        <w:ind w:firstLine="600" w:firstLineChars="200"/>
        <w:rPr>
          <w:rFonts w:ascii="仿宋_GB2312" w:hAnsi="仿宋" w:eastAsia="仿宋_GB2312" w:cs="仿宋"/>
          <w:color w:val="000000" w:themeColor="text1"/>
          <w:spacing w:val="-10"/>
          <w:sz w:val="32"/>
          <w:szCs w:val="32"/>
        </w:rPr>
      </w:pPr>
      <w:r>
        <w:rPr>
          <w:rFonts w:hint="eastAsia" w:ascii="仿宋_GB2312" w:hAnsi="Times New Roman" w:eastAsia="仿宋_GB2312" w:cs="Times New Roman"/>
          <w:spacing w:val="-10"/>
          <w:sz w:val="32"/>
          <w:szCs w:val="32"/>
        </w:rPr>
        <w:t>无组织废气：要求加强生产管理，严格对无组织排放源的监控，防止跑冒滴漏，减少无组织排放废气产生，同时落实无组织废气治理措施，确保无组织废气达标排放。</w:t>
      </w:r>
      <w:r>
        <w:rPr>
          <w:rFonts w:hint="eastAsia" w:ascii="Times New Roman" w:hAnsi="Times New Roman" w:eastAsia="仿宋_GB2312" w:cs="Times New Roman"/>
          <w:spacing w:val="-10"/>
          <w:sz w:val="32"/>
          <w:szCs w:val="32"/>
        </w:rPr>
        <w:t>项目产生的无组织氨、硫化氢、臭气浓度及</w:t>
      </w:r>
      <w:r>
        <w:rPr>
          <w:rFonts w:hint="eastAsia" w:ascii="仿宋_GB2312" w:hAnsi="Times New Roman" w:eastAsia="仿宋_GB2312" w:cs="Times New Roman"/>
          <w:spacing w:val="-10"/>
          <w:sz w:val="32"/>
          <w:szCs w:val="32"/>
        </w:rPr>
        <w:t>甲烷厂界排放</w:t>
      </w:r>
      <w:r>
        <w:rPr>
          <w:rFonts w:hint="eastAsia" w:ascii="Times New Roman" w:hAnsi="Times New Roman" w:eastAsia="仿宋_GB2312" w:cs="Times New Roman"/>
          <w:spacing w:val="-10"/>
          <w:sz w:val="32"/>
          <w:szCs w:val="32"/>
        </w:rPr>
        <w:t>执行《城镇污水处理厂污染物排放标准</w:t>
      </w:r>
      <w:r>
        <w:rPr>
          <w:rFonts w:hint="eastAsia" w:ascii="仿宋_GB2312" w:hAnsi="仿宋" w:eastAsia="仿宋_GB2312" w:cs="仿宋"/>
          <w:color w:val="000000" w:themeColor="text1"/>
          <w:spacing w:val="-10"/>
          <w:sz w:val="32"/>
          <w:szCs w:val="32"/>
        </w:rPr>
        <w:t>》（GB18918-2002）表6排放标准要求，非甲烷总烃排放浓度执行《大气污染物综合排放标准》（GB16297-1996）表2二级排放标准要求。</w:t>
      </w:r>
    </w:p>
    <w:p>
      <w:pPr>
        <w:spacing w:line="576"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（四）严格落实废水污染防治措施。做好各类污（废）水的收集和处理，同意采用《报告书》提出的处理工艺</w:t>
      </w:r>
      <w:r>
        <w:rPr>
          <w:rFonts w:hint="eastAsia" w:ascii="仿宋_GB2312" w:hAnsi="Times New Roman" w:eastAsia="仿宋_GB2312" w:cs="Times New Roman"/>
          <w:sz w:val="32"/>
          <w:szCs w:val="32"/>
        </w:rPr>
        <w:t>，</w:t>
      </w:r>
      <w:r>
        <w:rPr>
          <w:rFonts w:hint="eastAsia" w:ascii="仿宋_GB2312" w:hAnsi="Times New Roman" w:eastAsia="仿宋_GB2312" w:cs="Times New Roman"/>
          <w:spacing w:val="-10"/>
          <w:sz w:val="32"/>
          <w:szCs w:val="32"/>
        </w:rPr>
        <w:t xml:space="preserve">加强污水处理设施的维护管理工作，确保正常运行,保证污水处理达标。要求设置足够容积的事故废水收集池，收集事故状态下的厂区废水，严禁废水超标排放和私设暗管外排。本项目出水水质执行《城镇污水处理厂污染物排放标准》 </w:t>
      </w:r>
      <w:r>
        <w:rPr>
          <w:rFonts w:ascii="仿宋_GB2312" w:hAnsi="Times New Roman" w:eastAsia="仿宋_GB2312" w:cs="Times New Roman"/>
          <w:spacing w:val="-10"/>
          <w:sz w:val="32"/>
          <w:szCs w:val="32"/>
        </w:rPr>
        <w:t>(GB18918-2002</w:t>
      </w:r>
      <w:r>
        <w:rPr>
          <w:rFonts w:hint="eastAsia" w:ascii="仿宋_GB2312" w:hAnsi="Times New Roman" w:eastAsia="仿宋_GB2312" w:cs="Times New Roman"/>
          <w:spacing w:val="-10"/>
          <w:sz w:val="32"/>
          <w:szCs w:val="32"/>
        </w:rPr>
        <w:t xml:space="preserve">）一级 </w:t>
      </w:r>
      <w:r>
        <w:rPr>
          <w:rFonts w:ascii="仿宋_GB2312" w:hAnsi="Times New Roman" w:eastAsia="仿宋_GB2312" w:cs="Times New Roman"/>
          <w:spacing w:val="-10"/>
          <w:sz w:val="32"/>
          <w:szCs w:val="32"/>
        </w:rPr>
        <w:t xml:space="preserve">A </w:t>
      </w:r>
      <w:r>
        <w:rPr>
          <w:rFonts w:hint="eastAsia" w:ascii="仿宋_GB2312" w:hAnsi="Times New Roman" w:eastAsia="仿宋_GB2312" w:cs="Times New Roman"/>
          <w:spacing w:val="-10"/>
          <w:sz w:val="32"/>
          <w:szCs w:val="32"/>
        </w:rPr>
        <w:t>标准和《城市污水再生利用 工业用水水质》（</w:t>
      </w:r>
      <w:r>
        <w:rPr>
          <w:rFonts w:ascii="仿宋_GB2312" w:hAnsi="Times New Roman" w:eastAsia="仿宋_GB2312" w:cs="Times New Roman"/>
          <w:spacing w:val="-10"/>
          <w:sz w:val="32"/>
          <w:szCs w:val="32"/>
        </w:rPr>
        <w:t>GB/T 19923-2024</w:t>
      </w:r>
      <w:r>
        <w:rPr>
          <w:rFonts w:hint="eastAsia" w:ascii="仿宋_GB2312" w:hAnsi="Times New Roman" w:eastAsia="仿宋_GB2312" w:cs="Times New Roman"/>
          <w:spacing w:val="-10"/>
          <w:sz w:val="32"/>
          <w:szCs w:val="32"/>
        </w:rPr>
        <w:t>）标准限值。</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污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pPr>
        <w:spacing w:line="590" w:lineRule="exact"/>
        <w:ind w:firstLine="640" w:firstLineChars="200"/>
        <w:rPr>
          <w:rFonts w:ascii="仿宋_GB2312" w:hAnsi="Times New Roman" w:eastAsia="仿宋_GB2312" w:cs="Times New Roman"/>
          <w:spacing w:val="-10"/>
          <w:sz w:val="32"/>
          <w:szCs w:val="32"/>
        </w:rPr>
      </w:pPr>
      <w:r>
        <w:rPr>
          <w:rFonts w:hint="eastAsia" w:ascii="仿宋_GB2312" w:hAnsi="仿宋_GB2312" w:eastAsia="仿宋_GB2312" w:cs="仿宋_GB2312"/>
          <w:sz w:val="32"/>
          <w:szCs w:val="32"/>
        </w:rPr>
        <w:t>（五）严格落实噪声污染防治措施。选用低噪设备、对高噪声设备采取隔声、减振、优化布局等措施减少噪声对外环境的影响，确保厂界噪声满足《工业企业厂界环境噪声排放标准》（GB12348-2008）中的3类标准要求。</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（六）严格落实固体废物污染防治措施。对固体废物实施分类处置处理，实现“资源化、减量化、无害化”。危险废物交有资质的单位处置，危险废物暂存设施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 xml:space="preserve">标准要求。 </w:t>
      </w:r>
    </w:p>
    <w:p>
      <w:pPr>
        <w:spacing w:line="59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pPr>
        <w:spacing w:line="59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八）强化环境风险防范和环保设施安全生产。应做好应急物资储备，按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）在工程施工和运行过程中，需建立畅通的公众参与平台，及时解决公众担忧的环境问题，满足公众合理的环境诉求。定期发布环境信息，并主动接受社会监督。</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pPr>
        <w:pStyle w:val="6"/>
        <w:widowControl/>
        <w:spacing w:line="59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 xml:space="preserve">五、阜新生态环境保护综合行政执法队负责该项目的环境保护“三同时”监督检查及管理工作。 </w:t>
      </w:r>
    </w:p>
    <w:p>
      <w:pPr>
        <w:spacing w:line="590" w:lineRule="exact"/>
        <w:rPr>
          <w:rFonts w:ascii="Times New Roman" w:hAnsi="Times New Roman" w:eastAsia="仿宋_GB2312" w:cs="Times New Roman"/>
          <w:spacing w:val="-10"/>
          <w:sz w:val="32"/>
          <w:szCs w:val="32"/>
        </w:rPr>
      </w:pPr>
    </w:p>
    <w:p>
      <w:pPr>
        <w:spacing w:line="590" w:lineRule="exact"/>
        <w:ind w:firstLine="4800" w:firstLineChars="1600"/>
        <w:rPr>
          <w:rFonts w:ascii="Times New Roman" w:hAnsi="Times New Roman" w:eastAsia="仿宋_GB2312" w:cs="Times New Roman"/>
          <w:spacing w:val="-10"/>
          <w:sz w:val="32"/>
          <w:szCs w:val="32"/>
        </w:rPr>
      </w:pPr>
    </w:p>
    <w:p>
      <w:pPr>
        <w:spacing w:line="59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pPr>
        <w:spacing w:line="59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rPr>
        <w:t>13</w:t>
      </w:r>
      <w:r>
        <w:rPr>
          <w:rFonts w:ascii="Times New Roman" w:hAnsi="Times New Roman" w:eastAsia="仿宋_GB2312" w:cs="Times New Roman"/>
          <w:sz w:val="32"/>
          <w:szCs w:val="32"/>
        </w:rPr>
        <w:t>日</w:t>
      </w:r>
    </w:p>
    <w:p>
      <w:pPr>
        <w:spacing w:line="590" w:lineRule="exact"/>
        <w:ind w:firstLine="640" w:firstLineChars="200"/>
        <w:rPr>
          <w:rFonts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10" w:usb3="00000000" w:csb0="00040000" w:csb1="00000000"/>
  </w:font>
  <w:font w:name="TimesNewRomanPSMT">
    <w:altName w:val="DejaVu Sans"/>
    <w:panose1 w:val="00000000000000000000"/>
    <w:charset w:val="00"/>
    <w:family w:val="auto"/>
    <w:pitch w:val="default"/>
    <w:sig w:usb0="00000000" w:usb1="00000000" w:usb2="00000000" w:usb3="00000000" w:csb0="0004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288B"/>
    <w:rsid w:val="0005407F"/>
    <w:rsid w:val="000772DF"/>
    <w:rsid w:val="000A71FA"/>
    <w:rsid w:val="000B20D2"/>
    <w:rsid w:val="000B72A8"/>
    <w:rsid w:val="000B79AE"/>
    <w:rsid w:val="000C2331"/>
    <w:rsid w:val="000C3632"/>
    <w:rsid w:val="000E2BE0"/>
    <w:rsid w:val="000F41D6"/>
    <w:rsid w:val="000F53C5"/>
    <w:rsid w:val="00104A5D"/>
    <w:rsid w:val="0010758B"/>
    <w:rsid w:val="00111C6F"/>
    <w:rsid w:val="001124C0"/>
    <w:rsid w:val="001330FB"/>
    <w:rsid w:val="00136E09"/>
    <w:rsid w:val="0014723A"/>
    <w:rsid w:val="00157C8A"/>
    <w:rsid w:val="0016206C"/>
    <w:rsid w:val="00171391"/>
    <w:rsid w:val="001731AA"/>
    <w:rsid w:val="0018776B"/>
    <w:rsid w:val="00191FDF"/>
    <w:rsid w:val="00194074"/>
    <w:rsid w:val="001A5B2D"/>
    <w:rsid w:val="001A6C6B"/>
    <w:rsid w:val="001C0AC0"/>
    <w:rsid w:val="001C2CCB"/>
    <w:rsid w:val="001C50A0"/>
    <w:rsid w:val="001D0148"/>
    <w:rsid w:val="001D47C6"/>
    <w:rsid w:val="001E0F98"/>
    <w:rsid w:val="001F460F"/>
    <w:rsid w:val="001F7334"/>
    <w:rsid w:val="00213891"/>
    <w:rsid w:val="002456ED"/>
    <w:rsid w:val="00274C2A"/>
    <w:rsid w:val="002940A1"/>
    <w:rsid w:val="00294F26"/>
    <w:rsid w:val="002A0C67"/>
    <w:rsid w:val="002A1C5D"/>
    <w:rsid w:val="002A47E0"/>
    <w:rsid w:val="002A4DC6"/>
    <w:rsid w:val="002A5367"/>
    <w:rsid w:val="002B06E7"/>
    <w:rsid w:val="002B35AD"/>
    <w:rsid w:val="002B3757"/>
    <w:rsid w:val="002B561C"/>
    <w:rsid w:val="002D2175"/>
    <w:rsid w:val="002E5C75"/>
    <w:rsid w:val="002E7EE1"/>
    <w:rsid w:val="002F14D0"/>
    <w:rsid w:val="002F78E6"/>
    <w:rsid w:val="00333998"/>
    <w:rsid w:val="0034667A"/>
    <w:rsid w:val="00366120"/>
    <w:rsid w:val="0038131F"/>
    <w:rsid w:val="003A1ABB"/>
    <w:rsid w:val="003E118F"/>
    <w:rsid w:val="003E2C10"/>
    <w:rsid w:val="003F5744"/>
    <w:rsid w:val="004020CD"/>
    <w:rsid w:val="00404678"/>
    <w:rsid w:val="00426BF8"/>
    <w:rsid w:val="0042786A"/>
    <w:rsid w:val="00456230"/>
    <w:rsid w:val="00462E4C"/>
    <w:rsid w:val="00482EA7"/>
    <w:rsid w:val="00494DEB"/>
    <w:rsid w:val="004B065A"/>
    <w:rsid w:val="004B21F9"/>
    <w:rsid w:val="004C0B50"/>
    <w:rsid w:val="004D0431"/>
    <w:rsid w:val="004D308E"/>
    <w:rsid w:val="004E1A1D"/>
    <w:rsid w:val="004E2595"/>
    <w:rsid w:val="00512841"/>
    <w:rsid w:val="0052022E"/>
    <w:rsid w:val="00530CFF"/>
    <w:rsid w:val="00532829"/>
    <w:rsid w:val="00540572"/>
    <w:rsid w:val="00552C13"/>
    <w:rsid w:val="00590076"/>
    <w:rsid w:val="005B28C4"/>
    <w:rsid w:val="005D0479"/>
    <w:rsid w:val="005E4490"/>
    <w:rsid w:val="005F21FA"/>
    <w:rsid w:val="006037D7"/>
    <w:rsid w:val="00615B33"/>
    <w:rsid w:val="006310D1"/>
    <w:rsid w:val="00643748"/>
    <w:rsid w:val="00671F04"/>
    <w:rsid w:val="00676887"/>
    <w:rsid w:val="00682423"/>
    <w:rsid w:val="00683566"/>
    <w:rsid w:val="00690D1A"/>
    <w:rsid w:val="00691B10"/>
    <w:rsid w:val="00692991"/>
    <w:rsid w:val="00695732"/>
    <w:rsid w:val="0069697F"/>
    <w:rsid w:val="006A5CAF"/>
    <w:rsid w:val="006B0FA9"/>
    <w:rsid w:val="006B669E"/>
    <w:rsid w:val="006B7BB4"/>
    <w:rsid w:val="006C6436"/>
    <w:rsid w:val="006C753A"/>
    <w:rsid w:val="006E16EB"/>
    <w:rsid w:val="006F3E79"/>
    <w:rsid w:val="006F6248"/>
    <w:rsid w:val="0072384C"/>
    <w:rsid w:val="00724233"/>
    <w:rsid w:val="00750944"/>
    <w:rsid w:val="00753C73"/>
    <w:rsid w:val="0075515A"/>
    <w:rsid w:val="00755A13"/>
    <w:rsid w:val="007577FD"/>
    <w:rsid w:val="0076595C"/>
    <w:rsid w:val="0076661D"/>
    <w:rsid w:val="007667AA"/>
    <w:rsid w:val="00782BE2"/>
    <w:rsid w:val="00791E61"/>
    <w:rsid w:val="0079373D"/>
    <w:rsid w:val="007A75A6"/>
    <w:rsid w:val="007B2D01"/>
    <w:rsid w:val="007B7BE4"/>
    <w:rsid w:val="007D2FB7"/>
    <w:rsid w:val="007E04CF"/>
    <w:rsid w:val="008042C2"/>
    <w:rsid w:val="00831141"/>
    <w:rsid w:val="00855FB5"/>
    <w:rsid w:val="00863210"/>
    <w:rsid w:val="008843AE"/>
    <w:rsid w:val="008921AB"/>
    <w:rsid w:val="008932AC"/>
    <w:rsid w:val="008943E8"/>
    <w:rsid w:val="008D6311"/>
    <w:rsid w:val="008D65B1"/>
    <w:rsid w:val="008E2169"/>
    <w:rsid w:val="008F1FC4"/>
    <w:rsid w:val="008F4787"/>
    <w:rsid w:val="008F5281"/>
    <w:rsid w:val="00904FA0"/>
    <w:rsid w:val="009051AF"/>
    <w:rsid w:val="009144D4"/>
    <w:rsid w:val="0092604E"/>
    <w:rsid w:val="009260DF"/>
    <w:rsid w:val="00932145"/>
    <w:rsid w:val="009346BA"/>
    <w:rsid w:val="00944C05"/>
    <w:rsid w:val="00946F50"/>
    <w:rsid w:val="00947939"/>
    <w:rsid w:val="00962464"/>
    <w:rsid w:val="00982848"/>
    <w:rsid w:val="0098294A"/>
    <w:rsid w:val="00997F8B"/>
    <w:rsid w:val="009B052D"/>
    <w:rsid w:val="009B0AF0"/>
    <w:rsid w:val="009C1C42"/>
    <w:rsid w:val="009C48EA"/>
    <w:rsid w:val="009E28AA"/>
    <w:rsid w:val="00A04DB2"/>
    <w:rsid w:val="00A05FA7"/>
    <w:rsid w:val="00A11FEC"/>
    <w:rsid w:val="00A20660"/>
    <w:rsid w:val="00A3198F"/>
    <w:rsid w:val="00A54D28"/>
    <w:rsid w:val="00A57183"/>
    <w:rsid w:val="00A6469C"/>
    <w:rsid w:val="00A67784"/>
    <w:rsid w:val="00A740DA"/>
    <w:rsid w:val="00A869D4"/>
    <w:rsid w:val="00A90681"/>
    <w:rsid w:val="00A907CE"/>
    <w:rsid w:val="00AB1E2F"/>
    <w:rsid w:val="00AB6E0F"/>
    <w:rsid w:val="00AC1ADD"/>
    <w:rsid w:val="00AC4913"/>
    <w:rsid w:val="00AF3C50"/>
    <w:rsid w:val="00B04E5E"/>
    <w:rsid w:val="00B155B3"/>
    <w:rsid w:val="00B30115"/>
    <w:rsid w:val="00B37380"/>
    <w:rsid w:val="00B37E08"/>
    <w:rsid w:val="00B44CD5"/>
    <w:rsid w:val="00B45AE3"/>
    <w:rsid w:val="00B52564"/>
    <w:rsid w:val="00B53D45"/>
    <w:rsid w:val="00B7141E"/>
    <w:rsid w:val="00B73574"/>
    <w:rsid w:val="00B74C9F"/>
    <w:rsid w:val="00B8261A"/>
    <w:rsid w:val="00B95F3D"/>
    <w:rsid w:val="00B96924"/>
    <w:rsid w:val="00BA78CC"/>
    <w:rsid w:val="00BC2061"/>
    <w:rsid w:val="00BC5C23"/>
    <w:rsid w:val="00BD06CD"/>
    <w:rsid w:val="00BD35B3"/>
    <w:rsid w:val="00BD6798"/>
    <w:rsid w:val="00C022C6"/>
    <w:rsid w:val="00C11786"/>
    <w:rsid w:val="00C20BD7"/>
    <w:rsid w:val="00C25BD2"/>
    <w:rsid w:val="00C260EF"/>
    <w:rsid w:val="00C36D6C"/>
    <w:rsid w:val="00C4024E"/>
    <w:rsid w:val="00C422EA"/>
    <w:rsid w:val="00C442F4"/>
    <w:rsid w:val="00C51B8D"/>
    <w:rsid w:val="00C62448"/>
    <w:rsid w:val="00C64E75"/>
    <w:rsid w:val="00C731B7"/>
    <w:rsid w:val="00C751B7"/>
    <w:rsid w:val="00C85CD2"/>
    <w:rsid w:val="00C93F4B"/>
    <w:rsid w:val="00CA0A7E"/>
    <w:rsid w:val="00CA3231"/>
    <w:rsid w:val="00CA44E1"/>
    <w:rsid w:val="00CD32DB"/>
    <w:rsid w:val="00CD60A8"/>
    <w:rsid w:val="00CF0CFD"/>
    <w:rsid w:val="00CF6FEF"/>
    <w:rsid w:val="00D02682"/>
    <w:rsid w:val="00D14EC1"/>
    <w:rsid w:val="00D25689"/>
    <w:rsid w:val="00D33A1E"/>
    <w:rsid w:val="00D4067C"/>
    <w:rsid w:val="00D72C21"/>
    <w:rsid w:val="00D96AA6"/>
    <w:rsid w:val="00DA4D1A"/>
    <w:rsid w:val="00DB3A0C"/>
    <w:rsid w:val="00DC3F60"/>
    <w:rsid w:val="00DC7288"/>
    <w:rsid w:val="00DE4724"/>
    <w:rsid w:val="00DF31E8"/>
    <w:rsid w:val="00E00AF7"/>
    <w:rsid w:val="00E01AC0"/>
    <w:rsid w:val="00E3480C"/>
    <w:rsid w:val="00E441F1"/>
    <w:rsid w:val="00E52B86"/>
    <w:rsid w:val="00E64810"/>
    <w:rsid w:val="00E72BCB"/>
    <w:rsid w:val="00E74EEA"/>
    <w:rsid w:val="00E75263"/>
    <w:rsid w:val="00E87BDD"/>
    <w:rsid w:val="00E87EB7"/>
    <w:rsid w:val="00E943D0"/>
    <w:rsid w:val="00EA2FDC"/>
    <w:rsid w:val="00EC084D"/>
    <w:rsid w:val="00EC40BD"/>
    <w:rsid w:val="00EC604D"/>
    <w:rsid w:val="00EE1422"/>
    <w:rsid w:val="00EE6F60"/>
    <w:rsid w:val="00EF22F0"/>
    <w:rsid w:val="00EF2551"/>
    <w:rsid w:val="00F02277"/>
    <w:rsid w:val="00F05B1A"/>
    <w:rsid w:val="00F224C7"/>
    <w:rsid w:val="00F2280D"/>
    <w:rsid w:val="00F23B21"/>
    <w:rsid w:val="00F263A5"/>
    <w:rsid w:val="00F5130F"/>
    <w:rsid w:val="00F559CA"/>
    <w:rsid w:val="00F629DD"/>
    <w:rsid w:val="00F877C7"/>
    <w:rsid w:val="00F9209A"/>
    <w:rsid w:val="00F93B3C"/>
    <w:rsid w:val="00FB459C"/>
    <w:rsid w:val="00FB5AF1"/>
    <w:rsid w:val="00FB7EC7"/>
    <w:rsid w:val="00FC1639"/>
    <w:rsid w:val="00FC7C72"/>
    <w:rsid w:val="00FD6491"/>
    <w:rsid w:val="00FE0D3E"/>
    <w:rsid w:val="00FE633D"/>
    <w:rsid w:val="00FF3E59"/>
    <w:rsid w:val="00FF563E"/>
    <w:rsid w:val="00FF642D"/>
    <w:rsid w:val="044811AB"/>
    <w:rsid w:val="1A8D294F"/>
    <w:rsid w:val="25CE1675"/>
    <w:rsid w:val="29974297"/>
    <w:rsid w:val="2F9A5356"/>
    <w:rsid w:val="311331FC"/>
    <w:rsid w:val="380F54D5"/>
    <w:rsid w:val="45C67A8C"/>
    <w:rsid w:val="5D463024"/>
    <w:rsid w:val="64F26DFF"/>
    <w:rsid w:val="6A4D3FA6"/>
    <w:rsid w:val="739754C2"/>
    <w:rsid w:val="76314207"/>
    <w:rsid w:val="79974DA2"/>
    <w:rsid w:val="7B6B3AC6"/>
    <w:rsid w:val="7FFED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HTML Address"/>
    <w:basedOn w:val="1"/>
    <w:uiPriority w:val="0"/>
    <w:rPr>
      <w:i/>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4"/>
      <w:szCs w:val="24"/>
    </w:rPr>
  </w:style>
  <w:style w:type="character" w:customStyle="1" w:styleId="13">
    <w:name w:val="fontstyle21"/>
    <w:basedOn w:val="8"/>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404</Words>
  <Characters>2303</Characters>
  <Lines>19</Lines>
  <Paragraphs>5</Paragraphs>
  <TotalTime>1053</TotalTime>
  <ScaleCrop>false</ScaleCrop>
  <LinksUpToDate>false</LinksUpToDate>
  <CharactersWithSpaces>2702</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2019-04-29T11:18:00Z</dcterms:created>
  <dc:creator>Administrator</dc:creator>
  <cp:lastModifiedBy>user</cp:lastModifiedBy>
  <cp:lastPrinted>2026-05-13T15:53:00Z</cp:lastPrinted>
  <dcterms:modified xsi:type="dcterms:W3CDTF">2026-05-13T17:02:20Z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88536EA5530146328F4FECCF6F23773A</vt:lpwstr>
  </property>
</Properties>
</file>