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仿宋_GB2312" w:hAnsi="仿宋_GB2312" w:eastAsia="仿宋_GB2312" w:cs="仿宋_GB2312"/>
          <w:sz w:val="44"/>
          <w:szCs w:val="44"/>
        </w:rPr>
      </w:pPr>
    </w:p>
    <w:p>
      <w:pPr>
        <w:spacing w:line="600" w:lineRule="exact"/>
        <w:jc w:val="center"/>
        <w:rPr>
          <w:rFonts w:ascii="仿宋_GB2312" w:hAnsi="仿宋_GB2312" w:eastAsia="仿宋_GB2312" w:cs="仿宋_GB2312"/>
          <w:sz w:val="44"/>
          <w:szCs w:val="44"/>
        </w:rPr>
      </w:pPr>
      <w:r>
        <w:rPr>
          <w:rFonts w:hint="eastAsia" w:ascii="仿宋_GB2312" w:hAnsi="仿宋_GB2312" w:eastAsia="仿宋_GB2312" w:cs="仿宋_GB2312"/>
          <w:sz w:val="32"/>
          <w:szCs w:val="32"/>
        </w:rPr>
        <w:t xml:space="preserve"> </w:t>
      </w:r>
    </w:p>
    <w:p>
      <w:pPr>
        <w:rPr>
          <w:rFonts w:ascii="仿宋_GB2312" w:hAnsi="仿宋_GB2312" w:eastAsia="仿宋_GB2312" w:cs="仿宋_GB2312"/>
          <w:sz w:val="48"/>
          <w:szCs w:val="48"/>
        </w:rPr>
      </w:pPr>
    </w:p>
    <w:p>
      <w:pPr>
        <w:spacing w:line="600" w:lineRule="exact"/>
        <w:jc w:val="center"/>
        <w:rPr>
          <w:rFonts w:ascii="仿宋_GB2312" w:hAnsi="仿宋_GB2312" w:eastAsia="仿宋_GB2312" w:cs="仿宋_GB2312"/>
          <w:color w:val="000000"/>
          <w:sz w:val="32"/>
        </w:rPr>
      </w:pPr>
      <w:r>
        <w:rPr>
          <w:rFonts w:hint="eastAsia" w:ascii="仿宋_GB2312" w:hAnsi="仿宋_GB2312" w:eastAsia="仿宋_GB2312" w:cs="仿宋_GB2312"/>
          <w:sz w:val="32"/>
        </w:rPr>
        <w:t xml:space="preserve">                            阜环审〔2026〕14</w:t>
      </w:r>
      <w:r>
        <w:rPr>
          <w:rFonts w:hint="eastAsia" w:ascii="仿宋_GB2312" w:hAnsi="仿宋_GB2312" w:eastAsia="仿宋_GB2312" w:cs="仿宋_GB2312"/>
          <w:color w:val="000000"/>
          <w:sz w:val="32"/>
        </w:rPr>
        <w:t>号</w:t>
      </w:r>
    </w:p>
    <w:p>
      <w:pPr>
        <w:snapToGrid w:val="0"/>
        <w:spacing w:line="60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关于《源之牧（辽宁）牧业发展有限公司养殖场建设项目环境影响报告书》的批复</w:t>
      </w:r>
    </w:p>
    <w:p>
      <w:pPr>
        <w:jc w:val="center"/>
        <w:rPr>
          <w:rFonts w:ascii="宋体" w:hAnsi="宋体" w:eastAsia="宋体" w:cs="宋体"/>
          <w:sz w:val="18"/>
        </w:rPr>
      </w:pPr>
    </w:p>
    <w:p>
      <w:pPr>
        <w:spacing w:line="590" w:lineRule="exac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源之牧（辽宁）牧业发展有限公司：</w:t>
      </w:r>
    </w:p>
    <w:p>
      <w:pPr>
        <w:spacing w:line="590" w:lineRule="exact"/>
        <w:ind w:firstLine="600" w:firstLineChars="200"/>
        <w:jc w:val="left"/>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你单位报送的《源之牧（辽宁）牧业发展有限公司养殖场建设项目环境影响报告书》（以下简称《报告书》）及申请收悉，经我局建设项目审查委员会研究，批复如下：</w:t>
      </w:r>
    </w:p>
    <w:p>
      <w:pPr>
        <w:ind w:firstLine="600" w:firstLineChars="200"/>
        <w:rPr>
          <w:rFonts w:ascii="仿宋_GB2312" w:hAnsi="仿宋" w:eastAsia="仿宋_GB2312" w:cs="仿宋"/>
          <w:color w:val="000000" w:themeColor="text1"/>
          <w:spacing w:val="-10"/>
          <w:sz w:val="32"/>
          <w:szCs w:val="32"/>
        </w:rPr>
      </w:pPr>
      <w:r>
        <w:rPr>
          <w:rFonts w:hint="eastAsia" w:ascii="仿宋_GB2312" w:hAnsi="仿宋" w:eastAsia="仿宋_GB2312" w:cs="仿宋"/>
          <w:color w:val="000000" w:themeColor="text1"/>
          <w:spacing w:val="-10"/>
          <w:sz w:val="32"/>
          <w:szCs w:val="32"/>
        </w:rPr>
        <w:t>一、本项目位于</w:t>
      </w:r>
      <w:r>
        <w:rPr>
          <w:rFonts w:ascii="仿宋_GB2312" w:hAnsi="仿宋" w:eastAsia="仿宋_GB2312" w:cs="仿宋"/>
          <w:color w:val="000000" w:themeColor="text1"/>
          <w:spacing w:val="-10"/>
          <w:sz w:val="32"/>
          <w:szCs w:val="32"/>
        </w:rPr>
        <w:t>辽宁省阜新市阜新蒙古族自治县扎兰营子镇冷汤村</w:t>
      </w:r>
      <w:r>
        <w:rPr>
          <w:rFonts w:hint="eastAsia" w:ascii="仿宋_GB2312" w:hAnsi="仿宋" w:eastAsia="仿宋_GB2312" w:cs="仿宋"/>
          <w:color w:val="000000" w:themeColor="text1"/>
          <w:spacing w:val="-10"/>
          <w:sz w:val="32"/>
          <w:szCs w:val="32"/>
        </w:rPr>
        <w:t>，新建</w:t>
      </w:r>
      <w:r>
        <w:rPr>
          <w:rFonts w:ascii="仿宋_GB2312" w:hAnsi="仿宋" w:eastAsia="仿宋_GB2312" w:cs="仿宋"/>
          <w:color w:val="000000" w:themeColor="text1"/>
          <w:spacing w:val="-10"/>
          <w:sz w:val="32"/>
          <w:szCs w:val="32"/>
        </w:rPr>
        <w:t>9座猪舍、9座生活房、3个干湿分离车间、3个</w:t>
      </w:r>
      <w:r>
        <w:rPr>
          <w:rFonts w:hint="eastAsia" w:ascii="仿宋_GB2312" w:hAnsi="仿宋" w:eastAsia="仿宋_GB2312" w:cs="仿宋"/>
          <w:color w:val="000000" w:themeColor="text1"/>
          <w:spacing w:val="-10"/>
          <w:sz w:val="32"/>
          <w:szCs w:val="32"/>
        </w:rPr>
        <w:t>有机肥暂存区</w:t>
      </w:r>
      <w:r>
        <w:rPr>
          <w:rFonts w:ascii="仿宋_GB2312" w:hAnsi="仿宋" w:eastAsia="仿宋_GB2312" w:cs="仿宋"/>
          <w:color w:val="000000" w:themeColor="text1"/>
          <w:spacing w:val="-10"/>
          <w:sz w:val="32"/>
          <w:szCs w:val="32"/>
        </w:rPr>
        <w:t>、3座有机肥生产车间、3个兽医室、3个消毒间、3个</w:t>
      </w:r>
      <w:r>
        <w:rPr>
          <w:rFonts w:hint="eastAsia" w:ascii="仿宋_GB2312" w:hAnsi="仿宋" w:eastAsia="仿宋_GB2312" w:cs="仿宋"/>
          <w:color w:val="000000" w:themeColor="text1"/>
          <w:spacing w:val="-10"/>
          <w:sz w:val="32"/>
          <w:szCs w:val="32"/>
        </w:rPr>
        <w:t>锅炉房</w:t>
      </w:r>
      <w:r>
        <w:rPr>
          <w:rFonts w:ascii="仿宋_GB2312" w:hAnsi="仿宋" w:eastAsia="仿宋_GB2312" w:cs="仿宋"/>
          <w:color w:val="000000" w:themeColor="text1"/>
          <w:spacing w:val="-10"/>
          <w:sz w:val="32"/>
          <w:szCs w:val="32"/>
        </w:rPr>
        <w:t>、3个危废贮存点、3个病死猪暂存间、1个食堂</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建设3座黑膜沼气池、3座沼液暂存池、3座</w:t>
      </w:r>
      <w:r>
        <w:rPr>
          <w:rFonts w:hint="eastAsia" w:ascii="仿宋_GB2312" w:hAnsi="仿宋" w:eastAsia="仿宋_GB2312" w:cs="仿宋"/>
          <w:color w:val="000000" w:themeColor="text1"/>
          <w:spacing w:val="-10"/>
          <w:sz w:val="32"/>
          <w:szCs w:val="32"/>
        </w:rPr>
        <w:t>事故池、</w:t>
      </w:r>
      <w:r>
        <w:rPr>
          <w:rFonts w:ascii="仿宋_GB2312" w:hAnsi="仿宋" w:eastAsia="仿宋_GB2312" w:cs="仿宋"/>
          <w:color w:val="000000" w:themeColor="text1"/>
          <w:spacing w:val="-10"/>
          <w:sz w:val="32"/>
          <w:szCs w:val="32"/>
        </w:rPr>
        <w:t>18个储料塔、一口地下水井，总建筑面积14342m</w:t>
      </w:r>
      <w:r>
        <w:rPr>
          <w:rFonts w:ascii="仿宋_GB2312" w:hAnsi="仿宋" w:eastAsia="仿宋_GB2312" w:cs="仿宋"/>
          <w:color w:val="000000" w:themeColor="text1"/>
          <w:spacing w:val="-10"/>
          <w:sz w:val="32"/>
          <w:szCs w:val="32"/>
          <w:vertAlign w:val="superscript"/>
        </w:rPr>
        <w:t>2</w:t>
      </w:r>
      <w:r>
        <w:rPr>
          <w:rFonts w:ascii="仿宋_GB2312" w:hAnsi="仿宋" w:eastAsia="仿宋_GB2312" w:cs="仿宋"/>
          <w:color w:val="000000" w:themeColor="text1"/>
          <w:spacing w:val="-10"/>
          <w:sz w:val="32"/>
          <w:szCs w:val="32"/>
        </w:rPr>
        <w:t>。项目建成后年存栏育肥猪15000头</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年产有机肥</w:t>
      </w:r>
      <w:r>
        <w:rPr>
          <w:rFonts w:hint="eastAsia" w:ascii="仿宋_GB2312" w:hAnsi="仿宋" w:eastAsia="仿宋_GB2312" w:cs="仿宋"/>
          <w:color w:val="000000" w:themeColor="text1"/>
          <w:spacing w:val="-10"/>
          <w:sz w:val="32"/>
          <w:szCs w:val="32"/>
        </w:rPr>
        <w:t>2085.27</w:t>
      </w:r>
      <w:r>
        <w:rPr>
          <w:rFonts w:ascii="仿宋_GB2312" w:hAnsi="仿宋" w:eastAsia="仿宋_GB2312" w:cs="仿宋"/>
          <w:color w:val="000000" w:themeColor="text1"/>
          <w:spacing w:val="-10"/>
          <w:sz w:val="32"/>
          <w:szCs w:val="32"/>
        </w:rPr>
        <w:t>t/a</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项目总投资1500万元，其中环保投资</w:t>
      </w:r>
      <w:r>
        <w:rPr>
          <w:rFonts w:hint="eastAsia" w:ascii="仿宋_GB2312" w:hAnsi="仿宋" w:eastAsia="仿宋_GB2312" w:cs="仿宋"/>
          <w:color w:val="000000" w:themeColor="text1"/>
          <w:spacing w:val="-10"/>
          <w:sz w:val="32"/>
          <w:szCs w:val="32"/>
        </w:rPr>
        <w:t>313</w:t>
      </w:r>
      <w:r>
        <w:rPr>
          <w:rFonts w:ascii="仿宋_GB2312" w:hAnsi="仿宋" w:eastAsia="仿宋_GB2312" w:cs="仿宋"/>
          <w:color w:val="000000" w:themeColor="text1"/>
          <w:spacing w:val="-10"/>
          <w:sz w:val="32"/>
          <w:szCs w:val="32"/>
        </w:rPr>
        <w:t>万元。</w:t>
      </w:r>
    </w:p>
    <w:p>
      <w:pPr>
        <w:spacing w:line="360" w:lineRule="auto"/>
        <w:ind w:firstLine="600" w:firstLineChars="200"/>
        <w:rPr>
          <w:rFonts w:ascii="仿宋_GB2312" w:hAnsi="仿宋_GB2312" w:eastAsia="仿宋_GB2312" w:cs="仿宋_GB2312"/>
          <w:color w:val="00B0F0"/>
          <w:spacing w:val="-10"/>
          <w:sz w:val="32"/>
          <w:szCs w:val="32"/>
        </w:rPr>
      </w:pPr>
      <w:r>
        <w:rPr>
          <w:rFonts w:hint="eastAsia" w:ascii="仿宋_GB2312" w:hAnsi="仿宋" w:eastAsia="仿宋_GB2312" w:cs="仿宋"/>
          <w:color w:val="000000" w:themeColor="text1"/>
          <w:spacing w:val="-10"/>
          <w:sz w:val="32"/>
          <w:szCs w:val="32"/>
        </w:rPr>
        <w:t>二、阜新市生态环境保护服务中心以《关于源之牧（辽宁）牧业发展有限公司养殖场建设项目环境影响报告书的评估意见》（阜环评估〔2026〕46</w:t>
      </w:r>
      <w:r>
        <w:rPr>
          <w:rFonts w:ascii="仿宋_GB2312" w:hAnsi="仿宋" w:eastAsia="仿宋_GB2312" w:cs="仿宋"/>
          <w:color w:val="000000" w:themeColor="text1"/>
          <w:spacing w:val="-10"/>
          <w:sz w:val="32"/>
          <w:szCs w:val="32"/>
        </w:rPr>
        <w:t>号</w:t>
      </w:r>
      <w:r>
        <w:rPr>
          <w:rFonts w:hint="eastAsia" w:ascii="仿宋_GB2312" w:hAnsi="仿宋" w:eastAsia="仿宋_GB2312" w:cs="仿宋"/>
          <w:color w:val="000000" w:themeColor="text1"/>
          <w:spacing w:val="-10"/>
          <w:sz w:val="32"/>
          <w:szCs w:val="32"/>
        </w:rPr>
        <w:t>）</w:t>
      </w:r>
      <w:r>
        <w:rPr>
          <w:rFonts w:ascii="仿宋_GB2312" w:hAnsi="仿宋" w:eastAsia="仿宋_GB2312" w:cs="仿宋"/>
          <w:color w:val="000000" w:themeColor="text1"/>
          <w:spacing w:val="-10"/>
          <w:sz w:val="32"/>
          <w:szCs w:val="32"/>
        </w:rPr>
        <w:t>出具项目建设</w:t>
      </w:r>
      <w:bookmarkStart w:id="0" w:name="_GoBack"/>
      <w:bookmarkEnd w:id="0"/>
      <w:r>
        <w:rPr>
          <w:rFonts w:ascii="仿宋_GB2312" w:hAnsi="仿宋" w:eastAsia="仿宋_GB2312" w:cs="仿宋"/>
          <w:color w:val="000000" w:themeColor="text1"/>
          <w:spacing w:val="-10"/>
          <w:sz w:val="32"/>
          <w:szCs w:val="32"/>
        </w:rPr>
        <w:t>可行</w:t>
      </w:r>
      <w:r>
        <w:rPr>
          <w:rFonts w:hint="eastAsia" w:ascii="仿宋_GB2312" w:hAnsi="仿宋" w:eastAsia="仿宋_GB2312" w:cs="仿宋"/>
          <w:color w:val="000000" w:themeColor="text1"/>
          <w:spacing w:val="-10"/>
          <w:sz w:val="32"/>
          <w:szCs w:val="32"/>
          <w:lang w:eastAsia="zh-CN"/>
        </w:rPr>
        <w:t>性</w:t>
      </w:r>
      <w:r>
        <w:rPr>
          <w:rFonts w:ascii="仿宋_GB2312" w:hAnsi="仿宋" w:eastAsia="仿宋_GB2312" w:cs="仿宋"/>
          <w:color w:val="000000" w:themeColor="text1"/>
          <w:spacing w:val="-10"/>
          <w:sz w:val="32"/>
          <w:szCs w:val="32"/>
        </w:rPr>
        <w:t>意见</w:t>
      </w:r>
      <w:r>
        <w:rPr>
          <w:rFonts w:ascii="仿宋_GB2312" w:hAnsi="仿宋" w:eastAsia="仿宋_GB2312" w:cs="仿宋"/>
          <w:spacing w:val="-10"/>
          <w:sz w:val="32"/>
          <w:szCs w:val="32"/>
        </w:rPr>
        <w:t>。</w:t>
      </w:r>
      <w:r>
        <w:rPr>
          <w:rFonts w:hint="eastAsia" w:ascii="仿宋_GB2312" w:hAnsi="仿宋_GB2312" w:eastAsia="仿宋_GB2312" w:cs="仿宋_GB2312"/>
          <w:spacing w:val="-10"/>
          <w:sz w:val="32"/>
          <w:szCs w:val="32"/>
        </w:rPr>
        <w:t>项目符合国家产业政策，符合环境主管部门核定的总量控制要求，</w:t>
      </w:r>
      <w:r>
        <w:rPr>
          <w:rFonts w:hint="eastAsia" w:ascii="仿宋_GB2312" w:hAnsi="仿宋" w:eastAsia="仿宋_GB2312" w:cs="仿宋"/>
          <w:sz w:val="32"/>
          <w:szCs w:val="32"/>
          <w:shd w:val="clear" w:color="auto" w:fill="FFFFFF"/>
        </w:rPr>
        <w:t>在严格落实《报告书》和本批复提出的各项生态环境保护措施后，不利生态环境影响可以得到缓解或控制。我局原则同意《报告书》的环境影响评价总体结论和拟采取的各项生态环境保护措施。</w:t>
      </w:r>
      <w:r>
        <w:rPr>
          <w:rFonts w:hint="eastAsia" w:ascii="仿宋_GB2312" w:hAnsi="仿宋" w:eastAsia="仿宋_GB2312" w:cs="仿宋"/>
          <w:color w:val="000000" w:themeColor="text1"/>
          <w:spacing w:val="-10"/>
          <w:sz w:val="32"/>
          <w:szCs w:val="32"/>
        </w:rPr>
        <w:t>在建设地点、性质、规模、生产工艺、污染防治等措施发生重大变动时需重新进行环境影响评价。</w:t>
      </w:r>
    </w:p>
    <w:p>
      <w:pPr>
        <w:spacing w:line="590" w:lineRule="exact"/>
        <w:ind w:firstLine="600" w:firstLineChars="200"/>
        <w:rPr>
          <w:rFonts w:ascii="Times New Roman" w:hAnsi="Times New Roman" w:eastAsia="仿宋_GB2312" w:cs="Times New Roman"/>
          <w:sz w:val="32"/>
          <w:szCs w:val="32"/>
          <w:shd w:val="clear" w:color="auto" w:fill="FFFFFF"/>
        </w:rPr>
      </w:pPr>
      <w:r>
        <w:rPr>
          <w:rFonts w:ascii="Times New Roman" w:hAnsi="Times New Roman" w:eastAsia="仿宋_GB2312" w:cs="Times New Roman"/>
          <w:spacing w:val="-10"/>
          <w:sz w:val="32"/>
          <w:szCs w:val="32"/>
        </w:rPr>
        <w:t>三、</w:t>
      </w:r>
      <w:r>
        <w:rPr>
          <w:rFonts w:ascii="Times New Roman" w:hAnsi="Times New Roman" w:eastAsia="仿宋_GB2312" w:cs="Times New Roman"/>
          <w:sz w:val="32"/>
          <w:szCs w:val="32"/>
          <w:shd w:val="clear" w:color="auto" w:fill="FFFFFF"/>
        </w:rPr>
        <w:t xml:space="preserve">本项目应严格按照《报告书》提出的各项污染防治措施进行工程设计、建设与管理，严格执行环境保护“三同时”，应重点做好以下工作： </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（一）</w:t>
      </w:r>
      <w:r>
        <w:rPr>
          <w:rFonts w:ascii="Times New Roman" w:hAnsi="Times New Roman" w:eastAsia="仿宋_GB2312" w:cs="Times New Roman"/>
          <w:spacing w:val="-10"/>
          <w:sz w:val="32"/>
          <w:szCs w:val="32"/>
        </w:rPr>
        <w:t>加强施工期生态环境保护工作，严格落实施工期的扬尘、废水、噪声及固体废物污染防治措施，保证各类污染物达标排放。</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要求企业根据设备配备情况和环保设施的处理能力，</w:t>
      </w:r>
      <w:r>
        <w:rPr>
          <w:rFonts w:ascii="Times New Roman" w:hAnsi="Times New Roman" w:eastAsia="仿宋_GB2312" w:cs="Times New Roman"/>
          <w:spacing w:val="-23"/>
          <w:sz w:val="32"/>
          <w:szCs w:val="32"/>
        </w:rPr>
        <w:t>合理安排生产，确保排放污染物均能得到有效处理，达标排放。</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严格落实大气污染防治措施</w:t>
      </w:r>
    </w:p>
    <w:p>
      <w:pPr>
        <w:spacing w:line="590" w:lineRule="exact"/>
        <w:ind w:firstLine="64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有组织废气：有组织废气包括生物质锅炉废气和干湿分离车间、有机肥暂存区及有机肥生产车间产生的恶臭气体。生物质锅炉废气分别经各自旋风除尘器</w:t>
      </w: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 xml:space="preserve">布袋除尘器处理后通过 </w:t>
      </w:r>
      <w:r>
        <w:rPr>
          <w:rFonts w:ascii="Times New Roman" w:hAnsi="Times New Roman" w:eastAsia="仿宋_GB2312" w:cs="Times New Roman"/>
          <w:spacing w:val="-10"/>
          <w:sz w:val="32"/>
          <w:szCs w:val="32"/>
        </w:rPr>
        <w:t xml:space="preserve">3 </w:t>
      </w:r>
      <w:r>
        <w:rPr>
          <w:rFonts w:hint="eastAsia" w:ascii="Times New Roman" w:hAnsi="Times New Roman" w:eastAsia="仿宋_GB2312" w:cs="Times New Roman"/>
          <w:spacing w:val="-10"/>
          <w:sz w:val="32"/>
          <w:szCs w:val="32"/>
        </w:rPr>
        <w:t xml:space="preserve">根 </w:t>
      </w:r>
      <w:r>
        <w:rPr>
          <w:rFonts w:ascii="Times New Roman" w:hAnsi="Times New Roman" w:eastAsia="仿宋_GB2312" w:cs="Times New Roman"/>
          <w:spacing w:val="-10"/>
          <w:sz w:val="32"/>
          <w:szCs w:val="32"/>
        </w:rPr>
        <w:t xml:space="preserve">35 </w:t>
      </w:r>
      <w:r>
        <w:rPr>
          <w:rFonts w:hint="eastAsia" w:ascii="Times New Roman" w:hAnsi="Times New Roman" w:eastAsia="仿宋_GB2312" w:cs="Times New Roman"/>
          <w:spacing w:val="-10"/>
          <w:sz w:val="32"/>
          <w:szCs w:val="32"/>
        </w:rPr>
        <w:t>米高排气筒排放，生物质锅炉有组织排放的颗粒物、二氧化硫和氮氧化物执行《锅炉大气污染物排放标准》（</w:t>
      </w:r>
      <w:r>
        <w:rPr>
          <w:rFonts w:ascii="Times New Roman" w:hAnsi="Times New Roman" w:eastAsia="仿宋_GB2312" w:cs="Times New Roman"/>
          <w:spacing w:val="-10"/>
          <w:sz w:val="32"/>
          <w:szCs w:val="32"/>
        </w:rPr>
        <w:t>GB13271-2014</w:t>
      </w:r>
      <w:r>
        <w:rPr>
          <w:rFonts w:hint="eastAsia" w:ascii="Times New Roman" w:hAnsi="Times New Roman" w:eastAsia="仿宋_GB2312" w:cs="Times New Roman"/>
          <w:spacing w:val="-10"/>
          <w:sz w:val="32"/>
          <w:szCs w:val="32"/>
        </w:rPr>
        <w:t xml:space="preserve">）中表 </w:t>
      </w:r>
      <w:r>
        <w:rPr>
          <w:rFonts w:ascii="Times New Roman" w:hAnsi="Times New Roman" w:eastAsia="仿宋_GB2312" w:cs="Times New Roman"/>
          <w:spacing w:val="-10"/>
          <w:sz w:val="32"/>
          <w:szCs w:val="32"/>
        </w:rPr>
        <w:t xml:space="preserve">3 </w:t>
      </w:r>
      <w:r>
        <w:rPr>
          <w:rFonts w:hint="eastAsia" w:ascii="Times New Roman" w:hAnsi="Times New Roman" w:eastAsia="仿宋_GB2312" w:cs="Times New Roman"/>
          <w:spacing w:val="-10"/>
          <w:sz w:val="32"/>
          <w:szCs w:val="32"/>
        </w:rPr>
        <w:t>燃煤锅炉排放限值。干湿分离车间、有机肥暂存区及有机肥生产车间</w:t>
      </w:r>
      <w:r>
        <w:rPr>
          <w:rFonts w:ascii="Times New Roman" w:hAnsi="Times New Roman" w:eastAsia="仿宋_GB2312" w:cs="Times New Roman"/>
          <w:spacing w:val="-10"/>
          <w:sz w:val="32"/>
          <w:szCs w:val="32"/>
        </w:rPr>
        <w:t>整体采用负压收集方式将废气引入生物除臭</w:t>
      </w:r>
      <w:r>
        <w:rPr>
          <w:rFonts w:hint="eastAsia" w:ascii="Times New Roman" w:hAnsi="Times New Roman" w:eastAsia="仿宋_GB2312" w:cs="Times New Roman"/>
          <w:spacing w:val="-10"/>
          <w:sz w:val="32"/>
          <w:szCs w:val="32"/>
        </w:rPr>
        <w:t>塔</w:t>
      </w:r>
      <w:r>
        <w:rPr>
          <w:rFonts w:ascii="Times New Roman" w:hAnsi="Times New Roman" w:eastAsia="仿宋_GB2312" w:cs="Times New Roman"/>
          <w:spacing w:val="-10"/>
          <w:sz w:val="32"/>
          <w:szCs w:val="32"/>
        </w:rPr>
        <w:t>处理达标后经</w:t>
      </w:r>
      <w:r>
        <w:rPr>
          <w:rFonts w:hint="eastAsia" w:ascii="Times New Roman" w:hAnsi="Times New Roman" w:eastAsia="仿宋_GB2312" w:cs="Times New Roman"/>
          <w:spacing w:val="-10"/>
          <w:sz w:val="32"/>
          <w:szCs w:val="32"/>
        </w:rPr>
        <w:t>3</w:t>
      </w:r>
      <w:r>
        <w:rPr>
          <w:rFonts w:ascii="Times New Roman" w:hAnsi="Times New Roman" w:eastAsia="仿宋_GB2312" w:cs="Times New Roman"/>
          <w:spacing w:val="-10"/>
          <w:sz w:val="32"/>
          <w:szCs w:val="32"/>
        </w:rPr>
        <w:t>根15</w:t>
      </w:r>
      <w:r>
        <w:rPr>
          <w:rFonts w:hint="eastAsia" w:ascii="Times New Roman" w:hAnsi="Times New Roman" w:eastAsia="仿宋_GB2312" w:cs="Times New Roman"/>
          <w:spacing w:val="-10"/>
          <w:sz w:val="32"/>
          <w:szCs w:val="32"/>
        </w:rPr>
        <w:t>米</w:t>
      </w:r>
      <w:r>
        <w:rPr>
          <w:rFonts w:ascii="Times New Roman" w:hAnsi="Times New Roman" w:eastAsia="仿宋_GB2312" w:cs="Times New Roman"/>
          <w:spacing w:val="-10"/>
          <w:sz w:val="32"/>
          <w:szCs w:val="32"/>
        </w:rPr>
        <w:t>高排气筒有组织排放，</w:t>
      </w:r>
      <w:r>
        <w:rPr>
          <w:rFonts w:hint="eastAsia" w:ascii="Times New Roman" w:hAnsi="Times New Roman" w:eastAsia="仿宋_GB2312" w:cs="Times New Roman"/>
          <w:spacing w:val="-10"/>
          <w:sz w:val="32"/>
          <w:szCs w:val="32"/>
        </w:rPr>
        <w:t xml:space="preserve">排放的 </w:t>
      </w:r>
      <w:r>
        <w:rPr>
          <w:rFonts w:ascii="Times New Roman" w:hAnsi="Times New Roman" w:eastAsia="仿宋_GB2312" w:cs="Times New Roman"/>
          <w:spacing w:val="-10"/>
          <w:sz w:val="32"/>
          <w:szCs w:val="32"/>
        </w:rPr>
        <w:t>H</w:t>
      </w:r>
      <w:r>
        <w:rPr>
          <w:rFonts w:ascii="Times New Roman" w:hAnsi="Times New Roman" w:eastAsia="仿宋_GB2312" w:cs="Times New Roman"/>
          <w:spacing w:val="-10"/>
          <w:sz w:val="32"/>
          <w:szCs w:val="32"/>
          <w:vertAlign w:val="subscript"/>
        </w:rPr>
        <w:t>2</w:t>
      </w:r>
      <w:r>
        <w:rPr>
          <w:rFonts w:ascii="Times New Roman" w:hAnsi="Times New Roman" w:eastAsia="仿宋_GB2312" w:cs="Times New Roman"/>
          <w:spacing w:val="-10"/>
          <w:sz w:val="32"/>
          <w:szCs w:val="32"/>
        </w:rPr>
        <w:t>S</w:t>
      </w:r>
      <w:r>
        <w:rPr>
          <w:rFonts w:hint="eastAsia" w:ascii="Times New Roman" w:hAnsi="Times New Roman" w:eastAsia="仿宋_GB2312" w:cs="Times New Roman"/>
          <w:spacing w:val="-10"/>
          <w:sz w:val="32"/>
          <w:szCs w:val="32"/>
        </w:rPr>
        <w:t>、</w:t>
      </w:r>
      <w:r>
        <w:rPr>
          <w:rFonts w:ascii="Times New Roman" w:hAnsi="Times New Roman" w:eastAsia="仿宋_GB2312" w:cs="Times New Roman"/>
          <w:spacing w:val="-10"/>
          <w:sz w:val="32"/>
          <w:szCs w:val="32"/>
        </w:rPr>
        <w:t>NH</w:t>
      </w:r>
      <w:r>
        <w:rPr>
          <w:rFonts w:ascii="Times New Roman" w:hAnsi="Times New Roman" w:eastAsia="仿宋_GB2312" w:cs="Times New Roman"/>
          <w:spacing w:val="-10"/>
          <w:sz w:val="32"/>
          <w:szCs w:val="32"/>
          <w:vertAlign w:val="subscript"/>
        </w:rPr>
        <w:t xml:space="preserve">3 </w:t>
      </w:r>
      <w:r>
        <w:rPr>
          <w:rFonts w:hint="eastAsia" w:ascii="Times New Roman" w:hAnsi="Times New Roman" w:eastAsia="仿宋_GB2312" w:cs="Times New Roman"/>
          <w:spacing w:val="-10"/>
          <w:sz w:val="32"/>
          <w:szCs w:val="32"/>
        </w:rPr>
        <w:t>及臭气浓度执行《恶臭污染物排放标准》（</w:t>
      </w:r>
      <w:r>
        <w:rPr>
          <w:rFonts w:ascii="Times New Roman" w:hAnsi="Times New Roman" w:eastAsia="仿宋_GB2312" w:cs="Times New Roman"/>
          <w:spacing w:val="-10"/>
          <w:sz w:val="32"/>
          <w:szCs w:val="32"/>
        </w:rPr>
        <w:t>GB14554-93</w:t>
      </w:r>
      <w:r>
        <w:rPr>
          <w:rFonts w:hint="eastAsia" w:ascii="Times New Roman" w:hAnsi="Times New Roman" w:eastAsia="仿宋_GB2312" w:cs="Times New Roman"/>
          <w:spacing w:val="-10"/>
          <w:sz w:val="32"/>
          <w:szCs w:val="32"/>
        </w:rPr>
        <w:t xml:space="preserve">）表 </w:t>
      </w:r>
      <w:r>
        <w:rPr>
          <w:rFonts w:ascii="Times New Roman" w:hAnsi="Times New Roman" w:eastAsia="仿宋_GB2312" w:cs="Times New Roman"/>
          <w:spacing w:val="-10"/>
          <w:sz w:val="32"/>
          <w:szCs w:val="32"/>
        </w:rPr>
        <w:t xml:space="preserve">2 </w:t>
      </w:r>
      <w:r>
        <w:rPr>
          <w:rFonts w:hint="eastAsia" w:ascii="Times New Roman" w:hAnsi="Times New Roman" w:eastAsia="仿宋_GB2312" w:cs="Times New Roman"/>
          <w:spacing w:val="-10"/>
          <w:sz w:val="32"/>
          <w:szCs w:val="32"/>
        </w:rPr>
        <w:t>恶臭污染物排放标准。</w:t>
      </w:r>
    </w:p>
    <w:p>
      <w:pPr>
        <w:autoSpaceDE w:val="0"/>
        <w:autoSpaceDN w:val="0"/>
        <w:spacing w:line="590" w:lineRule="exact"/>
        <w:ind w:firstLine="600" w:firstLineChars="20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无组织废气：要求加强生产管理，严格对无组织排放源的监控，防止跑冒滴漏，减少无组织排放废气产生，同时落实无组织废气治理措施，确保无组织废气达标排放。项目猪舍、黑膜沼气池及沼液暂存池产生的恶臭气体和沼气燃烧废气等无组织排放的</w:t>
      </w:r>
      <w:r>
        <w:rPr>
          <w:rFonts w:ascii="仿宋_GB2312" w:hAnsi="Times New Roman" w:eastAsia="仿宋_GB2312" w:cs="Times New Roman"/>
          <w:spacing w:val="-10"/>
          <w:sz w:val="32"/>
          <w:szCs w:val="32"/>
        </w:rPr>
        <w:t>H</w:t>
      </w:r>
      <w:r>
        <w:rPr>
          <w:rFonts w:ascii="仿宋_GB2312" w:hAnsi="Times New Roman" w:eastAsia="仿宋_GB2312" w:cs="Times New Roman"/>
          <w:spacing w:val="-10"/>
          <w:sz w:val="32"/>
          <w:szCs w:val="32"/>
          <w:vertAlign w:val="subscript"/>
        </w:rPr>
        <w:t>2</w:t>
      </w:r>
      <w:r>
        <w:rPr>
          <w:rFonts w:ascii="仿宋_GB2312" w:hAnsi="Times New Roman" w:eastAsia="仿宋_GB2312" w:cs="Times New Roman"/>
          <w:spacing w:val="-10"/>
          <w:sz w:val="32"/>
          <w:szCs w:val="32"/>
        </w:rPr>
        <w:t>S</w:t>
      </w:r>
      <w:r>
        <w:rPr>
          <w:rFonts w:hint="eastAsia" w:ascii="仿宋_GB2312" w:hAnsi="Times New Roman" w:eastAsia="仿宋_GB2312" w:cs="Times New Roman"/>
          <w:spacing w:val="-10"/>
          <w:sz w:val="32"/>
          <w:szCs w:val="32"/>
        </w:rPr>
        <w:t>、</w:t>
      </w:r>
      <w:r>
        <w:rPr>
          <w:rFonts w:ascii="仿宋_GB2312" w:hAnsi="Times New Roman" w:eastAsia="仿宋_GB2312" w:cs="Times New Roman"/>
          <w:spacing w:val="-10"/>
          <w:sz w:val="32"/>
          <w:szCs w:val="32"/>
        </w:rPr>
        <w:t>NH</w:t>
      </w:r>
      <w:r>
        <w:rPr>
          <w:rFonts w:hint="eastAsia" w:ascii="仿宋_GB2312" w:hAnsi="Times New Roman" w:eastAsia="仿宋_GB2312" w:cs="Times New Roman"/>
          <w:spacing w:val="-10"/>
          <w:sz w:val="32"/>
          <w:szCs w:val="32"/>
          <w:vertAlign w:val="subscript"/>
        </w:rPr>
        <w:t>3</w:t>
      </w:r>
      <w:r>
        <w:rPr>
          <w:rFonts w:hint="eastAsia" w:ascii="仿宋_GB2312" w:hAnsi="Times New Roman" w:eastAsia="仿宋_GB2312" w:cs="Times New Roman"/>
          <w:spacing w:val="-10"/>
          <w:sz w:val="32"/>
          <w:szCs w:val="32"/>
        </w:rPr>
        <w:t>执行《恶臭污染物排放标准》（</w:t>
      </w:r>
      <w:r>
        <w:rPr>
          <w:rFonts w:ascii="仿宋_GB2312" w:hAnsi="Times New Roman" w:eastAsia="仿宋_GB2312" w:cs="Times New Roman"/>
          <w:spacing w:val="-10"/>
          <w:sz w:val="32"/>
          <w:szCs w:val="32"/>
        </w:rPr>
        <w:t>GB14554-93</w:t>
      </w:r>
      <w:r>
        <w:rPr>
          <w:rFonts w:hint="eastAsia" w:ascii="仿宋_GB2312" w:hAnsi="Times New Roman" w:eastAsia="仿宋_GB2312" w:cs="Times New Roman"/>
          <w:spacing w:val="-10"/>
          <w:sz w:val="32"/>
          <w:szCs w:val="32"/>
        </w:rPr>
        <w:t>）表1二级标准新改扩建厂界标准限值，臭气浓度执行《畜禽养殖业污染物排放标准》（</w:t>
      </w:r>
      <w:r>
        <w:rPr>
          <w:rFonts w:ascii="仿宋_GB2312" w:hAnsi="Times New Roman" w:eastAsia="仿宋_GB2312" w:cs="Times New Roman"/>
          <w:spacing w:val="-10"/>
          <w:sz w:val="32"/>
          <w:szCs w:val="32"/>
        </w:rPr>
        <w:t>GB18596-2001</w:t>
      </w:r>
      <w:r>
        <w:rPr>
          <w:rFonts w:hint="eastAsia" w:ascii="仿宋_GB2312" w:hAnsi="Times New Roman" w:eastAsia="仿宋_GB2312" w:cs="Times New Roman"/>
          <w:spacing w:val="-10"/>
          <w:sz w:val="32"/>
          <w:szCs w:val="32"/>
        </w:rPr>
        <w:t>）表7中“集约化畜禽养殖业恶臭污染物排放标准”，</w:t>
      </w:r>
      <w:r>
        <w:rPr>
          <w:rFonts w:ascii="仿宋_GB2312" w:hAnsi="Times New Roman" w:eastAsia="仿宋_GB2312" w:cs="Times New Roman"/>
          <w:spacing w:val="-10"/>
          <w:sz w:val="32"/>
          <w:szCs w:val="32"/>
        </w:rPr>
        <w:t>火炬燃烧</w:t>
      </w:r>
      <w:r>
        <w:rPr>
          <w:rFonts w:hint="eastAsia" w:ascii="仿宋_GB2312" w:hAnsi="Times New Roman" w:eastAsia="仿宋_GB2312" w:cs="Times New Roman"/>
          <w:spacing w:val="-10"/>
          <w:sz w:val="32"/>
          <w:szCs w:val="32"/>
        </w:rPr>
        <w:t>产生的</w:t>
      </w:r>
      <w:r>
        <w:rPr>
          <w:rFonts w:ascii="仿宋_GB2312" w:hAnsi="Times New Roman" w:eastAsia="仿宋_GB2312" w:cs="Times New Roman"/>
          <w:spacing w:val="-10"/>
          <w:sz w:val="32"/>
          <w:szCs w:val="32"/>
        </w:rPr>
        <w:t>颗粒物、SO</w:t>
      </w:r>
      <w:r>
        <w:rPr>
          <w:rFonts w:ascii="仿宋_GB2312" w:hAnsi="Times New Roman" w:eastAsia="仿宋_GB2312" w:cs="Times New Roman"/>
          <w:spacing w:val="-10"/>
          <w:sz w:val="32"/>
          <w:szCs w:val="32"/>
          <w:vertAlign w:val="subscript"/>
        </w:rPr>
        <w:t>2</w:t>
      </w:r>
      <w:r>
        <w:rPr>
          <w:rFonts w:ascii="仿宋_GB2312" w:hAnsi="Times New Roman" w:eastAsia="仿宋_GB2312" w:cs="Times New Roman"/>
          <w:spacing w:val="-10"/>
          <w:sz w:val="32"/>
          <w:szCs w:val="32"/>
        </w:rPr>
        <w:t>、NO</w:t>
      </w:r>
      <w:r>
        <w:rPr>
          <w:rFonts w:ascii="仿宋_GB2312" w:hAnsi="Times New Roman" w:eastAsia="仿宋_GB2312" w:cs="Times New Roman"/>
          <w:spacing w:val="-10"/>
          <w:sz w:val="32"/>
          <w:szCs w:val="32"/>
          <w:vertAlign w:val="subscript"/>
        </w:rPr>
        <w:t>x</w:t>
      </w:r>
      <w:r>
        <w:rPr>
          <w:rFonts w:ascii="仿宋_GB2312" w:hAnsi="Times New Roman" w:eastAsia="仿宋_GB2312" w:cs="Times New Roman"/>
          <w:spacing w:val="-10"/>
          <w:sz w:val="32"/>
          <w:szCs w:val="32"/>
        </w:rPr>
        <w:t>排放</w:t>
      </w:r>
      <w:r>
        <w:rPr>
          <w:rFonts w:hint="eastAsia" w:ascii="仿宋_GB2312" w:hAnsi="Times New Roman" w:eastAsia="仿宋_GB2312" w:cs="Times New Roman"/>
          <w:spacing w:val="-10"/>
          <w:sz w:val="32"/>
          <w:szCs w:val="32"/>
        </w:rPr>
        <w:t>满足</w:t>
      </w:r>
      <w:r>
        <w:rPr>
          <w:rFonts w:ascii="仿宋_GB2312" w:hAnsi="Times New Roman" w:eastAsia="仿宋_GB2312" w:cs="Times New Roman"/>
          <w:spacing w:val="-10"/>
          <w:sz w:val="32"/>
          <w:szCs w:val="32"/>
        </w:rPr>
        <w:t>《大气污染物综合排放标准》（GB16297-1996）表2中相应的污染物无组织排放标准限值。</w:t>
      </w:r>
    </w:p>
    <w:p>
      <w:pPr>
        <w:spacing w:line="59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四）严格落实废水污染防治措施。做好各类污（废）水的收集和处理，本项目猪尿、猪舍冲洗废水、进出车辆冲洗废水、生物质锅炉排污水及员工生活污水全部经管道输送至干湿分离车间进行固液分离，分离出来的液体粪污进入黑膜沼气池，经黑膜沼气池处理，产生的沼液资源化利用不外排。项目产生的沼液执行</w:t>
      </w:r>
      <w:r>
        <w:rPr>
          <w:rFonts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rPr>
        <w:t>畜禽粪肥还田技术规范</w:t>
      </w:r>
      <w:r>
        <w:rPr>
          <w:rFonts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rPr>
        <w:t>GB/T 25246-2025</w:t>
      </w:r>
      <w:r>
        <w:rPr>
          <w:rFonts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rPr>
        <w:t>并参考</w:t>
      </w:r>
      <w:r>
        <w:rPr>
          <w:rFonts w:ascii="仿宋_GB2312" w:hAnsi="Times New Roman" w:eastAsia="仿宋_GB2312" w:cs="Times New Roman"/>
          <w:spacing w:val="-10"/>
          <w:sz w:val="32"/>
          <w:szCs w:val="32"/>
        </w:rPr>
        <w:t>《农用沼液》（GB/T 40750-2021）的</w:t>
      </w:r>
      <w:r>
        <w:rPr>
          <w:rFonts w:hint="eastAsia" w:ascii="仿宋_GB2312" w:hAnsi="Times New Roman" w:eastAsia="仿宋_GB2312" w:cs="Times New Roman"/>
          <w:spacing w:val="-10"/>
          <w:sz w:val="32"/>
          <w:szCs w:val="32"/>
        </w:rPr>
        <w:t>相关要求还田。</w:t>
      </w:r>
    </w:p>
    <w:p>
      <w:pPr>
        <w:spacing w:line="59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严格防控地下水污染。污废水的输送管道、污废水储存设备及处理构筑物等环境风险区域必须严格落实防腐、防渗措施。结合厂区平面布置采取分区防渗措施。开展地下水环境长期监测，发现异常情况应及时采取有效应对措施，防控地下水污染。</w:t>
      </w:r>
    </w:p>
    <w:p>
      <w:pPr>
        <w:spacing w:line="590" w:lineRule="exact"/>
        <w:ind w:firstLine="640" w:firstLineChars="200"/>
        <w:rPr>
          <w:rFonts w:ascii="仿宋_GB2312" w:hAnsi="Times New Roman" w:eastAsia="仿宋_GB2312" w:cs="Times New Roman"/>
          <w:spacing w:val="-10"/>
          <w:sz w:val="32"/>
          <w:szCs w:val="32"/>
        </w:rPr>
      </w:pPr>
      <w:r>
        <w:rPr>
          <w:rFonts w:hint="eastAsia" w:ascii="仿宋_GB2312" w:hAnsi="仿宋_GB2312" w:eastAsia="仿宋_GB2312" w:cs="仿宋_GB2312"/>
          <w:sz w:val="32"/>
          <w:szCs w:val="32"/>
        </w:rPr>
        <w:t>（五）严格落实噪声污染防治措施。选用低噪设备、对高噪声设备采取隔声、减振、优化布局等措施减少噪声对外环境的影响，确保厂界噪声满足《工业企业厂界环境噪声排放标准》（GB12348-2008）中的1类标准要求。</w:t>
      </w:r>
    </w:p>
    <w:p>
      <w:pPr>
        <w:spacing w:line="590" w:lineRule="exact"/>
        <w:ind w:firstLine="640"/>
        <w:rPr>
          <w:rFonts w:ascii="仿宋_GB2312" w:hAnsi="Times New Roman" w:eastAsia="仿宋_GB2312" w:cs="Times New Roman"/>
          <w:spacing w:val="-10"/>
          <w:sz w:val="32"/>
          <w:szCs w:val="32"/>
        </w:rPr>
      </w:pPr>
      <w:r>
        <w:rPr>
          <w:rFonts w:hint="eastAsia" w:ascii="仿宋_GB2312" w:hAnsi="Times New Roman" w:eastAsia="仿宋_GB2312" w:cs="Times New Roman"/>
          <w:spacing w:val="-10"/>
          <w:sz w:val="32"/>
          <w:szCs w:val="32"/>
        </w:rPr>
        <w:t>（六）严格落实固体废物污染防治措施。对固体废物实施分类处置处理，实现“资源化、减量化、无害化”。危险废物交有资质的单位处置，危险废物暂存设施</w:t>
      </w:r>
      <w:r>
        <w:rPr>
          <w:rFonts w:ascii="仿宋_GB2312" w:hAnsi="Times New Roman" w:eastAsia="仿宋_GB2312" w:cs="Times New Roman"/>
          <w:spacing w:val="-10"/>
          <w:sz w:val="32"/>
          <w:szCs w:val="32"/>
        </w:rPr>
        <w:t>建设</w:t>
      </w:r>
      <w:r>
        <w:rPr>
          <w:rFonts w:hint="eastAsia" w:ascii="仿宋_GB2312" w:hAnsi="Times New Roman" w:eastAsia="仿宋_GB2312" w:cs="Times New Roman"/>
          <w:spacing w:val="-10"/>
          <w:sz w:val="32"/>
          <w:szCs w:val="32"/>
        </w:rPr>
        <w:t>应符合</w:t>
      </w:r>
      <w:r>
        <w:rPr>
          <w:rFonts w:ascii="仿宋_GB2312" w:hAnsi="Times New Roman" w:eastAsia="仿宋_GB2312" w:cs="Times New Roman"/>
          <w:spacing w:val="-10"/>
          <w:sz w:val="32"/>
          <w:szCs w:val="32"/>
        </w:rPr>
        <w:t>《危险废物贮存污染控制标准》（GB18597-20</w:t>
      </w:r>
      <w:r>
        <w:rPr>
          <w:rFonts w:hint="eastAsia" w:ascii="仿宋_GB2312" w:hAnsi="Times New Roman" w:eastAsia="仿宋_GB2312" w:cs="Times New Roman"/>
          <w:spacing w:val="-10"/>
          <w:sz w:val="32"/>
          <w:szCs w:val="32"/>
        </w:rPr>
        <w:t>23</w:t>
      </w:r>
      <w:r>
        <w:rPr>
          <w:rFonts w:ascii="仿宋_GB2312" w:hAnsi="Times New Roman" w:eastAsia="仿宋_GB2312" w:cs="Times New Roman"/>
          <w:spacing w:val="-10"/>
          <w:sz w:val="32"/>
          <w:szCs w:val="32"/>
        </w:rPr>
        <w:t>）</w:t>
      </w:r>
      <w:r>
        <w:rPr>
          <w:rFonts w:hint="eastAsia" w:ascii="仿宋_GB2312" w:hAnsi="Times New Roman" w:eastAsia="仿宋_GB2312" w:cs="Times New Roman"/>
          <w:spacing w:val="-10"/>
          <w:sz w:val="32"/>
          <w:szCs w:val="32"/>
        </w:rPr>
        <w:t xml:space="preserve">标准要求。 </w:t>
      </w:r>
    </w:p>
    <w:p>
      <w:pPr>
        <w:spacing w:line="590" w:lineRule="exact"/>
        <w:ind w:firstLine="640"/>
        <w:rPr>
          <w:rFonts w:ascii="Times New Roman" w:hAnsi="Times New Roman" w:eastAsia="仿宋_GB2312" w:cs="Times New Roman"/>
          <w:sz w:val="32"/>
          <w:szCs w:val="32"/>
        </w:rPr>
      </w:pPr>
      <w:r>
        <w:rPr>
          <w:rFonts w:hint="eastAsia" w:ascii="Times New Roman" w:hAnsi="Times New Roman" w:eastAsia="仿宋_GB2312" w:cs="Times New Roman"/>
          <w:spacing w:val="-10"/>
          <w:sz w:val="32"/>
          <w:szCs w:val="32"/>
        </w:rPr>
        <w:t>（七）</w:t>
      </w:r>
      <w:r>
        <w:rPr>
          <w:rFonts w:ascii="Times New Roman" w:hAnsi="Times New Roman" w:eastAsia="仿宋_GB2312" w:cs="Times New Roman"/>
          <w:spacing w:val="-10"/>
          <w:sz w:val="32"/>
          <w:szCs w:val="32"/>
        </w:rPr>
        <w:t>落实环境监测措施，你单位须按照国家污染源管理相关要求规范设置排污口及标识。</w:t>
      </w:r>
      <w:r>
        <w:rPr>
          <w:rFonts w:ascii="Times New Roman" w:hAnsi="Times New Roman" w:eastAsia="仿宋_GB2312" w:cs="Times New Roman"/>
          <w:sz w:val="32"/>
          <w:szCs w:val="32"/>
        </w:rPr>
        <w:t>按照环境影响报告书提出的环境监测计划，委托有资质单位定期进行监测，需安装自动监测设备的应与生态环境主管部门的监控设备联网。</w:t>
      </w:r>
    </w:p>
    <w:p>
      <w:pPr>
        <w:spacing w:line="590" w:lineRule="exact"/>
        <w:ind w:firstLine="600" w:firstLineChars="200"/>
        <w:rPr>
          <w:rFonts w:ascii="Times New Roman" w:hAnsi="Times New Roman" w:eastAsia="仿宋_GB2312" w:cs="Times New Roman"/>
          <w:spacing w:val="-10"/>
          <w:sz w:val="32"/>
          <w:szCs w:val="32"/>
        </w:rPr>
      </w:pPr>
      <w:r>
        <w:rPr>
          <w:rFonts w:hint="eastAsia" w:ascii="Times New Roman" w:hAnsi="Times New Roman" w:eastAsia="仿宋_GB2312" w:cs="Times New Roman"/>
          <w:spacing w:val="-10"/>
          <w:sz w:val="32"/>
          <w:szCs w:val="32"/>
        </w:rPr>
        <w:t>（八）强化环境风险防范和环保设施安全生产。应做好应急物资储备，按照相关规定编制和备案突发环境事件应急预案，并与当地政府及相关部门应急预案做好衔接，定期进行环境应急培训和演练，有效防范和应对突发环境事件。严格按照《中华人民共和国安全生产法》《建设工程安全生产管理条例》《建设项目安全设施“三同时”监督管理办法》等安全生产相关法律法规和部门规章要求，健全内部污染防治设施稳定运行和管理责任制度，在环境保护设施设计、施工、验收、使用和拆除等过程中，认真落实安全生产主体责任，做好安全风险辨识评估和隐患排查治理工作，并及时向相关部门报告有关情况。</w:t>
      </w:r>
    </w:p>
    <w:p>
      <w:pPr>
        <w:spacing w:line="59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四、其他相关要求</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一</w:t>
      </w:r>
      <w:r>
        <w:rPr>
          <w:rFonts w:ascii="Times New Roman" w:hAnsi="Times New Roman" w:eastAsia="仿宋_GB2312" w:cs="Times New Roman"/>
          <w:spacing w:val="-10"/>
          <w:sz w:val="32"/>
          <w:szCs w:val="32"/>
        </w:rPr>
        <w:t>）在工程施工和运行过程中，需建立畅通的公众参与平台，及时解决公众担忧的环境问题，满足公众合理的环境诉求。定期发布环境信息，并主动接受社会监督。</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如在本项目建设和运营期间，发生环境扰民投诉案件，你单位须积极配合地方政府妥善解决。</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二</w:t>
      </w:r>
      <w:r>
        <w:rPr>
          <w:rFonts w:ascii="Times New Roman" w:hAnsi="Times New Roman" w:eastAsia="仿宋_GB2312" w:cs="Times New Roman"/>
          <w:spacing w:val="-10"/>
          <w:sz w:val="32"/>
          <w:szCs w:val="32"/>
        </w:rPr>
        <w:t>）根据《报告书》评述的项目设置的卫生防护距离，你单位应积极配合地方政府做好上述卫生防护距离范围内规划控制工作，在该范围内不得规划、审批、建设学校、医院、居民区等环境敏感目标。</w:t>
      </w:r>
    </w:p>
    <w:p>
      <w:pPr>
        <w:spacing w:line="590" w:lineRule="exact"/>
        <w:ind w:firstLine="64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三</w:t>
      </w:r>
      <w:r>
        <w:rPr>
          <w:rFonts w:ascii="Times New Roman" w:hAnsi="Times New Roman" w:eastAsia="仿宋_GB2312" w:cs="Times New Roman"/>
          <w:spacing w:val="-10"/>
          <w:sz w:val="32"/>
          <w:szCs w:val="32"/>
        </w:rPr>
        <w:t>）落实污染物总量控制要求，不得超出环境主管部门核定的总量指标排放污染物。在启动生产设施或者发生实际排污之前，按照相关要求申领排污许可证。</w:t>
      </w:r>
    </w:p>
    <w:p>
      <w:pPr>
        <w:spacing w:line="590" w:lineRule="exact"/>
        <w:ind w:firstLine="600" w:firstLineChars="200"/>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w:t>
      </w:r>
      <w:r>
        <w:rPr>
          <w:rFonts w:hint="eastAsia" w:ascii="Times New Roman" w:hAnsi="Times New Roman" w:eastAsia="仿宋_GB2312" w:cs="Times New Roman"/>
          <w:spacing w:val="-10"/>
          <w:sz w:val="32"/>
          <w:szCs w:val="32"/>
        </w:rPr>
        <w:t>四</w:t>
      </w:r>
      <w:r>
        <w:rPr>
          <w:rFonts w:ascii="Times New Roman" w:hAnsi="Times New Roman" w:eastAsia="仿宋_GB2312" w:cs="Times New Roman"/>
          <w:spacing w:val="-10"/>
          <w:sz w:val="32"/>
          <w:szCs w:val="32"/>
        </w:rPr>
        <w:t>）</w:t>
      </w:r>
      <w:r>
        <w:rPr>
          <w:rFonts w:ascii="Times New Roman" w:hAnsi="Times New Roman" w:eastAsia="仿宋_GB2312" w:cs="Times New Roman"/>
          <w:sz w:val="32"/>
          <w:szCs w:val="32"/>
          <w:shd w:val="clear" w:color="auto" w:fill="FFFFFF"/>
        </w:rPr>
        <w:t>项目实施建设必须严格执行环境保护设施与主体工程同时设计、同时施工、同时投产使用的环境保护“三同时”制度，落实各项生态环境保护措施。项目建成后，应按规定程序实施竣工环境保护验收。竣工环境保护验收后运行3至5年，应按规定开展环境影响后评价。</w:t>
      </w:r>
    </w:p>
    <w:p>
      <w:pPr>
        <w:pStyle w:val="6"/>
        <w:widowControl/>
        <w:spacing w:line="590" w:lineRule="exact"/>
        <w:ind w:firstLine="600" w:firstLineChars="200"/>
        <w:rPr>
          <w:rFonts w:ascii="Times New Roman" w:hAnsi="Times New Roman" w:eastAsia="仿宋_GB2312"/>
          <w:spacing w:val="-10"/>
          <w:sz w:val="32"/>
          <w:szCs w:val="32"/>
        </w:rPr>
      </w:pPr>
      <w:r>
        <w:rPr>
          <w:rFonts w:ascii="Times New Roman" w:hAnsi="Times New Roman" w:eastAsia="仿宋_GB2312"/>
          <w:spacing w:val="-10"/>
          <w:sz w:val="32"/>
          <w:szCs w:val="32"/>
        </w:rPr>
        <w:t>五、阜新生态环境局</w:t>
      </w:r>
      <w:r>
        <w:rPr>
          <w:rFonts w:hint="eastAsia" w:ascii="Times New Roman" w:hAnsi="Times New Roman" w:eastAsia="仿宋_GB2312"/>
          <w:spacing w:val="-10"/>
          <w:sz w:val="32"/>
          <w:szCs w:val="32"/>
        </w:rPr>
        <w:t>阜新</w:t>
      </w:r>
      <w:r>
        <w:rPr>
          <w:rFonts w:ascii="Times New Roman" w:hAnsi="Times New Roman" w:eastAsia="仿宋_GB2312"/>
          <w:spacing w:val="-10"/>
          <w:sz w:val="32"/>
          <w:szCs w:val="32"/>
        </w:rPr>
        <w:t xml:space="preserve">县分局负责该项目的环境保护“三同时”监督检查及管理工作。 </w:t>
      </w:r>
    </w:p>
    <w:p>
      <w:pPr>
        <w:spacing w:line="590" w:lineRule="exact"/>
        <w:rPr>
          <w:rFonts w:ascii="Times New Roman" w:hAnsi="Times New Roman" w:eastAsia="仿宋_GB2312" w:cs="Times New Roman"/>
          <w:spacing w:val="-10"/>
          <w:sz w:val="32"/>
          <w:szCs w:val="32"/>
        </w:rPr>
      </w:pPr>
    </w:p>
    <w:p>
      <w:pPr>
        <w:spacing w:line="590" w:lineRule="exact"/>
        <w:ind w:firstLine="4800" w:firstLineChars="1600"/>
        <w:rPr>
          <w:rFonts w:ascii="Times New Roman" w:hAnsi="Times New Roman" w:eastAsia="仿宋_GB2312" w:cs="Times New Roman"/>
          <w:spacing w:val="-10"/>
          <w:sz w:val="32"/>
          <w:szCs w:val="32"/>
        </w:rPr>
      </w:pPr>
    </w:p>
    <w:p>
      <w:pPr>
        <w:spacing w:line="590" w:lineRule="exact"/>
        <w:ind w:firstLine="2700" w:firstLineChars="900"/>
        <w:jc w:val="right"/>
        <w:rPr>
          <w:rFonts w:ascii="Times New Roman" w:hAnsi="Times New Roman" w:eastAsia="仿宋_GB2312" w:cs="Times New Roman"/>
          <w:spacing w:val="-10"/>
          <w:sz w:val="32"/>
          <w:szCs w:val="32"/>
        </w:rPr>
      </w:pPr>
      <w:r>
        <w:rPr>
          <w:rFonts w:ascii="Times New Roman" w:hAnsi="Times New Roman" w:eastAsia="仿宋_GB2312" w:cs="Times New Roman"/>
          <w:spacing w:val="-10"/>
          <w:sz w:val="32"/>
          <w:szCs w:val="32"/>
        </w:rPr>
        <w:t>阜新市生态环境局</w:t>
      </w:r>
      <w:r>
        <w:rPr>
          <w:rFonts w:hint="eastAsia" w:ascii="Times New Roman" w:hAnsi="Times New Roman" w:eastAsia="仿宋_GB2312" w:cs="Times New Roman"/>
          <w:color w:val="FFFFFF" w:themeColor="background1"/>
          <w:spacing w:val="-10"/>
          <w:sz w:val="32"/>
          <w:szCs w:val="32"/>
        </w:rPr>
        <w:t>空空空空</w:t>
      </w:r>
    </w:p>
    <w:p>
      <w:pPr>
        <w:spacing w:line="59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2026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rPr>
        <w:t>5</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rPr>
        <w:t>13</w:t>
      </w:r>
      <w:r>
        <w:rPr>
          <w:rFonts w:ascii="Times New Roman" w:hAnsi="Times New Roman" w:eastAsia="仿宋_GB2312" w:cs="Times New Roman"/>
          <w:sz w:val="32"/>
          <w:szCs w:val="32"/>
        </w:rPr>
        <w:t>日</w:t>
      </w:r>
    </w:p>
    <w:p>
      <w:pPr>
        <w:spacing w:line="590" w:lineRule="exact"/>
        <w:ind w:firstLine="640" w:firstLineChars="200"/>
        <w:rPr>
          <w:rFonts w:ascii="仿宋_GB2312" w:hAnsi="仿宋_GB2312" w:eastAsia="仿宋_GB2312" w:cs="仿宋_GB2312"/>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仿宋_GB2312">
    <w:altName w:val="方正仿宋_GBK"/>
    <w:panose1 w:val="02010609030101010101"/>
    <w:charset w:val="86"/>
    <w:family w:val="modern"/>
    <w:pitch w:val="default"/>
    <w:sig w:usb0="00000000" w:usb1="00000000" w:usb2="00000010" w:usb3="00000000" w:csb0="00040000" w:csb1="00000000"/>
  </w:font>
  <w:font w:name="TimesNewRomanPSMT">
    <w:altName w:val="DejaVu Sans"/>
    <w:panose1 w:val="00000000000000000000"/>
    <w:charset w:val="00"/>
    <w:family w:val="auto"/>
    <w:pitch w:val="default"/>
    <w:sig w:usb0="00000000" w:usb1="00000000" w:usb2="00000000" w:usb3="00000000" w:csb0="00040001" w:csb1="00000000"/>
  </w:font>
  <w:font w:name="方正小标宋简体">
    <w:panose1 w:val="02000000000000000000"/>
    <w:charset w:val="86"/>
    <w:family w:val="script"/>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WYwOTMxNDM0OWU2NjBmNTdiODZhNDM0MTFiNjgyZWMifQ=="/>
  </w:docVars>
  <w:rsids>
    <w:rsidRoot w:val="380F54D5"/>
    <w:rsid w:val="000006CB"/>
    <w:rsid w:val="000062D9"/>
    <w:rsid w:val="00017CD7"/>
    <w:rsid w:val="0004288B"/>
    <w:rsid w:val="0005407F"/>
    <w:rsid w:val="000772DF"/>
    <w:rsid w:val="000A71FA"/>
    <w:rsid w:val="000B20D2"/>
    <w:rsid w:val="000B72A8"/>
    <w:rsid w:val="000B79AE"/>
    <w:rsid w:val="000C2331"/>
    <w:rsid w:val="000C3632"/>
    <w:rsid w:val="000E2BE0"/>
    <w:rsid w:val="000F41D6"/>
    <w:rsid w:val="000F53C5"/>
    <w:rsid w:val="00104A5D"/>
    <w:rsid w:val="0010758B"/>
    <w:rsid w:val="00111C6F"/>
    <w:rsid w:val="001330FB"/>
    <w:rsid w:val="00136E09"/>
    <w:rsid w:val="0014723A"/>
    <w:rsid w:val="00157C8A"/>
    <w:rsid w:val="0016206C"/>
    <w:rsid w:val="00171391"/>
    <w:rsid w:val="001731AA"/>
    <w:rsid w:val="0018776B"/>
    <w:rsid w:val="00191FDF"/>
    <w:rsid w:val="00194074"/>
    <w:rsid w:val="001A5B2D"/>
    <w:rsid w:val="001A6C6B"/>
    <w:rsid w:val="001C2CCB"/>
    <w:rsid w:val="001C50A0"/>
    <w:rsid w:val="001D0148"/>
    <w:rsid w:val="001D47C6"/>
    <w:rsid w:val="001E0F98"/>
    <w:rsid w:val="001F460F"/>
    <w:rsid w:val="00213891"/>
    <w:rsid w:val="002456ED"/>
    <w:rsid w:val="00274C2A"/>
    <w:rsid w:val="002940A1"/>
    <w:rsid w:val="00294F26"/>
    <w:rsid w:val="002A0C67"/>
    <w:rsid w:val="002A1C5D"/>
    <w:rsid w:val="002A47E0"/>
    <w:rsid w:val="002A4DC6"/>
    <w:rsid w:val="002A5367"/>
    <w:rsid w:val="002B06E7"/>
    <w:rsid w:val="002B35AD"/>
    <w:rsid w:val="002B3757"/>
    <w:rsid w:val="002B561C"/>
    <w:rsid w:val="002D2175"/>
    <w:rsid w:val="002E5C75"/>
    <w:rsid w:val="002E7EE1"/>
    <w:rsid w:val="002F14D0"/>
    <w:rsid w:val="002F78E6"/>
    <w:rsid w:val="00333998"/>
    <w:rsid w:val="0034667A"/>
    <w:rsid w:val="0038131F"/>
    <w:rsid w:val="003A1ABB"/>
    <w:rsid w:val="003E118F"/>
    <w:rsid w:val="003E2C10"/>
    <w:rsid w:val="003F5744"/>
    <w:rsid w:val="004020CD"/>
    <w:rsid w:val="00404678"/>
    <w:rsid w:val="00426BF8"/>
    <w:rsid w:val="0042786A"/>
    <w:rsid w:val="00456230"/>
    <w:rsid w:val="00462E4C"/>
    <w:rsid w:val="00482EA7"/>
    <w:rsid w:val="00494DEB"/>
    <w:rsid w:val="004B065A"/>
    <w:rsid w:val="004B21F9"/>
    <w:rsid w:val="004C0B50"/>
    <w:rsid w:val="004D0431"/>
    <w:rsid w:val="004D308E"/>
    <w:rsid w:val="004E1A1D"/>
    <w:rsid w:val="004E2595"/>
    <w:rsid w:val="00512841"/>
    <w:rsid w:val="00530CFF"/>
    <w:rsid w:val="00532829"/>
    <w:rsid w:val="00540572"/>
    <w:rsid w:val="00590076"/>
    <w:rsid w:val="005B28C4"/>
    <w:rsid w:val="005D0479"/>
    <w:rsid w:val="005E4490"/>
    <w:rsid w:val="005E4909"/>
    <w:rsid w:val="005F21FA"/>
    <w:rsid w:val="006037D7"/>
    <w:rsid w:val="00615B33"/>
    <w:rsid w:val="006310D1"/>
    <w:rsid w:val="00643748"/>
    <w:rsid w:val="00671F04"/>
    <w:rsid w:val="00676887"/>
    <w:rsid w:val="00682423"/>
    <w:rsid w:val="00683566"/>
    <w:rsid w:val="00690D1A"/>
    <w:rsid w:val="00691B10"/>
    <w:rsid w:val="00692991"/>
    <w:rsid w:val="00695732"/>
    <w:rsid w:val="0069697F"/>
    <w:rsid w:val="006A5CAF"/>
    <w:rsid w:val="006B0FA9"/>
    <w:rsid w:val="006B669E"/>
    <w:rsid w:val="006B7BB4"/>
    <w:rsid w:val="006C6436"/>
    <w:rsid w:val="006C753A"/>
    <w:rsid w:val="006E16EB"/>
    <w:rsid w:val="006F3E79"/>
    <w:rsid w:val="006F6248"/>
    <w:rsid w:val="0072384C"/>
    <w:rsid w:val="00724233"/>
    <w:rsid w:val="00753C73"/>
    <w:rsid w:val="0075515A"/>
    <w:rsid w:val="00755A13"/>
    <w:rsid w:val="007577FD"/>
    <w:rsid w:val="0076595C"/>
    <w:rsid w:val="0076661D"/>
    <w:rsid w:val="007667AA"/>
    <w:rsid w:val="00791E61"/>
    <w:rsid w:val="0079373D"/>
    <w:rsid w:val="007A75A6"/>
    <w:rsid w:val="007B2D01"/>
    <w:rsid w:val="007B7BE4"/>
    <w:rsid w:val="007D2FB7"/>
    <w:rsid w:val="007E04CF"/>
    <w:rsid w:val="008042C2"/>
    <w:rsid w:val="0082728A"/>
    <w:rsid w:val="00831141"/>
    <w:rsid w:val="00855FB5"/>
    <w:rsid w:val="008843AE"/>
    <w:rsid w:val="008921AB"/>
    <w:rsid w:val="008932AC"/>
    <w:rsid w:val="008943E8"/>
    <w:rsid w:val="008D6311"/>
    <w:rsid w:val="008D65B1"/>
    <w:rsid w:val="008E2169"/>
    <w:rsid w:val="008F4787"/>
    <w:rsid w:val="008F5281"/>
    <w:rsid w:val="00904FA0"/>
    <w:rsid w:val="009051AF"/>
    <w:rsid w:val="009144D4"/>
    <w:rsid w:val="0092604E"/>
    <w:rsid w:val="009260DF"/>
    <w:rsid w:val="00932145"/>
    <w:rsid w:val="009346BA"/>
    <w:rsid w:val="00944C05"/>
    <w:rsid w:val="00946F50"/>
    <w:rsid w:val="00962464"/>
    <w:rsid w:val="00982848"/>
    <w:rsid w:val="0098294A"/>
    <w:rsid w:val="00997F8B"/>
    <w:rsid w:val="009B052D"/>
    <w:rsid w:val="009B0AF0"/>
    <w:rsid w:val="009C1C42"/>
    <w:rsid w:val="009C48EA"/>
    <w:rsid w:val="009E28AA"/>
    <w:rsid w:val="00A04DB2"/>
    <w:rsid w:val="00A05FA7"/>
    <w:rsid w:val="00A11FEC"/>
    <w:rsid w:val="00A20660"/>
    <w:rsid w:val="00A3198F"/>
    <w:rsid w:val="00A54D28"/>
    <w:rsid w:val="00A57183"/>
    <w:rsid w:val="00A6469C"/>
    <w:rsid w:val="00A67784"/>
    <w:rsid w:val="00A740DA"/>
    <w:rsid w:val="00A869D4"/>
    <w:rsid w:val="00A90681"/>
    <w:rsid w:val="00A907CE"/>
    <w:rsid w:val="00AB1E2F"/>
    <w:rsid w:val="00AB6E0F"/>
    <w:rsid w:val="00AC1ADD"/>
    <w:rsid w:val="00AC4913"/>
    <w:rsid w:val="00AF3C50"/>
    <w:rsid w:val="00B04E5E"/>
    <w:rsid w:val="00B155B3"/>
    <w:rsid w:val="00B30115"/>
    <w:rsid w:val="00B37380"/>
    <w:rsid w:val="00B37E08"/>
    <w:rsid w:val="00B44CD5"/>
    <w:rsid w:val="00B45AE3"/>
    <w:rsid w:val="00B52564"/>
    <w:rsid w:val="00B53D45"/>
    <w:rsid w:val="00B73574"/>
    <w:rsid w:val="00B74C9F"/>
    <w:rsid w:val="00B8261A"/>
    <w:rsid w:val="00B95F3D"/>
    <w:rsid w:val="00B96924"/>
    <w:rsid w:val="00BA78CC"/>
    <w:rsid w:val="00BC2061"/>
    <w:rsid w:val="00BC5C23"/>
    <w:rsid w:val="00BD06CD"/>
    <w:rsid w:val="00BD35B3"/>
    <w:rsid w:val="00BD6798"/>
    <w:rsid w:val="00C022C6"/>
    <w:rsid w:val="00C11786"/>
    <w:rsid w:val="00C20BD7"/>
    <w:rsid w:val="00C25BD2"/>
    <w:rsid w:val="00C260EF"/>
    <w:rsid w:val="00C36D6C"/>
    <w:rsid w:val="00C4024E"/>
    <w:rsid w:val="00C422EA"/>
    <w:rsid w:val="00C442F4"/>
    <w:rsid w:val="00C51B8D"/>
    <w:rsid w:val="00C62448"/>
    <w:rsid w:val="00C64E75"/>
    <w:rsid w:val="00C731B7"/>
    <w:rsid w:val="00C751B7"/>
    <w:rsid w:val="00C85CD2"/>
    <w:rsid w:val="00C93F4B"/>
    <w:rsid w:val="00CA0A7E"/>
    <w:rsid w:val="00CA3231"/>
    <w:rsid w:val="00CA44E1"/>
    <w:rsid w:val="00CD32DB"/>
    <w:rsid w:val="00CD60A8"/>
    <w:rsid w:val="00CF0CFD"/>
    <w:rsid w:val="00CF6FEF"/>
    <w:rsid w:val="00D02682"/>
    <w:rsid w:val="00D14EC1"/>
    <w:rsid w:val="00D25689"/>
    <w:rsid w:val="00D33A1E"/>
    <w:rsid w:val="00D4067C"/>
    <w:rsid w:val="00D57964"/>
    <w:rsid w:val="00D72C21"/>
    <w:rsid w:val="00D96AA6"/>
    <w:rsid w:val="00DA4D1A"/>
    <w:rsid w:val="00DB3A0C"/>
    <w:rsid w:val="00DC3F60"/>
    <w:rsid w:val="00DC7288"/>
    <w:rsid w:val="00DE4724"/>
    <w:rsid w:val="00DF31E8"/>
    <w:rsid w:val="00E00AF7"/>
    <w:rsid w:val="00E01AC0"/>
    <w:rsid w:val="00E3480C"/>
    <w:rsid w:val="00E441F1"/>
    <w:rsid w:val="00E52B86"/>
    <w:rsid w:val="00E64810"/>
    <w:rsid w:val="00E71D44"/>
    <w:rsid w:val="00E72BCB"/>
    <w:rsid w:val="00E74EEA"/>
    <w:rsid w:val="00E75263"/>
    <w:rsid w:val="00E87BDD"/>
    <w:rsid w:val="00E87EB7"/>
    <w:rsid w:val="00E943D0"/>
    <w:rsid w:val="00EA2FDC"/>
    <w:rsid w:val="00EC084D"/>
    <w:rsid w:val="00EC40BD"/>
    <w:rsid w:val="00EC604D"/>
    <w:rsid w:val="00EE1422"/>
    <w:rsid w:val="00EE6F60"/>
    <w:rsid w:val="00EF22F0"/>
    <w:rsid w:val="00EF2551"/>
    <w:rsid w:val="00F02277"/>
    <w:rsid w:val="00F05B1A"/>
    <w:rsid w:val="00F224C7"/>
    <w:rsid w:val="00F2280D"/>
    <w:rsid w:val="00F23B21"/>
    <w:rsid w:val="00F263A5"/>
    <w:rsid w:val="00F5130F"/>
    <w:rsid w:val="00F559CA"/>
    <w:rsid w:val="00F629DD"/>
    <w:rsid w:val="00F877C7"/>
    <w:rsid w:val="00F9209A"/>
    <w:rsid w:val="00F93B3C"/>
    <w:rsid w:val="00FB459C"/>
    <w:rsid w:val="00FB5AF1"/>
    <w:rsid w:val="00FB7EC7"/>
    <w:rsid w:val="00FC1639"/>
    <w:rsid w:val="00FC7C72"/>
    <w:rsid w:val="00FD6491"/>
    <w:rsid w:val="00FE0D3E"/>
    <w:rsid w:val="00FE633D"/>
    <w:rsid w:val="00FF3E59"/>
    <w:rsid w:val="00FF563E"/>
    <w:rsid w:val="00FF642D"/>
    <w:rsid w:val="044811AB"/>
    <w:rsid w:val="1A8D294F"/>
    <w:rsid w:val="25CE1675"/>
    <w:rsid w:val="29974297"/>
    <w:rsid w:val="2F9A5356"/>
    <w:rsid w:val="311331FC"/>
    <w:rsid w:val="380F54D5"/>
    <w:rsid w:val="45C67A8C"/>
    <w:rsid w:val="5D463024"/>
    <w:rsid w:val="64F26DFF"/>
    <w:rsid w:val="6A4D3FA6"/>
    <w:rsid w:val="739754C2"/>
    <w:rsid w:val="76314207"/>
    <w:rsid w:val="79974DA2"/>
    <w:rsid w:val="7B6B3AC6"/>
    <w:rsid w:val="FBF744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HTML Address"/>
    <w:basedOn w:val="1"/>
    <w:uiPriority w:val="0"/>
    <w:rPr>
      <w:i/>
    </w:rPr>
  </w:style>
  <w:style w:type="paragraph" w:styleId="3">
    <w:name w:val="Body Text Indent"/>
    <w:basedOn w:val="1"/>
    <w:qFormat/>
    <w:uiPriority w:val="0"/>
    <w:pPr>
      <w:ind w:firstLine="640" w:firstLineChars="200"/>
    </w:pPr>
    <w:rPr>
      <w:rFonts w:ascii="仿宋_GB2312" w:hAnsi="Times New Roman" w:eastAsia="仿宋_GB2312" w:cs="Times New Roman"/>
      <w:sz w:val="32"/>
      <w:szCs w:val="24"/>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jc w:val="left"/>
    </w:pPr>
    <w:rPr>
      <w:rFonts w:cs="Times New Roman"/>
      <w:kern w:val="0"/>
      <w:sz w:val="16"/>
      <w:szCs w:val="16"/>
    </w:rPr>
  </w:style>
  <w:style w:type="character" w:styleId="9">
    <w:name w:val="Strong"/>
    <w:qFormat/>
    <w:uiPriority w:val="22"/>
    <w:rPr>
      <w:b/>
    </w:rPr>
  </w:style>
  <w:style w:type="character" w:customStyle="1" w:styleId="10">
    <w:name w:val="页眉 Char"/>
    <w:basedOn w:val="8"/>
    <w:link w:val="5"/>
    <w:qFormat/>
    <w:uiPriority w:val="0"/>
    <w:rPr>
      <w:kern w:val="2"/>
      <w:sz w:val="18"/>
      <w:szCs w:val="18"/>
    </w:rPr>
  </w:style>
  <w:style w:type="character" w:customStyle="1" w:styleId="11">
    <w:name w:val="页脚 Char"/>
    <w:basedOn w:val="8"/>
    <w:link w:val="4"/>
    <w:qFormat/>
    <w:uiPriority w:val="0"/>
    <w:rPr>
      <w:kern w:val="2"/>
      <w:sz w:val="18"/>
      <w:szCs w:val="18"/>
    </w:rPr>
  </w:style>
  <w:style w:type="character" w:customStyle="1" w:styleId="12">
    <w:name w:val="fontstyle01"/>
    <w:basedOn w:val="8"/>
    <w:qFormat/>
    <w:uiPriority w:val="0"/>
    <w:rPr>
      <w:rFonts w:hint="eastAsia" w:ascii="宋体" w:hAnsi="宋体" w:eastAsia="宋体"/>
      <w:color w:val="000000"/>
      <w:sz w:val="24"/>
      <w:szCs w:val="24"/>
    </w:rPr>
  </w:style>
  <w:style w:type="character" w:customStyle="1" w:styleId="13">
    <w:name w:val="fontstyle21"/>
    <w:basedOn w:val="8"/>
    <w:qFormat/>
    <w:uiPriority w:val="0"/>
    <w:rPr>
      <w:rFonts w:hint="default" w:ascii="TimesNewRomanPSMT" w:hAnsi="TimesNewRomanPSMT"/>
      <w:color w:val="00000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Pages>
  <Words>417</Words>
  <Characters>2379</Characters>
  <Lines>19</Lines>
  <Paragraphs>5</Paragraphs>
  <TotalTime>1150</TotalTime>
  <ScaleCrop>false</ScaleCrop>
  <LinksUpToDate>false</LinksUpToDate>
  <CharactersWithSpaces>2791</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2019-04-29T11:18:00Z</dcterms:created>
  <dc:creator>Administrator</dc:creator>
  <cp:lastModifiedBy>user</cp:lastModifiedBy>
  <cp:lastPrinted>2026-05-13T14:42:00Z</cp:lastPrinted>
  <dcterms:modified xsi:type="dcterms:W3CDTF">2026-05-13T17:01:25Z</dcterms:modified>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ICV">
    <vt:lpwstr>88536EA5530146328F4FECCF6F23773A</vt:lpwstr>
  </property>
</Properties>
</file>