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W w:w="9637" w:type="dxa"/>
        <w:tblInd w:w="-3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94"/>
        <w:gridCol w:w="4423"/>
        <w:gridCol w:w="4422"/>
        <w:gridCol w:w="1"/>
        <w:gridCol w:w="3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2"/>
          <w:wBefore w:w="394" w:type="dxa"/>
          <w:wAfter w:w="398" w:type="dxa"/>
          <w:cantSplit/>
          <w:trHeight w:val="865" w:hRule="atLeast"/>
        </w:trPr>
        <w:tc>
          <w:tcPr>
            <w:tcW w:w="8845" w:type="dxa"/>
            <w:gridSpan w:val="2"/>
            <w:tcBorders>
              <w:tl2br w:val="nil"/>
              <w:tr2bl w:val="nil"/>
            </w:tcBorders>
            <w:noWrap w:val="0"/>
            <w:vAlign w:val="bottom"/>
          </w:tcPr>
          <w:p>
            <w:pPr>
              <w:keepNext w:val="0"/>
              <w:keepLines w:val="0"/>
              <w:pageBreakBefore w:val="0"/>
              <w:widowControl w:val="0"/>
              <w:kinsoku/>
              <w:wordWrap/>
              <w:overflowPunct w:val="0"/>
              <w:topLinePunct/>
              <w:autoSpaceDE/>
              <w:autoSpaceDN/>
              <w:bidi w:val="0"/>
              <w:adjustRightInd w:val="0"/>
              <w:snapToGrid w:val="0"/>
              <w:spacing w:line="800" w:lineRule="exact"/>
              <w:jc w:val="center"/>
              <w:textAlignment w:val="auto"/>
              <w:rPr>
                <w:rFonts w:hint="eastAsia" w:ascii="GWZT-EN" w:hAnsi="方正小标宋_GBK" w:eastAsia="方正小标宋_GBK" w:cs="方正小标宋_GBK"/>
                <w:b w:val="0"/>
                <w:bCs w:val="0"/>
                <w:color w:val="FF0000"/>
                <w:spacing w:val="0"/>
                <w:kern w:val="2"/>
                <w:sz w:val="72"/>
                <w:szCs w:val="72"/>
                <w:lang w:val="en-US" w:eastAsia="zh-CN" w:bidi="ar-SA"/>
              </w:rPr>
            </w:pPr>
            <mc:AlternateContent>
              <mc:Choice Requires="wpsCustomData">
                <wpsCustomData:docfieldStart id="0" docfieldname="发文机关名称" hidden="false" print="true" readonly="false" index="17"/>
              </mc:Choice>
            </mc:AlternateContent>
            <mc:AlternateContent>
              <mc:Choice Requires="wpsCustomData">
                <wpsCustomData:docfieldEnd id="0"/>
              </mc:Choice>
            </mc:AlternateContent>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exact"/>
        </w:trPr>
        <w:tc>
          <w:tcPr>
            <w:tcW w:w="9637" w:type="dxa"/>
            <w:gridSpan w:val="5"/>
            <w:tcBorders>
              <w:tl2br w:val="nil"/>
              <w:tr2bl w:val="nil"/>
            </w:tcBorders>
            <w:noWrap w:val="0"/>
            <w:vAlign w:val="top"/>
          </w:tcPr>
          <w:p>
            <w:pPr>
              <w:keepNext w:val="0"/>
              <w:keepLines w:val="0"/>
              <w:pageBreakBefore w:val="0"/>
              <w:widowControl w:val="0"/>
              <w:kinsoku/>
              <w:wordWrap/>
              <w:overflowPunct w:val="0"/>
              <w:topLinePunct/>
              <w:autoSpaceDE/>
              <w:autoSpaceDN/>
              <w:bidi w:val="0"/>
              <w:textAlignment w:val="auto"/>
              <w:rPr>
                <w:rFonts w:hint="eastAsia" w:ascii="GWZT-EN" w:hAnsi="仿宋" w:eastAsia="仿宋" w:cs="Times New Roman"/>
                <w:b w:val="0"/>
                <w:bCs w:val="0"/>
                <w:spacing w:val="0"/>
                <w:kern w:val="2"/>
                <w:sz w:val="32"/>
                <w:szCs w:val="3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2"/>
          <w:wBefore w:w="394" w:type="dxa"/>
          <w:wAfter w:w="398" w:type="dxa"/>
          <w:cantSplit/>
          <w:trHeight w:val="210" w:hRule="exact"/>
        </w:trPr>
        <w:tc>
          <w:tcPr>
            <w:tcW w:w="8845" w:type="dxa"/>
            <w:gridSpan w:val="2"/>
            <w:tcBorders>
              <w:tl2br w:val="nil"/>
              <w:tr2bl w:val="nil"/>
            </w:tcBorders>
            <w:noWrap w:val="0"/>
            <w:vAlign w:val="top"/>
          </w:tcPr>
          <w:p>
            <w:pPr>
              <w:keepNext w:val="0"/>
              <w:keepLines w:val="0"/>
              <w:pageBreakBefore w:val="0"/>
              <w:widowControl w:val="0"/>
              <w:tabs>
                <w:tab w:val="left" w:pos="2814"/>
              </w:tabs>
              <w:kinsoku/>
              <w:wordWrap/>
              <w:overflowPunct w:val="0"/>
              <w:topLinePunct/>
              <w:autoSpaceDE/>
              <w:autoSpaceDN/>
              <w:bidi w:val="0"/>
              <w:jc w:val="left"/>
              <w:textAlignment w:val="auto"/>
              <w:rPr>
                <w:rFonts w:hint="eastAsia" w:ascii="GWZT-EN" w:hAnsi="仿宋" w:eastAsia="仿宋" w:cs="Times New Roman"/>
                <w:b w:val="0"/>
                <w:bCs w:val="0"/>
                <w:spacing w:val="0"/>
                <w:kern w:val="2"/>
                <w:sz w:val="32"/>
                <w:szCs w:val="32"/>
                <w:lang w:val="en-US" w:eastAsia="zh-CN" w:bidi="ar-SA"/>
              </w:rPr>
            </w:pPr>
            <w:r>
              <w:rPr>
                <w:rFonts w:hint="eastAsia" w:ascii="GWZT-EN" w:hAnsi="仿宋" w:eastAsia="仿宋" w:cs="Times New Roman"/>
                <w:b w:val="0"/>
                <w:bCs w:val="0"/>
                <w:spacing w:val="0"/>
                <w:kern w:val="2"/>
                <w:sz w:val="32"/>
                <w:szCs w:val="32"/>
                <w:lang w:val="en-US" w:eastAsia="zh-CN" w:bidi="ar-SA"/>
              </w:rPr>
              <w:tab/>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1"/>
          <w:wBefore w:w="394" w:type="dxa"/>
          <w:wAfter w:w="397" w:type="dxa"/>
          <w:cantSplit/>
        </w:trPr>
        <w:tc>
          <w:tcPr>
            <w:tcW w:w="4423" w:type="dxa"/>
            <w:tcBorders>
              <w:tl2br w:val="nil"/>
              <w:tr2bl w:val="nil"/>
            </w:tcBorders>
            <w:noWrap w:val="0"/>
            <w:vAlign w:val="top"/>
          </w:tcPr>
          <w:p>
            <w:pPr>
              <w:keepNext w:val="0"/>
              <w:keepLines w:val="0"/>
              <w:pageBreakBefore w:val="0"/>
              <w:widowControl w:val="0"/>
              <w:kinsoku/>
              <w:wordWrap/>
              <w:overflowPunct w:val="0"/>
              <w:topLinePunct/>
              <w:autoSpaceDE/>
              <w:autoSpaceDN/>
              <w:bidi w:val="0"/>
              <w:spacing w:line="240" w:lineRule="auto"/>
              <w:textAlignment w:val="auto"/>
              <w:rPr>
                <w:rFonts w:hint="eastAsia" w:ascii="GWZT-EN" w:hAnsi="黑体" w:eastAsia="黑体" w:cs="Times New Roman"/>
                <w:b w:val="0"/>
                <w:bCs w:val="0"/>
                <w:spacing w:val="0"/>
                <w:kern w:val="2"/>
                <w:sz w:val="32"/>
                <w:szCs w:val="32"/>
                <w:lang w:val="en-US" w:eastAsia="zh-CN" w:bidi="ar-SA"/>
              </w:rPr>
            </w:pPr>
          </w:p>
        </w:tc>
        <w:tc>
          <w:tcPr>
            <w:tcW w:w="4423" w:type="dxa"/>
            <w:gridSpan w:val="2"/>
            <w:tcBorders>
              <w:tl2br w:val="nil"/>
              <w:tr2bl w:val="nil"/>
            </w:tcBorders>
            <w:noWrap w:val="0"/>
            <w:vAlign w:val="top"/>
          </w:tcPr>
          <w:p>
            <w:pPr>
              <w:keepNext w:val="0"/>
              <w:keepLines w:val="0"/>
              <w:pageBreakBefore w:val="0"/>
              <w:widowControl w:val="0"/>
              <w:kinsoku/>
              <w:wordWrap/>
              <w:overflowPunct w:val="0"/>
              <w:topLinePunct/>
              <w:autoSpaceDE/>
              <w:autoSpaceDN/>
              <w:bidi w:val="0"/>
              <w:jc w:val="right"/>
              <w:textAlignment w:val="auto"/>
              <w:rPr>
                <w:rFonts w:hint="eastAsia" w:ascii="GWZT-EN" w:hAnsi="仿宋" w:eastAsia="仿宋" w:cs="仿宋"/>
                <w:b w:val="0"/>
                <w:bCs w:val="0"/>
                <w:spacing w:val="0"/>
                <w:kern w:val="2"/>
                <w:sz w:val="32"/>
                <w:szCs w:val="32"/>
                <w:lang w:val="en-US" w:eastAsia="zh-CN" w:bidi="ar-SA"/>
              </w:rPr>
            </w:pPr>
            <w:r>
              <w:rPr>
                <w:rFonts w:hint="eastAsia" w:ascii="仿宋_GB2312" w:hAnsi="仿宋_GB2312" w:eastAsia="仿宋_GB2312" w:cs="仿宋_GB2312"/>
                <w:sz w:val="32"/>
              </w:rPr>
              <w:t>阜</w:t>
            </w:r>
            <w:r>
              <w:rPr>
                <w:rFonts w:hint="eastAsia" w:ascii="仿宋_GB2312" w:hAnsi="仿宋_GB2312" w:eastAsia="仿宋_GB2312" w:cs="仿宋_GB2312"/>
                <w:spacing w:val="-10"/>
                <w:sz w:val="32"/>
                <w:szCs w:val="32"/>
              </w:rPr>
              <w:t>环审〔202</w:t>
            </w:r>
            <w:r>
              <w:rPr>
                <w:rFonts w:hint="eastAsia" w:ascii="仿宋_GB2312" w:hAnsi="仿宋_GB2312" w:eastAsia="仿宋_GB2312" w:cs="仿宋_GB2312"/>
                <w:spacing w:val="-10"/>
                <w:sz w:val="32"/>
                <w:szCs w:val="32"/>
                <w:lang w:val="en-US" w:eastAsia="zh-CN"/>
              </w:rPr>
              <w:t>6</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0"/>
                <w:sz w:val="32"/>
                <w:szCs w:val="32"/>
                <w:lang w:val="en-US" w:eastAsia="zh-CN"/>
              </w:rPr>
              <w:t>12</w:t>
            </w:r>
            <w:r>
              <w:rPr>
                <w:rFonts w:hint="eastAsia" w:ascii="仿宋_GB2312" w:hAnsi="仿宋_GB2312" w:eastAsia="仿宋_GB2312" w:cs="仿宋_GB2312"/>
                <w:spacing w:val="-10"/>
                <w:sz w:val="32"/>
                <w:szCs w:val="32"/>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2"/>
          <w:wBefore w:w="394" w:type="dxa"/>
          <w:wAfter w:w="398" w:type="dxa"/>
          <w:cantSplit/>
          <w:trHeight w:val="467" w:hRule="exact"/>
        </w:trPr>
        <w:tc>
          <w:tcPr>
            <w:tcW w:w="8845" w:type="dxa"/>
            <w:gridSpan w:val="2"/>
            <w:tcBorders>
              <w:tl2br w:val="nil"/>
              <w:tr2bl w:val="nil"/>
            </w:tcBorders>
            <w:noWrap w:val="0"/>
            <w:vAlign w:val="center"/>
          </w:tcPr>
          <w:p>
            <w:pPr>
              <w:keepNext w:val="0"/>
              <w:keepLines w:val="0"/>
              <w:pageBreakBefore w:val="0"/>
              <w:widowControl w:val="0"/>
              <w:kinsoku/>
              <w:wordWrap/>
              <w:overflowPunct w:val="0"/>
              <w:topLinePunct/>
              <w:autoSpaceDE/>
              <w:autoSpaceDN/>
              <w:bidi w:val="0"/>
              <w:jc w:val="both"/>
              <w:textAlignment w:val="auto"/>
              <w:rPr>
                <w:rFonts w:hint="eastAsia" w:ascii="GWZT-EN" w:hAnsi="仿宋" w:eastAsia="仿宋" w:cs="仿宋"/>
                <w:b w:val="0"/>
                <w:bCs w:val="0"/>
                <w:spacing w:val="0"/>
                <w:kern w:val="2"/>
                <w:sz w:val="32"/>
                <w:szCs w:val="3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2"/>
          <w:wBefore w:w="394" w:type="dxa"/>
          <w:wAfter w:w="398" w:type="dxa"/>
          <w:cantSplit/>
        </w:trPr>
        <w:tc>
          <w:tcPr>
            <w:tcW w:w="8845" w:type="dxa"/>
            <w:gridSpan w:val="2"/>
            <w:tcBorders>
              <w:tl2br w:val="nil"/>
              <w:tr2bl w:val="nil"/>
            </w:tcBorders>
            <w:noWrap w:val="0"/>
            <w:vAlign w:val="center"/>
          </w:tcPr>
          <w:p>
            <w:pPr>
              <w:spacing w:line="660" w:lineRule="exact"/>
              <w:jc w:val="center"/>
              <w:rPr>
                <w:rFonts w:hint="eastAsia" w:ascii="方正小标宋简体" w:hAnsi="方正小标宋简体" w:eastAsia="方正小标宋简体" w:cs="方正小标宋简体"/>
                <w:color w:val="000000"/>
                <w:sz w:val="44"/>
                <w:szCs w:val="44"/>
              </w:rPr>
            </w:pPr>
            <mc:AlternateContent>
              <mc:Choice Requires="wpsCustomData">
                <wpsCustomData:docfieldStart id="1" docfieldname="标题" hidden="false" print="true" readonly="false" index="25"/>
              </mc:Choice>
            </mc:AlternateContent>
            <w:r>
              <w:rPr>
                <w:rFonts w:hint="eastAsia" w:ascii="方正小标宋简体" w:hAnsi="方正小标宋简体" w:eastAsia="方正小标宋简体" w:cs="方正小标宋简体"/>
                <w:color w:val="000000"/>
                <w:sz w:val="44"/>
                <w:szCs w:val="44"/>
              </w:rPr>
              <w:t>关于《智能化生产线综合改造项目</w:t>
            </w:r>
          </w:p>
          <w:p>
            <w:pPr>
              <w:spacing w:line="660" w:lineRule="exact"/>
              <w:jc w:val="center"/>
              <w:rPr>
                <w:rFonts w:hint="eastAsia" w:ascii="GWZT-EN" w:hAnsi="方正小标宋_GBK" w:eastAsia="方正小标宋_GBK" w:cs="方正小标宋_GBK"/>
                <w:b w:val="0"/>
                <w:bCs w:val="0"/>
                <w:spacing w:val="0"/>
                <w:kern w:val="2"/>
                <w:sz w:val="44"/>
                <w:szCs w:val="32"/>
                <w:lang w:val="en-US" w:eastAsia="zh-CN" w:bidi="ar-SA"/>
              </w:rPr>
            </w:pPr>
            <w:r>
              <w:rPr>
                <w:rFonts w:hint="eastAsia" w:ascii="方正小标宋简体" w:hAnsi="方正小标宋简体" w:eastAsia="方正小标宋简体" w:cs="方正小标宋简体"/>
                <w:color w:val="000000"/>
                <w:sz w:val="44"/>
                <w:szCs w:val="44"/>
              </w:rPr>
              <w:t>环境影响报告书》的批复</w:t>
            </w:r>
            <mc:AlternateContent>
              <mc:Choice Requires="wpsCustomData">
                <wpsCustomData:docfieldEnd id="1"/>
              </mc:Choice>
            </mc:AlternateContent>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Before w:val="1"/>
          <w:gridAfter w:val="2"/>
          <w:wBefore w:w="394" w:type="dxa"/>
          <w:wAfter w:w="398" w:type="dxa"/>
          <w:cantSplit/>
          <w:trHeight w:val="641" w:hRule="exact"/>
        </w:trPr>
        <w:tc>
          <w:tcPr>
            <w:tcW w:w="8845" w:type="dxa"/>
            <w:gridSpan w:val="2"/>
            <w:tcBorders>
              <w:tl2br w:val="nil"/>
              <w:tr2bl w:val="nil"/>
            </w:tcBorders>
            <w:noWrap w:val="0"/>
            <w:vAlign w:val="center"/>
          </w:tcPr>
          <w:p>
            <w:pPr>
              <w:keepNext w:val="0"/>
              <w:keepLines w:val="0"/>
              <w:pageBreakBefore w:val="0"/>
              <w:widowControl w:val="0"/>
              <w:kinsoku/>
              <w:wordWrap/>
              <w:overflowPunct w:val="0"/>
              <w:topLinePunct/>
              <w:autoSpaceDE/>
              <w:autoSpaceDN/>
              <w:bidi w:val="0"/>
              <w:textAlignment w:val="auto"/>
              <w:rPr>
                <w:rFonts w:hint="eastAsia" w:ascii="GWZT-EN" w:hAnsi="仿宋" w:eastAsia="仿宋" w:cs="仿宋"/>
                <w:b w:val="0"/>
                <w:bCs w:val="0"/>
                <w:spacing w:val="0"/>
                <w:kern w:val="2"/>
                <w:sz w:val="32"/>
                <w:szCs w:val="32"/>
                <w:lang w:val="en-US" w:eastAsia="zh-CN" w:bidi="ar-SA"/>
              </w:rPr>
            </w:pPr>
          </w:p>
        </w:tc>
      </w:tr>
    </w:tbl>
    <w:p>
      <w:pPr>
        <w:keepNext w:val="0"/>
        <w:keepLines w:val="0"/>
        <w:pageBreakBefore w:val="0"/>
        <w:widowControl w:val="0"/>
        <w:kinsoku/>
        <w:wordWrap/>
        <w:overflowPunct w:val="0"/>
        <w:topLinePunct/>
        <w:autoSpaceDE/>
        <w:autoSpaceDN/>
        <w:bidi w:val="0"/>
        <w:adjustRightInd w:val="0"/>
        <w:snapToGrid/>
        <w:spacing w:before="0" w:beforeLines="0" w:after="0" w:afterLines="0" w:line="240" w:lineRule="auto"/>
        <w:ind w:right="0" w:rightChars="0"/>
        <w:jc w:val="left"/>
        <w:textAlignment w:val="auto"/>
        <w:outlineLvl w:val="9"/>
        <w:rPr>
          <w:rFonts w:hint="eastAsia" w:ascii="仿宋_GB2312" w:hAnsi="仿宋_GB2312" w:eastAsia="仿宋_GB2312" w:cs="仿宋_GB2312"/>
          <w:b w:val="0"/>
          <w:bCs w:val="0"/>
          <w:spacing w:val="0"/>
          <w:kern w:val="2"/>
          <w:sz w:val="32"/>
          <w:szCs w:val="32"/>
          <w:lang w:val="en-US" w:eastAsia="zh-CN" w:bidi="ar-SA"/>
        </w:rPr>
      </w:pPr>
      <mc:AlternateContent>
        <mc:Choice Requires="wpsCustomData">
          <wpsCustomData:docfieldStart id="2" docfieldname="主送机关" hidden="false" print="true" readonly="false" index="10"/>
        </mc:Choice>
      </mc:AlternateContent>
      <w:r>
        <w:rPr>
          <w:rFonts w:hint="eastAsia" w:ascii="仿宋_GB2312" w:hAnsi="仿宋_GB2312" w:eastAsia="仿宋_GB2312" w:cs="仿宋_GB2312"/>
          <w:b w:val="0"/>
          <w:bCs w:val="0"/>
          <w:spacing w:val="0"/>
          <w:kern w:val="2"/>
          <w:sz w:val="32"/>
          <w:szCs w:val="32"/>
          <w:lang w:val="en-US" w:eastAsia="zh-CN" w:bidi="ar-SA"/>
        </w:rPr>
        <w:t>新时代民爆辽宁有限公司</w:t>
      </w:r>
      <mc:AlternateContent>
        <mc:Choice Requires="wpsCustomData">
          <wpsCustomData:docfieldEnd id="2"/>
        </mc:Choice>
      </mc:AlternateContent>
      <w:r>
        <w:rPr>
          <w:rFonts w:hint="eastAsia" w:ascii="仿宋_GB2312" w:hAnsi="仿宋_GB2312" w:eastAsia="仿宋_GB2312" w:cs="仿宋_GB2312"/>
          <w:b w:val="0"/>
          <w:bCs w:val="0"/>
          <w:spacing w:val="0"/>
          <w:kern w:val="2"/>
          <w:sz w:val="32"/>
          <w:szCs w:val="32"/>
          <w:lang w:val="en-US" w:eastAsia="zh-CN" w:bidi="ar-SA"/>
        </w:rPr>
        <w:t>：</w:t>
      </w:r>
    </w:p>
    <w:p>
      <w:pPr>
        <w:keepNext w:val="0"/>
        <w:keepLines w:val="0"/>
        <w:pageBreakBefore w:val="0"/>
        <w:tabs>
          <w:tab w:val="left" w:pos="3500"/>
        </w:tabs>
        <w:kinsoku/>
        <w:wordWrap/>
        <w:overflowPunct/>
        <w:topLinePunct w:val="0"/>
        <w:autoSpaceDE/>
        <w:autoSpaceDN/>
        <w:bidi w:val="0"/>
        <w:adjustRightInd/>
        <w:snapToGrid/>
        <w:spacing w:line="556" w:lineRule="exact"/>
        <w:ind w:firstLine="64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你单位报送的《智能化生产线综合改造项目环境影响报告书》（以下简称《</w:t>
      </w:r>
      <w:r>
        <w:rPr>
          <w:rFonts w:hint="eastAsia" w:ascii="仿宋_GB2312" w:hAnsi="仿宋_GB2312" w:eastAsia="仿宋_GB2312" w:cs="仿宋_GB2312"/>
          <w:spacing w:val="-10"/>
          <w:sz w:val="32"/>
          <w:szCs w:val="32"/>
          <w:lang w:eastAsia="zh-CN"/>
        </w:rPr>
        <w:t>报告书</w:t>
      </w:r>
      <w:r>
        <w:rPr>
          <w:rFonts w:hint="eastAsia" w:ascii="仿宋_GB2312" w:hAnsi="仿宋_GB2312" w:eastAsia="仿宋_GB2312" w:cs="仿宋_GB2312"/>
          <w:spacing w:val="-10"/>
          <w:sz w:val="32"/>
          <w:szCs w:val="32"/>
        </w:rPr>
        <w:t>》）及申请收悉，经我局建设项目审查委员会研究，批复如下：</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一、本项目位于阜新市太平区孙家湾南山坡，</w:t>
      </w:r>
      <w:r>
        <w:rPr>
          <w:rFonts w:hint="eastAsia" w:ascii="仿宋_GB2312" w:hAnsi="仿宋_GB2312" w:eastAsia="仿宋_GB2312" w:cs="仿宋_GB2312"/>
          <w:spacing w:val="-10"/>
          <w:sz w:val="32"/>
          <w:szCs w:val="32"/>
          <w:lang w:eastAsia="zh-CN"/>
        </w:rPr>
        <w:t>项目在原</w:t>
      </w:r>
      <w:r>
        <w:rPr>
          <w:rFonts w:hint="eastAsia" w:ascii="仿宋_GB2312" w:hAnsi="仿宋_GB2312" w:eastAsia="仿宋_GB2312" w:cs="仿宋_GB2312"/>
          <w:spacing w:val="-10"/>
          <w:sz w:val="32"/>
          <w:szCs w:val="32"/>
        </w:rPr>
        <w:t>有厂区范围内进行新建及改造，</w:t>
      </w:r>
      <w:r>
        <w:rPr>
          <w:rFonts w:hint="default" w:ascii="仿宋_GB2312" w:hAnsi="仿宋_GB2312" w:eastAsia="仿宋_GB2312" w:cs="仿宋_GB2312"/>
          <w:bCs/>
          <w:color w:val="auto"/>
          <w:spacing w:val="0"/>
          <w:sz w:val="32"/>
          <w:szCs w:val="32"/>
          <w:lang w:val="en-US" w:eastAsia="zh-CN"/>
        </w:rPr>
        <w:t>不新增占地</w:t>
      </w:r>
      <w:r>
        <w:rPr>
          <w:rFonts w:hint="eastAsia" w:ascii="仿宋_GB2312" w:hAnsi="仿宋_GB2312" w:eastAsia="仿宋_GB2312" w:cs="仿宋_GB2312"/>
          <w:bCs/>
          <w:color w:val="auto"/>
          <w:spacing w:val="0"/>
          <w:sz w:val="32"/>
          <w:szCs w:val="32"/>
          <w:lang w:val="en-US" w:eastAsia="zh-CN"/>
        </w:rPr>
        <w:t>，</w:t>
      </w:r>
      <w:r>
        <w:rPr>
          <w:rFonts w:hint="eastAsia" w:ascii="仿宋_GB2312" w:hAnsi="仿宋_GB2312" w:eastAsia="仿宋_GB2312" w:cs="仿宋_GB2312"/>
          <w:spacing w:val="-10"/>
          <w:sz w:val="32"/>
          <w:szCs w:val="32"/>
        </w:rPr>
        <w:t>主要建设内容为：原乳化炸药生产线和产品产能不变，新建硝酸铵水溶液储罐区，将原有水胶炸药工房改造为乳化粒状铵油炸药制造工房，改造后产品胶状乳化炸药（含乳化粒状铵油炸药）产能合计24000吨/年；将原二硝基重氮酚干燥工房改造为硝酸肼镍起爆药制造工房，二硝基重氮酚起爆药不再生产；利用导爆管制造工房预留间新增多品种集成式工业雷管自动化生产线以及导爆索制索工房进行技术改造。项目总投资</w:t>
      </w:r>
      <w:r>
        <w:rPr>
          <w:rFonts w:hint="eastAsia" w:ascii="仿宋_GB2312" w:hAnsi="仿宋_GB2312" w:eastAsia="仿宋_GB2312" w:cs="仿宋_GB2312"/>
          <w:spacing w:val="-10"/>
          <w:sz w:val="32"/>
          <w:szCs w:val="32"/>
          <w:lang w:val="en-US" w:eastAsia="zh-CN"/>
        </w:rPr>
        <w:t>5000</w:t>
      </w:r>
      <w:r>
        <w:rPr>
          <w:rFonts w:hint="eastAsia" w:ascii="仿宋_GB2312" w:hAnsi="仿宋_GB2312" w:eastAsia="仿宋_GB2312" w:cs="仿宋_GB2312"/>
          <w:spacing w:val="-10"/>
          <w:sz w:val="32"/>
          <w:szCs w:val="32"/>
        </w:rPr>
        <w:t>万元，其中环保投资为</w:t>
      </w:r>
      <w:r>
        <w:rPr>
          <w:rFonts w:hint="eastAsia" w:ascii="仿宋_GB2312" w:hAnsi="仿宋_GB2312" w:eastAsia="仿宋_GB2312" w:cs="仿宋_GB2312"/>
          <w:spacing w:val="-10"/>
          <w:sz w:val="32"/>
          <w:szCs w:val="32"/>
          <w:lang w:val="en-US" w:eastAsia="zh-CN"/>
        </w:rPr>
        <w:t>28</w:t>
      </w:r>
      <w:r>
        <w:rPr>
          <w:rFonts w:hint="eastAsia" w:ascii="仿宋_GB2312" w:hAnsi="仿宋_GB2312" w:eastAsia="仿宋_GB2312" w:cs="仿宋_GB2312"/>
          <w:spacing w:val="-10"/>
          <w:sz w:val="32"/>
          <w:szCs w:val="32"/>
        </w:rPr>
        <w:t>万元。</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二、阜新市生态环境保护服务中心以《关于新时代民爆辽宁有限公司智能化生产线综合改造项目环境影响报告书的评估意见》（阜环评估</w:t>
      </w:r>
      <w:r>
        <w:rPr>
          <w:rFonts w:hint="eastAsia" w:ascii="仿宋_GB2312" w:hAnsi="仿宋_GB2312" w:eastAsia="仿宋_GB2312" w:cs="仿宋_GB2312"/>
          <w:spacing w:val="-10"/>
          <w:sz w:val="32"/>
          <w:szCs w:val="32"/>
          <w:lang w:eastAsia="zh-CN"/>
        </w:rPr>
        <w:t>〔202</w:t>
      </w:r>
      <w:r>
        <w:rPr>
          <w:rFonts w:hint="eastAsia" w:ascii="仿宋_GB2312" w:hAnsi="仿宋_GB2312" w:eastAsia="仿宋_GB2312" w:cs="仿宋_GB2312"/>
          <w:spacing w:val="-10"/>
          <w:sz w:val="32"/>
          <w:szCs w:val="32"/>
          <w:lang w:val="en-US" w:eastAsia="zh-CN"/>
        </w:rPr>
        <w:t>6</w:t>
      </w:r>
      <w:r>
        <w:rPr>
          <w:rFonts w:hint="eastAsia" w:ascii="仿宋_GB2312" w:hAnsi="仿宋_GB2312" w:eastAsia="仿宋_GB2312" w:cs="仿宋_GB2312"/>
          <w:spacing w:val="-10"/>
          <w:sz w:val="32"/>
          <w:szCs w:val="32"/>
          <w:lang w:eastAsia="zh-CN"/>
        </w:rPr>
        <w:t>〕</w:t>
      </w:r>
      <w:r>
        <w:rPr>
          <w:rFonts w:hint="eastAsia" w:ascii="仿宋_GB2312" w:hAnsi="仿宋_GB2312" w:eastAsia="仿宋_GB2312" w:cs="仿宋_GB2312"/>
          <w:spacing w:val="-10"/>
          <w:sz w:val="32"/>
          <w:szCs w:val="32"/>
          <w:lang w:val="en-US" w:eastAsia="zh-CN"/>
        </w:rPr>
        <w:t>50</w:t>
      </w:r>
      <w:r>
        <w:rPr>
          <w:rFonts w:hint="eastAsia" w:ascii="仿宋_GB2312" w:hAnsi="仿宋_GB2312" w:eastAsia="仿宋_GB2312" w:cs="仿宋_GB2312"/>
          <w:spacing w:val="-10"/>
          <w:sz w:val="32"/>
          <w:szCs w:val="32"/>
          <w:lang w:eastAsia="zh-CN"/>
        </w:rPr>
        <w:t>号</w:t>
      </w:r>
      <w:r>
        <w:rPr>
          <w:rFonts w:hint="eastAsia" w:ascii="仿宋_GB2312" w:hAnsi="仿宋_GB2312" w:eastAsia="仿宋_GB2312" w:cs="仿宋_GB2312"/>
          <w:spacing w:val="-10"/>
          <w:sz w:val="32"/>
          <w:szCs w:val="32"/>
        </w:rPr>
        <w:t>）出具项目建设可行</w:t>
      </w:r>
      <w:r>
        <w:rPr>
          <w:rFonts w:hint="eastAsia" w:ascii="仿宋_GB2312" w:hAnsi="仿宋_GB2312" w:eastAsia="仿宋_GB2312" w:cs="仿宋_GB2312"/>
          <w:spacing w:val="-10"/>
          <w:sz w:val="32"/>
          <w:szCs w:val="32"/>
          <w:lang w:eastAsia="zh-CN"/>
        </w:rPr>
        <w:t>性</w:t>
      </w:r>
      <w:bookmarkStart w:id="0" w:name="_GoBack"/>
      <w:bookmarkEnd w:id="0"/>
      <w:r>
        <w:rPr>
          <w:rFonts w:hint="eastAsia" w:ascii="仿宋_GB2312" w:hAnsi="仿宋_GB2312" w:eastAsia="仿宋_GB2312" w:cs="仿宋_GB2312"/>
          <w:spacing w:val="-10"/>
          <w:sz w:val="32"/>
          <w:szCs w:val="32"/>
        </w:rPr>
        <w:t>意见。项目符合国家产业政策。在严格落实各项环境保护措施，做到污染物达标排放、有效防控生态破坏的条件下，项目在环境保护方面是可行的。</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三、本项目应严格按照《报告书》提出的各项污染防治措施进行工程设计、建设与管理，严格执行环境保护“三同时”，应重点做好以下工作：</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 xml:space="preserve">（一）严格落实项目施工期的废气、废水、噪声、固废污染防治措施，保证各类污染物达标排放。 </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（二）严格落实大气污染防治措施。</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1</w:t>
      </w:r>
      <w:r>
        <w:rPr>
          <w:rFonts w:hint="eastAsia" w:ascii="仿宋_GB2312" w:hAnsi="仿宋_GB2312" w:eastAsia="仿宋_GB2312" w:cs="仿宋_GB2312"/>
          <w:spacing w:val="-10"/>
          <w:sz w:val="32"/>
          <w:szCs w:val="32"/>
          <w:lang w:val="en-US" w:eastAsia="zh-CN"/>
        </w:rPr>
        <w:t>.</w:t>
      </w:r>
      <w:r>
        <w:rPr>
          <w:rFonts w:hint="eastAsia" w:ascii="仿宋_GB2312" w:hAnsi="仿宋_GB2312" w:eastAsia="仿宋_GB2312" w:cs="仿宋_GB2312"/>
          <w:spacing w:val="-10"/>
          <w:sz w:val="32"/>
          <w:szCs w:val="32"/>
        </w:rPr>
        <w:t>有组织废气：</w:t>
      </w:r>
      <w:r>
        <w:rPr>
          <w:rFonts w:hint="eastAsia" w:ascii="仿宋_GB2312" w:hAnsi="仿宋_GB2312" w:eastAsia="仿宋_GB2312" w:cs="仿宋_GB2312"/>
          <w:spacing w:val="-10"/>
          <w:sz w:val="32"/>
          <w:szCs w:val="32"/>
          <w:lang w:eastAsia="zh-CN"/>
        </w:rPr>
        <w:t>本项目硝酸肼镍起爆药生产线产生的烘干抽滤废气及销爆间销爆废气经集气罩收集+喷淋吸收塔处理后经1根15米高排气筒排放。</w:t>
      </w:r>
      <w:r>
        <w:rPr>
          <w:rFonts w:hint="eastAsia" w:ascii="仿宋_GB2312" w:hAnsi="仿宋_GB2312" w:eastAsia="仿宋_GB2312" w:cs="仿宋_GB2312"/>
          <w:spacing w:val="-10"/>
          <w:sz w:val="32"/>
          <w:szCs w:val="32"/>
        </w:rPr>
        <w:t>氨气排放速率满足《恶臭污染物排放标准》（GB14554-93）表2要求；非甲烷总烃排放浓度满足《大气污染物综合排放标准》（GB1</w:t>
      </w:r>
      <w:r>
        <w:rPr>
          <w:rFonts w:hint="eastAsia" w:ascii="仿宋_GB2312" w:hAnsi="仿宋_GB2312" w:eastAsia="仿宋_GB2312" w:cs="仿宋_GB2312"/>
          <w:spacing w:val="-10"/>
          <w:sz w:val="32"/>
          <w:szCs w:val="32"/>
          <w:lang w:val="en-US" w:eastAsia="zh-CN"/>
        </w:rPr>
        <w:t>6297</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0"/>
          <w:sz w:val="32"/>
          <w:szCs w:val="32"/>
          <w:lang w:val="en-US" w:eastAsia="zh-CN"/>
        </w:rPr>
        <w:t>1996</w:t>
      </w:r>
      <w:r>
        <w:rPr>
          <w:rFonts w:hint="eastAsia" w:ascii="仿宋_GB2312" w:hAnsi="仿宋_GB2312" w:eastAsia="仿宋_GB2312" w:cs="仿宋_GB2312"/>
          <w:spacing w:val="-10"/>
          <w:sz w:val="32"/>
          <w:szCs w:val="32"/>
        </w:rPr>
        <w:t>）表2要求中相关要求。</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lang w:val="en-US" w:eastAsia="zh-CN"/>
        </w:rPr>
      </w:pPr>
      <w:r>
        <w:rPr>
          <w:rFonts w:hint="eastAsia" w:ascii="仿宋_GB2312" w:hAnsi="仿宋_GB2312" w:eastAsia="仿宋_GB2312" w:cs="仿宋_GB2312"/>
          <w:spacing w:val="-10"/>
          <w:sz w:val="32"/>
          <w:szCs w:val="32"/>
          <w:lang w:eastAsia="zh-CN"/>
        </w:rPr>
        <w:t>2.</w:t>
      </w:r>
      <w:r>
        <w:rPr>
          <w:rFonts w:hint="eastAsia" w:ascii="仿宋_GB2312" w:hAnsi="仿宋_GB2312" w:eastAsia="仿宋_GB2312" w:cs="仿宋_GB2312"/>
          <w:spacing w:val="-10"/>
          <w:sz w:val="32"/>
          <w:szCs w:val="32"/>
        </w:rPr>
        <w:t>无组织废气：要求加强生产管理，严格对无组织排放源的监控，防止跑冒滴漏，减少无组织排放废气产生。</w:t>
      </w:r>
      <w:r>
        <w:rPr>
          <w:rFonts w:hint="eastAsia" w:ascii="仿宋_GB2312" w:hAnsi="仿宋_GB2312" w:eastAsia="仿宋_GB2312" w:cs="仿宋_GB2312"/>
          <w:spacing w:val="-10"/>
          <w:sz w:val="32"/>
          <w:szCs w:val="32"/>
          <w:lang w:eastAsia="zh-CN"/>
        </w:rPr>
        <w:t>确保</w:t>
      </w:r>
      <w:r>
        <w:rPr>
          <w:rFonts w:hint="eastAsia" w:ascii="仿宋_GB2312" w:hAnsi="仿宋_GB2312" w:eastAsia="仿宋_GB2312" w:cs="仿宋_GB2312"/>
          <w:spacing w:val="-10"/>
          <w:sz w:val="32"/>
          <w:szCs w:val="32"/>
        </w:rPr>
        <w:t>厂界非甲烷总烃和颗粒物排放浓度满足《大气污染物综合排放标准》（GB16297－1996）中表2相关限值要求；氨气、硫化氢和臭气浓度满足《恶臭污染物排放标准》（GB14554-93）中表1标准限值</w:t>
      </w:r>
      <w:r>
        <w:rPr>
          <w:rFonts w:hint="eastAsia" w:ascii="仿宋_GB2312" w:hAnsi="仿宋_GB2312" w:eastAsia="仿宋_GB2312" w:cs="仿宋_GB2312"/>
          <w:spacing w:val="-10"/>
          <w:sz w:val="32"/>
          <w:szCs w:val="32"/>
          <w:lang w:eastAsia="zh-CN"/>
        </w:rPr>
        <w:t>；厂区内挥发性有机物满足《挥发性有机物无组织排放控制标准》（GB 37822-2019）表A.1中特别排放限值要求</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0"/>
          <w:sz w:val="32"/>
          <w:szCs w:val="32"/>
          <w:lang w:val="en-US" w:eastAsia="zh-CN"/>
        </w:rPr>
        <w:t xml:space="preserve">  </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lang w:eastAsia="zh-CN"/>
        </w:rPr>
      </w:pPr>
      <w:r>
        <w:rPr>
          <w:rFonts w:hint="eastAsia" w:ascii="仿宋_GB2312" w:hAnsi="仿宋_GB2312" w:eastAsia="仿宋_GB2312" w:cs="仿宋_GB2312"/>
          <w:spacing w:val="-10"/>
          <w:sz w:val="32"/>
          <w:szCs w:val="32"/>
        </w:rPr>
        <w:t>（三）严格落实水污染防治措施。本项目硝酸肼镍起爆药生产线废水采用“销爆+沉淀+蒸发”处理工艺处理后与地面冲洗废水进入厂区现有污水处理站处理后排入阜新市太平区污水处理厂</w:t>
      </w:r>
      <w:r>
        <w:rPr>
          <w:rFonts w:hint="eastAsia" w:ascii="仿宋_GB2312" w:hAnsi="仿宋_GB2312" w:eastAsia="仿宋_GB2312" w:cs="仿宋_GB2312"/>
          <w:spacing w:val="-10"/>
          <w:sz w:val="32"/>
          <w:szCs w:val="32"/>
          <w:lang w:eastAsia="zh-CN"/>
        </w:rPr>
        <w:t>。确保出水满足</w:t>
      </w:r>
      <w:r>
        <w:rPr>
          <w:rFonts w:hint="eastAsia" w:ascii="仿宋_GB2312" w:hAnsi="仿宋_GB2312" w:eastAsia="仿宋_GB2312" w:cs="仿宋_GB2312"/>
          <w:spacing w:val="-10"/>
          <w:sz w:val="32"/>
          <w:szCs w:val="32"/>
        </w:rPr>
        <w:t>《污水综合排放标准》（DB21/1627-2008）</w:t>
      </w:r>
      <w:r>
        <w:rPr>
          <w:rFonts w:hint="eastAsia" w:ascii="仿宋_GB2312" w:hAnsi="仿宋_GB2312" w:eastAsia="仿宋_GB2312" w:cs="仿宋_GB2312"/>
          <w:spacing w:val="-10"/>
          <w:sz w:val="32"/>
          <w:szCs w:val="32"/>
          <w:lang w:eastAsia="zh-CN"/>
        </w:rPr>
        <w:t>及太平区污水处理厂纳管标准要求。</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结合厂区平面布置采取分区防渗措施，开展地下水环境长期监测，发现异常情况应及时采取有效应对措施，严格防控地下水污染。</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四）严格落实噪声污染防治措施。选用低噪设备、对高噪声设备采取隔声、减振、优化布局等措施减少噪声对外环境的影响，确保厂界噪声满足《工业企业厂界环境噪声排放标准》（GB12348-2008）中的3类标准要求。</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五）严格落实固体废物污染防治措施。对固体废物实施分类处置处理，实现“资源化、减量化、无害化”。一般固废为乳化粒状铵油炸药生产线产生的废炸药和多品种集成式工业雷管生产线产生的废雷管，进行专业销毁；未沾染有毒有害物质的废包装物暂存于一般工业固体废物暂存间，定期外售</w:t>
      </w:r>
      <w:r>
        <w:rPr>
          <w:rFonts w:hint="eastAsia" w:ascii="仿宋_GB2312" w:hAnsi="仿宋_GB2312" w:eastAsia="仿宋_GB2312" w:cs="仿宋_GB2312"/>
          <w:spacing w:val="-10"/>
          <w:sz w:val="32"/>
          <w:szCs w:val="32"/>
          <w:lang w:eastAsia="zh-CN"/>
        </w:rPr>
        <w:t>。危险废物为硝酸肼镍起爆药生产线销爆间中沉淀槽产生的氢氧化镍、蒸发槽产生的盐类、纯水制备产生的废滤膜、污水处理站污泥以及沾染有毒有害物质的废包装物，</w:t>
      </w:r>
      <w:r>
        <w:rPr>
          <w:rFonts w:hint="eastAsia" w:ascii="仿宋_GB2312" w:hAnsi="仿宋_GB2312" w:eastAsia="仿宋_GB2312" w:cs="仿宋_GB2312"/>
          <w:spacing w:val="-10"/>
          <w:sz w:val="32"/>
          <w:szCs w:val="32"/>
        </w:rPr>
        <w:t>应严格按照《危险废物贮存污染控制标准》（GB18597-2023）管理项目产生的危险废物，建设满足要求的危废贮存设施，委托有资质的单位妥善处理危险废物，按规定程序办理转移手续，做好危险废物出入库记录，填写危险废物转运联单，安全转移。避免危险废物贮存、转移过程中污染环境。</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（六）落实环境监测措施。你单位须按照国家污染源管理相关要求规范设置排污口及标识。按照《报告书》提出的环境监测计划，委托有资质单位定期进行监测。</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（七）强化环境风险防范和环保设施安全生产。应做好应急物资储备，</w:t>
      </w:r>
      <w:r>
        <w:rPr>
          <w:rFonts w:hint="eastAsia" w:ascii="仿宋_GB2312" w:hAnsi="仿宋_GB2312" w:eastAsia="仿宋_GB2312" w:cs="仿宋_GB2312"/>
          <w:spacing w:val="-10"/>
          <w:sz w:val="32"/>
          <w:szCs w:val="32"/>
          <w:lang w:eastAsia="zh-CN"/>
        </w:rPr>
        <w:t>按</w:t>
      </w:r>
      <w:r>
        <w:rPr>
          <w:rFonts w:hint="eastAsia" w:ascii="仿宋_GB2312" w:hAnsi="仿宋_GB2312" w:eastAsia="仿宋_GB2312" w:cs="仿宋_GB2312"/>
          <w:spacing w:val="-10"/>
          <w:sz w:val="32"/>
          <w:szCs w:val="32"/>
        </w:rPr>
        <w:t>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四、其他相关要求</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（一）严格按照《报告书》所列建设内容进行建设，在建设地点、性质、规模、工艺、污染防治和生态保护等措施发生重大变动时需重新进行环境影响评价。</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二）在工程施工和运行过程中，需建立畅通的公众参与平台，及时解决公众担忧的环境问题，满足公众合理的环境诉求。定期发布环境信息，并主动接受社会监督。建设期和运营期若发生环境扰民投诉案件，你单位须积极配合地方政府妥善解决。</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（三）项目实施建设必须严格执行环境保护设施与主体工程同时设计、同时施工、同时投产使用的环境保护“三同时”制度，落实各项生态环境保护措施。项目建成后，应按规定程序实施竣工环境保护验收。</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（四）落实污染物总量控制要求，不得超出环境主管部门核定的总量指标排放污染物。在启动生产设施或者发生实际排污之前，按照相关要求</w:t>
      </w:r>
      <w:r>
        <w:rPr>
          <w:rFonts w:hint="eastAsia" w:ascii="仿宋_GB2312" w:hAnsi="仿宋_GB2312" w:eastAsia="仿宋_GB2312" w:cs="仿宋_GB2312"/>
          <w:spacing w:val="-10"/>
          <w:sz w:val="32"/>
          <w:szCs w:val="32"/>
          <w:lang w:eastAsia="zh-CN"/>
        </w:rPr>
        <w:t>办理排污许可手续</w:t>
      </w:r>
      <w:r>
        <w:rPr>
          <w:rFonts w:hint="eastAsia" w:ascii="仿宋_GB2312" w:hAnsi="仿宋_GB2312" w:eastAsia="仿宋_GB2312" w:cs="仿宋_GB2312"/>
          <w:spacing w:val="-10"/>
          <w:sz w:val="32"/>
          <w:szCs w:val="32"/>
        </w:rPr>
        <w:t>。</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五、阜新市生态环境保护综合行政执法队负责该项目的环境保护“三同时”监督检查及管理工作。</w:t>
      </w:r>
    </w:p>
    <w:p>
      <w:pPr>
        <w:pStyle w:val="9"/>
        <w:keepNext w:val="0"/>
        <w:keepLines w:val="0"/>
        <w:pageBreakBefore w:val="0"/>
        <w:widowControl/>
        <w:kinsoku/>
        <w:wordWrap/>
        <w:overflowPunct/>
        <w:topLinePunct w:val="0"/>
        <w:autoSpaceDE/>
        <w:autoSpaceDN/>
        <w:bidi w:val="0"/>
        <w:adjustRightInd/>
        <w:snapToGrid/>
        <w:spacing w:line="556" w:lineRule="exact"/>
        <w:ind w:firstLine="612" w:firstLineChars="200"/>
        <w:textAlignment w:val="auto"/>
        <w:rPr>
          <w:rFonts w:hint="eastAsia" w:ascii="仿宋_GB2312" w:hAnsi="仿宋_GB2312" w:eastAsia="仿宋_GB2312" w:cs="仿宋_GB2312"/>
          <w:spacing w:val="-10"/>
          <w:sz w:val="32"/>
          <w:szCs w:val="32"/>
        </w:rPr>
      </w:pPr>
    </w:p>
    <w:p>
      <w:pPr>
        <w:keepNext w:val="0"/>
        <w:keepLines w:val="0"/>
        <w:pageBreakBefore w:val="0"/>
        <w:kinsoku/>
        <w:wordWrap/>
        <w:overflowPunct/>
        <w:topLinePunct w:val="0"/>
        <w:autoSpaceDE/>
        <w:autoSpaceDN/>
        <w:bidi w:val="0"/>
        <w:adjustRightInd/>
        <w:snapToGrid/>
        <w:spacing w:line="556" w:lineRule="exact"/>
        <w:jc w:val="right"/>
        <w:textAlignment w:val="auto"/>
        <w:rPr>
          <w:rFonts w:hint="eastAsia" w:ascii="仿宋_GB2312" w:hAnsi="仿宋_GB2312" w:eastAsia="仿宋_GB2312" w:cs="仿宋_GB2312"/>
          <w:spacing w:val="-10"/>
          <w:sz w:val="32"/>
          <w:szCs w:val="32"/>
        </w:rPr>
      </w:pPr>
      <w:r>
        <w:rPr>
          <w:rFonts w:hint="eastAsia" w:ascii="仿宋_GB2312" w:hAnsi="仿宋_GB2312" w:eastAsia="仿宋_GB2312" w:cs="仿宋_GB2312"/>
          <w:spacing w:val="-10"/>
          <w:sz w:val="32"/>
          <w:szCs w:val="32"/>
        </w:rPr>
        <w:t>阜新市生态环境局</w:t>
      </w:r>
      <w:r>
        <w:rPr>
          <w:rFonts w:hint="eastAsia" w:ascii="仿宋_GB2312" w:hAnsi="仿宋_GB2312" w:eastAsia="仿宋_GB2312" w:cs="仿宋_GB2312"/>
          <w:color w:val="FFFFFF" w:themeColor="background1"/>
          <w:spacing w:val="-10"/>
          <w:sz w:val="32"/>
          <w:szCs w:val="32"/>
          <w14:textFill>
            <w14:solidFill>
              <w14:schemeClr w14:val="bg1"/>
            </w14:solidFill>
          </w14:textFill>
        </w:rPr>
        <w:t>空空空空</w:t>
      </w:r>
    </w:p>
    <w:p>
      <w:pPr>
        <w:keepNext w:val="0"/>
        <w:keepLines w:val="0"/>
        <w:pageBreakBefore w:val="0"/>
        <w:kinsoku/>
        <w:wordWrap/>
        <w:overflowPunct/>
        <w:topLinePunct w:val="0"/>
        <w:autoSpaceDE/>
        <w:autoSpaceDN/>
        <w:bidi w:val="0"/>
        <w:adjustRightInd/>
        <w:snapToGrid/>
        <w:spacing w:line="556" w:lineRule="exact"/>
        <w:textAlignment w:val="auto"/>
        <w:rPr>
          <w:rFonts w:ascii="Times New Roman" w:hAnsi="Times New Roman" w:eastAsia="仿宋_GB2312" w:cs="Times New Roman"/>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日</w:t>
      </w:r>
    </w:p>
    <w:p>
      <w:pPr>
        <w:keepNext w:val="0"/>
        <w:keepLines w:val="0"/>
        <w:pageBreakBefore w:val="0"/>
        <w:widowControl w:val="0"/>
        <w:kinsoku/>
        <w:wordWrap/>
        <w:overflowPunct w:val="0"/>
        <w:topLinePunct/>
        <w:autoSpaceDE/>
        <w:autoSpaceDN/>
        <w:bidi w:val="0"/>
        <w:adjustRightInd/>
        <w:snapToGrid/>
        <w:spacing w:line="320" w:lineRule="exact"/>
        <w:jc w:val="left"/>
        <w:textAlignment w:val="auto"/>
        <w:rPr>
          <w:rFonts w:hint="default" w:ascii="GWZT-EN" w:hAnsi="仿宋" w:eastAsia="仿宋" w:cs="仿宋"/>
          <w:b w:val="0"/>
          <w:bCs w:val="0"/>
          <w:spacing w:val="0"/>
          <w:kern w:val="2"/>
          <w:sz w:val="32"/>
          <w:szCs w:val="32"/>
          <w:lang w:val="en-US" w:eastAsia="zh-CN" w:bidi="ar-SA"/>
        </w:rPr>
      </w:pPr>
    </w:p>
    <w:sectPr>
      <w:headerReference r:id="rId5" w:type="first"/>
      <w:footerReference r:id="rId8" w:type="first"/>
      <w:headerReference r:id="rId3" w:type="default"/>
      <w:footerReference r:id="rId6" w:type="default"/>
      <w:headerReference r:id="rId4" w:type="even"/>
      <w:footerReference r:id="rId7" w:type="even"/>
      <w:pgSz w:w="11906" w:h="16838"/>
      <w:pgMar w:top="1962" w:right="1474" w:bottom="1848" w:left="1587" w:header="851" w:footer="1020" w:gutter="0"/>
      <w:pgBorders>
        <w:top w:val="none" w:sz="0" w:space="0"/>
        <w:left w:val="none" w:sz="0" w:space="0"/>
        <w:bottom w:val="none" w:sz="0" w:space="0"/>
        <w:right w:val="none" w:sz="0" w:space="0"/>
      </w:pgBorders>
      <w:lnNumType w:countBy="0"/>
      <w:pgNumType w:fmt="decimal"/>
      <w:cols w:space="720" w:num="1"/>
      <w:rtlGutter w:val="0"/>
      <w:docGrid w:type="linesAndChars" w:linePitch="592" w:charSpace="12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auto"/>
    <w:pitch w:val="default"/>
    <w:sig w:usb0="00000000" w:usb1="00000000" w:usb2="00000009" w:usb3="00000000" w:csb0="400001FF" w:csb1="FFFF0000"/>
  </w:font>
  <w:font w:name="宋体">
    <w:altName w:val="方正书宋_GBK"/>
    <w:panose1 w:val="02010600030101010101"/>
    <w:charset w:val="0D"/>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GWZT-EN">
    <w:altName w:val="DejaVu Math TeX Gyre"/>
    <w:panose1 w:val="02020400000000000000"/>
    <w:charset w:val="00"/>
    <w:family w:val="auto"/>
    <w:pitch w:val="default"/>
    <w:sig w:usb0="00000000" w:usb1="00000000" w:usb2="00082016" w:usb3="00000000" w:csb0="00000003"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小标宋_GBK">
    <w:panose1 w:val="02000000000000000000"/>
    <w:charset w:val="86"/>
    <w:family w:val="script"/>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after="0" w:afterLines="220" w:line="471" w:lineRule="auto"/>
      <w:rPr>
        <w:rFonts w:ascii="GWZT-EN" w:eastAsia="宋体"/>
        <w:sz w:val="28"/>
      </w:rPr>
    </w:pPr>
    <w:r>
      <w:rPr>
        <w:rFonts w:ascii="GWZT-EN"/>
        <w:sz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txbx>
                      <w:txbxContent>
                        <w:p>
                          <w:pPr>
                            <w:pStyle w:val="7"/>
                            <w:rPr>
                              <w:rFonts w:hint="eastAsia" w:ascii="宋体" w:hAnsi="宋体" w:eastAsia="宋体" w:cs="宋体"/>
                              <w:b w:val="0"/>
                              <w:bCs w:val="0"/>
                              <w:sz w:val="28"/>
                              <w:szCs w:val="28"/>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  \* MERGEFORMAT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w:t>
                          </w:r>
                        </w:p>
                      </w:txbxContent>
                    </wps:txbx>
                    <wps:bodyPr vert="horz" wrap="none" lIns="0" tIns="0" rIns="0" bIns="0" anchor="t" anchorCtr="false" upright="false">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s0lY7tAAAAAFAQAA&#10;DwAAAAAAAAABACAAAAA4AAAAZHJzL2Rvd25yZXYueG1sUEsBAhQAFAAAAAgAh07iQOCYdMjSAQAA&#10;hAMAAA4AAAAAAAAAAQAgAAAANQEAAGRycy9lMm9Eb2MueG1sUEsFBgAAAAAGAAYAWQEAAHkFAAAA&#10;AA==&#10;">
              <v:fill on="f" focussize="0,0"/>
              <v:stroke on="f" weight="0.5pt"/>
              <v:imagedata o:title=""/>
              <o:lock v:ext="edit" aspectratio="f"/>
              <v:textbox inset="0mm,0mm,0mm,0mm" style="mso-fit-shape-to-text:t;">
                <w:txbxContent>
                  <w:p>
                    <w:pPr>
                      <w:pStyle w:val="7"/>
                      <w:rPr>
                        <w:rFonts w:hint="eastAsia" w:ascii="宋体" w:hAnsi="宋体" w:eastAsia="宋体" w:cs="宋体"/>
                        <w:b w:val="0"/>
                        <w:bCs w:val="0"/>
                        <w:sz w:val="28"/>
                        <w:szCs w:val="28"/>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  \* MERGEFORMAT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after="0" w:afterLines="220" w:line="432" w:lineRule="auto"/>
      <w:rPr>
        <w:rFonts w:ascii="GWZT-EN" w:eastAsia="宋体"/>
        <w:sz w:val="28"/>
      </w:rPr>
    </w:pPr>
    <w:r>
      <w:rPr>
        <w:rFonts w:ascii="GWZT-EN"/>
        <w:sz w:val="2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txbx>
                      <w:txbxContent>
                        <w:p>
                          <w:pPr>
                            <w:pStyle w:val="7"/>
                            <w:rPr>
                              <w:rFonts w:hint="eastAsia" w:ascii="宋体" w:hAnsi="宋体" w:eastAsia="宋体" w:cs="宋体"/>
                              <w:b w:val="0"/>
                              <w:bCs w:val="0"/>
                              <w:sz w:val="28"/>
                              <w:szCs w:val="28"/>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  \* MERGEFORMAT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2</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w:t>
                          </w:r>
                        </w:p>
                      </w:txbxContent>
                    </wps:txbx>
                    <wps:bodyPr vert="horz" wrap="none" lIns="0" tIns="0" rIns="0" bIns="0" anchor="t" anchorCtr="false" upright="false">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s0lY7tAAAAAFAQAA&#10;DwAAAAAAAAABACAAAAA4AAAAZHJzL2Rvd25yZXYueG1sUEsBAhQAFAAAAAgAh07iQB4tJ3HSAQAA&#10;hAMAAA4AAAAAAAAAAQAgAAAANQEAAGRycy9lMm9Eb2MueG1sUEsFBgAAAAAGAAYAWQEAAHkFAAAA&#10;AA==&#10;">
              <v:fill on="f" focussize="0,0"/>
              <v:stroke on="f" weight="0.5pt"/>
              <v:imagedata o:title=""/>
              <o:lock v:ext="edit" aspectratio="f"/>
              <v:textbox inset="0mm,0mm,0mm,0mm" style="mso-fit-shape-to-text:t;">
                <w:txbxContent>
                  <w:p>
                    <w:pPr>
                      <w:pStyle w:val="7"/>
                      <w:rPr>
                        <w:rFonts w:hint="eastAsia" w:ascii="宋体" w:hAnsi="宋体" w:eastAsia="宋体" w:cs="宋体"/>
                        <w:b w:val="0"/>
                        <w:bCs w:val="0"/>
                        <w:sz w:val="28"/>
                        <w:szCs w:val="28"/>
                      </w:rPr>
                    </w:pPr>
                    <w:r>
                      <w:rPr>
                        <w:rFonts w:hint="eastAsia" w:ascii="宋体" w:hAnsi="宋体" w:eastAsia="宋体" w:cs="宋体"/>
                        <w:b w:val="0"/>
                        <w:bCs w:val="0"/>
                        <w:sz w:val="28"/>
                        <w:szCs w:val="28"/>
                      </w:rPr>
                      <w:t>—</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  \* MERGEFORMAT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2</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after="0" w:afterLines="220" w:line="432" w:lineRule="auto"/>
      <w:rPr>
        <w:rFonts w:ascii="GWZT-EN" w:eastAsia="宋体"/>
        <w:sz w:val="28"/>
      </w:rPr>
    </w:pP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tLeast"/>
      <w:rPr>
        <w:rFonts w:ascii="GWZT-EN"/>
        <w:sz w:val="32"/>
        <w:szCs w:val="32"/>
      </w:rPr>
    </w:pPr>
  </w:p>
  <w:p>
    <w:pPr>
      <w:spacing w:line="240" w:lineRule="atLeast"/>
      <w:rPr>
        <w:rFonts w:ascii="GWZT-EN"/>
      </w:rPr>
    </w:pPr>
  </w:p>
  <w:p>
    <w:pPr>
      <w:spacing w:line="240" w:lineRule="atLeast"/>
      <w:rPr>
        <w:rFonts w:ascii="GWZT-E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tLeast"/>
      <w:rPr>
        <w:rFonts w:ascii="GWZT-EN"/>
        <w:sz w:val="38"/>
      </w:rPr>
    </w:pPr>
  </w:p>
  <w:p>
    <w:pPr>
      <w:spacing w:line="240" w:lineRule="atLeast"/>
      <w:rPr>
        <w:rFonts w:ascii="GWZT-EN"/>
      </w:rPr>
    </w:pPr>
  </w:p>
  <w:p>
    <w:pPr>
      <w:spacing w:line="240" w:lineRule="atLeast"/>
      <w:rPr>
        <w:rFonts w:ascii="GWZT-E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tLeast"/>
      <w:rPr>
        <w:rFonts w:ascii="GWZT-E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chineseCountingThousand"/>
      <w:pStyle w:val="15"/>
      <w:suff w:val="space"/>
      <w:lvlText w:val="第%1章"/>
      <w:lvlJc w:val="left"/>
      <w:pPr>
        <w:ind w:left="0" w:firstLine="454"/>
      </w:pPr>
      <w:rPr>
        <w:rFonts w:hint="eastAsia" w:ascii="GWZT-EN" w:eastAsia="黑体"/>
        <w:b w:val="0"/>
        <w:bCs w:val="0"/>
        <w:color w:val="auto"/>
      </w:rPr>
    </w:lvl>
    <w:lvl w:ilvl="1" w:tentative="0">
      <w:start w:val="1"/>
      <w:numFmt w:val="chineseCountingThousand"/>
      <w:suff w:val="space"/>
      <w:lvlText w:val="第%2条"/>
      <w:lvlJc w:val="left"/>
      <w:pPr>
        <w:ind w:left="0" w:firstLine="0"/>
      </w:pPr>
      <w:rPr>
        <w:rFonts w:hint="eastAsia" w:ascii="GWZT-EN" w:eastAsia="黑体"/>
        <w:b w:val="0"/>
        <w:bCs w:val="0"/>
        <w:color w:val="auto"/>
      </w:rPr>
    </w:lvl>
    <w:lvl w:ilvl="2" w:tentative="0">
      <w:start w:val="1"/>
      <w:numFmt w:val="chineseCountingThousand"/>
      <w:suff w:val="space"/>
      <w:lvlText w:val="第%3条"/>
      <w:lvlJc w:val="left"/>
      <w:pPr>
        <w:ind w:left="0" w:firstLine="454"/>
      </w:pPr>
      <w:rPr>
        <w:rFonts w:hint="eastAsia" w:ascii="GWZT-EN"/>
        <w:color w:val="auto"/>
      </w:rPr>
    </w:lvl>
    <w:lvl w:ilvl="3" w:tentative="0">
      <w:start w:val="1"/>
      <w:numFmt w:val="chineseCountingThousand"/>
      <w:suff w:val="space"/>
      <w:lvlText w:val="（%4）"/>
      <w:lvlJc w:val="left"/>
      <w:pPr>
        <w:ind w:left="0" w:firstLine="340"/>
      </w:pPr>
      <w:rPr>
        <w:rFonts w:hint="eastAsia" w:ascii="GWZT-EN"/>
        <w:color w:val="auto"/>
      </w:rPr>
    </w:lvl>
    <w:lvl w:ilvl="4" w:tentative="0">
      <w:start w:val="1"/>
      <w:numFmt w:val="decimal"/>
      <w:suff w:val="space"/>
      <w:lvlText w:val="%5．"/>
      <w:lvlJc w:val="left"/>
      <w:pPr>
        <w:ind w:left="0" w:firstLine="454"/>
      </w:pPr>
      <w:rPr>
        <w:rFonts w:hint="eastAsia" w:ascii="GWZT-EN"/>
        <w:color w:val="auto"/>
      </w:rPr>
    </w:lvl>
    <w:lvl w:ilvl="5" w:tentative="0">
      <w:start w:val="1"/>
      <w:numFmt w:val="decimal"/>
      <w:suff w:val="space"/>
      <w:lvlText w:val="（%6）"/>
      <w:lvlJc w:val="left"/>
      <w:pPr>
        <w:ind w:left="0" w:firstLine="340"/>
      </w:pPr>
      <w:rPr>
        <w:rFonts w:hint="eastAsia" w:ascii="GWZT-EN"/>
        <w:color w:val="auto"/>
      </w:rPr>
    </w:lvl>
    <w:lvl w:ilvl="6" w:tentative="0">
      <w:start w:val="1"/>
      <w:numFmt w:val="decimalEnclosedCircle"/>
      <w:suff w:val="space"/>
      <w:lvlText w:val="%7 "/>
      <w:lvlJc w:val="left"/>
      <w:pPr>
        <w:ind w:left="0" w:firstLine="454"/>
      </w:pPr>
      <w:rPr>
        <w:rFonts w:hint="eastAsia" w:ascii="GWZT-EN"/>
        <w:color w:val="auto"/>
      </w:rPr>
    </w:lvl>
    <w:lvl w:ilvl="7" w:tentative="0">
      <w:start w:val="1"/>
      <w:numFmt w:val="decimal"/>
      <w:suff w:val="space"/>
      <w:lvlText w:val="%8）"/>
      <w:lvlJc w:val="left"/>
      <w:pPr>
        <w:ind w:left="0" w:firstLine="454"/>
      </w:pPr>
      <w:rPr>
        <w:rFonts w:hint="eastAsia" w:ascii="GWZT-EN"/>
        <w:color w:val="auto"/>
      </w:rPr>
    </w:lvl>
    <w:lvl w:ilvl="8" w:tentative="0">
      <w:start w:val="1"/>
      <w:numFmt w:val="none"/>
      <w:suff w:val="space"/>
      <w:lvlText w:val="a．"/>
      <w:lvlJc w:val="left"/>
      <w:pPr>
        <w:ind w:left="0" w:firstLine="454"/>
      </w:pPr>
      <w:rPr>
        <w:rFonts w:hint="eastAsia" w:ascii="GWZT-EN"/>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true"/>
  <w:bordersDoNotSurroundFooter w:val="tru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attachedTemplate r:id="rId1"/>
  <w:documentProtection w:enforcement="0"/>
  <w:defaultTabStop w:val="420"/>
  <w:hyphenationZone w:val="360"/>
  <w:evenAndOddHeaders w:val="true"/>
  <w:drawingGridHorizontalSpacing w:val="308"/>
  <w:drawingGridVerticalSpacing w:val="296"/>
  <w:displayHorizontalDrawingGridEvery w:val="1"/>
  <w:displayVerticalDrawingGridEvery w:val="2"/>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mZjFmNGVlY2EzZDdjNWFhZjRhZGQ4ZmNkNGYyY2QifQ=="/>
  </w:docVars>
  <w:rsids>
    <w:rsidRoot w:val="2F965F1D"/>
    <w:rsid w:val="00043C0F"/>
    <w:rsid w:val="00337077"/>
    <w:rsid w:val="00434253"/>
    <w:rsid w:val="007829E8"/>
    <w:rsid w:val="007E70F2"/>
    <w:rsid w:val="008C4773"/>
    <w:rsid w:val="00F42E9E"/>
    <w:rsid w:val="025362DD"/>
    <w:rsid w:val="028B4239"/>
    <w:rsid w:val="02A757AF"/>
    <w:rsid w:val="0359201D"/>
    <w:rsid w:val="0420471B"/>
    <w:rsid w:val="042774DD"/>
    <w:rsid w:val="0484458C"/>
    <w:rsid w:val="04993F99"/>
    <w:rsid w:val="056858EB"/>
    <w:rsid w:val="05F27D2D"/>
    <w:rsid w:val="06A50054"/>
    <w:rsid w:val="06CF1799"/>
    <w:rsid w:val="079A2388"/>
    <w:rsid w:val="07C95455"/>
    <w:rsid w:val="07CF0A92"/>
    <w:rsid w:val="07D91E6C"/>
    <w:rsid w:val="081F25E1"/>
    <w:rsid w:val="08A53B3F"/>
    <w:rsid w:val="08F438BE"/>
    <w:rsid w:val="08F97D45"/>
    <w:rsid w:val="094B7B50"/>
    <w:rsid w:val="09D04D06"/>
    <w:rsid w:val="09E81BCC"/>
    <w:rsid w:val="0AB446C3"/>
    <w:rsid w:val="0B565626"/>
    <w:rsid w:val="0B863BF7"/>
    <w:rsid w:val="0BD5688A"/>
    <w:rsid w:val="0BF1372C"/>
    <w:rsid w:val="0C832815"/>
    <w:rsid w:val="0C9C373F"/>
    <w:rsid w:val="0CCE7DBE"/>
    <w:rsid w:val="0DB3678A"/>
    <w:rsid w:val="0EBC06F1"/>
    <w:rsid w:val="0F6E6A60"/>
    <w:rsid w:val="10E55348"/>
    <w:rsid w:val="10F20DDB"/>
    <w:rsid w:val="11137CB7"/>
    <w:rsid w:val="117F1CC3"/>
    <w:rsid w:val="11D1624A"/>
    <w:rsid w:val="11D413CD"/>
    <w:rsid w:val="12132537"/>
    <w:rsid w:val="123639F0"/>
    <w:rsid w:val="12864AD5"/>
    <w:rsid w:val="132248F2"/>
    <w:rsid w:val="133C760D"/>
    <w:rsid w:val="13B74DE6"/>
    <w:rsid w:val="14013F61"/>
    <w:rsid w:val="15357481"/>
    <w:rsid w:val="156947AC"/>
    <w:rsid w:val="15DC4AEB"/>
    <w:rsid w:val="16AA063C"/>
    <w:rsid w:val="16B37836"/>
    <w:rsid w:val="172F5DD7"/>
    <w:rsid w:val="17753588"/>
    <w:rsid w:val="17E54B40"/>
    <w:rsid w:val="19C11524"/>
    <w:rsid w:val="19DA3CF6"/>
    <w:rsid w:val="1A0503BE"/>
    <w:rsid w:val="1A746473"/>
    <w:rsid w:val="1B3006DC"/>
    <w:rsid w:val="1C7C6848"/>
    <w:rsid w:val="1C9551F4"/>
    <w:rsid w:val="1CCB1E4B"/>
    <w:rsid w:val="1CDA2465"/>
    <w:rsid w:val="1CDA4664"/>
    <w:rsid w:val="1D3A6AD3"/>
    <w:rsid w:val="1D561A2F"/>
    <w:rsid w:val="1D7F2BF3"/>
    <w:rsid w:val="1DAE7EBF"/>
    <w:rsid w:val="1DD7174F"/>
    <w:rsid w:val="1DED3227"/>
    <w:rsid w:val="1E5F7CE3"/>
    <w:rsid w:val="1F21724F"/>
    <w:rsid w:val="1F3C63CC"/>
    <w:rsid w:val="1F5008F0"/>
    <w:rsid w:val="1FEA526B"/>
    <w:rsid w:val="20402406"/>
    <w:rsid w:val="206372DA"/>
    <w:rsid w:val="21667CED"/>
    <w:rsid w:val="21D81213"/>
    <w:rsid w:val="221A61EA"/>
    <w:rsid w:val="22D636B5"/>
    <w:rsid w:val="22D8243B"/>
    <w:rsid w:val="2378543C"/>
    <w:rsid w:val="23E11F56"/>
    <w:rsid w:val="24001E9D"/>
    <w:rsid w:val="241A3671"/>
    <w:rsid w:val="24634140"/>
    <w:rsid w:val="24726959"/>
    <w:rsid w:val="2552184A"/>
    <w:rsid w:val="26800C37"/>
    <w:rsid w:val="274676FC"/>
    <w:rsid w:val="28D22706"/>
    <w:rsid w:val="2A8D1D2B"/>
    <w:rsid w:val="2BF70BEE"/>
    <w:rsid w:val="2BF91CA4"/>
    <w:rsid w:val="2C08574B"/>
    <w:rsid w:val="2C645E65"/>
    <w:rsid w:val="2CEE4CEF"/>
    <w:rsid w:val="2DCC08AF"/>
    <w:rsid w:val="2DCF1834"/>
    <w:rsid w:val="2E8F63EE"/>
    <w:rsid w:val="2F043E2F"/>
    <w:rsid w:val="2F965F1D"/>
    <w:rsid w:val="2FCD12F9"/>
    <w:rsid w:val="2FDA1F57"/>
    <w:rsid w:val="2FEF2D9D"/>
    <w:rsid w:val="303C73AF"/>
    <w:rsid w:val="309767C4"/>
    <w:rsid w:val="313F7767"/>
    <w:rsid w:val="32127335"/>
    <w:rsid w:val="32843DF1"/>
    <w:rsid w:val="328B7EF8"/>
    <w:rsid w:val="33903029"/>
    <w:rsid w:val="339729B4"/>
    <w:rsid w:val="33F00AC4"/>
    <w:rsid w:val="33FA4C57"/>
    <w:rsid w:val="342F3E2C"/>
    <w:rsid w:val="356A4AAD"/>
    <w:rsid w:val="36291668"/>
    <w:rsid w:val="37B77B75"/>
    <w:rsid w:val="37BC3FFD"/>
    <w:rsid w:val="38E42B66"/>
    <w:rsid w:val="38F4757D"/>
    <w:rsid w:val="39BEFA2F"/>
    <w:rsid w:val="39C07375"/>
    <w:rsid w:val="3A7F4B06"/>
    <w:rsid w:val="3AB55CFA"/>
    <w:rsid w:val="3ADF3553"/>
    <w:rsid w:val="3B013DDA"/>
    <w:rsid w:val="3B2FB166"/>
    <w:rsid w:val="3B564B69"/>
    <w:rsid w:val="3BF66C71"/>
    <w:rsid w:val="3C3F466B"/>
    <w:rsid w:val="3C520284"/>
    <w:rsid w:val="3C743CBC"/>
    <w:rsid w:val="3C881C2C"/>
    <w:rsid w:val="3DB8304E"/>
    <w:rsid w:val="3DC10E17"/>
    <w:rsid w:val="3DFA2BBE"/>
    <w:rsid w:val="3E7FE1F0"/>
    <w:rsid w:val="3F2435A5"/>
    <w:rsid w:val="3F6F584D"/>
    <w:rsid w:val="3FBFFD4F"/>
    <w:rsid w:val="3FFE9E9F"/>
    <w:rsid w:val="401436CA"/>
    <w:rsid w:val="405C0524"/>
    <w:rsid w:val="408D68DD"/>
    <w:rsid w:val="40C06849"/>
    <w:rsid w:val="41101E4C"/>
    <w:rsid w:val="42176DFB"/>
    <w:rsid w:val="42345F07"/>
    <w:rsid w:val="42794B49"/>
    <w:rsid w:val="43ED34FE"/>
    <w:rsid w:val="44215F39"/>
    <w:rsid w:val="442D73A0"/>
    <w:rsid w:val="44AC00B9"/>
    <w:rsid w:val="44D04DF5"/>
    <w:rsid w:val="45375A9E"/>
    <w:rsid w:val="456033DF"/>
    <w:rsid w:val="45AA7E00"/>
    <w:rsid w:val="45FE0B7E"/>
    <w:rsid w:val="46633F07"/>
    <w:rsid w:val="479C75F5"/>
    <w:rsid w:val="47E258D1"/>
    <w:rsid w:val="47EE2120"/>
    <w:rsid w:val="48A531BC"/>
    <w:rsid w:val="49017D37"/>
    <w:rsid w:val="4B0B13AD"/>
    <w:rsid w:val="4B4B5EC8"/>
    <w:rsid w:val="4B77583B"/>
    <w:rsid w:val="4BE52395"/>
    <w:rsid w:val="4C1E0ABA"/>
    <w:rsid w:val="4C7C75DA"/>
    <w:rsid w:val="4CB848EB"/>
    <w:rsid w:val="4CCD0C8D"/>
    <w:rsid w:val="4DEB39E3"/>
    <w:rsid w:val="4E1B36E1"/>
    <w:rsid w:val="4EA8761A"/>
    <w:rsid w:val="4F4B57CA"/>
    <w:rsid w:val="506449AA"/>
    <w:rsid w:val="506D4B6B"/>
    <w:rsid w:val="50714687"/>
    <w:rsid w:val="5245110A"/>
    <w:rsid w:val="52463308"/>
    <w:rsid w:val="52654633"/>
    <w:rsid w:val="52E5798E"/>
    <w:rsid w:val="52FB0F65"/>
    <w:rsid w:val="53373F15"/>
    <w:rsid w:val="534A18B1"/>
    <w:rsid w:val="534A5134"/>
    <w:rsid w:val="53AB3ED4"/>
    <w:rsid w:val="54506BE0"/>
    <w:rsid w:val="54C804C2"/>
    <w:rsid w:val="55AB657D"/>
    <w:rsid w:val="55F73A99"/>
    <w:rsid w:val="56773FE7"/>
    <w:rsid w:val="56ED52AB"/>
    <w:rsid w:val="57252E86"/>
    <w:rsid w:val="57981C4F"/>
    <w:rsid w:val="57EF0A5A"/>
    <w:rsid w:val="580F43B6"/>
    <w:rsid w:val="58140590"/>
    <w:rsid w:val="58764423"/>
    <w:rsid w:val="58AD748A"/>
    <w:rsid w:val="59033D15"/>
    <w:rsid w:val="59972C8B"/>
    <w:rsid w:val="5AA9184E"/>
    <w:rsid w:val="5C381F5A"/>
    <w:rsid w:val="5C546007"/>
    <w:rsid w:val="5C813653"/>
    <w:rsid w:val="5C883DDD"/>
    <w:rsid w:val="5CA0453B"/>
    <w:rsid w:val="5CB1580F"/>
    <w:rsid w:val="5CBC02C8"/>
    <w:rsid w:val="5D142BC1"/>
    <w:rsid w:val="5D6269EC"/>
    <w:rsid w:val="5DF50FB6"/>
    <w:rsid w:val="5E340A9B"/>
    <w:rsid w:val="5F3F4450"/>
    <w:rsid w:val="5F6D597D"/>
    <w:rsid w:val="5F956A3B"/>
    <w:rsid w:val="5FBF52AA"/>
    <w:rsid w:val="5FCFF87D"/>
    <w:rsid w:val="5FE274DC"/>
    <w:rsid w:val="5FFB579D"/>
    <w:rsid w:val="60B22133"/>
    <w:rsid w:val="612123E7"/>
    <w:rsid w:val="61D66A13"/>
    <w:rsid w:val="62333529"/>
    <w:rsid w:val="62455D7E"/>
    <w:rsid w:val="62BD348D"/>
    <w:rsid w:val="634D3C76"/>
    <w:rsid w:val="638805D7"/>
    <w:rsid w:val="64710555"/>
    <w:rsid w:val="65302858"/>
    <w:rsid w:val="654F682D"/>
    <w:rsid w:val="67041B93"/>
    <w:rsid w:val="671B668B"/>
    <w:rsid w:val="680571B7"/>
    <w:rsid w:val="680B32BF"/>
    <w:rsid w:val="6838670D"/>
    <w:rsid w:val="686F2C6A"/>
    <w:rsid w:val="687605C0"/>
    <w:rsid w:val="692C2E86"/>
    <w:rsid w:val="69931E41"/>
    <w:rsid w:val="69BD27FC"/>
    <w:rsid w:val="6A6A63A4"/>
    <w:rsid w:val="6ABB58F6"/>
    <w:rsid w:val="6AE517EE"/>
    <w:rsid w:val="6BB256BF"/>
    <w:rsid w:val="6BEE9E5A"/>
    <w:rsid w:val="6BFA46A3"/>
    <w:rsid w:val="6BFB5F69"/>
    <w:rsid w:val="6C340216"/>
    <w:rsid w:val="6E34575E"/>
    <w:rsid w:val="6E7C04F5"/>
    <w:rsid w:val="6ED02738"/>
    <w:rsid w:val="6F015DAB"/>
    <w:rsid w:val="6F67637A"/>
    <w:rsid w:val="6F7D3176"/>
    <w:rsid w:val="6FDA0858"/>
    <w:rsid w:val="6FFA58DF"/>
    <w:rsid w:val="6FFF5CCE"/>
    <w:rsid w:val="70073847"/>
    <w:rsid w:val="702D1E9B"/>
    <w:rsid w:val="714C6B88"/>
    <w:rsid w:val="72BE454D"/>
    <w:rsid w:val="72FF1EC0"/>
    <w:rsid w:val="736175D9"/>
    <w:rsid w:val="73B76E62"/>
    <w:rsid w:val="73E70B37"/>
    <w:rsid w:val="73F23645"/>
    <w:rsid w:val="743C27BF"/>
    <w:rsid w:val="74621009"/>
    <w:rsid w:val="757F4CD0"/>
    <w:rsid w:val="763273F7"/>
    <w:rsid w:val="76980DEE"/>
    <w:rsid w:val="76D05224"/>
    <w:rsid w:val="773C532B"/>
    <w:rsid w:val="777F67D8"/>
    <w:rsid w:val="77F36C45"/>
    <w:rsid w:val="77F77773"/>
    <w:rsid w:val="783930A9"/>
    <w:rsid w:val="79345466"/>
    <w:rsid w:val="795F1311"/>
    <w:rsid w:val="796A5940"/>
    <w:rsid w:val="79A559B4"/>
    <w:rsid w:val="79B35301"/>
    <w:rsid w:val="7A4E3431"/>
    <w:rsid w:val="7A5B2CCA"/>
    <w:rsid w:val="7AD60415"/>
    <w:rsid w:val="7B0A53EC"/>
    <w:rsid w:val="7C4B2424"/>
    <w:rsid w:val="7C5936B5"/>
    <w:rsid w:val="7C676684"/>
    <w:rsid w:val="7D5E97D8"/>
    <w:rsid w:val="7D7FE34A"/>
    <w:rsid w:val="7DDF1E94"/>
    <w:rsid w:val="7DF24E2F"/>
    <w:rsid w:val="7E0769F8"/>
    <w:rsid w:val="7E3F8F2C"/>
    <w:rsid w:val="7E772440"/>
    <w:rsid w:val="7E7EBECE"/>
    <w:rsid w:val="7F59567B"/>
    <w:rsid w:val="7F7764B9"/>
    <w:rsid w:val="7FF704AE"/>
    <w:rsid w:val="7FF71B2A"/>
    <w:rsid w:val="7FFB8074"/>
    <w:rsid w:val="896B2AAD"/>
    <w:rsid w:val="9EDF4C0D"/>
    <w:rsid w:val="A75F328C"/>
    <w:rsid w:val="BBDCE1DB"/>
    <w:rsid w:val="BC7941F9"/>
    <w:rsid w:val="BFD43FDC"/>
    <w:rsid w:val="BFDBBECB"/>
    <w:rsid w:val="BFFAB4F7"/>
    <w:rsid w:val="BFFB80EB"/>
    <w:rsid w:val="D639D301"/>
    <w:rsid w:val="DB7F8691"/>
    <w:rsid w:val="DD324548"/>
    <w:rsid w:val="DFCFCBBB"/>
    <w:rsid w:val="DFDB1F9A"/>
    <w:rsid w:val="E59F3B41"/>
    <w:rsid w:val="EB7E684E"/>
    <w:rsid w:val="EDEDD229"/>
    <w:rsid w:val="EFB7F9FA"/>
    <w:rsid w:val="F52FB82B"/>
    <w:rsid w:val="F7BFDF1A"/>
    <w:rsid w:val="F7C7F0F7"/>
    <w:rsid w:val="F7FD6706"/>
    <w:rsid w:val="F8BF2619"/>
    <w:rsid w:val="F8CF19C8"/>
    <w:rsid w:val="FBD305CD"/>
    <w:rsid w:val="FBFF3FA6"/>
    <w:rsid w:val="FDF75678"/>
    <w:rsid w:val="FEA3BA90"/>
    <w:rsid w:val="FEDF062E"/>
    <w:rsid w:val="FEFFEE08"/>
    <w:rsid w:val="FF4B39DC"/>
    <w:rsid w:val="FF7B8577"/>
    <w:rsid w:val="FFEDFECF"/>
    <w:rsid w:val="FFFFAC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overflowPunct w:val="0"/>
      <w:topLinePunct/>
      <w:autoSpaceDN w:val="0"/>
      <w:jc w:val="both"/>
    </w:pPr>
    <w:rPr>
      <w:rFonts w:ascii="GWZT-EN" w:hAnsi="Times New Roman" w:eastAsia="仿宋" w:cs="Times New Roman"/>
      <w:spacing w:val="-6"/>
      <w:kern w:val="2"/>
      <w:sz w:val="32"/>
      <w:szCs w:val="32"/>
      <w:lang w:val="en-US" w:eastAsia="zh-CN" w:bidi="ar-SA"/>
    </w:rPr>
  </w:style>
  <w:style w:type="paragraph" w:styleId="3">
    <w:name w:val="heading 1"/>
    <w:next w:val="1"/>
    <w:qFormat/>
    <w:uiPriority w:val="0"/>
    <w:pPr>
      <w:keepNext w:val="0"/>
      <w:keepLines w:val="0"/>
      <w:widowControl w:val="0"/>
      <w:overflowPunct w:val="0"/>
      <w:topLinePunct/>
      <w:spacing w:beforeLines="0" w:beforeAutospacing="0" w:afterLines="0" w:afterAutospacing="0" w:line="240" w:lineRule="auto"/>
      <w:jc w:val="both"/>
      <w:outlineLvl w:val="0"/>
    </w:pPr>
    <w:rPr>
      <w:rFonts w:ascii="GWZT-EN" w:hAnsi="Times New Roman" w:eastAsia="黑体" w:cs="Times New Roman"/>
      <w:kern w:val="2"/>
      <w:sz w:val="32"/>
      <w:szCs w:val="32"/>
    </w:rPr>
  </w:style>
  <w:style w:type="paragraph" w:styleId="4">
    <w:name w:val="heading 2"/>
    <w:next w:val="1"/>
    <w:unhideWhenUsed/>
    <w:qFormat/>
    <w:uiPriority w:val="0"/>
    <w:pPr>
      <w:keepNext w:val="0"/>
      <w:keepLines w:val="0"/>
      <w:widowControl w:val="0"/>
      <w:overflowPunct w:val="0"/>
      <w:topLinePunct/>
      <w:spacing w:beforeLines="0" w:beforeAutospacing="0" w:afterLines="0" w:afterAutospacing="0" w:line="240" w:lineRule="auto"/>
      <w:jc w:val="both"/>
      <w:outlineLvl w:val="1"/>
    </w:pPr>
    <w:rPr>
      <w:rFonts w:ascii="GWZT-EN" w:hAnsi="Times New Roman" w:eastAsia="楷体" w:cs="Times New Roman"/>
      <w:kern w:val="2"/>
      <w:sz w:val="32"/>
      <w:szCs w:val="32"/>
    </w:rPr>
  </w:style>
  <w:style w:type="paragraph" w:styleId="5">
    <w:name w:val="heading 3"/>
    <w:next w:val="1"/>
    <w:unhideWhenUsed/>
    <w:qFormat/>
    <w:uiPriority w:val="0"/>
    <w:pPr>
      <w:keepNext w:val="0"/>
      <w:keepLines w:val="0"/>
      <w:widowControl w:val="0"/>
      <w:overflowPunct w:val="0"/>
      <w:topLinePunct/>
      <w:spacing w:beforeLines="0" w:beforeAutospacing="0" w:afterLines="0" w:afterAutospacing="0" w:line="240" w:lineRule="auto"/>
      <w:jc w:val="both"/>
      <w:outlineLvl w:val="2"/>
    </w:pPr>
    <w:rPr>
      <w:rFonts w:ascii="GWZT-EN" w:hAnsi="Times New Roman" w:eastAsia="仿宋" w:cs="Times New Roman"/>
      <w:kern w:val="2"/>
      <w:sz w:val="32"/>
      <w:szCs w:val="32"/>
    </w:rPr>
  </w:style>
  <w:style w:type="paragraph" w:styleId="6">
    <w:name w:val="heading 4"/>
    <w:next w:val="1"/>
    <w:unhideWhenUsed/>
    <w:qFormat/>
    <w:uiPriority w:val="0"/>
    <w:pPr>
      <w:keepNext w:val="0"/>
      <w:keepLines w:val="0"/>
      <w:widowControl w:val="0"/>
      <w:overflowPunct w:val="0"/>
      <w:topLinePunct/>
      <w:spacing w:beforeLines="0" w:beforeAutospacing="0" w:afterLines="0" w:afterAutospacing="0" w:line="240" w:lineRule="auto"/>
      <w:jc w:val="both"/>
      <w:outlineLvl w:val="3"/>
    </w:pPr>
    <w:rPr>
      <w:rFonts w:ascii="GWZT-EN" w:hAnsi="Times New Roman" w:eastAsia="仿宋" w:cs="Times New Roman"/>
      <w:kern w:val="2"/>
      <w:sz w:val="32"/>
      <w:szCs w:val="32"/>
    </w:rPr>
  </w:style>
  <w:style w:type="character" w:default="1" w:styleId="12">
    <w:name w:val="Default Paragraph Font"/>
    <w:qFormat/>
    <w:uiPriority w:val="0"/>
    <w:rPr>
      <w:rFonts w:ascii="GWZT-EN"/>
    </w:rPr>
  </w:style>
  <w:style w:type="table" w:default="1" w:styleId="10">
    <w:name w:val="Normal Table"/>
    <w:unhideWhenUsed/>
    <w:qFormat/>
    <w:uiPriority w:val="99"/>
    <w:rPr>
      <w:rFonts w:ascii="GWZT-EN"/>
    </w:rPr>
    <w:tblPr>
      <w:tblCellMar>
        <w:top w:w="0" w:type="dxa"/>
        <w:left w:w="108" w:type="dxa"/>
        <w:bottom w:w="0" w:type="dxa"/>
        <w:right w:w="108" w:type="dxa"/>
      </w:tblCellMar>
    </w:tblPr>
  </w:style>
  <w:style w:type="paragraph" w:styleId="2">
    <w:name w:val="HTML Address"/>
    <w:basedOn w:val="1"/>
    <w:uiPriority w:val="0"/>
    <w:rPr>
      <w:i/>
    </w:rPr>
  </w:style>
  <w:style w:type="paragraph" w:styleId="7">
    <w:name w:val="footer"/>
    <w:basedOn w:val="1"/>
    <w:qFormat/>
    <w:uiPriority w:val="0"/>
    <w:pPr>
      <w:tabs>
        <w:tab w:val="center" w:pos="4153"/>
        <w:tab w:val="right" w:pos="8306"/>
      </w:tabs>
      <w:snapToGrid w:val="0"/>
      <w:jc w:val="left"/>
    </w:pPr>
    <w:rPr>
      <w:rFonts w:ascii="GWZT-EN"/>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GWZT-EN"/>
      <w:sz w:val="18"/>
    </w:rPr>
  </w:style>
  <w:style w:type="paragraph" w:styleId="9">
    <w:name w:val="Normal (Web)"/>
    <w:basedOn w:val="1"/>
    <w:qFormat/>
    <w:uiPriority w:val="0"/>
    <w:rPr>
      <w:rFonts w:ascii="GWZT-EN"/>
      <w:sz w:val="24"/>
    </w:rPr>
  </w:style>
  <w:style w:type="table" w:styleId="11">
    <w:name w:val="Table Grid"/>
    <w:basedOn w:val="10"/>
    <w:unhideWhenUsed/>
    <w:qFormat/>
    <w:uiPriority w:val="99"/>
    <w:pPr>
      <w:widowControl w:val="0"/>
      <w:jc w:val="both"/>
    </w:pPr>
    <w:rPr>
      <w:rFonts w:ascii="GWZT-E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qFormat/>
    <w:uiPriority w:val="0"/>
    <w:rPr>
      <w:rFonts w:ascii="Times New Roman" w:hAnsi="Times New Roman" w:eastAsia="宋体" w:cs="Times New Roman"/>
    </w:rPr>
  </w:style>
  <w:style w:type="character" w:styleId="14">
    <w:name w:val="line number"/>
    <w:qFormat/>
    <w:uiPriority w:val="0"/>
    <w:rPr>
      <w:rFonts w:ascii="Times New Roman" w:hAnsi="Times New Roman" w:eastAsia="宋体" w:cs="Times New Roman"/>
    </w:rPr>
  </w:style>
  <w:style w:type="paragraph" w:customStyle="1" w:styleId="15">
    <w:name w:val="居中"/>
    <w:basedOn w:val="1"/>
    <w:qFormat/>
    <w:uiPriority w:val="0"/>
    <w:pPr>
      <w:numPr>
        <w:ilvl w:val="0"/>
        <w:numId w:val="1"/>
      </w:numPr>
      <w:spacing w:line="240" w:lineRule="atLeast"/>
    </w:pPr>
    <w:rPr>
      <w:rFonts w:ascii="GWZT-EN" w:eastAsia="仿宋" w:cs="Times New Roman"/>
      <w:spacing w:val="-6"/>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C:\home\user\C:\home\user\C:\Users\123456\AppData\Roaming\kingsoft\wps\addons\pool\win-i386\kwpsofficial_3.1.0.16789\mui\zh_CN\templates\GB9704_electronic_document_templates\letter.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letter.wpt</Template>
  <Pages>5</Pages>
  <Words>2169</Words>
  <Characters>2307</Characters>
  <Lines>0</Lines>
  <Paragraphs>0</Paragraphs>
  <TotalTime>1088</TotalTime>
  <ScaleCrop>false</ScaleCrop>
  <LinksUpToDate>false</LinksUpToDate>
  <CharactersWithSpaces>2346</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2025-12-26T02:43:00Z</dcterms:created>
  <dc:creator>XuZG</dc:creator>
  <cp:lastModifiedBy>user</cp:lastModifiedBy>
  <cp:lastPrinted>2026-01-05T05:41:00Z</cp:lastPrinted>
  <dcterms:modified xsi:type="dcterms:W3CDTF">2026-05-08T14:30:22Z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16826384791044638BB07EB6CD28D45A_13</vt:lpwstr>
  </property>
  <property fmtid="{D5CDD505-2E9C-101B-9397-08002B2CF9AE}" pid="4" name="KSOTemplateDocerSaveRecord">
    <vt:lpwstr>eyJoZGlkIjoiOTI0ZGYwMDJmYWY5ZjNiMjUwZmZiNzg3MTEwMGM2OTIiLCJ1c2VySWQiOiIxNzMxOTA4NDg0In0=</vt:lpwstr>
  </property>
</Properties>
</file>