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仿宋_GB2312" w:hAnsi="仿宋_GB2312" w:eastAsia="仿宋_GB2312" w:cs="仿宋_GB2312"/>
          <w:sz w:val="44"/>
          <w:szCs w:val="44"/>
        </w:rPr>
      </w:pPr>
    </w:p>
    <w:p>
      <w:pPr>
        <w:spacing w:line="600" w:lineRule="exact"/>
        <w:jc w:val="center"/>
        <w:rPr>
          <w:rFonts w:ascii="仿宋_GB2312" w:hAnsi="仿宋_GB2312" w:eastAsia="仿宋_GB2312" w:cs="仿宋_GB2312"/>
          <w:sz w:val="44"/>
          <w:szCs w:val="44"/>
        </w:rPr>
      </w:pPr>
      <w:r>
        <w:rPr>
          <w:rFonts w:hint="eastAsia" w:ascii="仿宋_GB2312" w:hAnsi="仿宋_GB2312" w:eastAsia="仿宋_GB2312" w:cs="仿宋_GB2312"/>
          <w:sz w:val="32"/>
          <w:szCs w:val="32"/>
        </w:rPr>
        <w:t xml:space="preserve"> </w:t>
      </w:r>
    </w:p>
    <w:p>
      <w:pPr>
        <w:rPr>
          <w:rFonts w:ascii="仿宋_GB2312" w:hAnsi="仿宋_GB2312" w:eastAsia="仿宋_GB2312" w:cs="仿宋_GB2312"/>
          <w:sz w:val="48"/>
          <w:szCs w:val="48"/>
        </w:rPr>
      </w:pPr>
    </w:p>
    <w:p>
      <w:pPr>
        <w:spacing w:line="600" w:lineRule="exact"/>
        <w:jc w:val="center"/>
        <w:rPr>
          <w:rFonts w:ascii="仿宋_GB2312" w:hAnsi="仿宋_GB2312" w:eastAsia="仿宋_GB2312" w:cs="仿宋_GB2312"/>
          <w:color w:val="000000"/>
          <w:sz w:val="32"/>
        </w:rPr>
      </w:pPr>
      <w:r>
        <w:rPr>
          <w:rFonts w:hint="eastAsia" w:ascii="仿宋_GB2312" w:hAnsi="仿宋_GB2312" w:eastAsia="仿宋_GB2312" w:cs="仿宋_GB2312"/>
          <w:sz w:val="32"/>
        </w:rPr>
        <w:t xml:space="preserve">                            阜环审〔2026〕</w:t>
      </w:r>
      <w:r>
        <w:rPr>
          <w:rFonts w:hint="eastAsia" w:ascii="仿宋_GB2312" w:hAnsi="仿宋_GB2312" w:eastAsia="仿宋_GB2312" w:cs="仿宋_GB2312"/>
          <w:sz w:val="32"/>
          <w:lang w:val="en-US" w:eastAsia="zh-CN"/>
        </w:rPr>
        <w:t>24</w:t>
      </w:r>
      <w:r>
        <w:rPr>
          <w:rFonts w:hint="eastAsia" w:ascii="仿宋_GB2312" w:hAnsi="仿宋_GB2312" w:eastAsia="仿宋_GB2312" w:cs="仿宋_GB2312"/>
          <w:color w:val="000000"/>
          <w:sz w:val="32"/>
        </w:rPr>
        <w:t>号</w:t>
      </w:r>
    </w:p>
    <w:p>
      <w:pPr>
        <w:snapToGrid w:val="0"/>
        <w:spacing w:line="66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关于《辽宁众辉生物科技有限公司年产</w:t>
      </w:r>
      <w:r>
        <w:rPr>
          <w:rFonts w:hint="eastAsia" w:ascii="方正小标宋简体" w:hAnsi="方正小标宋简体" w:eastAsia="方正小标宋简体" w:cs="方正小标宋简体"/>
          <w:color w:val="000000"/>
          <w:sz w:val="44"/>
          <w:szCs w:val="44"/>
          <w:lang w:val="en-US" w:eastAsia="zh-CN"/>
        </w:rPr>
        <w:t>11</w:t>
      </w:r>
      <w:r>
        <w:rPr>
          <w:rFonts w:hint="eastAsia" w:ascii="方正小标宋简体" w:hAnsi="方正小标宋简体" w:eastAsia="方正小标宋简体" w:cs="方正小标宋简体"/>
          <w:color w:val="000000"/>
          <w:sz w:val="44"/>
          <w:szCs w:val="44"/>
        </w:rPr>
        <w:t>0吨农药原药及副产生产项目环境</w:t>
      </w:r>
    </w:p>
    <w:p>
      <w:pPr>
        <w:snapToGrid w:val="0"/>
        <w:spacing w:line="66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影响报告书》的批复</w:t>
      </w:r>
    </w:p>
    <w:p>
      <w:pPr>
        <w:jc w:val="center"/>
        <w:rPr>
          <w:rFonts w:ascii="宋体" w:hAnsi="宋体" w:eastAsia="宋体" w:cs="宋体"/>
          <w:sz w:val="18"/>
        </w:rPr>
      </w:pPr>
    </w:p>
    <w:p>
      <w:pPr>
        <w:widowControl/>
        <w:adjustRightInd w:val="0"/>
        <w:snapToGrid w:val="0"/>
        <w:spacing w:line="560" w:lineRule="exact"/>
        <w:jc w:val="left"/>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rPr>
        <w:t>辽宁众辉生物科技有限公司：</w:t>
      </w:r>
    </w:p>
    <w:p>
      <w:pPr>
        <w:widowControl/>
        <w:adjustRightInd w:val="0"/>
        <w:snapToGrid w:val="0"/>
        <w:spacing w:line="560" w:lineRule="exact"/>
        <w:ind w:firstLine="600" w:firstLineChars="200"/>
        <w:jc w:val="left"/>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rPr>
        <w:t>你单位报送的《辽宁众辉生物科技有限公司年产</w:t>
      </w:r>
      <w:r>
        <w:rPr>
          <w:rFonts w:hint="eastAsia" w:ascii="仿宋_GB2312" w:hAnsi="仿宋" w:eastAsia="仿宋_GB2312" w:cs="仿宋"/>
          <w:color w:val="000000" w:themeColor="text1"/>
          <w:spacing w:val="-10"/>
          <w:sz w:val="32"/>
          <w:szCs w:val="32"/>
          <w:lang w:val="en-US" w:eastAsia="zh-CN"/>
        </w:rPr>
        <w:t>11</w:t>
      </w:r>
      <w:r>
        <w:rPr>
          <w:rFonts w:hint="eastAsia" w:ascii="仿宋_GB2312" w:hAnsi="仿宋" w:eastAsia="仿宋_GB2312" w:cs="仿宋"/>
          <w:color w:val="000000" w:themeColor="text1"/>
          <w:spacing w:val="-10"/>
          <w:sz w:val="32"/>
          <w:szCs w:val="32"/>
        </w:rPr>
        <w:t>0吨农药原药及副产生产项目环境影响报告书》（以下简称《报告书》）及申请收悉，经我局建设项目审查委员会研究，批复如下：</w:t>
      </w:r>
    </w:p>
    <w:p>
      <w:pPr>
        <w:widowControl/>
        <w:adjustRightInd w:val="0"/>
        <w:snapToGrid w:val="0"/>
        <w:spacing w:line="560" w:lineRule="exact"/>
        <w:ind w:firstLine="600" w:firstLineChars="200"/>
        <w:jc w:val="left"/>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rPr>
        <w:t>一、本项目位于阜新市阜蒙县伊吗图氟产业开发区辽宁众辉生物科技有限公司内，</w:t>
      </w:r>
      <w:r>
        <w:rPr>
          <w:rFonts w:hint="eastAsia" w:ascii="仿宋_GB2312" w:hAnsi="仿宋" w:eastAsia="仿宋_GB2312" w:cs="仿宋"/>
          <w:color w:val="000000" w:themeColor="text1"/>
          <w:spacing w:val="-10"/>
          <w:sz w:val="32"/>
          <w:szCs w:val="32"/>
          <w:lang w:val="en-US" w:eastAsia="zh-CN"/>
        </w:rPr>
        <w:t xml:space="preserve">利用现有三车间，建设年产 </w:t>
      </w:r>
      <w:r>
        <w:rPr>
          <w:rFonts w:hint="default" w:ascii="仿宋_GB2312" w:hAnsi="仿宋" w:eastAsia="仿宋_GB2312" w:cs="仿宋"/>
          <w:color w:val="000000" w:themeColor="text1"/>
          <w:spacing w:val="-10"/>
          <w:sz w:val="32"/>
          <w:szCs w:val="32"/>
          <w:lang w:val="en-US" w:eastAsia="zh-CN"/>
        </w:rPr>
        <w:t>110 吨农药原药及副产生产项目，因市场变化，该项目立项文件中的氟唑菌酰羟胺产品不再建设，实际建设 10 个产品，共 100 吨。</w:t>
      </w:r>
      <w:r>
        <w:rPr>
          <w:rFonts w:hint="eastAsia" w:ascii="仿宋_GB2312" w:hAnsi="仿宋" w:eastAsia="仿宋_GB2312" w:cs="仿宋"/>
          <w:color w:val="000000" w:themeColor="text1"/>
          <w:spacing w:val="-10"/>
          <w:sz w:val="32"/>
          <w:szCs w:val="32"/>
        </w:rPr>
        <w:t>项目总投资</w:t>
      </w:r>
      <w:r>
        <w:rPr>
          <w:rFonts w:hint="eastAsia" w:ascii="仿宋_GB2312" w:hAnsi="仿宋" w:eastAsia="仿宋_GB2312" w:cs="仿宋"/>
          <w:color w:val="000000" w:themeColor="text1"/>
          <w:spacing w:val="-10"/>
          <w:sz w:val="32"/>
          <w:szCs w:val="32"/>
          <w:lang w:val="en-US" w:eastAsia="zh-CN"/>
        </w:rPr>
        <w:t>3</w:t>
      </w:r>
      <w:r>
        <w:rPr>
          <w:rFonts w:hint="eastAsia" w:ascii="仿宋_GB2312" w:hAnsi="仿宋" w:eastAsia="仿宋_GB2312" w:cs="仿宋"/>
          <w:color w:val="000000" w:themeColor="text1"/>
          <w:spacing w:val="-10"/>
          <w:sz w:val="32"/>
          <w:szCs w:val="32"/>
        </w:rPr>
        <w:t>00万元，环保投资</w:t>
      </w:r>
      <w:r>
        <w:rPr>
          <w:rFonts w:hint="eastAsia" w:ascii="仿宋_GB2312" w:hAnsi="仿宋" w:eastAsia="仿宋_GB2312" w:cs="仿宋"/>
          <w:color w:val="000000" w:themeColor="text1"/>
          <w:spacing w:val="-10"/>
          <w:sz w:val="32"/>
          <w:szCs w:val="32"/>
          <w:lang w:val="en-US" w:eastAsia="zh-CN"/>
        </w:rPr>
        <w:t>22.4</w:t>
      </w:r>
      <w:r>
        <w:rPr>
          <w:rFonts w:hint="eastAsia" w:ascii="仿宋_GB2312" w:hAnsi="仿宋" w:eastAsia="仿宋_GB2312" w:cs="仿宋"/>
          <w:color w:val="000000" w:themeColor="text1"/>
          <w:spacing w:val="-10"/>
          <w:sz w:val="32"/>
          <w:szCs w:val="32"/>
        </w:rPr>
        <w:t>万</w:t>
      </w:r>
      <w:r>
        <w:rPr>
          <w:rFonts w:ascii="仿宋_GB2312" w:hAnsi="仿宋" w:eastAsia="仿宋_GB2312" w:cs="仿宋"/>
          <w:color w:val="000000" w:themeColor="text1"/>
          <w:spacing w:val="-10"/>
          <w:sz w:val="32"/>
          <w:szCs w:val="32"/>
        </w:rPr>
        <w:t>元人民币</w:t>
      </w:r>
      <w:r>
        <w:rPr>
          <w:rFonts w:hint="eastAsia" w:ascii="仿宋_GB2312" w:hAnsi="仿宋" w:eastAsia="仿宋_GB2312" w:cs="仿宋"/>
          <w:color w:val="000000" w:themeColor="text1"/>
          <w:spacing w:val="-10"/>
          <w:sz w:val="32"/>
          <w:szCs w:val="32"/>
        </w:rPr>
        <w:t>。</w:t>
      </w:r>
    </w:p>
    <w:p>
      <w:pPr>
        <w:spacing w:line="560" w:lineRule="exact"/>
        <w:ind w:firstLine="600" w:firstLineChars="200"/>
        <w:rPr>
          <w:rFonts w:ascii="仿宋_GB2312" w:hAnsi="仿宋_GB2312" w:eastAsia="仿宋_GB2312" w:cs="仿宋_GB2312"/>
          <w:color w:val="00B0F0"/>
          <w:spacing w:val="-10"/>
          <w:sz w:val="32"/>
          <w:szCs w:val="32"/>
        </w:rPr>
      </w:pPr>
      <w:r>
        <w:rPr>
          <w:rFonts w:hint="eastAsia" w:ascii="仿宋_GB2312" w:hAnsi="仿宋" w:eastAsia="仿宋_GB2312" w:cs="仿宋"/>
          <w:color w:val="000000" w:themeColor="text1"/>
          <w:spacing w:val="-10"/>
          <w:sz w:val="32"/>
          <w:szCs w:val="32"/>
        </w:rPr>
        <w:t>二、阜新市生态环境保护服务中心以《关于辽宁众辉生物科技有限公司年产</w:t>
      </w:r>
      <w:r>
        <w:rPr>
          <w:rFonts w:hint="eastAsia" w:ascii="仿宋_GB2312" w:hAnsi="仿宋" w:eastAsia="仿宋_GB2312" w:cs="仿宋"/>
          <w:color w:val="000000" w:themeColor="text1"/>
          <w:spacing w:val="-10"/>
          <w:sz w:val="32"/>
          <w:szCs w:val="32"/>
          <w:lang w:val="en-US" w:eastAsia="zh-CN"/>
        </w:rPr>
        <w:t>11</w:t>
      </w:r>
      <w:r>
        <w:rPr>
          <w:rFonts w:hint="eastAsia" w:ascii="仿宋_GB2312" w:hAnsi="仿宋" w:eastAsia="仿宋_GB2312" w:cs="仿宋"/>
          <w:color w:val="000000" w:themeColor="text1"/>
          <w:spacing w:val="-10"/>
          <w:sz w:val="32"/>
          <w:szCs w:val="32"/>
        </w:rPr>
        <w:t>0吨农药原药及副产生产项目环境影响报告书的评估意见》（阜环评估〔2026〕</w:t>
      </w:r>
      <w:r>
        <w:rPr>
          <w:rFonts w:hint="eastAsia" w:ascii="仿宋_GB2312" w:hAnsi="仿宋" w:eastAsia="仿宋_GB2312" w:cs="仿宋"/>
          <w:color w:val="000000" w:themeColor="text1"/>
          <w:spacing w:val="-10"/>
          <w:sz w:val="32"/>
          <w:szCs w:val="32"/>
          <w:lang w:val="en-US" w:eastAsia="zh-CN"/>
        </w:rPr>
        <w:t>75</w:t>
      </w:r>
      <w:r>
        <w:rPr>
          <w:rFonts w:ascii="仿宋_GB2312" w:hAnsi="仿宋" w:eastAsia="仿宋_GB2312" w:cs="仿宋"/>
          <w:color w:val="000000" w:themeColor="text1"/>
          <w:spacing w:val="-10"/>
          <w:sz w:val="32"/>
          <w:szCs w:val="32"/>
        </w:rPr>
        <w:t>号</w:t>
      </w:r>
      <w:r>
        <w:rPr>
          <w:rFonts w:hint="eastAsia" w:ascii="仿宋_GB2312" w:hAnsi="仿宋" w:eastAsia="仿宋_GB2312" w:cs="仿宋"/>
          <w:color w:val="000000" w:themeColor="text1"/>
          <w:spacing w:val="-10"/>
          <w:sz w:val="32"/>
          <w:szCs w:val="32"/>
        </w:rPr>
        <w:t>）</w:t>
      </w:r>
      <w:r>
        <w:rPr>
          <w:rFonts w:ascii="仿宋_GB2312" w:hAnsi="仿宋" w:eastAsia="仿宋_GB2312" w:cs="仿宋"/>
          <w:color w:val="000000" w:themeColor="text1"/>
          <w:spacing w:val="-10"/>
          <w:sz w:val="32"/>
          <w:szCs w:val="32"/>
        </w:rPr>
        <w:t>出具项目建设可行意见</w:t>
      </w:r>
      <w:r>
        <w:rPr>
          <w:rFonts w:ascii="仿宋_GB2312" w:hAnsi="仿宋" w:eastAsia="仿宋_GB2312" w:cs="仿宋"/>
          <w:spacing w:val="-10"/>
          <w:sz w:val="32"/>
          <w:szCs w:val="32"/>
        </w:rPr>
        <w:t>。</w:t>
      </w:r>
      <w:r>
        <w:rPr>
          <w:rFonts w:hint="eastAsia" w:ascii="仿宋_GB2312" w:hAnsi="仿宋_GB2312" w:eastAsia="仿宋_GB2312" w:cs="仿宋_GB2312"/>
          <w:spacing w:val="-10"/>
          <w:sz w:val="32"/>
          <w:szCs w:val="32"/>
        </w:rPr>
        <w:t>项目符合国家产业政策，选址符合阜新氟产业开发区规划，符合环境主管部门核定的总量控制要求，</w:t>
      </w:r>
      <w:r>
        <w:rPr>
          <w:rFonts w:hint="eastAsia" w:ascii="仿宋_GB2312" w:hAnsi="仿宋" w:eastAsia="仿宋_GB2312" w:cs="仿宋"/>
          <w:sz w:val="32"/>
          <w:szCs w:val="32"/>
          <w:shd w:val="clear" w:color="auto" w:fill="FFFFFF"/>
        </w:rPr>
        <w:t>在严格落实《报告书》和本批复提出的各项生态环境保护措施后，不利生态环境影响可以得到缓解或控制。我局原则同意《报告书》的环境影响评价总体结论和拟采取的各项生态环境保护措施。</w:t>
      </w:r>
      <w:r>
        <w:rPr>
          <w:rFonts w:hint="eastAsia" w:ascii="仿宋_GB2312" w:hAnsi="仿宋" w:eastAsia="仿宋_GB2312" w:cs="仿宋"/>
          <w:color w:val="000000" w:themeColor="text1"/>
          <w:spacing w:val="-10"/>
          <w:sz w:val="32"/>
          <w:szCs w:val="32"/>
        </w:rPr>
        <w:t>在建设地点、性质、规模、生产工艺、污染防治等措施发生重大变动时需重新进行环境影响评价。</w:t>
      </w:r>
    </w:p>
    <w:p>
      <w:pPr>
        <w:spacing w:line="560" w:lineRule="exact"/>
        <w:ind w:firstLine="600" w:firstLineChars="200"/>
        <w:rPr>
          <w:rFonts w:ascii="Times New Roman" w:hAnsi="Times New Roman" w:eastAsia="仿宋_GB2312" w:cs="Times New Roman"/>
          <w:sz w:val="32"/>
          <w:szCs w:val="32"/>
          <w:shd w:val="clear" w:color="auto" w:fill="FFFFFF"/>
        </w:rPr>
      </w:pPr>
      <w:r>
        <w:rPr>
          <w:rFonts w:ascii="Times New Roman" w:hAnsi="Times New Roman" w:eastAsia="仿宋_GB2312" w:cs="Times New Roman"/>
          <w:spacing w:val="-10"/>
          <w:sz w:val="32"/>
          <w:szCs w:val="32"/>
        </w:rPr>
        <w:t>三、</w:t>
      </w:r>
      <w:r>
        <w:rPr>
          <w:rFonts w:ascii="Times New Roman" w:hAnsi="Times New Roman" w:eastAsia="仿宋_GB2312" w:cs="Times New Roman"/>
          <w:sz w:val="32"/>
          <w:szCs w:val="32"/>
          <w:shd w:val="clear" w:color="auto" w:fill="FFFFFF"/>
        </w:rPr>
        <w:t xml:space="preserve">本项目应严格按照《报告书》提出的各项污染防治措施进行工程设计、建设与管理，严格执行环境保护“三同时”，应重点做好以下工作： </w:t>
      </w:r>
    </w:p>
    <w:p>
      <w:pPr>
        <w:spacing w:line="56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（一）</w:t>
      </w:r>
      <w:r>
        <w:rPr>
          <w:rFonts w:ascii="Times New Roman" w:hAnsi="Times New Roman" w:eastAsia="仿宋_GB2312" w:cs="Times New Roman"/>
          <w:spacing w:val="-10"/>
          <w:sz w:val="32"/>
          <w:szCs w:val="32"/>
        </w:rPr>
        <w:t>加强施工期生态环境保护工作，严格落实施工期的扬尘、废水、噪声及固体废物污染防治措施，保证各类污染物达标排放。</w:t>
      </w:r>
    </w:p>
    <w:p>
      <w:pPr>
        <w:spacing w:line="56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（二）</w:t>
      </w:r>
      <w:r>
        <w:rPr>
          <w:rFonts w:ascii="Times New Roman" w:hAnsi="Times New Roman" w:eastAsia="仿宋_GB2312" w:cs="Times New Roman"/>
          <w:spacing w:val="-10"/>
          <w:sz w:val="32"/>
          <w:szCs w:val="32"/>
        </w:rPr>
        <w:t>要求企业根据设备配备情况和环保设施的处理能力，</w:t>
      </w:r>
      <w:r>
        <w:rPr>
          <w:rFonts w:ascii="Times New Roman" w:hAnsi="Times New Roman" w:eastAsia="仿宋_GB2312" w:cs="Times New Roman"/>
          <w:spacing w:val="-23"/>
          <w:sz w:val="32"/>
          <w:szCs w:val="32"/>
        </w:rPr>
        <w:t>合理安排车间生产，确保排放污染物均能得到有效处理，达标排放。</w:t>
      </w:r>
    </w:p>
    <w:p>
      <w:pPr>
        <w:spacing w:line="56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（三）</w:t>
      </w:r>
      <w:r>
        <w:rPr>
          <w:rFonts w:ascii="Times New Roman" w:hAnsi="Times New Roman" w:eastAsia="仿宋_GB2312" w:cs="Times New Roman"/>
          <w:spacing w:val="-10"/>
          <w:sz w:val="32"/>
          <w:szCs w:val="32"/>
        </w:rPr>
        <w:t>严格落实大气污染防治措施</w:t>
      </w:r>
    </w:p>
    <w:p>
      <w:pPr>
        <w:spacing w:line="560" w:lineRule="exact"/>
        <w:ind w:firstLine="640"/>
        <w:rPr>
          <w:rFonts w:ascii="仿宋_GB2312" w:hAnsi="Times New Roman" w:eastAsia="仿宋_GB2312" w:cs="Times New Roman"/>
          <w:spacing w:val="-10"/>
          <w:sz w:val="32"/>
          <w:szCs w:val="32"/>
        </w:rPr>
      </w:pPr>
      <w:r>
        <w:rPr>
          <w:rFonts w:ascii="Times New Roman" w:hAnsi="Times New Roman" w:eastAsia="仿宋_GB2312" w:cs="Times New Roman"/>
          <w:spacing w:val="-10"/>
          <w:sz w:val="32"/>
          <w:szCs w:val="32"/>
        </w:rPr>
        <w:t>1、有组织废气：</w:t>
      </w:r>
      <w:r>
        <w:rPr>
          <w:rFonts w:hint="eastAsia" w:ascii="Times New Roman" w:hAnsi="Times New Roman" w:eastAsia="仿宋_GB2312" w:cs="Times New Roman"/>
          <w:spacing w:val="-10"/>
          <w:sz w:val="32"/>
          <w:szCs w:val="32"/>
        </w:rPr>
        <w:t>工艺废气</w:t>
      </w:r>
      <w:r>
        <w:rPr>
          <w:rFonts w:hint="eastAsia" w:ascii="仿宋_GB2312" w:hAnsi="Times New Roman" w:eastAsia="仿宋_GB2312" w:cs="Times New Roman"/>
          <w:spacing w:val="-10"/>
          <w:sz w:val="32"/>
          <w:szCs w:val="32"/>
        </w:rPr>
        <w:t>等有组织排放废气，要求合理控制生产工艺及参数，同意采用《报告书》提出的处理工艺，最大程度降低大气污染物产生量及排放量。工艺废气等有组织废气排放执行《农药制造工业大气污染物排放标准》（GB39727-2020）表1中相应污染物的排放浓度限值。</w:t>
      </w:r>
      <w:r>
        <w:rPr>
          <w:rFonts w:hint="eastAsia" w:eastAsia="仿宋_GB2312"/>
          <w:color w:val="000000"/>
          <w:spacing w:val="0"/>
          <w:sz w:val="32"/>
          <w:szCs w:val="32"/>
          <w:lang w:val="zh-CN"/>
        </w:rPr>
        <w:t>二氯乙烷参照执行《石油化学工业污染物排放标准》（GB31571-2015）表6要求。</w:t>
      </w:r>
    </w:p>
    <w:p>
      <w:pPr>
        <w:autoSpaceDE w:val="0"/>
        <w:autoSpaceDN w:val="0"/>
        <w:spacing w:line="560" w:lineRule="exact"/>
        <w:ind w:firstLine="600" w:firstLineChars="20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2、无组织废气：要求加强生产管理，严格对无组织排放源的监控，及时检查储罐阀门、管理衔接点和规范物料转移，防止跑冒滴漏，减少无组织排放废气产生，同时落实无组织废气收集措施，对无组织废气进行收集和处理后排放，确保无组织废气达标排放。无组织排放标准分别执行《农药制造工业大气污染物排放标准》（GB39727-2020）、《大气污染物综合排放标准》（GB16297-1996）和《恶臭污染物排放标准》（GB14554-1993）标准中相应污染物的排放浓度限值。</w:t>
      </w:r>
    </w:p>
    <w:p>
      <w:pPr>
        <w:spacing w:line="56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3、项目用热以及生产用蒸汽均由氟产业开发区集中热源供给，严禁建设燃煤设施。</w:t>
      </w:r>
    </w:p>
    <w:p>
      <w:pPr>
        <w:spacing w:line="56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（四）严格落实废水污染防治措施。做好各类污（废）水的收集和处理，</w:t>
      </w:r>
      <w:r>
        <w:rPr>
          <w:rFonts w:hint="eastAsia" w:ascii="仿宋_GB2312" w:hAnsi="Times New Roman" w:eastAsia="仿宋_GB2312" w:cs="Times New Roman"/>
          <w:sz w:val="32"/>
          <w:szCs w:val="32"/>
        </w:rPr>
        <w:t>要求合理设计污水处理站运行参数，</w:t>
      </w:r>
      <w:r>
        <w:rPr>
          <w:rFonts w:hint="eastAsia" w:ascii="仿宋_GB2312" w:hAnsi="Times New Roman" w:eastAsia="仿宋_GB2312" w:cs="Times New Roman"/>
          <w:spacing w:val="-10"/>
          <w:sz w:val="32"/>
          <w:szCs w:val="32"/>
        </w:rPr>
        <w:t>加强污水处理设施的维护管理工作，确保正常运行,保证污水处理达标。要求设置足够容积的事故废水收集池，收集事故状态下的厂区废水，严禁废水超标排放和私设暗管外排。排放的废水执行碧波污水处理厂的纳管标准，未纳入纳管标准的污染物需按照相应排放标准执行。</w:t>
      </w:r>
    </w:p>
    <w:p>
      <w:pPr>
        <w:spacing w:line="560" w:lineRule="exact"/>
        <w:ind w:firstLine="600" w:firstLineChars="20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严格防控地下水污染。污废水的输送管道、污废水储存设备及处理构筑物等环境风险区域必须严格落实防腐、防渗措施。结合厂区平面布置采取分区防渗措施。开展地下水环境长期监测，发现异常情况应及时采取有效应对措施，防控地下水污染。</w:t>
      </w:r>
    </w:p>
    <w:p>
      <w:pPr>
        <w:spacing w:line="56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（五）严格落实固体废物污染防治措施。对固体废物实施分类处置，实现“减量化、资源化</w:t>
      </w:r>
      <w:r>
        <w:rPr>
          <w:rFonts w:hint="eastAsia" w:ascii="仿宋_GB2312" w:hAnsi="Times New Roman" w:eastAsia="仿宋_GB2312" w:cs="Times New Roman"/>
          <w:spacing w:val="-10"/>
          <w:sz w:val="32"/>
          <w:szCs w:val="32"/>
          <w:lang w:val="en-US" w:eastAsia="zh-CN"/>
        </w:rPr>
        <w:t>、</w:t>
      </w:r>
      <w:r>
        <w:rPr>
          <w:rFonts w:hint="eastAsia" w:ascii="仿宋_GB2312" w:hAnsi="Times New Roman" w:eastAsia="仿宋_GB2312" w:cs="Times New Roman"/>
          <w:spacing w:val="-10"/>
          <w:sz w:val="32"/>
          <w:szCs w:val="32"/>
        </w:rPr>
        <w:t>无害化”。危险废物交有资质的单位处置，危险废物贮存设施</w:t>
      </w:r>
      <w:r>
        <w:rPr>
          <w:rFonts w:ascii="仿宋_GB2312" w:hAnsi="Times New Roman" w:eastAsia="仿宋_GB2312" w:cs="Times New Roman"/>
          <w:spacing w:val="-10"/>
          <w:sz w:val="32"/>
          <w:szCs w:val="32"/>
        </w:rPr>
        <w:t>建设</w:t>
      </w:r>
      <w:r>
        <w:rPr>
          <w:rFonts w:hint="eastAsia" w:ascii="仿宋_GB2312" w:hAnsi="Times New Roman" w:eastAsia="仿宋_GB2312" w:cs="Times New Roman"/>
          <w:spacing w:val="-10"/>
          <w:sz w:val="32"/>
          <w:szCs w:val="32"/>
        </w:rPr>
        <w:t>应符合</w:t>
      </w:r>
      <w:r>
        <w:rPr>
          <w:rFonts w:ascii="仿宋_GB2312" w:hAnsi="Times New Roman" w:eastAsia="仿宋_GB2312" w:cs="Times New Roman"/>
          <w:spacing w:val="-10"/>
          <w:sz w:val="32"/>
          <w:szCs w:val="32"/>
        </w:rPr>
        <w:t>《危险废物贮存污染控制标准》（GB18597-20</w:t>
      </w:r>
      <w:r>
        <w:rPr>
          <w:rFonts w:hint="eastAsia" w:ascii="仿宋_GB2312" w:hAnsi="Times New Roman" w:eastAsia="仿宋_GB2312" w:cs="Times New Roman"/>
          <w:spacing w:val="-10"/>
          <w:sz w:val="32"/>
          <w:szCs w:val="32"/>
        </w:rPr>
        <w:t>23</w:t>
      </w:r>
      <w:r>
        <w:rPr>
          <w:rFonts w:ascii="仿宋_GB2312" w:hAnsi="Times New Roman" w:eastAsia="仿宋_GB2312" w:cs="Times New Roman"/>
          <w:spacing w:val="-10"/>
          <w:sz w:val="32"/>
          <w:szCs w:val="32"/>
        </w:rPr>
        <w:t>）</w:t>
      </w:r>
      <w:r>
        <w:rPr>
          <w:rFonts w:hint="eastAsia" w:ascii="仿宋_GB2312" w:hAnsi="Times New Roman" w:eastAsia="仿宋_GB2312" w:cs="Times New Roman"/>
          <w:spacing w:val="-10"/>
          <w:sz w:val="32"/>
          <w:szCs w:val="32"/>
        </w:rPr>
        <w:t>标准要求。</w:t>
      </w:r>
    </w:p>
    <w:p>
      <w:pPr>
        <w:spacing w:line="560" w:lineRule="exact"/>
        <w:ind w:firstLine="640"/>
        <w:rPr>
          <w:rFonts w:hint="eastAsia"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副产品管理要求：项目产生的副产品外售前应按照《固体废物鉴别标准 通则》(GB34330-2025)、《固体废物再生利用污染防治技术导则》（HJ 1091-2020）、《固体废物资源化产物环境风险评价通用指南》（T/CAEPI 69-2023）等标准导则要求开展属性鉴别工作，在满足副产品的相关属性鉴别要求及相关产品质量标准要求后可作为副产品用于工业用途，不得进入食品、药品、饲料、水产品等行业以及对环境有直接影响的领域。副产品出售前按照标准要求进行出厂检验，建设单位应建立副产品管理台账和跟踪监测机制，确保副产品从产生到销售的全过程可追溯。</w:t>
      </w:r>
    </w:p>
    <w:p>
      <w:pPr>
        <w:spacing w:line="56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lang w:eastAsia="zh-CN"/>
        </w:rPr>
        <w:t>（</w:t>
      </w:r>
      <w:r>
        <w:rPr>
          <w:rFonts w:hint="eastAsia" w:ascii="仿宋_GB2312" w:hAnsi="Times New Roman" w:eastAsia="仿宋_GB2312" w:cs="Times New Roman"/>
          <w:spacing w:val="-10"/>
          <w:sz w:val="32"/>
          <w:szCs w:val="32"/>
          <w:lang w:val="en-US" w:eastAsia="zh-CN"/>
        </w:rPr>
        <w:t>六）</w:t>
      </w:r>
      <w:r>
        <w:rPr>
          <w:rFonts w:hint="eastAsia" w:eastAsia="仿宋_GB2312"/>
          <w:color w:val="000000"/>
          <w:spacing w:val="0"/>
          <w:sz w:val="32"/>
          <w:szCs w:val="32"/>
          <w:lang w:val="zh-CN"/>
        </w:rPr>
        <w:t>项目噪声源主要为泵、风机等生产设备，通过选用低噪声设备，</w:t>
      </w:r>
      <w:r>
        <w:rPr>
          <w:rFonts w:hint="eastAsia" w:eastAsia="仿宋_GB2312"/>
          <w:color w:val="000000"/>
          <w:spacing w:val="0"/>
          <w:sz w:val="32"/>
          <w:szCs w:val="32"/>
        </w:rPr>
        <w:t>设置基础减振</w:t>
      </w:r>
      <w:r>
        <w:rPr>
          <w:rFonts w:hint="eastAsia" w:eastAsia="仿宋_GB2312"/>
          <w:color w:val="000000"/>
          <w:spacing w:val="0"/>
          <w:sz w:val="32"/>
          <w:szCs w:val="32"/>
          <w:lang w:val="zh-CN"/>
        </w:rPr>
        <w:t>，</w:t>
      </w:r>
      <w:r>
        <w:rPr>
          <w:rFonts w:hint="eastAsia" w:eastAsia="仿宋_GB2312"/>
          <w:color w:val="000000"/>
          <w:spacing w:val="0"/>
          <w:sz w:val="32"/>
          <w:szCs w:val="32"/>
        </w:rPr>
        <w:t>风机安装消声器</w:t>
      </w:r>
      <w:r>
        <w:rPr>
          <w:rFonts w:hint="eastAsia" w:eastAsia="仿宋_GB2312"/>
          <w:color w:val="000000"/>
          <w:spacing w:val="0"/>
          <w:sz w:val="32"/>
          <w:szCs w:val="32"/>
          <w:lang w:val="zh-CN"/>
        </w:rPr>
        <w:t>等措施，</w:t>
      </w:r>
      <w:r>
        <w:rPr>
          <w:rFonts w:hint="eastAsia" w:eastAsia="仿宋_GB2312"/>
          <w:color w:val="000000"/>
          <w:spacing w:val="0"/>
          <w:sz w:val="32"/>
          <w:szCs w:val="32"/>
        </w:rPr>
        <w:t>再经过建筑隔声、距离衰减，建成后</w:t>
      </w:r>
      <w:r>
        <w:rPr>
          <w:rFonts w:hint="eastAsia" w:eastAsia="仿宋_GB2312"/>
          <w:color w:val="000000"/>
          <w:spacing w:val="0"/>
          <w:sz w:val="32"/>
          <w:szCs w:val="32"/>
          <w:lang w:val="zh-CN"/>
        </w:rPr>
        <w:t>厂界噪声</w:t>
      </w:r>
      <w:r>
        <w:rPr>
          <w:rFonts w:hint="eastAsia" w:eastAsia="仿宋_GB2312"/>
          <w:color w:val="000000"/>
          <w:spacing w:val="0"/>
          <w:sz w:val="32"/>
          <w:szCs w:val="32"/>
          <w:lang w:val="en-US" w:eastAsia="zh-CN"/>
        </w:rPr>
        <w:t>执行</w:t>
      </w:r>
      <w:r>
        <w:rPr>
          <w:rFonts w:hint="eastAsia" w:eastAsia="仿宋_GB2312"/>
          <w:color w:val="000000"/>
          <w:spacing w:val="0"/>
          <w:sz w:val="32"/>
          <w:szCs w:val="32"/>
          <w:lang w:val="zh-CN"/>
        </w:rPr>
        <w:t>《工业企业厂界环境噪声排放标准》（GB 12348</w:t>
      </w:r>
      <w:r>
        <w:rPr>
          <w:rFonts w:hint="eastAsia" w:eastAsia="仿宋_GB2312"/>
          <w:color w:val="000000"/>
          <w:spacing w:val="0"/>
          <w:sz w:val="32"/>
          <w:szCs w:val="32"/>
        </w:rPr>
        <w:t>-</w:t>
      </w:r>
      <w:r>
        <w:rPr>
          <w:rFonts w:hint="eastAsia" w:eastAsia="仿宋_GB2312"/>
          <w:color w:val="000000"/>
          <w:spacing w:val="0"/>
          <w:sz w:val="32"/>
          <w:szCs w:val="32"/>
          <w:lang w:val="zh-CN"/>
        </w:rPr>
        <w:t>2008）</w:t>
      </w:r>
      <w:r>
        <w:rPr>
          <w:rFonts w:hint="eastAsia" w:eastAsia="仿宋_GB2312"/>
          <w:color w:val="000000"/>
          <w:spacing w:val="0"/>
          <w:sz w:val="32"/>
          <w:szCs w:val="32"/>
        </w:rPr>
        <w:t>3</w:t>
      </w:r>
      <w:r>
        <w:rPr>
          <w:rFonts w:hint="eastAsia" w:eastAsia="仿宋_GB2312"/>
          <w:color w:val="000000"/>
          <w:spacing w:val="0"/>
          <w:sz w:val="32"/>
          <w:szCs w:val="32"/>
          <w:lang w:val="zh-CN"/>
        </w:rPr>
        <w:t>类标准。</w:t>
      </w:r>
      <w:bookmarkStart w:id="0" w:name="_GoBack"/>
      <w:bookmarkEnd w:id="0"/>
    </w:p>
    <w:p>
      <w:pPr>
        <w:spacing w:line="560"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lang w:val="en-US" w:eastAsia="zh-CN"/>
        </w:rPr>
        <w:t>七</w:t>
      </w:r>
      <w:r>
        <w:rPr>
          <w:rFonts w:hint="eastAsia" w:ascii="Times New Roman" w:hAnsi="Times New Roman" w:eastAsia="仿宋_GB2312" w:cs="Times New Roman"/>
          <w:spacing w:val="-10"/>
          <w:sz w:val="32"/>
          <w:szCs w:val="32"/>
        </w:rPr>
        <w:t>）</w:t>
      </w:r>
      <w:r>
        <w:rPr>
          <w:rFonts w:ascii="Times New Roman" w:hAnsi="Times New Roman" w:eastAsia="仿宋_GB2312" w:cs="Times New Roman"/>
          <w:spacing w:val="-10"/>
          <w:sz w:val="32"/>
          <w:szCs w:val="32"/>
        </w:rPr>
        <w:t>落实环境监测措施，你单位须按照国家污染源管理相关要求规范设置排污口及标识。</w:t>
      </w:r>
      <w:r>
        <w:rPr>
          <w:rFonts w:ascii="Times New Roman" w:hAnsi="Times New Roman" w:eastAsia="仿宋_GB2312" w:cs="Times New Roman"/>
          <w:sz w:val="32"/>
          <w:szCs w:val="32"/>
        </w:rPr>
        <w:t>按照环境影响报告书提出的环境监测计划，委托有资质单位定期进行监测，需安装自动监测设备的应与生态环境主管部门的监控设备联网。</w:t>
      </w:r>
    </w:p>
    <w:p>
      <w:pPr>
        <w:spacing w:line="560" w:lineRule="exact"/>
        <w:ind w:firstLine="600" w:firstLineChars="20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lang w:val="en-US" w:eastAsia="zh-CN"/>
        </w:rPr>
        <w:t>八</w:t>
      </w:r>
      <w:r>
        <w:rPr>
          <w:rFonts w:hint="eastAsia" w:ascii="Times New Roman" w:hAnsi="Times New Roman" w:eastAsia="仿宋_GB2312" w:cs="Times New Roman"/>
          <w:spacing w:val="-10"/>
          <w:sz w:val="32"/>
          <w:szCs w:val="32"/>
        </w:rPr>
        <w:t>）</w:t>
      </w:r>
      <w:r>
        <w:rPr>
          <w:rFonts w:ascii="Times New Roman" w:hAnsi="Times New Roman" w:eastAsia="仿宋_GB2312" w:cs="Times New Roman"/>
          <w:spacing w:val="-10"/>
          <w:sz w:val="32"/>
          <w:szCs w:val="32"/>
        </w:rPr>
        <w:t>本项目应按照“企业自救、属地为主、分级响应、区域联动”的原则，针对本项目制定突发环境事故应急预案，分解责任具体落实到负责人，并实现与企业现有环境应急预案、相关部门和各地区突发环境事件应急预案的有效衔接。建立应急队伍，配备相应的应急装备。</w:t>
      </w:r>
      <w:r>
        <w:rPr>
          <w:rFonts w:hint="eastAsia" w:ascii="Times New Roman" w:hAnsi="Times New Roman" w:eastAsia="仿宋_GB2312" w:cs="Times New Roman"/>
          <w:spacing w:val="-10"/>
          <w:sz w:val="32"/>
          <w:szCs w:val="32"/>
        </w:rPr>
        <w:t>严格落实环保设施安全生产工作要求，健全企业内部污染防治设施稳定运行和管理责任制度，委托有相应资质的设计单位对重点环保设施进行设计，并定期做好环保设备设施安全风险辨识评估和隐患排查治理。</w:t>
      </w:r>
    </w:p>
    <w:p>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四、其他相关要求</w:t>
      </w:r>
    </w:p>
    <w:p>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（一）建设单位必须配合阜新氟产业开发区管委会按照《阜新伊吗图氟产业开发区区域污染物削减方案》落实有关具体措施，保证区域环境质量。</w:t>
      </w:r>
    </w:p>
    <w:p>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（二）在工程施工和运行过程中，需建立畅通的公众参与平台，及时解决公众担忧的环境问题，满足公众合理的环境诉求。定期发布环境信息，并主动接受社会监督。</w:t>
      </w:r>
    </w:p>
    <w:p>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如在本项目建设和运营期间，发生环境扰民投诉案件，你单位须积极配合地方政府妥善解决。</w:t>
      </w:r>
    </w:p>
    <w:p>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三</w:t>
      </w:r>
      <w:r>
        <w:rPr>
          <w:rFonts w:ascii="Times New Roman" w:hAnsi="Times New Roman" w:eastAsia="仿宋_GB2312" w:cs="Times New Roman"/>
          <w:spacing w:val="-10"/>
          <w:sz w:val="32"/>
          <w:szCs w:val="32"/>
        </w:rPr>
        <w:t>）根据《报告书》评述的项目设置的卫生防护距离，你单位应积极配合地方政府做好上述卫生防护距离范围内规划控制工作，在该范围内不得规划、审批、建设学校、医院、居民区等环境敏感目标。</w:t>
      </w:r>
    </w:p>
    <w:p>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四</w:t>
      </w:r>
      <w:r>
        <w:rPr>
          <w:rFonts w:ascii="Times New Roman" w:hAnsi="Times New Roman" w:eastAsia="仿宋_GB2312" w:cs="Times New Roman"/>
          <w:spacing w:val="-10"/>
          <w:sz w:val="32"/>
          <w:szCs w:val="32"/>
        </w:rPr>
        <w:t>）落实污染物总量控制要求，不得超出环境主管部门核定的总量指标排放污染物。在启动生产设施或者发生实际排污之前，按照相关要求申领排污许可证。</w:t>
      </w:r>
    </w:p>
    <w:p>
      <w:pPr>
        <w:spacing w:line="560" w:lineRule="exact"/>
        <w:ind w:firstLine="600" w:firstLineChars="20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五</w:t>
      </w:r>
      <w:r>
        <w:rPr>
          <w:rFonts w:ascii="Times New Roman" w:hAnsi="Times New Roman" w:eastAsia="仿宋_GB2312" w:cs="Times New Roman"/>
          <w:spacing w:val="-10"/>
          <w:sz w:val="32"/>
          <w:szCs w:val="32"/>
        </w:rPr>
        <w:t>）</w:t>
      </w:r>
      <w:r>
        <w:rPr>
          <w:rFonts w:ascii="Times New Roman" w:hAnsi="Times New Roman" w:eastAsia="仿宋_GB2312" w:cs="Times New Roman"/>
          <w:sz w:val="32"/>
          <w:szCs w:val="32"/>
          <w:shd w:val="clear" w:color="auto" w:fill="FFFFFF"/>
        </w:rPr>
        <w:t>项目实施建设必须严格执行环境保护设施与主体工程同时设计、同时施工、同时投产使用的环境保护“三同时”制度，落实各项生态环境保护措施。项目建成后，应按规定程序实施竣工环境保护验收。竣工环境保护验收后运行3至5年，应按规定开展环境影响后评价。</w:t>
      </w:r>
    </w:p>
    <w:p>
      <w:pPr>
        <w:pStyle w:val="6"/>
        <w:widowControl/>
        <w:spacing w:line="560" w:lineRule="exact"/>
        <w:ind w:firstLine="600" w:firstLineChars="200"/>
        <w:rPr>
          <w:rFonts w:ascii="Times New Roman" w:hAnsi="Times New Roman" w:eastAsia="仿宋_GB2312"/>
          <w:spacing w:val="-10"/>
          <w:sz w:val="32"/>
          <w:szCs w:val="32"/>
        </w:rPr>
      </w:pPr>
      <w:r>
        <w:rPr>
          <w:rFonts w:ascii="Times New Roman" w:hAnsi="Times New Roman" w:eastAsia="仿宋_GB2312"/>
          <w:spacing w:val="-10"/>
          <w:sz w:val="32"/>
          <w:szCs w:val="32"/>
        </w:rPr>
        <w:t>五、阜新</w:t>
      </w:r>
      <w:r>
        <w:rPr>
          <w:rFonts w:hint="eastAsia" w:ascii="Times New Roman" w:hAnsi="Times New Roman" w:eastAsia="仿宋_GB2312"/>
          <w:spacing w:val="-10"/>
          <w:sz w:val="32"/>
          <w:szCs w:val="32"/>
          <w:lang w:eastAsia="zh-CN"/>
        </w:rPr>
        <w:t>市</w:t>
      </w:r>
      <w:r>
        <w:rPr>
          <w:rFonts w:ascii="Times New Roman" w:hAnsi="Times New Roman" w:eastAsia="仿宋_GB2312"/>
          <w:spacing w:val="-10"/>
          <w:sz w:val="32"/>
          <w:szCs w:val="32"/>
        </w:rPr>
        <w:t>生态环境局阜</w:t>
      </w:r>
      <w:r>
        <w:rPr>
          <w:rFonts w:hint="eastAsia" w:ascii="Times New Roman" w:hAnsi="Times New Roman" w:eastAsia="仿宋_GB2312"/>
          <w:spacing w:val="-10"/>
          <w:sz w:val="32"/>
          <w:szCs w:val="32"/>
        </w:rPr>
        <w:t>新</w:t>
      </w:r>
      <w:r>
        <w:rPr>
          <w:rFonts w:ascii="Times New Roman" w:hAnsi="Times New Roman" w:eastAsia="仿宋_GB2312"/>
          <w:spacing w:val="-10"/>
          <w:sz w:val="32"/>
          <w:szCs w:val="32"/>
        </w:rPr>
        <w:t>县分局负责该项目的环境保护“三同时”监督检查及管理工作。</w:t>
      </w:r>
    </w:p>
    <w:p>
      <w:pPr>
        <w:pStyle w:val="6"/>
        <w:widowControl/>
        <w:spacing w:line="560" w:lineRule="exact"/>
        <w:ind w:firstLine="600" w:firstLineChars="200"/>
        <w:rPr>
          <w:rFonts w:ascii="Times New Roman" w:hAnsi="Times New Roman" w:eastAsia="仿宋_GB2312"/>
          <w:spacing w:val="-10"/>
          <w:sz w:val="32"/>
          <w:szCs w:val="32"/>
        </w:rPr>
      </w:pPr>
    </w:p>
    <w:p>
      <w:pPr>
        <w:pStyle w:val="6"/>
        <w:widowControl/>
        <w:spacing w:line="560" w:lineRule="exact"/>
        <w:ind w:firstLine="600" w:firstLineChars="200"/>
        <w:rPr>
          <w:rFonts w:ascii="Times New Roman" w:hAnsi="Times New Roman" w:eastAsia="仿宋_GB2312"/>
          <w:spacing w:val="-10"/>
          <w:sz w:val="32"/>
          <w:szCs w:val="32"/>
        </w:rPr>
      </w:pPr>
    </w:p>
    <w:p>
      <w:pPr>
        <w:spacing w:line="560" w:lineRule="exact"/>
        <w:ind w:firstLine="2700" w:firstLineChars="900"/>
        <w:jc w:val="right"/>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阜新市生态环境局</w:t>
      </w:r>
      <w:r>
        <w:rPr>
          <w:rFonts w:hint="eastAsia" w:ascii="Times New Roman" w:hAnsi="Times New Roman" w:eastAsia="仿宋_GB2312" w:cs="Times New Roman"/>
          <w:color w:val="FFFFFF" w:themeColor="background1"/>
          <w:spacing w:val="-10"/>
          <w:sz w:val="32"/>
          <w:szCs w:val="32"/>
        </w:rPr>
        <w:t>空空空空</w:t>
      </w:r>
    </w:p>
    <w:p>
      <w:pPr>
        <w:spacing w:line="56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lang w:val="en-US" w:eastAsia="zh-CN"/>
        </w:rPr>
        <w:t xml:space="preserve"> </w:t>
      </w:r>
      <w:r>
        <w:rPr>
          <w:rFonts w:hint="eastAsia" w:ascii="Times New Roman" w:hAnsi="Times New Roman" w:eastAsia="仿宋_GB2312" w:cs="Times New Roman"/>
          <w:sz w:val="32"/>
          <w:szCs w:val="32"/>
        </w:rPr>
        <w:t>2026</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9</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9</w:t>
      </w:r>
      <w:r>
        <w:rPr>
          <w:rFonts w:ascii="Times New Roman" w:hAnsi="Times New Roman" w:eastAsia="仿宋_GB2312" w:cs="Times New Roman"/>
          <w:sz w:val="32"/>
          <w:szCs w:val="32"/>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仿宋_GB2312">
    <w:altName w:val="方正仿宋_GBK"/>
    <w:panose1 w:val="02010609030101010101"/>
    <w:charset w:val="86"/>
    <w:family w:val="modern"/>
    <w:pitch w:val="default"/>
    <w:sig w:usb0="00000000" w:usb1="00000000" w:usb2="00000000" w:usb3="00000000" w:csb0="00040000" w:csb1="00000000"/>
  </w:font>
  <w:font w:name="TimesNewRomanPSMT">
    <w:altName w:val="DejaVu Sans"/>
    <w:panose1 w:val="00000000000000000000"/>
    <w:charset w:val="00"/>
    <w:family w:val="roman"/>
    <w:pitch w:val="default"/>
    <w:sig w:usb0="00000000" w:usb1="00000000" w:usb2="00000010" w:usb3="00000000" w:csb0="00060001" w:csb1="00000000"/>
  </w:font>
  <w:font w:name="方正小标宋简体">
    <w:panose1 w:val="02000000000000000000"/>
    <w:charset w:val="86"/>
    <w:family w:val="script"/>
    <w:pitch w:val="default"/>
    <w:sig w:usb0="A00002BF" w:usb1="184F6CFA" w:usb2="00000012"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WYwOTMxNDM0OWU2NjBmNTdiODZhNDM0MTFiNjgyZWMifQ=="/>
  </w:docVars>
  <w:rsids>
    <w:rsidRoot w:val="380F54D5"/>
    <w:rsid w:val="000006CB"/>
    <w:rsid w:val="000062D9"/>
    <w:rsid w:val="00017CD7"/>
    <w:rsid w:val="00040394"/>
    <w:rsid w:val="0004288B"/>
    <w:rsid w:val="0005407F"/>
    <w:rsid w:val="000772DF"/>
    <w:rsid w:val="000A71FA"/>
    <w:rsid w:val="000B20D2"/>
    <w:rsid w:val="000B72A8"/>
    <w:rsid w:val="000C2331"/>
    <w:rsid w:val="000E2BE0"/>
    <w:rsid w:val="000F41D6"/>
    <w:rsid w:val="000F53C5"/>
    <w:rsid w:val="00104A5D"/>
    <w:rsid w:val="0010758B"/>
    <w:rsid w:val="00111C6F"/>
    <w:rsid w:val="001330FB"/>
    <w:rsid w:val="00157C8A"/>
    <w:rsid w:val="00171391"/>
    <w:rsid w:val="001731AA"/>
    <w:rsid w:val="0018776B"/>
    <w:rsid w:val="00191FDF"/>
    <w:rsid w:val="00193BBC"/>
    <w:rsid w:val="00194074"/>
    <w:rsid w:val="001A5B2D"/>
    <w:rsid w:val="001A6C6B"/>
    <w:rsid w:val="001A6EAC"/>
    <w:rsid w:val="001C2CCB"/>
    <w:rsid w:val="001C3647"/>
    <w:rsid w:val="001C50A0"/>
    <w:rsid w:val="001D47C6"/>
    <w:rsid w:val="001D7B66"/>
    <w:rsid w:val="001E0F98"/>
    <w:rsid w:val="002057F1"/>
    <w:rsid w:val="002456ED"/>
    <w:rsid w:val="00274C2A"/>
    <w:rsid w:val="002826E9"/>
    <w:rsid w:val="002940A1"/>
    <w:rsid w:val="00294F26"/>
    <w:rsid w:val="002A0C67"/>
    <w:rsid w:val="002A47E0"/>
    <w:rsid w:val="002A4DC6"/>
    <w:rsid w:val="002A51B1"/>
    <w:rsid w:val="002A5367"/>
    <w:rsid w:val="002B06E7"/>
    <w:rsid w:val="002B561C"/>
    <w:rsid w:val="002E5C75"/>
    <w:rsid w:val="002E7EE1"/>
    <w:rsid w:val="002F78E6"/>
    <w:rsid w:val="00333998"/>
    <w:rsid w:val="0034667A"/>
    <w:rsid w:val="003746BD"/>
    <w:rsid w:val="0037691A"/>
    <w:rsid w:val="0038131F"/>
    <w:rsid w:val="003A1ABB"/>
    <w:rsid w:val="003D7E65"/>
    <w:rsid w:val="003E2C10"/>
    <w:rsid w:val="003F5744"/>
    <w:rsid w:val="004020CD"/>
    <w:rsid w:val="00426BF8"/>
    <w:rsid w:val="0042786A"/>
    <w:rsid w:val="00462E4C"/>
    <w:rsid w:val="00482EA7"/>
    <w:rsid w:val="00486C50"/>
    <w:rsid w:val="00494DEB"/>
    <w:rsid w:val="004B065A"/>
    <w:rsid w:val="004B21F9"/>
    <w:rsid w:val="004B667A"/>
    <w:rsid w:val="004C0B50"/>
    <w:rsid w:val="004D0431"/>
    <w:rsid w:val="004D308E"/>
    <w:rsid w:val="004E1A1D"/>
    <w:rsid w:val="004E2595"/>
    <w:rsid w:val="004E652E"/>
    <w:rsid w:val="004F34E7"/>
    <w:rsid w:val="00512841"/>
    <w:rsid w:val="00527F22"/>
    <w:rsid w:val="00530CFF"/>
    <w:rsid w:val="00532829"/>
    <w:rsid w:val="00540572"/>
    <w:rsid w:val="00590076"/>
    <w:rsid w:val="005B28C4"/>
    <w:rsid w:val="005D0479"/>
    <w:rsid w:val="005E4490"/>
    <w:rsid w:val="005F21FA"/>
    <w:rsid w:val="006037D7"/>
    <w:rsid w:val="00615B33"/>
    <w:rsid w:val="006310D1"/>
    <w:rsid w:val="00643748"/>
    <w:rsid w:val="00656B24"/>
    <w:rsid w:val="00663AD3"/>
    <w:rsid w:val="00671F04"/>
    <w:rsid w:val="00674DDA"/>
    <w:rsid w:val="00676887"/>
    <w:rsid w:val="00682423"/>
    <w:rsid w:val="0068503F"/>
    <w:rsid w:val="00691B10"/>
    <w:rsid w:val="00692991"/>
    <w:rsid w:val="00695732"/>
    <w:rsid w:val="0069697F"/>
    <w:rsid w:val="006B0FA9"/>
    <w:rsid w:val="006B669E"/>
    <w:rsid w:val="006B7BB4"/>
    <w:rsid w:val="006C6436"/>
    <w:rsid w:val="006C753A"/>
    <w:rsid w:val="006D4270"/>
    <w:rsid w:val="006E16EB"/>
    <w:rsid w:val="006F3E79"/>
    <w:rsid w:val="006F6248"/>
    <w:rsid w:val="0072384C"/>
    <w:rsid w:val="0073467E"/>
    <w:rsid w:val="00753C73"/>
    <w:rsid w:val="0075515A"/>
    <w:rsid w:val="00755A13"/>
    <w:rsid w:val="007577FD"/>
    <w:rsid w:val="00765153"/>
    <w:rsid w:val="0076595C"/>
    <w:rsid w:val="0076661D"/>
    <w:rsid w:val="007667AA"/>
    <w:rsid w:val="00791E61"/>
    <w:rsid w:val="0079373D"/>
    <w:rsid w:val="007A75A6"/>
    <w:rsid w:val="007B2D01"/>
    <w:rsid w:val="007B7BE4"/>
    <w:rsid w:val="007C4465"/>
    <w:rsid w:val="007D2FB7"/>
    <w:rsid w:val="008042C2"/>
    <w:rsid w:val="00831141"/>
    <w:rsid w:val="008317E6"/>
    <w:rsid w:val="00880C89"/>
    <w:rsid w:val="008921AB"/>
    <w:rsid w:val="008932AC"/>
    <w:rsid w:val="008943E8"/>
    <w:rsid w:val="008D6311"/>
    <w:rsid w:val="008D65B1"/>
    <w:rsid w:val="008E2169"/>
    <w:rsid w:val="008F4787"/>
    <w:rsid w:val="008F5281"/>
    <w:rsid w:val="00904FA0"/>
    <w:rsid w:val="009051AF"/>
    <w:rsid w:val="009144D4"/>
    <w:rsid w:val="0092604E"/>
    <w:rsid w:val="009260DF"/>
    <w:rsid w:val="00932145"/>
    <w:rsid w:val="009346BA"/>
    <w:rsid w:val="00944C05"/>
    <w:rsid w:val="00946F50"/>
    <w:rsid w:val="00971762"/>
    <w:rsid w:val="0098294A"/>
    <w:rsid w:val="00997F8B"/>
    <w:rsid w:val="009C1C42"/>
    <w:rsid w:val="009C48EA"/>
    <w:rsid w:val="009D53F0"/>
    <w:rsid w:val="009D79FC"/>
    <w:rsid w:val="009E28AA"/>
    <w:rsid w:val="00A04DB2"/>
    <w:rsid w:val="00A05FA7"/>
    <w:rsid w:val="00A11FEC"/>
    <w:rsid w:val="00A15E57"/>
    <w:rsid w:val="00A20660"/>
    <w:rsid w:val="00A3198F"/>
    <w:rsid w:val="00A54D28"/>
    <w:rsid w:val="00A6469C"/>
    <w:rsid w:val="00A67784"/>
    <w:rsid w:val="00A740DA"/>
    <w:rsid w:val="00A869D4"/>
    <w:rsid w:val="00A95583"/>
    <w:rsid w:val="00AA6496"/>
    <w:rsid w:val="00AB1E2F"/>
    <w:rsid w:val="00AB6E0F"/>
    <w:rsid w:val="00AF1208"/>
    <w:rsid w:val="00AF3C50"/>
    <w:rsid w:val="00B04E5E"/>
    <w:rsid w:val="00B05010"/>
    <w:rsid w:val="00B155B3"/>
    <w:rsid w:val="00B17E1B"/>
    <w:rsid w:val="00B30115"/>
    <w:rsid w:val="00B37380"/>
    <w:rsid w:val="00B44CD5"/>
    <w:rsid w:val="00B45AE3"/>
    <w:rsid w:val="00B52564"/>
    <w:rsid w:val="00B53D45"/>
    <w:rsid w:val="00B64F4F"/>
    <w:rsid w:val="00B70181"/>
    <w:rsid w:val="00B70763"/>
    <w:rsid w:val="00B73574"/>
    <w:rsid w:val="00B74C9F"/>
    <w:rsid w:val="00B74E75"/>
    <w:rsid w:val="00B8261A"/>
    <w:rsid w:val="00B95F3D"/>
    <w:rsid w:val="00B96924"/>
    <w:rsid w:val="00BA78CC"/>
    <w:rsid w:val="00BC2061"/>
    <w:rsid w:val="00BC5C23"/>
    <w:rsid w:val="00BD6798"/>
    <w:rsid w:val="00C022C6"/>
    <w:rsid w:val="00C11786"/>
    <w:rsid w:val="00C20BD7"/>
    <w:rsid w:val="00C36D6C"/>
    <w:rsid w:val="00C4024E"/>
    <w:rsid w:val="00C422EA"/>
    <w:rsid w:val="00C442F4"/>
    <w:rsid w:val="00C62448"/>
    <w:rsid w:val="00C64E75"/>
    <w:rsid w:val="00C71F0B"/>
    <w:rsid w:val="00C731B7"/>
    <w:rsid w:val="00C751B7"/>
    <w:rsid w:val="00C85CD2"/>
    <w:rsid w:val="00C93F4B"/>
    <w:rsid w:val="00C95223"/>
    <w:rsid w:val="00CA44E1"/>
    <w:rsid w:val="00CD32DB"/>
    <w:rsid w:val="00CD60A8"/>
    <w:rsid w:val="00CE2BDA"/>
    <w:rsid w:val="00CE7A30"/>
    <w:rsid w:val="00CE7C7A"/>
    <w:rsid w:val="00CF6FEF"/>
    <w:rsid w:val="00D02682"/>
    <w:rsid w:val="00D0306D"/>
    <w:rsid w:val="00D14EC1"/>
    <w:rsid w:val="00D33A1E"/>
    <w:rsid w:val="00D4067C"/>
    <w:rsid w:val="00D541D0"/>
    <w:rsid w:val="00D72C21"/>
    <w:rsid w:val="00D96AA6"/>
    <w:rsid w:val="00DA4D1A"/>
    <w:rsid w:val="00DB3A0C"/>
    <w:rsid w:val="00DC3F60"/>
    <w:rsid w:val="00DC7288"/>
    <w:rsid w:val="00DD12A7"/>
    <w:rsid w:val="00DE0E54"/>
    <w:rsid w:val="00DE4724"/>
    <w:rsid w:val="00DF31E8"/>
    <w:rsid w:val="00DF3B25"/>
    <w:rsid w:val="00E00AF7"/>
    <w:rsid w:val="00E01AC0"/>
    <w:rsid w:val="00E3480C"/>
    <w:rsid w:val="00E441F1"/>
    <w:rsid w:val="00E52B86"/>
    <w:rsid w:val="00E64810"/>
    <w:rsid w:val="00E72411"/>
    <w:rsid w:val="00E72BCB"/>
    <w:rsid w:val="00E74EEA"/>
    <w:rsid w:val="00E87BDD"/>
    <w:rsid w:val="00EA2FDC"/>
    <w:rsid w:val="00EC40BD"/>
    <w:rsid w:val="00EC604D"/>
    <w:rsid w:val="00EE1422"/>
    <w:rsid w:val="00EE6F60"/>
    <w:rsid w:val="00EF2551"/>
    <w:rsid w:val="00F02277"/>
    <w:rsid w:val="00F05B1A"/>
    <w:rsid w:val="00F224C7"/>
    <w:rsid w:val="00F2280D"/>
    <w:rsid w:val="00F23B21"/>
    <w:rsid w:val="00F263A5"/>
    <w:rsid w:val="00F5130F"/>
    <w:rsid w:val="00F559CA"/>
    <w:rsid w:val="00F629DD"/>
    <w:rsid w:val="00F63716"/>
    <w:rsid w:val="00F767FE"/>
    <w:rsid w:val="00F877C7"/>
    <w:rsid w:val="00F93B3C"/>
    <w:rsid w:val="00F946F8"/>
    <w:rsid w:val="00FB459C"/>
    <w:rsid w:val="00FB74AD"/>
    <w:rsid w:val="00FB7EC7"/>
    <w:rsid w:val="00FC1639"/>
    <w:rsid w:val="00FE633D"/>
    <w:rsid w:val="00FF3E59"/>
    <w:rsid w:val="00FF563E"/>
    <w:rsid w:val="00FF642D"/>
    <w:rsid w:val="044811AB"/>
    <w:rsid w:val="13B27E09"/>
    <w:rsid w:val="1A8D294F"/>
    <w:rsid w:val="25CE1675"/>
    <w:rsid w:val="29974297"/>
    <w:rsid w:val="2F9A5356"/>
    <w:rsid w:val="311331FC"/>
    <w:rsid w:val="34852180"/>
    <w:rsid w:val="380F54D5"/>
    <w:rsid w:val="40590BFE"/>
    <w:rsid w:val="45C67A8C"/>
    <w:rsid w:val="5D463024"/>
    <w:rsid w:val="64F26DFF"/>
    <w:rsid w:val="668E1C8F"/>
    <w:rsid w:val="6A4D3FA6"/>
    <w:rsid w:val="739754C2"/>
    <w:rsid w:val="76314207"/>
    <w:rsid w:val="785D25A3"/>
    <w:rsid w:val="79974DA2"/>
    <w:rsid w:val="7B6B3AC6"/>
    <w:rsid w:val="CD5D50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HTML Address"/>
    <w:basedOn w:val="1"/>
    <w:uiPriority w:val="0"/>
    <w:rPr>
      <w:i/>
    </w:rPr>
  </w:style>
  <w:style w:type="paragraph" w:styleId="3">
    <w:name w:val="Body Text Indent"/>
    <w:basedOn w:val="1"/>
    <w:qFormat/>
    <w:uiPriority w:val="0"/>
    <w:pPr>
      <w:ind w:firstLine="640" w:firstLineChars="200"/>
    </w:pPr>
    <w:rPr>
      <w:rFonts w:ascii="仿宋_GB2312" w:hAnsi="Times New Roman" w:eastAsia="仿宋_GB2312" w:cs="Times New Roman"/>
      <w:sz w:val="32"/>
      <w:szCs w:val="24"/>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jc w:val="left"/>
    </w:pPr>
    <w:rPr>
      <w:rFonts w:cs="Times New Roman"/>
      <w:kern w:val="0"/>
      <w:sz w:val="16"/>
      <w:szCs w:val="16"/>
    </w:rPr>
  </w:style>
  <w:style w:type="character" w:styleId="9">
    <w:name w:val="Strong"/>
    <w:qFormat/>
    <w:uiPriority w:val="22"/>
    <w:rPr>
      <w:b/>
    </w:rPr>
  </w:style>
  <w:style w:type="character" w:customStyle="1" w:styleId="10">
    <w:name w:val="页眉 Char"/>
    <w:basedOn w:val="8"/>
    <w:link w:val="5"/>
    <w:qFormat/>
    <w:uiPriority w:val="0"/>
    <w:rPr>
      <w:kern w:val="2"/>
      <w:sz w:val="18"/>
      <w:szCs w:val="18"/>
    </w:rPr>
  </w:style>
  <w:style w:type="character" w:customStyle="1" w:styleId="11">
    <w:name w:val="页脚 Char"/>
    <w:basedOn w:val="8"/>
    <w:link w:val="4"/>
    <w:qFormat/>
    <w:uiPriority w:val="0"/>
    <w:rPr>
      <w:kern w:val="2"/>
      <w:sz w:val="18"/>
      <w:szCs w:val="18"/>
    </w:rPr>
  </w:style>
  <w:style w:type="character" w:customStyle="1" w:styleId="12">
    <w:name w:val="fontstyle01"/>
    <w:basedOn w:val="8"/>
    <w:qFormat/>
    <w:uiPriority w:val="0"/>
    <w:rPr>
      <w:rFonts w:hint="eastAsia" w:ascii="宋体" w:hAnsi="宋体" w:eastAsia="宋体"/>
      <w:color w:val="000000"/>
      <w:sz w:val="24"/>
      <w:szCs w:val="24"/>
    </w:rPr>
  </w:style>
  <w:style w:type="character" w:customStyle="1" w:styleId="13">
    <w:name w:val="fontstyle21"/>
    <w:basedOn w:val="8"/>
    <w:qFormat/>
    <w:uiPriority w:val="0"/>
    <w:rPr>
      <w:rFonts w:hint="default" w:ascii="TimesNewRomanPSMT" w:hAnsi="TimesNewRomanPSMT"/>
      <w:color w:val="00000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5</Pages>
  <Words>579</Words>
  <Characters>602</Characters>
  <Lines>19</Lines>
  <Paragraphs>5</Paragraphs>
  <TotalTime>7</TotalTime>
  <ScaleCrop>false</ScaleCrop>
  <LinksUpToDate>false</LinksUpToDate>
  <CharactersWithSpaces>639</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2019-04-29T11:18:00Z</dcterms:created>
  <dc:creator>Administrator</dc:creator>
  <cp:lastModifiedBy>user</cp:lastModifiedBy>
  <cp:lastPrinted>2026-03-05T09:51:00Z</cp:lastPrinted>
  <dcterms:modified xsi:type="dcterms:W3CDTF">2026-09-09T16:47:39Z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88536EA5530146328F4FECCF6F23773A</vt:lpwstr>
  </property>
  <property fmtid="{D5CDD505-2E9C-101B-9397-08002B2CF9AE}" pid="4" name="KSOTemplateDocerSaveRecord">
    <vt:lpwstr>eyJoZGlkIjoiZTU4ZTA4YjgzOTQzYWYyY2RhNWM3NGUzZjFmNGM0ODgifQ==</vt:lpwstr>
  </property>
</Properties>
</file>